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D550F9"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E9AC955" w14:textId="1A430DC1" w:rsidR="00E1168B" w:rsidRDefault="00E1168B" w:rsidP="004924DC">
                            <w:r>
                              <w:t>Z</w:t>
                            </w:r>
                            <w:r w:rsidRPr="006C5577">
                              <w:t xml:space="preserve">pracoval: </w:t>
                            </w:r>
                            <w:r>
                              <w:t>o</w:t>
                            </w:r>
                            <w:r w:rsidRPr="006C5577">
                              <w:t>dbor</w:t>
                            </w:r>
                            <w:r>
                              <w:t xml:space="preserve"> Kancelář předsedy</w:t>
                            </w:r>
                          </w:p>
                          <w:p w14:paraId="132AD0FF" w14:textId="77777777" w:rsidR="00E1168B" w:rsidRPr="006C5577" w:rsidRDefault="00E1168B" w:rsidP="004924DC">
                            <w:r w:rsidRPr="006C5577">
                              <w:t xml:space="preserve">Ředitel odboru: </w:t>
                            </w:r>
                            <w:r>
                              <w:t>Egor Sidorov, Ph.D.</w:t>
                            </w:r>
                          </w:p>
                          <w:p w14:paraId="6CA077B6" w14:textId="77777777" w:rsidR="00E1168B" w:rsidRPr="006C5577" w:rsidRDefault="00E1168B"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1A430DC1" w:rsidR="00E1168B" w:rsidRDefault="00E1168B" w:rsidP="004924DC">
                      <w:r>
                        <w:t>Z</w:t>
                      </w:r>
                      <w:r w:rsidRPr="006C5577">
                        <w:t xml:space="preserve">pracoval: </w:t>
                      </w:r>
                      <w:r>
                        <w:t>o</w:t>
                      </w:r>
                      <w:r w:rsidRPr="006C5577">
                        <w:t>dbor</w:t>
                      </w:r>
                      <w:r>
                        <w:t xml:space="preserve"> Kancelář předsedy</w:t>
                      </w:r>
                    </w:p>
                    <w:p w14:paraId="132AD0FF" w14:textId="77777777" w:rsidR="00E1168B" w:rsidRPr="006C5577" w:rsidRDefault="00E1168B" w:rsidP="004924DC">
                      <w:r w:rsidRPr="006C5577">
                        <w:t xml:space="preserve">Ředitel odboru: </w:t>
                      </w:r>
                      <w:r>
                        <w:t>Egor Sidorov, Ph.D.</w:t>
                      </w:r>
                    </w:p>
                    <w:p w14:paraId="6CA077B6" w14:textId="77777777" w:rsidR="00E1168B" w:rsidRPr="006C5577" w:rsidRDefault="00E1168B"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DD19A4A" w14:textId="77777777" w:rsidR="00E1168B" w:rsidRPr="004924DC" w:rsidRDefault="00E1168B" w:rsidP="004924DC">
                            <w:pPr>
                              <w:pStyle w:val="TLIdentifikace-sted"/>
                            </w:pPr>
                            <w:r>
                              <w:t>souhrnná data o České republice</w:t>
                            </w:r>
                          </w:p>
                          <w:p w14:paraId="6D18FF6B" w14:textId="65051FF5" w:rsidR="00E1168B" w:rsidRPr="004924DC" w:rsidRDefault="00E1168B" w:rsidP="004924DC">
                            <w:pPr>
                              <w:pStyle w:val="TLIdentifikace-sted"/>
                            </w:pPr>
                            <w:r>
                              <w:t>Praha, 14. 9. 2020</w:t>
                            </w:r>
                          </w:p>
                          <w:p w14:paraId="730B937E" w14:textId="6A25289A" w:rsidR="00E1168B" w:rsidRPr="004924DC" w:rsidRDefault="00E1168B" w:rsidP="004924DC">
                            <w:pPr>
                              <w:pStyle w:val="TLIdentifikace-sted"/>
                            </w:pPr>
                            <w:r w:rsidRPr="004924DC">
                              <w:t xml:space="preserve">Kód publikace: </w:t>
                            </w:r>
                            <w:r>
                              <w:t>320193-20</w:t>
                            </w:r>
                          </w:p>
                          <w:p w14:paraId="1E265112" w14:textId="7EE1CCB2" w:rsidR="00E1168B" w:rsidRPr="004924DC" w:rsidRDefault="00E1168B" w:rsidP="004924DC">
                            <w:pPr>
                              <w:pStyle w:val="TLIdentifikace-sted"/>
                            </w:pPr>
                            <w:r w:rsidRPr="0023359B">
                              <w:t>Č. j.:</w:t>
                            </w:r>
                            <w:r w:rsidRPr="0023359B">
                              <w:rPr>
                                <w:rFonts w:cs="Arial"/>
                              </w:rPr>
                              <w:t xml:space="preserve"> </w:t>
                            </w:r>
                            <w:r w:rsidR="00F00EC8" w:rsidRPr="00F00EC8">
                              <w:rPr>
                                <w:rFonts w:eastAsia="Calibri" w:cs="Arial"/>
                                <w:lang w:eastAsia="en-US"/>
                              </w:rPr>
                              <w:t>CSU-012128/2020</w:t>
                            </w:r>
                          </w:p>
                          <w:p w14:paraId="3F00E29A" w14:textId="01ABE09B" w:rsidR="00E1168B" w:rsidRPr="004924DC" w:rsidRDefault="00E1168B" w:rsidP="004924DC">
                            <w:pPr>
                              <w:pStyle w:val="TLIdentifikace-sted"/>
                            </w:pPr>
                            <w:r w:rsidRPr="004924DC">
                              <w:t>Pořadové číslo v</w:t>
                            </w:r>
                            <w:r>
                              <w:t> </w:t>
                            </w:r>
                            <w:r w:rsidRPr="004924DC">
                              <w:t xml:space="preserve">roce: </w:t>
                            </w:r>
                            <w:r>
                              <w:t>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E1168B" w:rsidRPr="004924DC" w:rsidRDefault="00E1168B" w:rsidP="004924DC">
                      <w:pPr>
                        <w:pStyle w:val="TLIdentifikace-sted"/>
                      </w:pPr>
                      <w:r>
                        <w:t>souhrnná data o České republice</w:t>
                      </w:r>
                    </w:p>
                    <w:p w14:paraId="6D18FF6B" w14:textId="65051FF5" w:rsidR="00E1168B" w:rsidRPr="004924DC" w:rsidRDefault="00E1168B" w:rsidP="004924DC">
                      <w:pPr>
                        <w:pStyle w:val="TLIdentifikace-sted"/>
                      </w:pPr>
                      <w:r>
                        <w:t>Praha, 14. 9. 2020</w:t>
                      </w:r>
                    </w:p>
                    <w:p w14:paraId="730B937E" w14:textId="6A25289A" w:rsidR="00E1168B" w:rsidRPr="004924DC" w:rsidRDefault="00E1168B" w:rsidP="004924DC">
                      <w:pPr>
                        <w:pStyle w:val="TLIdentifikace-sted"/>
                      </w:pPr>
                      <w:r w:rsidRPr="004924DC">
                        <w:t xml:space="preserve">Kód publikace: </w:t>
                      </w:r>
                      <w:r>
                        <w:t>320193-20</w:t>
                      </w:r>
                    </w:p>
                    <w:p w14:paraId="1E265112" w14:textId="7EE1CCB2" w:rsidR="00E1168B" w:rsidRPr="004924DC" w:rsidRDefault="00E1168B" w:rsidP="004924DC">
                      <w:pPr>
                        <w:pStyle w:val="TLIdentifikace-sted"/>
                      </w:pPr>
                      <w:r w:rsidRPr="0023359B">
                        <w:t>Č. j.:</w:t>
                      </w:r>
                      <w:r w:rsidRPr="0023359B">
                        <w:rPr>
                          <w:rFonts w:cs="Arial"/>
                        </w:rPr>
                        <w:t xml:space="preserve"> </w:t>
                      </w:r>
                      <w:r w:rsidR="00F00EC8" w:rsidRPr="00F00EC8">
                        <w:rPr>
                          <w:rFonts w:eastAsia="Calibri" w:cs="Arial"/>
                          <w:lang w:eastAsia="en-US"/>
                        </w:rPr>
                        <w:t>CSU-012128/2020</w:t>
                      </w:r>
                    </w:p>
                    <w:p w14:paraId="3F00E29A" w14:textId="01ABE09B" w:rsidR="00E1168B" w:rsidRPr="004924DC" w:rsidRDefault="00E1168B" w:rsidP="004924DC">
                      <w:pPr>
                        <w:pStyle w:val="TLIdentifikace-sted"/>
                      </w:pPr>
                      <w:r w:rsidRPr="004924DC">
                        <w:t>Pořadové číslo v</w:t>
                      </w:r>
                      <w:r>
                        <w:t> </w:t>
                      </w:r>
                      <w:r w:rsidRPr="004924DC">
                        <w:t xml:space="preserve">roce: </w:t>
                      </w:r>
                      <w:r>
                        <w:t>2</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6763847" w14:textId="77777777" w:rsidR="00E1168B" w:rsidRPr="000E6FBD" w:rsidRDefault="00E1168B" w:rsidP="000E6FBD">
                            <w:pPr>
                              <w:pStyle w:val="Nzev"/>
                            </w:pPr>
                            <w:r>
                              <w:t>Vývoj ekonomiky české republiky</w:t>
                            </w:r>
                          </w:p>
                          <w:p w14:paraId="0059A4DC" w14:textId="77777777" w:rsidR="00E1168B" w:rsidRPr="0012192F" w:rsidRDefault="00E1168B" w:rsidP="0012192F">
                            <w:pPr>
                              <w:pStyle w:val="Podnadpis"/>
                            </w:pPr>
                          </w:p>
                          <w:p w14:paraId="0A162DB8" w14:textId="7908B8F8" w:rsidR="00E1168B" w:rsidRPr="0012192F" w:rsidRDefault="00E1168B" w:rsidP="000F090B">
                            <w:pPr>
                              <w:pStyle w:val="Podnadpis"/>
                            </w:pPr>
                            <w:r>
                              <w:t>1. pololetí 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E1168B" w:rsidRPr="000E6FBD" w:rsidRDefault="00E1168B" w:rsidP="000E6FBD">
                      <w:pPr>
                        <w:pStyle w:val="Nzev"/>
                      </w:pPr>
                      <w:r>
                        <w:t>Vývoj ekonomiky české republiky</w:t>
                      </w:r>
                    </w:p>
                    <w:p w14:paraId="0059A4DC" w14:textId="77777777" w:rsidR="00E1168B" w:rsidRPr="0012192F" w:rsidRDefault="00E1168B" w:rsidP="0012192F">
                      <w:pPr>
                        <w:pStyle w:val="Podnadpis"/>
                      </w:pPr>
                    </w:p>
                    <w:p w14:paraId="0A162DB8" w14:textId="7908B8F8" w:rsidR="00E1168B" w:rsidRPr="0012192F" w:rsidRDefault="00E1168B" w:rsidP="000F090B">
                      <w:pPr>
                        <w:pStyle w:val="Podnadpis"/>
                      </w:pPr>
                      <w:r>
                        <w:t>1. pololetí 2020</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4B1224" w14:textId="7F5B7397" w:rsidR="00E1168B" w:rsidRPr="004924DC" w:rsidRDefault="00E1168B" w:rsidP="004924DC">
                            <w:r w:rsidRPr="004924DC">
                              <w:t xml:space="preserve">© Český statistický úřad, </w:t>
                            </w:r>
                            <w:r>
                              <w:t>Praha</w:t>
                            </w:r>
                            <w:r w:rsidRPr="004924DC">
                              <w:t xml:space="preserve">, </w:t>
                            </w:r>
                            <w:r>
                              <w:t>2020</w:t>
                            </w:r>
                          </w:p>
                          <w:p w14:paraId="6B03C3EF" w14:textId="77777777" w:rsidR="00E1168B" w:rsidRPr="005251DD" w:rsidRDefault="00E1168B" w:rsidP="00665BA4"/>
                          <w:p w14:paraId="0A8089AF" w14:textId="77777777" w:rsidR="00E1168B" w:rsidRPr="005251DD" w:rsidRDefault="00E1168B" w:rsidP="00FC684B"/>
                          <w:p w14:paraId="002EBABF" w14:textId="77777777" w:rsidR="00E1168B" w:rsidRDefault="00E1168B"/>
                          <w:p w14:paraId="1BBEDF65" w14:textId="77777777" w:rsidR="00E1168B" w:rsidRPr="00097407" w:rsidRDefault="00E1168B"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048CED67" w14:textId="77777777" w:rsidR="00E1168B" w:rsidRPr="005251DD" w:rsidRDefault="00E1168B" w:rsidP="00665BA4"/>
                          <w:p w14:paraId="2D7C43C3" w14:textId="77777777" w:rsidR="00E1168B" w:rsidRPr="005251DD" w:rsidRDefault="00E1168B"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7F5B7397" w:rsidR="00E1168B" w:rsidRPr="004924DC" w:rsidRDefault="00E1168B" w:rsidP="004924DC">
                      <w:r w:rsidRPr="004924DC">
                        <w:t xml:space="preserve">© Český statistický úřad, </w:t>
                      </w:r>
                      <w:r>
                        <w:t>Praha</w:t>
                      </w:r>
                      <w:r w:rsidRPr="004924DC">
                        <w:t xml:space="preserve">, </w:t>
                      </w:r>
                      <w:r>
                        <w:t>2020</w:t>
                      </w:r>
                    </w:p>
                    <w:p w14:paraId="6B03C3EF" w14:textId="77777777" w:rsidR="00E1168B" w:rsidRPr="005251DD" w:rsidRDefault="00E1168B" w:rsidP="00665BA4"/>
                    <w:p w14:paraId="0A8089AF" w14:textId="77777777" w:rsidR="00E1168B" w:rsidRPr="005251DD" w:rsidRDefault="00E1168B" w:rsidP="00FC684B"/>
                    <w:p w14:paraId="002EBABF" w14:textId="77777777" w:rsidR="00E1168B" w:rsidRDefault="00E1168B"/>
                    <w:p w14:paraId="1BBEDF65" w14:textId="77777777" w:rsidR="00E1168B" w:rsidRPr="00097407" w:rsidRDefault="00E1168B"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048CED67" w14:textId="77777777" w:rsidR="00E1168B" w:rsidRPr="005251DD" w:rsidRDefault="00E1168B" w:rsidP="00665BA4"/>
                    <w:p w14:paraId="2D7C43C3" w14:textId="77777777" w:rsidR="00E1168B" w:rsidRPr="005251DD" w:rsidRDefault="00E1168B"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F06386"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8541332" w14:textId="77777777" w:rsidR="00E1168B" w:rsidRPr="006F5416" w:rsidRDefault="00E1168B" w:rsidP="006F5416">
                            <w:pPr>
                              <w:pStyle w:val="TLKontaktyerven"/>
                            </w:pPr>
                            <w:r w:rsidRPr="006F5416">
                              <w:t>KONTAKTY V ÚSTŘEDÍ</w:t>
                            </w:r>
                          </w:p>
                          <w:p w14:paraId="3C71345D" w14:textId="77777777" w:rsidR="00E1168B" w:rsidRPr="007D40DF" w:rsidRDefault="00E1168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E1168B" w:rsidRPr="00D235B7" w:rsidRDefault="00E1168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E1168B" w:rsidRPr="00D235B7" w:rsidRDefault="00E1168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E1168B" w:rsidRPr="00D235B7" w:rsidRDefault="00E1168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E1168B" w:rsidRPr="00D235B7" w:rsidRDefault="00E1168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E1168B" w:rsidRPr="004A61C5" w:rsidRDefault="00E1168B" w:rsidP="00825C4D">
                            <w:pPr>
                              <w:pStyle w:val="TLKontakty"/>
                              <w:spacing w:after="80" w:line="240" w:lineRule="auto"/>
                              <w:contextualSpacing w:val="0"/>
                              <w:rPr>
                                <w:color w:val="auto"/>
                              </w:rPr>
                            </w:pPr>
                          </w:p>
                          <w:p w14:paraId="58156969" w14:textId="77777777" w:rsidR="00E1168B" w:rsidRPr="00D66223" w:rsidRDefault="00E1168B" w:rsidP="00D66223">
                            <w:pPr>
                              <w:pStyle w:val="TLKontaktyerven"/>
                            </w:pPr>
                            <w:r w:rsidRPr="00D66223">
                              <w:t>INFORMAČNÍ SLUŽBY V REGIONECH</w:t>
                            </w:r>
                          </w:p>
                          <w:p w14:paraId="4879BC68" w14:textId="77777777" w:rsidR="00E1168B" w:rsidRPr="00992CF3" w:rsidRDefault="00E1168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E1168B" w:rsidRPr="00992CF3" w:rsidRDefault="00E1168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E1168B" w:rsidRPr="004A61C5" w:rsidRDefault="00E1168B" w:rsidP="00825C4D">
                            <w:pPr>
                              <w:pStyle w:val="TLKontakty"/>
                              <w:spacing w:after="80" w:line="240" w:lineRule="auto"/>
                              <w:rPr>
                                <w:color w:val="auto"/>
                              </w:rPr>
                            </w:pPr>
                          </w:p>
                          <w:p w14:paraId="0700B661" w14:textId="77777777" w:rsidR="00E1168B" w:rsidRPr="00992CF3" w:rsidRDefault="00E1168B"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E1168B" w:rsidRPr="00992CF3" w:rsidRDefault="00E1168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E1168B" w:rsidRPr="004A61C5" w:rsidRDefault="00E1168B" w:rsidP="00825C4D">
                            <w:pPr>
                              <w:pStyle w:val="TLKontakty"/>
                              <w:spacing w:after="80" w:line="240" w:lineRule="auto"/>
                              <w:rPr>
                                <w:color w:val="auto"/>
                              </w:rPr>
                            </w:pPr>
                          </w:p>
                          <w:p w14:paraId="272E9710" w14:textId="77777777" w:rsidR="00E1168B" w:rsidRPr="00992CF3" w:rsidRDefault="00E1168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E1168B" w:rsidRPr="00992CF3" w:rsidRDefault="00E1168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E1168B" w:rsidRPr="004A61C5" w:rsidRDefault="00E1168B" w:rsidP="00825C4D">
                            <w:pPr>
                              <w:pStyle w:val="TLKontakty"/>
                              <w:spacing w:after="80" w:line="240" w:lineRule="auto"/>
                              <w:rPr>
                                <w:color w:val="auto"/>
                              </w:rPr>
                            </w:pPr>
                          </w:p>
                          <w:p w14:paraId="28D66B71" w14:textId="77777777" w:rsidR="00E1168B" w:rsidRPr="00BC731E" w:rsidRDefault="00E1168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E1168B" w:rsidRPr="004A61C5" w:rsidRDefault="00E1168B" w:rsidP="00825C4D">
                            <w:pPr>
                              <w:pStyle w:val="TLKontakty"/>
                              <w:spacing w:after="80" w:line="240" w:lineRule="auto"/>
                              <w:rPr>
                                <w:color w:val="auto"/>
                              </w:rPr>
                            </w:pPr>
                          </w:p>
                          <w:p w14:paraId="09B6DE68" w14:textId="77777777" w:rsidR="00E1168B" w:rsidRPr="004A61C5" w:rsidRDefault="00E1168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E1168B" w:rsidRPr="004A61C5" w:rsidRDefault="00E1168B" w:rsidP="00825C4D">
                            <w:pPr>
                              <w:pStyle w:val="TLKontakty"/>
                              <w:spacing w:after="80" w:line="240" w:lineRule="auto"/>
                              <w:rPr>
                                <w:color w:val="auto"/>
                              </w:rPr>
                            </w:pPr>
                          </w:p>
                          <w:p w14:paraId="59D3D98A" w14:textId="77777777" w:rsidR="00E1168B" w:rsidRPr="004A61C5" w:rsidRDefault="00E1168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E1168B" w:rsidRPr="004A61C5" w:rsidRDefault="00E1168B" w:rsidP="00825C4D">
                            <w:pPr>
                              <w:pStyle w:val="TLKontakty"/>
                              <w:spacing w:after="80" w:line="240" w:lineRule="auto"/>
                              <w:rPr>
                                <w:color w:val="auto"/>
                              </w:rPr>
                            </w:pPr>
                          </w:p>
                          <w:p w14:paraId="53E44571" w14:textId="77777777" w:rsidR="00E1168B" w:rsidRPr="004A61C5" w:rsidRDefault="00E1168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E1168B" w:rsidRPr="004A61C5" w:rsidRDefault="00E1168B" w:rsidP="00825C4D">
                            <w:pPr>
                              <w:pStyle w:val="TLKontakty"/>
                              <w:spacing w:after="80" w:line="240" w:lineRule="auto"/>
                              <w:rPr>
                                <w:b w:val="0"/>
                                <w:color w:val="auto"/>
                              </w:rPr>
                            </w:pPr>
                          </w:p>
                          <w:p w14:paraId="10E14C3C" w14:textId="77777777" w:rsidR="00E1168B" w:rsidRPr="004A61C5" w:rsidRDefault="00E1168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E1168B" w:rsidRPr="004A61C5" w:rsidRDefault="00E1168B" w:rsidP="00825C4D">
                            <w:pPr>
                              <w:pStyle w:val="TLKontakty"/>
                              <w:spacing w:after="80" w:line="240" w:lineRule="auto"/>
                              <w:rPr>
                                <w:color w:val="auto"/>
                              </w:rPr>
                            </w:pPr>
                          </w:p>
                          <w:p w14:paraId="5E11F5F2" w14:textId="77777777" w:rsidR="00E1168B" w:rsidRPr="004A61C5" w:rsidRDefault="00E1168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E1168B" w:rsidRPr="004A61C5" w:rsidRDefault="00E1168B" w:rsidP="00825C4D">
                            <w:pPr>
                              <w:pStyle w:val="TLKontakty"/>
                              <w:spacing w:after="80" w:line="240" w:lineRule="auto"/>
                              <w:rPr>
                                <w:b w:val="0"/>
                                <w:color w:val="auto"/>
                              </w:rPr>
                            </w:pPr>
                          </w:p>
                          <w:p w14:paraId="231F5E11" w14:textId="77777777" w:rsidR="00E1168B" w:rsidRPr="004A61C5" w:rsidRDefault="00E1168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E1168B" w:rsidRDefault="00E1168B" w:rsidP="00825C4D">
                            <w:pPr>
                              <w:pStyle w:val="TLKontakty"/>
                              <w:spacing w:after="80" w:line="240" w:lineRule="auto"/>
                            </w:pPr>
                          </w:p>
                          <w:p w14:paraId="2C2F9B1E" w14:textId="455F4613" w:rsidR="00E1168B" w:rsidRPr="00BC731E" w:rsidRDefault="00E1168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E1168B" w:rsidRPr="004A61C5" w:rsidRDefault="00E1168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E1168B" w:rsidRPr="004A61C5" w:rsidRDefault="00E1168B" w:rsidP="00825C4D">
                            <w:pPr>
                              <w:pStyle w:val="TLKontakty"/>
                              <w:spacing w:after="80" w:line="240" w:lineRule="auto"/>
                              <w:rPr>
                                <w:b w:val="0"/>
                                <w:color w:val="auto"/>
                              </w:rPr>
                            </w:pPr>
                          </w:p>
                          <w:p w14:paraId="3F9813C4" w14:textId="77777777" w:rsidR="00E1168B" w:rsidRPr="005E7C78" w:rsidRDefault="00E1168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E1168B" w:rsidRPr="005E7C78" w:rsidRDefault="00E1168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E1168B" w:rsidRPr="005E7C78" w:rsidRDefault="00E1168B" w:rsidP="00825C4D">
                            <w:pPr>
                              <w:pStyle w:val="TLKontakty"/>
                              <w:spacing w:after="80" w:line="240" w:lineRule="auto"/>
                              <w:rPr>
                                <w:b w:val="0"/>
                                <w:color w:val="auto"/>
                              </w:rPr>
                            </w:pPr>
                          </w:p>
                          <w:p w14:paraId="448F5DDA" w14:textId="77777777" w:rsidR="00E1168B" w:rsidRPr="005E7C78" w:rsidRDefault="00E1168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E1168B" w:rsidRDefault="00E1168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E1168B" w:rsidRPr="005E7C78" w:rsidRDefault="00E1168B" w:rsidP="00095135">
                            <w:pPr>
                              <w:pStyle w:val="TLKontakty"/>
                              <w:spacing w:after="80" w:line="240" w:lineRule="auto"/>
                              <w:rPr>
                                <w:b w:val="0"/>
                                <w:color w:val="auto"/>
                              </w:rPr>
                            </w:pPr>
                          </w:p>
                          <w:p w14:paraId="395ED09A" w14:textId="77777777" w:rsidR="00E1168B" w:rsidRPr="005E7C78" w:rsidRDefault="00E1168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E1168B" w:rsidRPr="00095135" w:rsidRDefault="00E1168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E1168B" w:rsidRPr="006F5416" w:rsidRDefault="00E1168B" w:rsidP="006F5416">
                      <w:pPr>
                        <w:pStyle w:val="TLKontaktyerven"/>
                      </w:pPr>
                      <w:r w:rsidRPr="006F5416">
                        <w:t>KONTAKTY V ÚSTŘEDÍ</w:t>
                      </w:r>
                    </w:p>
                    <w:p w14:paraId="3C71345D" w14:textId="77777777" w:rsidR="00E1168B" w:rsidRPr="007D40DF" w:rsidRDefault="00E1168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E1168B" w:rsidRPr="00D235B7" w:rsidRDefault="00E1168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E1168B" w:rsidRPr="00D235B7" w:rsidRDefault="00E1168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E1168B" w:rsidRPr="00D235B7" w:rsidRDefault="00E1168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E1168B" w:rsidRPr="00D235B7" w:rsidRDefault="00E1168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E1168B" w:rsidRPr="004A61C5" w:rsidRDefault="00E1168B" w:rsidP="00825C4D">
                      <w:pPr>
                        <w:pStyle w:val="TLKontakty"/>
                        <w:spacing w:after="80" w:line="240" w:lineRule="auto"/>
                        <w:contextualSpacing w:val="0"/>
                        <w:rPr>
                          <w:color w:val="auto"/>
                        </w:rPr>
                      </w:pPr>
                    </w:p>
                    <w:p w14:paraId="58156969" w14:textId="77777777" w:rsidR="00E1168B" w:rsidRPr="00D66223" w:rsidRDefault="00E1168B" w:rsidP="00D66223">
                      <w:pPr>
                        <w:pStyle w:val="TLKontaktyerven"/>
                      </w:pPr>
                      <w:r w:rsidRPr="00D66223">
                        <w:t>INFORMAČNÍ SLUŽBY V REGIONECH</w:t>
                      </w:r>
                    </w:p>
                    <w:p w14:paraId="4879BC68" w14:textId="77777777" w:rsidR="00E1168B" w:rsidRPr="00992CF3" w:rsidRDefault="00E1168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E1168B" w:rsidRPr="00992CF3" w:rsidRDefault="00E1168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E1168B" w:rsidRPr="004A61C5" w:rsidRDefault="00E1168B" w:rsidP="00825C4D">
                      <w:pPr>
                        <w:pStyle w:val="TLKontakty"/>
                        <w:spacing w:after="80" w:line="240" w:lineRule="auto"/>
                        <w:rPr>
                          <w:color w:val="auto"/>
                        </w:rPr>
                      </w:pPr>
                    </w:p>
                    <w:p w14:paraId="0700B661" w14:textId="77777777" w:rsidR="00E1168B" w:rsidRPr="00992CF3" w:rsidRDefault="00E1168B"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E1168B" w:rsidRPr="00992CF3" w:rsidRDefault="00E1168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E1168B" w:rsidRPr="004A61C5" w:rsidRDefault="00E1168B" w:rsidP="00825C4D">
                      <w:pPr>
                        <w:pStyle w:val="TLKontakty"/>
                        <w:spacing w:after="80" w:line="240" w:lineRule="auto"/>
                        <w:rPr>
                          <w:color w:val="auto"/>
                        </w:rPr>
                      </w:pPr>
                    </w:p>
                    <w:p w14:paraId="272E9710" w14:textId="77777777" w:rsidR="00E1168B" w:rsidRPr="00992CF3" w:rsidRDefault="00E1168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E1168B" w:rsidRPr="00992CF3" w:rsidRDefault="00E1168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E1168B" w:rsidRPr="004A61C5" w:rsidRDefault="00E1168B" w:rsidP="00825C4D">
                      <w:pPr>
                        <w:pStyle w:val="TLKontakty"/>
                        <w:spacing w:after="80" w:line="240" w:lineRule="auto"/>
                        <w:rPr>
                          <w:color w:val="auto"/>
                        </w:rPr>
                      </w:pPr>
                    </w:p>
                    <w:p w14:paraId="28D66B71" w14:textId="77777777" w:rsidR="00E1168B" w:rsidRPr="00BC731E" w:rsidRDefault="00E1168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E1168B" w:rsidRPr="004A61C5" w:rsidRDefault="00E1168B" w:rsidP="00825C4D">
                      <w:pPr>
                        <w:pStyle w:val="TLKontakty"/>
                        <w:spacing w:after="80" w:line="240" w:lineRule="auto"/>
                        <w:rPr>
                          <w:color w:val="auto"/>
                        </w:rPr>
                      </w:pPr>
                    </w:p>
                    <w:p w14:paraId="09B6DE68" w14:textId="77777777" w:rsidR="00E1168B" w:rsidRPr="004A61C5" w:rsidRDefault="00E1168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E1168B" w:rsidRPr="004A61C5" w:rsidRDefault="00E1168B" w:rsidP="00825C4D">
                      <w:pPr>
                        <w:pStyle w:val="TLKontakty"/>
                        <w:spacing w:after="80" w:line="240" w:lineRule="auto"/>
                        <w:rPr>
                          <w:color w:val="auto"/>
                        </w:rPr>
                      </w:pPr>
                    </w:p>
                    <w:p w14:paraId="59D3D98A" w14:textId="77777777" w:rsidR="00E1168B" w:rsidRPr="004A61C5" w:rsidRDefault="00E1168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E1168B" w:rsidRPr="004A61C5" w:rsidRDefault="00E1168B" w:rsidP="00825C4D">
                      <w:pPr>
                        <w:pStyle w:val="TLKontakty"/>
                        <w:spacing w:after="80" w:line="240" w:lineRule="auto"/>
                        <w:rPr>
                          <w:color w:val="auto"/>
                        </w:rPr>
                      </w:pPr>
                    </w:p>
                    <w:p w14:paraId="53E44571" w14:textId="77777777" w:rsidR="00E1168B" w:rsidRPr="004A61C5" w:rsidRDefault="00E1168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E1168B" w:rsidRPr="004A61C5" w:rsidRDefault="00E1168B" w:rsidP="00825C4D">
                      <w:pPr>
                        <w:pStyle w:val="TLKontakty"/>
                        <w:spacing w:after="80" w:line="240" w:lineRule="auto"/>
                        <w:rPr>
                          <w:b w:val="0"/>
                          <w:color w:val="auto"/>
                        </w:rPr>
                      </w:pPr>
                    </w:p>
                    <w:p w14:paraId="10E14C3C" w14:textId="77777777" w:rsidR="00E1168B" w:rsidRPr="004A61C5" w:rsidRDefault="00E1168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E1168B" w:rsidRPr="004A61C5" w:rsidRDefault="00E1168B" w:rsidP="00825C4D">
                      <w:pPr>
                        <w:pStyle w:val="TLKontakty"/>
                        <w:spacing w:after="80" w:line="240" w:lineRule="auto"/>
                        <w:rPr>
                          <w:color w:val="auto"/>
                        </w:rPr>
                      </w:pPr>
                    </w:p>
                    <w:p w14:paraId="5E11F5F2" w14:textId="77777777" w:rsidR="00E1168B" w:rsidRPr="004A61C5" w:rsidRDefault="00E1168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E1168B" w:rsidRPr="004A61C5" w:rsidRDefault="00E1168B" w:rsidP="00825C4D">
                      <w:pPr>
                        <w:pStyle w:val="TLKontakty"/>
                        <w:spacing w:after="80" w:line="240" w:lineRule="auto"/>
                        <w:rPr>
                          <w:b w:val="0"/>
                          <w:color w:val="auto"/>
                        </w:rPr>
                      </w:pPr>
                    </w:p>
                    <w:p w14:paraId="231F5E11" w14:textId="77777777" w:rsidR="00E1168B" w:rsidRPr="004A61C5" w:rsidRDefault="00E1168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E1168B" w:rsidRPr="004A61C5" w:rsidRDefault="00E1168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E1168B" w:rsidRDefault="00E1168B" w:rsidP="00825C4D">
                      <w:pPr>
                        <w:pStyle w:val="TLKontakty"/>
                        <w:spacing w:after="80" w:line="240" w:lineRule="auto"/>
                      </w:pPr>
                    </w:p>
                    <w:p w14:paraId="2C2F9B1E" w14:textId="455F4613" w:rsidR="00E1168B" w:rsidRPr="00BC731E" w:rsidRDefault="00E1168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E1168B" w:rsidRPr="004A61C5" w:rsidRDefault="00E1168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E1168B" w:rsidRPr="004A61C5" w:rsidRDefault="00E1168B" w:rsidP="00825C4D">
                      <w:pPr>
                        <w:pStyle w:val="TLKontakty"/>
                        <w:spacing w:after="80" w:line="240" w:lineRule="auto"/>
                        <w:rPr>
                          <w:b w:val="0"/>
                          <w:color w:val="auto"/>
                        </w:rPr>
                      </w:pPr>
                    </w:p>
                    <w:p w14:paraId="3F9813C4" w14:textId="77777777" w:rsidR="00E1168B" w:rsidRPr="005E7C78" w:rsidRDefault="00E1168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E1168B" w:rsidRPr="005E7C78" w:rsidRDefault="00E1168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E1168B" w:rsidRPr="005E7C78" w:rsidRDefault="00E1168B" w:rsidP="00825C4D">
                      <w:pPr>
                        <w:pStyle w:val="TLKontakty"/>
                        <w:spacing w:after="80" w:line="240" w:lineRule="auto"/>
                        <w:rPr>
                          <w:b w:val="0"/>
                          <w:color w:val="auto"/>
                        </w:rPr>
                      </w:pPr>
                    </w:p>
                    <w:p w14:paraId="448F5DDA" w14:textId="77777777" w:rsidR="00E1168B" w:rsidRPr="005E7C78" w:rsidRDefault="00E1168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E1168B" w:rsidRDefault="00E1168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E1168B" w:rsidRPr="005E7C78" w:rsidRDefault="00E1168B" w:rsidP="00095135">
                      <w:pPr>
                        <w:pStyle w:val="TLKontakty"/>
                        <w:spacing w:after="80" w:line="240" w:lineRule="auto"/>
                        <w:rPr>
                          <w:b w:val="0"/>
                          <w:color w:val="auto"/>
                        </w:rPr>
                      </w:pPr>
                    </w:p>
                    <w:p w14:paraId="395ED09A" w14:textId="77777777" w:rsidR="00E1168B" w:rsidRPr="005E7C78" w:rsidRDefault="00E1168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E1168B" w:rsidRPr="00095135" w:rsidRDefault="00E1168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AD0B002" w14:textId="25AECD0A" w:rsidR="00E1168B" w:rsidRPr="00321924" w:rsidRDefault="00E1168B" w:rsidP="00A16E1D">
                            <w:pPr>
                              <w:jc w:val="left"/>
                            </w:pPr>
                            <w:r w:rsidRPr="00321924">
                              <w:br/>
                              <w:t xml:space="preserve">© Český statistický úřad, </w:t>
                            </w:r>
                            <w:r>
                              <w:t>Praha, 2020</w:t>
                            </w:r>
                          </w:p>
                          <w:p w14:paraId="52FD100C" w14:textId="77777777" w:rsidR="00E1168B" w:rsidRDefault="00E1168B"/>
                          <w:p w14:paraId="515D7599" w14:textId="0789EE63" w:rsidR="00E1168B" w:rsidRPr="00841D9F" w:rsidRDefault="00E1168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E1168B" w:rsidRPr="00AF2852" w:rsidRDefault="00E1168B"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25AECD0A" w:rsidR="00E1168B" w:rsidRPr="00321924" w:rsidRDefault="00E1168B" w:rsidP="00A16E1D">
                      <w:pPr>
                        <w:jc w:val="left"/>
                      </w:pPr>
                      <w:r w:rsidRPr="00321924">
                        <w:br/>
                        <w:t xml:space="preserve">© Český statistický úřad, </w:t>
                      </w:r>
                      <w:r>
                        <w:t>Praha, 2020</w:t>
                      </w:r>
                    </w:p>
                    <w:p w14:paraId="52FD100C" w14:textId="77777777" w:rsidR="00E1168B" w:rsidRDefault="00E1168B"/>
                    <w:p w14:paraId="515D7599" w14:textId="0789EE63" w:rsidR="00E1168B" w:rsidRPr="00841D9F" w:rsidRDefault="00E1168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E1168B" w:rsidRPr="00AF2852" w:rsidRDefault="00E1168B"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6FEE0FA" w14:textId="77777777" w:rsidR="00E1168B" w:rsidRPr="009A1902" w:rsidRDefault="00E1168B"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E1168B" w:rsidRPr="009A1902" w:rsidRDefault="00E1168B"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507B7ABA" w14:textId="178BCB2E" w:rsidR="007F0873"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50712125" w:history="1">
            <w:r w:rsidR="007F0873" w:rsidRPr="00FF0648">
              <w:rPr>
                <w:rStyle w:val="Hypertextovodkaz"/>
                <w:noProof/>
              </w:rPr>
              <w:t>1. Shrnutí</w:t>
            </w:r>
            <w:r w:rsidR="007F0873">
              <w:rPr>
                <w:noProof/>
                <w:webHidden/>
              </w:rPr>
              <w:tab/>
            </w:r>
            <w:r w:rsidR="007F0873">
              <w:rPr>
                <w:noProof/>
                <w:webHidden/>
              </w:rPr>
              <w:fldChar w:fldCharType="begin"/>
            </w:r>
            <w:r w:rsidR="007F0873">
              <w:rPr>
                <w:noProof/>
                <w:webHidden/>
              </w:rPr>
              <w:instrText xml:space="preserve"> PAGEREF _Toc50712125 \h </w:instrText>
            </w:r>
            <w:r w:rsidR="007F0873">
              <w:rPr>
                <w:noProof/>
                <w:webHidden/>
              </w:rPr>
            </w:r>
            <w:r w:rsidR="007F0873">
              <w:rPr>
                <w:noProof/>
                <w:webHidden/>
              </w:rPr>
              <w:fldChar w:fldCharType="separate"/>
            </w:r>
            <w:r w:rsidR="007F0873">
              <w:rPr>
                <w:noProof/>
                <w:webHidden/>
              </w:rPr>
              <w:t>4</w:t>
            </w:r>
            <w:r w:rsidR="007F0873">
              <w:rPr>
                <w:noProof/>
                <w:webHidden/>
              </w:rPr>
              <w:fldChar w:fldCharType="end"/>
            </w:r>
          </w:hyperlink>
        </w:p>
        <w:p w14:paraId="2C200E1C" w14:textId="71085318" w:rsidR="007F0873" w:rsidRDefault="007F0873">
          <w:pPr>
            <w:pStyle w:val="Obsah1"/>
            <w:rPr>
              <w:rFonts w:asciiTheme="minorHAnsi" w:eastAsiaTheme="minorEastAsia" w:hAnsiTheme="minorHAnsi" w:cstheme="minorBidi"/>
              <w:noProof/>
              <w:sz w:val="22"/>
              <w:szCs w:val="22"/>
            </w:rPr>
          </w:pPr>
          <w:hyperlink w:anchor="_Toc50712126" w:history="1">
            <w:r w:rsidRPr="00FF0648">
              <w:rPr>
                <w:rStyle w:val="Hypertextovodkaz"/>
                <w:noProof/>
              </w:rPr>
              <w:t>2. Souhrnná výkonnost</w:t>
            </w:r>
            <w:r>
              <w:rPr>
                <w:noProof/>
                <w:webHidden/>
              </w:rPr>
              <w:tab/>
            </w:r>
            <w:r>
              <w:rPr>
                <w:noProof/>
                <w:webHidden/>
              </w:rPr>
              <w:fldChar w:fldCharType="begin"/>
            </w:r>
            <w:r>
              <w:rPr>
                <w:noProof/>
                <w:webHidden/>
              </w:rPr>
              <w:instrText xml:space="preserve"> PAGEREF _Toc50712126 \h </w:instrText>
            </w:r>
            <w:r>
              <w:rPr>
                <w:noProof/>
                <w:webHidden/>
              </w:rPr>
            </w:r>
            <w:r>
              <w:rPr>
                <w:noProof/>
                <w:webHidden/>
              </w:rPr>
              <w:fldChar w:fldCharType="separate"/>
            </w:r>
            <w:r>
              <w:rPr>
                <w:noProof/>
                <w:webHidden/>
              </w:rPr>
              <w:t>5</w:t>
            </w:r>
            <w:r>
              <w:rPr>
                <w:noProof/>
                <w:webHidden/>
              </w:rPr>
              <w:fldChar w:fldCharType="end"/>
            </w:r>
          </w:hyperlink>
        </w:p>
        <w:p w14:paraId="64CA0829" w14:textId="076059B3" w:rsidR="007F0873" w:rsidRDefault="007F0873">
          <w:pPr>
            <w:pStyle w:val="Obsah1"/>
            <w:rPr>
              <w:rFonts w:asciiTheme="minorHAnsi" w:eastAsiaTheme="minorEastAsia" w:hAnsiTheme="minorHAnsi" w:cstheme="minorBidi"/>
              <w:noProof/>
              <w:sz w:val="22"/>
              <w:szCs w:val="22"/>
            </w:rPr>
          </w:pPr>
          <w:hyperlink w:anchor="_Toc50712127" w:history="1">
            <w:r w:rsidRPr="00FF0648">
              <w:rPr>
                <w:rStyle w:val="Hypertextovodkaz"/>
                <w:noProof/>
              </w:rPr>
              <w:t>3. Výkonnost odvětví</w:t>
            </w:r>
            <w:r>
              <w:rPr>
                <w:noProof/>
                <w:webHidden/>
              </w:rPr>
              <w:tab/>
            </w:r>
            <w:r>
              <w:rPr>
                <w:noProof/>
                <w:webHidden/>
              </w:rPr>
              <w:fldChar w:fldCharType="begin"/>
            </w:r>
            <w:r>
              <w:rPr>
                <w:noProof/>
                <w:webHidden/>
              </w:rPr>
              <w:instrText xml:space="preserve"> PAGEREF _Toc50712127 \h </w:instrText>
            </w:r>
            <w:r>
              <w:rPr>
                <w:noProof/>
                <w:webHidden/>
              </w:rPr>
            </w:r>
            <w:r>
              <w:rPr>
                <w:noProof/>
                <w:webHidden/>
              </w:rPr>
              <w:fldChar w:fldCharType="separate"/>
            </w:r>
            <w:r>
              <w:rPr>
                <w:noProof/>
                <w:webHidden/>
              </w:rPr>
              <w:t>9</w:t>
            </w:r>
            <w:r>
              <w:rPr>
                <w:noProof/>
                <w:webHidden/>
              </w:rPr>
              <w:fldChar w:fldCharType="end"/>
            </w:r>
          </w:hyperlink>
        </w:p>
        <w:p w14:paraId="35A7EB61" w14:textId="6E03D336" w:rsidR="007F0873" w:rsidRDefault="007F0873">
          <w:pPr>
            <w:pStyle w:val="Obsah1"/>
            <w:rPr>
              <w:rFonts w:asciiTheme="minorHAnsi" w:eastAsiaTheme="minorEastAsia" w:hAnsiTheme="minorHAnsi" w:cstheme="minorBidi"/>
              <w:noProof/>
              <w:sz w:val="22"/>
              <w:szCs w:val="22"/>
            </w:rPr>
          </w:pPr>
          <w:hyperlink w:anchor="_Toc50712128" w:history="1">
            <w:r w:rsidRPr="00FF0648">
              <w:rPr>
                <w:rStyle w:val="Hypertextovodkaz"/>
                <w:noProof/>
              </w:rPr>
              <w:t>4. Vnější vztahy</w:t>
            </w:r>
            <w:r>
              <w:rPr>
                <w:noProof/>
                <w:webHidden/>
              </w:rPr>
              <w:tab/>
            </w:r>
            <w:r>
              <w:rPr>
                <w:noProof/>
                <w:webHidden/>
              </w:rPr>
              <w:fldChar w:fldCharType="begin"/>
            </w:r>
            <w:r>
              <w:rPr>
                <w:noProof/>
                <w:webHidden/>
              </w:rPr>
              <w:instrText xml:space="preserve"> PAGEREF _Toc50712128 \h </w:instrText>
            </w:r>
            <w:r>
              <w:rPr>
                <w:noProof/>
                <w:webHidden/>
              </w:rPr>
            </w:r>
            <w:r>
              <w:rPr>
                <w:noProof/>
                <w:webHidden/>
              </w:rPr>
              <w:fldChar w:fldCharType="separate"/>
            </w:r>
            <w:r>
              <w:rPr>
                <w:noProof/>
                <w:webHidden/>
              </w:rPr>
              <w:t>16</w:t>
            </w:r>
            <w:r>
              <w:rPr>
                <w:noProof/>
                <w:webHidden/>
              </w:rPr>
              <w:fldChar w:fldCharType="end"/>
            </w:r>
          </w:hyperlink>
        </w:p>
        <w:p w14:paraId="05FDC3F4" w14:textId="53280A00" w:rsidR="007F0873" w:rsidRDefault="007F0873">
          <w:pPr>
            <w:pStyle w:val="Obsah1"/>
            <w:rPr>
              <w:rFonts w:asciiTheme="minorHAnsi" w:eastAsiaTheme="minorEastAsia" w:hAnsiTheme="minorHAnsi" w:cstheme="minorBidi"/>
              <w:noProof/>
              <w:sz w:val="22"/>
              <w:szCs w:val="22"/>
            </w:rPr>
          </w:pPr>
          <w:hyperlink w:anchor="_Toc50712129" w:history="1">
            <w:r w:rsidRPr="00FF0648">
              <w:rPr>
                <w:rStyle w:val="Hypertextovodkaz"/>
                <w:noProof/>
              </w:rPr>
              <w:t>5. Ceny</w:t>
            </w:r>
            <w:r>
              <w:rPr>
                <w:noProof/>
                <w:webHidden/>
              </w:rPr>
              <w:tab/>
            </w:r>
            <w:r>
              <w:rPr>
                <w:noProof/>
                <w:webHidden/>
              </w:rPr>
              <w:fldChar w:fldCharType="begin"/>
            </w:r>
            <w:r>
              <w:rPr>
                <w:noProof/>
                <w:webHidden/>
              </w:rPr>
              <w:instrText xml:space="preserve"> PAGEREF _Toc50712129 \h </w:instrText>
            </w:r>
            <w:r>
              <w:rPr>
                <w:noProof/>
                <w:webHidden/>
              </w:rPr>
            </w:r>
            <w:r>
              <w:rPr>
                <w:noProof/>
                <w:webHidden/>
              </w:rPr>
              <w:fldChar w:fldCharType="separate"/>
            </w:r>
            <w:r>
              <w:rPr>
                <w:noProof/>
                <w:webHidden/>
              </w:rPr>
              <w:t>18</w:t>
            </w:r>
            <w:r>
              <w:rPr>
                <w:noProof/>
                <w:webHidden/>
              </w:rPr>
              <w:fldChar w:fldCharType="end"/>
            </w:r>
          </w:hyperlink>
        </w:p>
        <w:p w14:paraId="735327B4" w14:textId="7AA5DE80" w:rsidR="007F0873" w:rsidRDefault="007F0873">
          <w:pPr>
            <w:pStyle w:val="Obsah1"/>
            <w:rPr>
              <w:rFonts w:asciiTheme="minorHAnsi" w:eastAsiaTheme="minorEastAsia" w:hAnsiTheme="minorHAnsi" w:cstheme="minorBidi"/>
              <w:noProof/>
              <w:sz w:val="22"/>
              <w:szCs w:val="22"/>
            </w:rPr>
          </w:pPr>
          <w:hyperlink w:anchor="_Toc50712130" w:history="1">
            <w:r w:rsidRPr="00FF0648">
              <w:rPr>
                <w:rStyle w:val="Hypertextovodkaz"/>
                <w:noProof/>
              </w:rPr>
              <w:t>6. Trh práce</w:t>
            </w:r>
            <w:r>
              <w:rPr>
                <w:noProof/>
                <w:webHidden/>
              </w:rPr>
              <w:tab/>
            </w:r>
            <w:r>
              <w:rPr>
                <w:noProof/>
                <w:webHidden/>
              </w:rPr>
              <w:fldChar w:fldCharType="begin"/>
            </w:r>
            <w:r>
              <w:rPr>
                <w:noProof/>
                <w:webHidden/>
              </w:rPr>
              <w:instrText xml:space="preserve"> PAGEREF _Toc50712130 \h </w:instrText>
            </w:r>
            <w:r>
              <w:rPr>
                <w:noProof/>
                <w:webHidden/>
              </w:rPr>
            </w:r>
            <w:r>
              <w:rPr>
                <w:noProof/>
                <w:webHidden/>
              </w:rPr>
              <w:fldChar w:fldCharType="separate"/>
            </w:r>
            <w:r>
              <w:rPr>
                <w:noProof/>
                <w:webHidden/>
              </w:rPr>
              <w:t>23</w:t>
            </w:r>
            <w:r>
              <w:rPr>
                <w:noProof/>
                <w:webHidden/>
              </w:rPr>
              <w:fldChar w:fldCharType="end"/>
            </w:r>
          </w:hyperlink>
        </w:p>
        <w:p w14:paraId="582709D8" w14:textId="03C3EE1D" w:rsidR="007F0873" w:rsidRDefault="007F0873">
          <w:pPr>
            <w:pStyle w:val="Obsah1"/>
            <w:rPr>
              <w:rFonts w:asciiTheme="minorHAnsi" w:eastAsiaTheme="minorEastAsia" w:hAnsiTheme="minorHAnsi" w:cstheme="minorBidi"/>
              <w:noProof/>
              <w:sz w:val="22"/>
              <w:szCs w:val="22"/>
            </w:rPr>
          </w:pPr>
          <w:hyperlink w:anchor="_Toc50712131" w:history="1">
            <w:r w:rsidRPr="00FF0648">
              <w:rPr>
                <w:rStyle w:val="Hypertextovodkaz"/>
                <w:noProof/>
              </w:rPr>
              <w:t>7. Měnové podmínky</w:t>
            </w:r>
            <w:r>
              <w:rPr>
                <w:noProof/>
                <w:webHidden/>
              </w:rPr>
              <w:tab/>
            </w:r>
            <w:r>
              <w:rPr>
                <w:noProof/>
                <w:webHidden/>
              </w:rPr>
              <w:fldChar w:fldCharType="begin"/>
            </w:r>
            <w:r>
              <w:rPr>
                <w:noProof/>
                <w:webHidden/>
              </w:rPr>
              <w:instrText xml:space="preserve"> PAGEREF _Toc50712131 \h </w:instrText>
            </w:r>
            <w:r>
              <w:rPr>
                <w:noProof/>
                <w:webHidden/>
              </w:rPr>
            </w:r>
            <w:r>
              <w:rPr>
                <w:noProof/>
                <w:webHidden/>
              </w:rPr>
              <w:fldChar w:fldCharType="separate"/>
            </w:r>
            <w:r>
              <w:rPr>
                <w:noProof/>
                <w:webHidden/>
              </w:rPr>
              <w:t>28</w:t>
            </w:r>
            <w:r>
              <w:rPr>
                <w:noProof/>
                <w:webHidden/>
              </w:rPr>
              <w:fldChar w:fldCharType="end"/>
            </w:r>
          </w:hyperlink>
        </w:p>
        <w:p w14:paraId="6CB17B35" w14:textId="3458BD54" w:rsidR="007F0873" w:rsidRDefault="007F0873">
          <w:pPr>
            <w:pStyle w:val="Obsah1"/>
            <w:rPr>
              <w:rFonts w:asciiTheme="minorHAnsi" w:eastAsiaTheme="minorEastAsia" w:hAnsiTheme="minorHAnsi" w:cstheme="minorBidi"/>
              <w:noProof/>
              <w:sz w:val="22"/>
              <w:szCs w:val="22"/>
            </w:rPr>
          </w:pPr>
          <w:hyperlink w:anchor="_Toc50712132" w:history="1">
            <w:r w:rsidRPr="00FF0648">
              <w:rPr>
                <w:rStyle w:val="Hypertextovodkaz"/>
                <w:noProof/>
              </w:rPr>
              <w:t>8. Státní rozpočet</w:t>
            </w:r>
            <w:r>
              <w:rPr>
                <w:noProof/>
                <w:webHidden/>
              </w:rPr>
              <w:tab/>
            </w:r>
            <w:r>
              <w:rPr>
                <w:noProof/>
                <w:webHidden/>
              </w:rPr>
              <w:fldChar w:fldCharType="begin"/>
            </w:r>
            <w:r>
              <w:rPr>
                <w:noProof/>
                <w:webHidden/>
              </w:rPr>
              <w:instrText xml:space="preserve"> PAGEREF _Toc50712132 \h </w:instrText>
            </w:r>
            <w:r>
              <w:rPr>
                <w:noProof/>
                <w:webHidden/>
              </w:rPr>
            </w:r>
            <w:r>
              <w:rPr>
                <w:noProof/>
                <w:webHidden/>
              </w:rPr>
              <w:fldChar w:fldCharType="separate"/>
            </w:r>
            <w:r>
              <w:rPr>
                <w:noProof/>
                <w:webHidden/>
              </w:rPr>
              <w:t>30</w:t>
            </w:r>
            <w:r>
              <w:rPr>
                <w:noProof/>
                <w:webHidden/>
              </w:rPr>
              <w:fldChar w:fldCharType="end"/>
            </w:r>
          </w:hyperlink>
        </w:p>
        <w:p w14:paraId="75243E96" w14:textId="6BDE76AB"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bookmarkStart w:id="0" w:name="_GoBack"/>
      <w:bookmarkEnd w:id="0"/>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ČR, ČNB, MPSV, ČSSZ, Eurostat, propočty ČSÚ.</w:t>
      </w:r>
    </w:p>
    <w:p w14:paraId="4EA2233D" w14:textId="01511D01"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B5658D">
        <w:rPr>
          <w:rFonts w:cs="Arial"/>
          <w:color w:val="000000"/>
        </w:rPr>
        <w:t>e</w:t>
      </w:r>
      <w:r w:rsidR="00283F7B">
        <w:rPr>
          <w:rFonts w:cs="Arial"/>
          <w:color w:val="000000"/>
        </w:rPr>
        <w:t> </w:t>
      </w:r>
      <w:r w:rsidR="00B5658D">
        <w:rPr>
          <w:rFonts w:cs="Arial"/>
          <w:color w:val="000000"/>
        </w:rPr>
        <w:t>7</w:t>
      </w:r>
      <w:r w:rsidR="00971710">
        <w:rPr>
          <w:rFonts w:cs="Arial"/>
          <w:color w:val="000000"/>
        </w:rPr>
        <w:t>.</w:t>
      </w:r>
      <w:r w:rsidR="003A7373">
        <w:rPr>
          <w:rFonts w:cs="Arial"/>
          <w:color w:val="000000"/>
        </w:rPr>
        <w:t> </w:t>
      </w:r>
      <w:r w:rsidR="00B5658D">
        <w:rPr>
          <w:rFonts w:cs="Arial"/>
          <w:color w:val="000000"/>
        </w:rPr>
        <w:t>září</w:t>
      </w:r>
      <w:r w:rsidRPr="009110F7">
        <w:rPr>
          <w:rFonts w:cs="Arial"/>
          <w:color w:val="000000"/>
        </w:rPr>
        <w:t xml:space="preserve"> </w:t>
      </w:r>
      <w:r w:rsidR="00F37EDC">
        <w:rPr>
          <w:rFonts w:cs="Arial"/>
          <w:color w:val="000000"/>
        </w:rPr>
        <w:t>20</w:t>
      </w:r>
      <w:r w:rsidR="005C216C">
        <w:rPr>
          <w:rFonts w:cs="Arial"/>
          <w:color w:val="000000"/>
        </w:rPr>
        <w:t>20</w:t>
      </w:r>
      <w:r w:rsidRPr="009110F7">
        <w:rPr>
          <w:rFonts w:cs="Arial"/>
          <w:color w:val="000000"/>
        </w:rPr>
        <w:t>.</w:t>
      </w:r>
    </w:p>
    <w:p w14:paraId="56EC82D9" w14:textId="0A5866B3" w:rsidR="002F1D56" w:rsidRDefault="002F1D56" w:rsidP="00003F5C">
      <w:pPr>
        <w:pStyle w:val="Textpoznpodarou"/>
        <w:jc w:val="both"/>
        <w:rPr>
          <w:rFonts w:cs="Arial"/>
          <w:color w:val="000000"/>
        </w:rPr>
      </w:pPr>
    </w:p>
    <w:p w14:paraId="7C689972" w14:textId="443C9781" w:rsidR="002F1D56" w:rsidRPr="002F1D56" w:rsidRDefault="002F1D56" w:rsidP="00003F5C">
      <w:pPr>
        <w:pStyle w:val="Textpoznpodarou"/>
        <w:jc w:val="both"/>
        <w:rPr>
          <w:rFonts w:cs="Arial"/>
        </w:rPr>
      </w:pPr>
    </w:p>
    <w:p w14:paraId="638CF984" w14:textId="3D533D8A" w:rsidR="002F1D56" w:rsidRPr="002F1D56" w:rsidRDefault="002F1D56" w:rsidP="00003F5C">
      <w:pPr>
        <w:pStyle w:val="Textpoznpodarou"/>
        <w:jc w:val="both"/>
        <w:rPr>
          <w:rFonts w:cs="Arial"/>
        </w:rPr>
      </w:pPr>
      <w:r w:rsidRPr="002F1D56">
        <w:rPr>
          <w:rStyle w:val="Zdraznn"/>
          <w:rFonts w:cs="Arial"/>
          <w:i w:val="0"/>
        </w:rPr>
        <w:t>Agregované údaje za EU použité v tomto textu zahrnují 2</w:t>
      </w:r>
      <w:r w:rsidR="00C41D54">
        <w:rPr>
          <w:rStyle w:val="Zdraznn"/>
          <w:rFonts w:cs="Arial"/>
          <w:i w:val="0"/>
        </w:rPr>
        <w:t>7</w:t>
      </w:r>
      <w:r w:rsidRPr="002F1D56">
        <w:rPr>
          <w:rStyle w:val="Zdraznn"/>
          <w:rFonts w:cs="Arial"/>
          <w:i w:val="0"/>
        </w:rPr>
        <w:t xml:space="preserve"> států Unie </w:t>
      </w:r>
      <w:r w:rsidR="00C41D54">
        <w:rPr>
          <w:rStyle w:val="Zdraznn"/>
          <w:rFonts w:cs="Arial"/>
          <w:i w:val="0"/>
        </w:rPr>
        <w:t>bez V</w:t>
      </w:r>
      <w:r w:rsidRPr="002F1D56">
        <w:rPr>
          <w:rStyle w:val="Zdraznn"/>
          <w:rFonts w:cs="Arial"/>
          <w:i w:val="0"/>
        </w:rPr>
        <w:t>elké Británie.</w:t>
      </w:r>
    </w:p>
    <w:p w14:paraId="0293E382" w14:textId="77777777" w:rsidR="008462F1" w:rsidRPr="00584252" w:rsidRDefault="00087F2B" w:rsidP="008462F1">
      <w:pPr>
        <w:pStyle w:val="Nadpis1"/>
      </w:pPr>
      <w:r w:rsidRPr="002F1D56">
        <w:rPr>
          <w:color w:val="auto"/>
        </w:rPr>
        <w:br w:type="page"/>
      </w:r>
      <w:bookmarkStart w:id="1" w:name="_Toc444112494"/>
      <w:bookmarkStart w:id="2" w:name="_Toc511215208"/>
      <w:bookmarkStart w:id="3" w:name="_Toc26865017"/>
      <w:bookmarkStart w:id="4" w:name="_Toc19090676"/>
      <w:bookmarkStart w:id="5" w:name="_Toc50712125"/>
      <w:r w:rsidR="008462F1" w:rsidRPr="00584252">
        <w:lastRenderedPageBreak/>
        <w:t>1. Shrnutí</w:t>
      </w:r>
      <w:bookmarkEnd w:id="5"/>
    </w:p>
    <w:bookmarkEnd w:id="1"/>
    <w:bookmarkEnd w:id="2"/>
    <w:p w14:paraId="7E8BB0CA" w14:textId="77777777" w:rsidR="008462F1" w:rsidRPr="000E756D" w:rsidRDefault="008462F1" w:rsidP="008462F1">
      <w:pPr>
        <w:pStyle w:val="Normalodrka"/>
        <w:spacing w:after="100"/>
        <w:rPr>
          <w:spacing w:val="-4"/>
        </w:rPr>
      </w:pPr>
      <w:r w:rsidRPr="000E756D">
        <w:rPr>
          <w:spacing w:val="-4"/>
        </w:rPr>
        <w:t>Ve 2. čtvrtletí 2020 česká ekonomika zažila nejhlubší propad ve své historii. Hrubý domácí produkt (HDP) se meziročně reálně snížil o 11,0 %</w:t>
      </w:r>
      <w:r w:rsidRPr="000E756D">
        <w:rPr>
          <w:rStyle w:val="Znakapoznpodarou"/>
          <w:spacing w:val="-4"/>
          <w:szCs w:val="20"/>
        </w:rPr>
        <w:footnoteReference w:id="1"/>
      </w:r>
      <w:r w:rsidRPr="000E756D">
        <w:rPr>
          <w:spacing w:val="-4"/>
        </w:rPr>
        <w:t xml:space="preserve"> a mezičtvrtletně o 8,7 %. Hlavní podíl na velmi hlubokém ekonomickém poklesu mělo snížení přebytku bilance zahraničního obchodu se zbožím a službami. To souviselo s pozastavením provozu v některých domácích i zahraničních podnicích. Kromě zastavení vývozu se tak snížila i poptávka ze strany odběratelů v zahraničí. Negativně na růst HDP působily i výdaje na tvorbu hrubého kapitálu. Samotná investiční aktivita ve 2. čtvrtletí meziročně klesla o 4,8 %. K poklesu HDP přispěla i domácí spotřeba, zejména spotřeba domácností, která meziročně klesla o 7,6 %. Velmi hluboký byl hospodářský pokles i v Evropské unii. Meziroční propad činil 14,1 %, mezičtvrtletně se HDP snížil o 11,7 %.</w:t>
      </w:r>
    </w:p>
    <w:p w14:paraId="500A28ED" w14:textId="77777777" w:rsidR="008462F1" w:rsidRPr="000E756D" w:rsidRDefault="008462F1" w:rsidP="008462F1">
      <w:pPr>
        <w:pStyle w:val="Normalodrka"/>
        <w:spacing w:after="100"/>
        <w:rPr>
          <w:spacing w:val="-4"/>
        </w:rPr>
      </w:pPr>
      <w:r w:rsidRPr="000E756D">
        <w:rPr>
          <w:spacing w:val="-4"/>
        </w:rPr>
        <w:t>Hrubá přidaná hodnota (HPH) se meziročně propadla o 10,9 % a mezičtvrtletně o 9,4 %. Vzhledem k širokému dopadu opatření poklesla HPH ve většině odvětví. Velmi silný byl meziroční pokles ve zpracovatelském průmyslu. Obzvlášť zasažena byla výroba motorových vozidel i navazující obory. Činnost v některých odvětvích služeb byla často přímo omezena, což se nejvíce projevovalo na uskupení obchod, doprava, ubytování a pohostinství (pokles HPH o 20,5 %). Navzdory všeobecnému poklesu si mírný meziroční přírůstek udržely informační a komunikační činnosti (1,1 %). Pokles HPH se nevyhnul stavebnictví (–6,2 %).</w:t>
      </w:r>
    </w:p>
    <w:p w14:paraId="30D0DA19" w14:textId="77777777" w:rsidR="008462F1" w:rsidRPr="000E756D" w:rsidRDefault="008462F1" w:rsidP="008462F1">
      <w:pPr>
        <w:pStyle w:val="Normalodrka"/>
        <w:spacing w:after="100"/>
        <w:rPr>
          <w:spacing w:val="-4"/>
        </w:rPr>
      </w:pPr>
      <w:r w:rsidRPr="000E756D">
        <w:rPr>
          <w:spacing w:val="-4"/>
        </w:rPr>
        <w:t>Ve 2. čtvrtletí se hodnota exportu zboží meziročně propadla o 215,1 mld. korun (22,7 %). Hodnota dovozu zboží poklesla o 169,5 mld. korun (19,0 %). Výsledná bilance dosáhla přebytku 11,4 mld. korun, ten se ale meziročně zhoršil o 45,6 mld. Největší podíl na zhoršení bilance měl obchod s motorovými vozidly, který byl v posledních letech hlavním důvodem růstu přebytku. Ve 2. čtvrtletí se zde bilance zhoršila o 49,6 mld. korun. V souvislosti s propadem cen ropy a zemního plynu se naopak zmírnil obvyklý deficit obchodu s nimi o 19,8 mld. korun.</w:t>
      </w:r>
    </w:p>
    <w:p w14:paraId="574BCE4B" w14:textId="77777777" w:rsidR="008462F1" w:rsidRPr="000E756D" w:rsidRDefault="008462F1" w:rsidP="008462F1">
      <w:pPr>
        <w:pStyle w:val="Normalodrka"/>
        <w:spacing w:after="100"/>
        <w:rPr>
          <w:spacing w:val="-4"/>
        </w:rPr>
      </w:pPr>
      <w:r w:rsidRPr="000E756D">
        <w:rPr>
          <w:spacing w:val="-4"/>
        </w:rPr>
        <w:t>Meziroční dynamika spotřebitelských cen ve 2. čtvrtletí dosáhla 3,1 % a oproti 1. kvartálu mírně zvolnila. Nejvíce k růstu spotřebitelských cen přispívaly potraviny a nealkoholické nápoje, jejichž meziroční přírůstek zrychlil na 6,5 %. Naopak růst cen bydlení a energií ve 2. čtvrtletí zvolnil na 3,2 %. Až ve 2. čtvrtletí se plně projevil dopad zvýšení spotřební daně a ceny alkoholických nápojů a tabáku vzrostly o 6,6 %. Výraznou dynamiku si udržely i ceny stravování a ubytování (5,1 %). Zatímco ceny stravování rostly o 5,5 %, přírůstek cen ubytování ve 2. čtvrtletí prudce zvolnil (2,5 %). Celkový růst spotřebitelských cen zpomalovaly jen ceny dopravy (–3,4 %).</w:t>
      </w:r>
    </w:p>
    <w:p w14:paraId="1235EB97" w14:textId="77777777" w:rsidR="008462F1" w:rsidRPr="000E756D" w:rsidRDefault="008462F1" w:rsidP="008462F1">
      <w:pPr>
        <w:pStyle w:val="Normalodrka"/>
        <w:spacing w:after="100"/>
        <w:rPr>
          <w:spacing w:val="-4"/>
        </w:rPr>
      </w:pPr>
      <w:r w:rsidRPr="000E756D">
        <w:rPr>
          <w:spacing w:val="-4"/>
        </w:rPr>
        <w:t>Nastavení základních měnověpolitických sazeb se v průběhu 2. čtvrtletí měnilo směrem dolů. Poměrně rychle na tento vývoj reagovaly i sazby na klientských vkladech, zejména těch termínovaných. Snižovaly se také úrokové sazby úvěrů pro domácnosti i podniky. V nejistém ekonomickém prostředí ale domácnosti i podniky využívaly úvěrové financování zdrženlivěji.</w:t>
      </w:r>
    </w:p>
    <w:p w14:paraId="399BB940" w14:textId="77777777" w:rsidR="008462F1" w:rsidRPr="000E756D" w:rsidRDefault="008462F1" w:rsidP="008462F1">
      <w:pPr>
        <w:pStyle w:val="Normalodrka"/>
        <w:spacing w:after="100"/>
        <w:rPr>
          <w:spacing w:val="-4"/>
        </w:rPr>
      </w:pPr>
      <w:r w:rsidRPr="000E756D">
        <w:rPr>
          <w:rFonts w:cs="Arial"/>
          <w:bCs/>
          <w:color w:val="000000"/>
          <w:spacing w:val="-4"/>
          <w:szCs w:val="20"/>
        </w:rPr>
        <w:t>Dopady protipandemických opatření na trh práce se ve 2. čtvrtletí projevily zejména poklesem ekonomické aktivity. Celková zaměstnanost mezičtvrtletně klesla o 1,4 %</w:t>
      </w:r>
      <w:r w:rsidRPr="000E756D">
        <w:rPr>
          <w:rStyle w:val="Znakapoznpodarou"/>
          <w:spacing w:val="-4"/>
        </w:rPr>
        <w:footnoteReference w:id="2"/>
      </w:r>
      <w:r w:rsidRPr="000E756D">
        <w:rPr>
          <w:rFonts w:cs="Arial"/>
          <w:bCs/>
          <w:color w:val="000000"/>
          <w:spacing w:val="-4"/>
          <w:szCs w:val="20"/>
        </w:rPr>
        <w:t xml:space="preserve"> a snižovala se zejména ve zpracovatelském průmyslu a v části služeb. Obecná míra nezaměstnanosti ale rostla jen mírně (v červnu činila 2,7 %), mimo jiné kvůli velkému podílu osob, které v krizi trh práce opustily (cizinci, pracující senioři). Průměrná mzda se ve 2. čtvrtletí meziročně zvýšila jen o 0,5 %. Vývoj byl také značně diverzifikovaný. Pokles průměrné mzdy byl největší v silně zasaženém odvětví ubytování, stravování a pohostinství, mzdy se ale snižovaly i v dalších službách. Silný pokles mezd se týkal i zpracovatelského průmyslu. Naopak průměrná mzda rostla v informačních a komunikačních činnostech a ve službách s dominancí veřejného sektoru nebo v energetice. Vzhledem k výraznému cenovému růstu ale průměrná mzda v ekonomice reálně poklesla o 2,5 %.</w:t>
      </w:r>
    </w:p>
    <w:p w14:paraId="261EAB56" w14:textId="77777777" w:rsidR="008462F1" w:rsidRPr="000E756D" w:rsidRDefault="008462F1" w:rsidP="008462F1">
      <w:pPr>
        <w:pStyle w:val="Normalodrka"/>
        <w:spacing w:after="100"/>
        <w:rPr>
          <w:spacing w:val="-4"/>
        </w:rPr>
      </w:pPr>
      <w:r w:rsidRPr="000E756D">
        <w:rPr>
          <w:spacing w:val="-4"/>
        </w:rPr>
        <w:t>Schodek státního rozpočtu v 1. pololetí dosáhl 195,2 mld. korun. Na příjmové i výdajové straně rozpočtu se zejména ve 2. čtvrtletí projevily dopady protipandemických opatření. Celkové příjmy v 1. pololetí meziročně klesly o 5,9 %. Na příjmové straně došlo zejména k výpadku daňového inkasa souvisejícího s útlumem ekonomické aktivity i s opatřeními na posílení likvidity firem postižených propadem tržeb. Výdaje naopak vzrostly o 17,0 %. Více než třetina z nárůstu běžných výdajů souvisela s protipandemickými opatřeními, obdobně ale přispělo i vyšší čerpání sociálních dávek.</w:t>
      </w:r>
    </w:p>
    <w:p w14:paraId="4A717878" w14:textId="1118E19C" w:rsidR="00640E6B" w:rsidRPr="009110F7" w:rsidRDefault="00640E6B" w:rsidP="008462F1">
      <w:pPr>
        <w:pStyle w:val="Nadpis1"/>
      </w:pPr>
      <w:bookmarkStart w:id="6" w:name="_Toc50712126"/>
      <w:bookmarkEnd w:id="3"/>
      <w:r w:rsidRPr="0077605B">
        <w:lastRenderedPageBreak/>
        <w:t>2</w:t>
      </w:r>
      <w:r>
        <w:t>. </w:t>
      </w:r>
      <w:r w:rsidRPr="0077605B">
        <w:t>Souhrnná výkonnost</w:t>
      </w:r>
      <w:bookmarkEnd w:id="6"/>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640E6B" w:rsidRPr="009110F7" w14:paraId="29F3416C" w14:textId="77777777" w:rsidTr="00E1168B">
        <w:trPr>
          <w:trHeight w:val="145"/>
        </w:trPr>
        <w:tc>
          <w:tcPr>
            <w:tcW w:w="1806" w:type="dxa"/>
            <w:shd w:val="clear" w:color="auto" w:fill="auto"/>
            <w:tcMar>
              <w:left w:w="0" w:type="dxa"/>
            </w:tcMar>
          </w:tcPr>
          <w:p w14:paraId="7E2765A3" w14:textId="77777777" w:rsidR="00640E6B" w:rsidRDefault="00640E6B" w:rsidP="00E1168B">
            <w:pPr>
              <w:pStyle w:val="Marginlie"/>
            </w:pPr>
            <w:r>
              <w:t>V souvislosti s covid-19 zaznamenala ve 2. čtvrtletí česká ekonomika nejhlubší propad v historii.</w:t>
            </w:r>
          </w:p>
        </w:tc>
        <w:tc>
          <w:tcPr>
            <w:tcW w:w="223" w:type="dxa"/>
            <w:shd w:val="clear" w:color="auto" w:fill="auto"/>
            <w:tcMar>
              <w:left w:w="0" w:type="dxa"/>
            </w:tcMar>
          </w:tcPr>
          <w:p w14:paraId="48731A72" w14:textId="77777777" w:rsidR="00640E6B" w:rsidRDefault="00640E6B" w:rsidP="00E1168B">
            <w:pPr>
              <w:pStyle w:val="Textpoznpodarou"/>
              <w:jc w:val="both"/>
              <w:rPr>
                <w:spacing w:val="-4"/>
              </w:rPr>
            </w:pPr>
          </w:p>
        </w:tc>
        <w:tc>
          <w:tcPr>
            <w:tcW w:w="7610" w:type="dxa"/>
            <w:shd w:val="clear" w:color="auto" w:fill="auto"/>
            <w:tcMar>
              <w:left w:w="0" w:type="dxa"/>
            </w:tcMar>
          </w:tcPr>
          <w:p w14:paraId="02CA678D" w14:textId="77777777" w:rsidR="00640E6B" w:rsidRPr="00014ED0" w:rsidRDefault="00640E6B" w:rsidP="00E1168B">
            <w:pPr>
              <w:spacing w:after="220"/>
              <w:rPr>
                <w:spacing w:val="-2"/>
              </w:rPr>
            </w:pPr>
            <w:r>
              <w:rPr>
                <w:spacing w:val="-2"/>
              </w:rPr>
              <w:t>Česká ekonomika ve 2. čtvrtletí 2020 prodělala nejhorší hospodářský propad ve své historii. Hrubý domácí produkt (HDP) se meziročně snížil o 11,0 %</w:t>
            </w:r>
            <w:r w:rsidRPr="00014ED0">
              <w:rPr>
                <w:rStyle w:val="Znakapoznpodarou"/>
                <w:rFonts w:cs="Arial"/>
                <w:spacing w:val="-2"/>
              </w:rPr>
              <w:footnoteReference w:id="3"/>
            </w:r>
            <w:r>
              <w:rPr>
                <w:spacing w:val="-2"/>
              </w:rPr>
              <w:t xml:space="preserve"> (předchozí nejhlubší pokles ze 2. čtvrtletí 2009 činil 5,4 %). Důvodem byla mimořádná situace v souvislosti s protiepidemickými opatřeními, kdy byl zastaven nebo omezen provoz ve velké části ekonomiky, zejména službách, maloobchodu i některých důležitých průmyslových odvětvích. Pokračoval tak vývoj, který započal už v průběhu března a ovlivnil i výsledky 1. kvartálu (pokles HDP o 1,9 %). Ve směru meziročního poklesu HDP ve 2. čtvrtletí působily všechny jeho složky. Nejsilněji tak působil propad bilance zahraničního obchodu</w:t>
            </w:r>
            <w:r>
              <w:rPr>
                <w:spacing w:val="-2"/>
              </w:rPr>
              <w:br/>
              <w:t>(–7,9 p. b.)</w:t>
            </w:r>
            <w:r w:rsidRPr="00014ED0">
              <w:rPr>
                <w:rStyle w:val="Znakapoznpodarou"/>
                <w:spacing w:val="-2"/>
              </w:rPr>
              <w:footnoteReference w:id="4"/>
            </w:r>
            <w:r>
              <w:rPr>
                <w:spacing w:val="-2"/>
              </w:rPr>
              <w:t>. Ten byl způsoben jednak přerušením výroby v některých domácích podnicích zaměřených na export, ale rovněž poklesem poptávky ze strany zahraničních výrobců využívajících domácí dodavatele. Klesla ale také domácí spotřeba a investice. Ve srovnání s 1. čtvrtletím se HDP snížil o 8,7 % a také šlo o nejhlubší zaznamenaný propad (předchozí největší pokles činil 3,4 % a odehrál se v 1. kvartálu 2009). Ve srovnání s 1. čtvrtletím se prohloubil mezičtvrtletní pokles všech složek HDP.</w:t>
            </w:r>
          </w:p>
        </w:tc>
      </w:tr>
      <w:tr w:rsidR="00640E6B" w:rsidRPr="009110F7" w14:paraId="2D538AA1" w14:textId="77777777" w:rsidTr="00E1168B">
        <w:trPr>
          <w:trHeight w:val="170"/>
        </w:trPr>
        <w:tc>
          <w:tcPr>
            <w:tcW w:w="1806" w:type="dxa"/>
            <w:vMerge w:val="restart"/>
            <w:shd w:val="clear" w:color="auto" w:fill="auto"/>
            <w:tcMar>
              <w:left w:w="0" w:type="dxa"/>
            </w:tcMar>
          </w:tcPr>
          <w:p w14:paraId="7421A4B9" w14:textId="77777777" w:rsidR="00640E6B" w:rsidRDefault="00640E6B" w:rsidP="00E1168B">
            <w:pPr>
              <w:pStyle w:val="Marginlie"/>
            </w:pPr>
          </w:p>
        </w:tc>
        <w:tc>
          <w:tcPr>
            <w:tcW w:w="223" w:type="dxa"/>
            <w:vMerge w:val="restart"/>
            <w:shd w:val="clear" w:color="auto" w:fill="auto"/>
            <w:tcMar>
              <w:left w:w="0" w:type="dxa"/>
            </w:tcMar>
          </w:tcPr>
          <w:p w14:paraId="49B951E8" w14:textId="77777777" w:rsidR="00640E6B" w:rsidRDefault="00640E6B" w:rsidP="00E1168B">
            <w:pPr>
              <w:pStyle w:val="Textpoznpodarou"/>
              <w:jc w:val="both"/>
              <w:rPr>
                <w:spacing w:val="-4"/>
              </w:rPr>
            </w:pPr>
          </w:p>
        </w:tc>
        <w:tc>
          <w:tcPr>
            <w:tcW w:w="7610" w:type="dxa"/>
            <w:shd w:val="clear" w:color="auto" w:fill="auto"/>
            <w:tcMar>
              <w:left w:w="0" w:type="dxa"/>
            </w:tcMar>
          </w:tcPr>
          <w:p w14:paraId="6587FF21" w14:textId="77777777" w:rsidR="00640E6B" w:rsidRPr="001208E3" w:rsidRDefault="00640E6B" w:rsidP="00E1168B">
            <w:pPr>
              <w:spacing w:after="0"/>
              <w:rPr>
                <w:b/>
                <w:szCs w:val="20"/>
              </w:rPr>
            </w:pPr>
            <w:r w:rsidRPr="0041745D">
              <w:rPr>
                <w:rFonts w:cs="Arial"/>
                <w:b/>
                <w:bCs/>
                <w:color w:val="000000"/>
                <w:sz w:val="18"/>
                <w:szCs w:val="18"/>
              </w:rPr>
              <w:t xml:space="preserve">Graf </w:t>
            </w:r>
            <w:r>
              <w:rPr>
                <w:rFonts w:cs="Arial"/>
                <w:b/>
                <w:bCs/>
                <w:color w:val="000000"/>
                <w:sz w:val="18"/>
                <w:szCs w:val="18"/>
              </w:rPr>
              <w:t>č. </w:t>
            </w:r>
            <w:r w:rsidRPr="00663018">
              <w:rPr>
                <w:rFonts w:cs="Arial"/>
                <w:b/>
                <w:bCs/>
                <w:color w:val="000000"/>
                <w:sz w:val="18"/>
                <w:szCs w:val="18"/>
              </w:rPr>
              <w:t>1</w:t>
            </w:r>
            <w:r>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HDP (objemové indexy, očištěno o</w:t>
            </w:r>
            <w:r>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640E6B" w:rsidRPr="009110F7" w14:paraId="72A133AC" w14:textId="77777777" w:rsidTr="00E1168B">
        <w:tblPrEx>
          <w:tblCellMar>
            <w:left w:w="70" w:type="dxa"/>
            <w:right w:w="70" w:type="dxa"/>
          </w:tblCellMar>
        </w:tblPrEx>
        <w:trPr>
          <w:trHeight w:val="170"/>
        </w:trPr>
        <w:tc>
          <w:tcPr>
            <w:tcW w:w="1806" w:type="dxa"/>
            <w:vMerge/>
            <w:shd w:val="clear" w:color="auto" w:fill="auto"/>
          </w:tcPr>
          <w:p w14:paraId="78F9FCB4" w14:textId="77777777" w:rsidR="00640E6B" w:rsidRPr="009110F7" w:rsidRDefault="00640E6B" w:rsidP="00E1168B">
            <w:pPr>
              <w:pStyle w:val="Marginlie"/>
            </w:pPr>
          </w:p>
        </w:tc>
        <w:tc>
          <w:tcPr>
            <w:tcW w:w="223" w:type="dxa"/>
            <w:vMerge/>
            <w:shd w:val="clear" w:color="auto" w:fill="auto"/>
          </w:tcPr>
          <w:p w14:paraId="29608AC4" w14:textId="77777777" w:rsidR="00640E6B" w:rsidRPr="009110F7" w:rsidRDefault="00640E6B" w:rsidP="00E1168B">
            <w:pPr>
              <w:pStyle w:val="Textpoznpodarou"/>
              <w:jc w:val="both"/>
              <w:rPr>
                <w:spacing w:val="-4"/>
              </w:rPr>
            </w:pPr>
          </w:p>
        </w:tc>
        <w:tc>
          <w:tcPr>
            <w:tcW w:w="7610" w:type="dxa"/>
            <w:shd w:val="clear" w:color="auto" w:fill="auto"/>
          </w:tcPr>
          <w:p w14:paraId="77B840F7" w14:textId="77777777" w:rsidR="00640E6B" w:rsidRPr="009110F7" w:rsidRDefault="00640E6B" w:rsidP="00E1168B">
            <w:pPr>
              <w:spacing w:after="0"/>
            </w:pPr>
            <w:r>
              <w:rPr>
                <w:noProof/>
              </w:rPr>
              <w:drawing>
                <wp:inline distT="0" distB="0" distL="0" distR="0" wp14:anchorId="11FE2EEB" wp14:editId="5F5A9A07">
                  <wp:extent cx="4737600" cy="3438900"/>
                  <wp:effectExtent l="0" t="0" r="6350" b="0"/>
                  <wp:docPr id="4" name="Graf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40E6B" w:rsidRPr="009110F7" w14:paraId="4C3A690B" w14:textId="77777777" w:rsidTr="00E1168B">
        <w:trPr>
          <w:trHeight w:val="170"/>
        </w:trPr>
        <w:tc>
          <w:tcPr>
            <w:tcW w:w="1806" w:type="dxa"/>
            <w:vMerge/>
            <w:shd w:val="clear" w:color="auto" w:fill="auto"/>
            <w:tcMar>
              <w:left w:w="0" w:type="dxa"/>
            </w:tcMar>
          </w:tcPr>
          <w:p w14:paraId="2D4835B6" w14:textId="77777777" w:rsidR="00640E6B" w:rsidRPr="009110F7" w:rsidRDefault="00640E6B" w:rsidP="00E1168B">
            <w:pPr>
              <w:pStyle w:val="Marginlie"/>
            </w:pPr>
          </w:p>
        </w:tc>
        <w:tc>
          <w:tcPr>
            <w:tcW w:w="223" w:type="dxa"/>
            <w:vMerge/>
            <w:shd w:val="clear" w:color="auto" w:fill="auto"/>
            <w:tcMar>
              <w:left w:w="0" w:type="dxa"/>
            </w:tcMar>
          </w:tcPr>
          <w:p w14:paraId="46415412" w14:textId="77777777" w:rsidR="00640E6B" w:rsidRPr="009110F7" w:rsidRDefault="00640E6B" w:rsidP="00E1168B">
            <w:pPr>
              <w:pStyle w:val="Textpoznpodarou"/>
              <w:jc w:val="both"/>
              <w:rPr>
                <w:spacing w:val="-4"/>
              </w:rPr>
            </w:pPr>
          </w:p>
        </w:tc>
        <w:tc>
          <w:tcPr>
            <w:tcW w:w="7610" w:type="dxa"/>
            <w:shd w:val="clear" w:color="auto" w:fill="auto"/>
            <w:tcMar>
              <w:left w:w="0" w:type="dxa"/>
            </w:tcMar>
          </w:tcPr>
          <w:p w14:paraId="5342FEEB" w14:textId="77777777" w:rsidR="00640E6B" w:rsidRPr="009110F7" w:rsidRDefault="00640E6B" w:rsidP="00E1168B">
            <w:pPr>
              <w:spacing w:after="220"/>
              <w:rPr>
                <w:sz w:val="14"/>
                <w:szCs w:val="14"/>
              </w:rPr>
            </w:pPr>
            <w:r>
              <w:rPr>
                <w:sz w:val="14"/>
                <w:szCs w:val="14"/>
              </w:rPr>
              <w:t>Zdroj: ČSÚ, Eurostat</w:t>
            </w:r>
          </w:p>
        </w:tc>
      </w:tr>
      <w:tr w:rsidR="00640E6B" w:rsidRPr="009110F7" w14:paraId="1057557B" w14:textId="77777777" w:rsidTr="00E1168B">
        <w:trPr>
          <w:trHeight w:val="145"/>
        </w:trPr>
        <w:tc>
          <w:tcPr>
            <w:tcW w:w="1806" w:type="dxa"/>
            <w:shd w:val="clear" w:color="auto" w:fill="auto"/>
            <w:tcMar>
              <w:left w:w="0" w:type="dxa"/>
            </w:tcMar>
          </w:tcPr>
          <w:p w14:paraId="77DCA582" w14:textId="77777777" w:rsidR="00640E6B" w:rsidRDefault="00640E6B" w:rsidP="00E1168B">
            <w:pPr>
              <w:pStyle w:val="Marginlie"/>
            </w:pPr>
            <w:r>
              <w:t>Hluboký hospodářský pokles se projevil v celé EU.</w:t>
            </w:r>
          </w:p>
        </w:tc>
        <w:tc>
          <w:tcPr>
            <w:tcW w:w="223" w:type="dxa"/>
            <w:shd w:val="clear" w:color="auto" w:fill="auto"/>
            <w:tcMar>
              <w:left w:w="0" w:type="dxa"/>
            </w:tcMar>
          </w:tcPr>
          <w:p w14:paraId="66C65640" w14:textId="77777777" w:rsidR="00640E6B" w:rsidRDefault="00640E6B" w:rsidP="00E1168B">
            <w:pPr>
              <w:pStyle w:val="Textpoznpodarou"/>
              <w:jc w:val="both"/>
              <w:rPr>
                <w:spacing w:val="-4"/>
              </w:rPr>
            </w:pPr>
          </w:p>
        </w:tc>
        <w:tc>
          <w:tcPr>
            <w:tcW w:w="7610" w:type="dxa"/>
            <w:shd w:val="clear" w:color="auto" w:fill="auto"/>
            <w:tcMar>
              <w:left w:w="0" w:type="dxa"/>
            </w:tcMar>
          </w:tcPr>
          <w:p w14:paraId="61E7AFFD" w14:textId="4C487F64" w:rsidR="00640E6B" w:rsidRDefault="00640E6B" w:rsidP="00F00EC8">
            <w:r>
              <w:t xml:space="preserve">Meziroční pokles HDP v Evropské unii ve 2. čtvrtletí dosáhl </w:t>
            </w:r>
            <w:r w:rsidR="00F00EC8">
              <w:t>13,9</w:t>
            </w:r>
            <w:r>
              <w:t> %</w:t>
            </w:r>
            <w:r w:rsidRPr="009110F7">
              <w:rPr>
                <w:rStyle w:val="Znakapoznpodarou"/>
                <w:spacing w:val="-2"/>
              </w:rPr>
              <w:footnoteReference w:id="5"/>
            </w:r>
            <w:r>
              <w:t>. V souladu se všeobecným očekáváním šlo o nejhorší zaznamenaný výsledek v historii. Prakticky celá Unie se totiž po většinu čtvrtletí potýkala s více či méně přísnými restrikcemi souvisejícími s koronavirem. Pohled na jednotlivé složky HDP ukazuje na prudký propad spotřeby i investiční aktivity. Velký dopad ale mělo i narušení zahraničního obchodu a následné zhoršení bilance. Ve srovnání s 1. kvartálem poklesl HDP v Unii o 11,</w:t>
            </w:r>
            <w:r w:rsidR="00F00EC8">
              <w:t>4</w:t>
            </w:r>
            <w:r>
              <w:t xml:space="preserve"> %. Zatímco v 1. čtvrtletí si ještě několik ekonomik meziroční růst udrželo, ve 2. kvartálu již pokles podle dostupných údajů zasáhl všechny země EU. Největší </w:t>
            </w:r>
            <w:r>
              <w:lastRenderedPageBreak/>
              <w:t>meziroční pokles proběhl ve Španělsku (–22,1 %), Francii (–18,9 %) a Itálii (–17,7 %). Nejmírněji se HDP snížil v</w:t>
            </w:r>
            <w:r w:rsidR="00F00EC8">
              <w:t xml:space="preserve"> Irsku (–3,7 %), </w:t>
            </w:r>
            <w:r>
              <w:t>Litvě (–4,0 %)</w:t>
            </w:r>
            <w:r w:rsidR="00F00EC8">
              <w:t xml:space="preserve"> a </w:t>
            </w:r>
            <w:r>
              <w:t>ve Finsku, (–6,3 %)</w:t>
            </w:r>
            <w:r w:rsidR="00F00EC8">
              <w:t>.</w:t>
            </w:r>
            <w:r>
              <w:t>.</w:t>
            </w:r>
          </w:p>
        </w:tc>
      </w:tr>
      <w:tr w:rsidR="00640E6B" w:rsidRPr="009110F7" w14:paraId="62DB1FA3" w14:textId="77777777" w:rsidTr="00E1168B">
        <w:trPr>
          <w:trHeight w:val="145"/>
        </w:trPr>
        <w:tc>
          <w:tcPr>
            <w:tcW w:w="1806" w:type="dxa"/>
            <w:shd w:val="clear" w:color="auto" w:fill="auto"/>
            <w:tcMar>
              <w:left w:w="0" w:type="dxa"/>
            </w:tcMar>
          </w:tcPr>
          <w:p w14:paraId="0176F7A0" w14:textId="77777777" w:rsidR="00640E6B" w:rsidRDefault="00640E6B" w:rsidP="00E1168B">
            <w:pPr>
              <w:pStyle w:val="Marginlie"/>
            </w:pPr>
            <w:r>
              <w:lastRenderedPageBreak/>
              <w:t>Na trhu práce byl ve 2. čtvrtletí patrný zlom ve vývoji zaměstnanosti i mzdové dynamice.</w:t>
            </w:r>
          </w:p>
        </w:tc>
        <w:tc>
          <w:tcPr>
            <w:tcW w:w="223" w:type="dxa"/>
            <w:shd w:val="clear" w:color="auto" w:fill="auto"/>
            <w:tcMar>
              <w:left w:w="0" w:type="dxa"/>
            </w:tcMar>
          </w:tcPr>
          <w:p w14:paraId="4C06617B" w14:textId="77777777" w:rsidR="00640E6B" w:rsidRDefault="00640E6B" w:rsidP="00E1168B">
            <w:pPr>
              <w:pStyle w:val="Textpoznpodarou"/>
              <w:jc w:val="both"/>
              <w:rPr>
                <w:spacing w:val="-4"/>
              </w:rPr>
            </w:pPr>
          </w:p>
        </w:tc>
        <w:tc>
          <w:tcPr>
            <w:tcW w:w="7610" w:type="dxa"/>
            <w:shd w:val="clear" w:color="auto" w:fill="auto"/>
            <w:tcMar>
              <w:left w:w="0" w:type="dxa"/>
            </w:tcMar>
          </w:tcPr>
          <w:p w14:paraId="2BD699E8" w14:textId="77777777" w:rsidR="00640E6B" w:rsidRPr="00014ED0" w:rsidRDefault="00640E6B" w:rsidP="00E1168B">
            <w:pPr>
              <w:rPr>
                <w:spacing w:val="-2"/>
              </w:rPr>
            </w:pPr>
            <w:r>
              <w:rPr>
                <w:spacing w:val="-2"/>
              </w:rPr>
              <w:t>Ekonomický propad se dotkl i objemu vyplacených mezd a platů, který ve 2. čtvrtletí meziročně klesl o 5,3 %. Šlo o první pokles od konce roku 2013. Zároveň v ekonomice pokračoval výrazný cenový růst, což se podepsalo na vývoji kupní síly domácností. Reálný pokles činil 8,3 %</w:t>
            </w:r>
            <w:r w:rsidRPr="00014ED0">
              <w:rPr>
                <w:rStyle w:val="Znakapoznpodarou"/>
                <w:spacing w:val="-2"/>
              </w:rPr>
              <w:footnoteReference w:id="6"/>
            </w:r>
            <w:r>
              <w:rPr>
                <w:spacing w:val="-2"/>
              </w:rPr>
              <w:t>. Zlom nastal i ve vývoji celkové zaměstnanosti (vyjádřeno v osobách), jejíž meziroční pokles zrychlil na 1,9 %</w:t>
            </w:r>
            <w:r w:rsidRPr="00014ED0">
              <w:rPr>
                <w:rStyle w:val="Znakapoznpodarou"/>
                <w:spacing w:val="-2"/>
              </w:rPr>
              <w:footnoteReference w:id="7"/>
            </w:r>
            <w:r>
              <w:rPr>
                <w:spacing w:val="-2"/>
              </w:rPr>
              <w:t>. Oproti 1. čtvrtletí se celková zaměstnanost snížila o 1,4 %. Ještě výraznější byl pokles počtu odpracovaných hodin (meziročně –10,7 %, mezičtvrtletně –7,8 %). Objem vyplacených mzdových prostředků nejvíce meziročně klesal ve zpracovatelském průmyslu (–11,5 %, pokles zaměstnanosti zde činil 3,5 %). Podobně hluboký propad mezd nastal i v uskupení obchod, doprava, ubytování a pohostinství (–11,2 %, pokles zaměstnanosti o 3,2 %). V případě profesních, vědeckých, technických a administrativních činností poklesl ve 2. čtvrtletí objem mezd a platů o 9,7 % a celková zaměstnanost se snížila o 4,4 %. Ostatní odvětví služeb si však meziroční růst mezd udržela, i když byl slabší než v 1. kvartálu. U činností v oblasti nemovitostí navýšení dosáhlo 6,4 %, v peněžnictví a pojišťovnictví 5,8 %, v informačních a komunikačních činnostech 4,7 % a v oborech s převahou vládního sektoru</w:t>
            </w:r>
            <w:r>
              <w:rPr>
                <w:rStyle w:val="Znakapoznpodarou"/>
                <w:spacing w:val="-2"/>
              </w:rPr>
              <w:footnoteReference w:id="8"/>
            </w:r>
            <w:r>
              <w:rPr>
                <w:spacing w:val="-2"/>
              </w:rPr>
              <w:t xml:space="preserve"> 4,1 %. Po více než tříletém období růstu nastal pokles vyplacených mezd i ve stavebnictví (–2,8 %) a zemědělství, lesnictví a rybářství (–2,3 %).</w:t>
            </w:r>
          </w:p>
        </w:tc>
      </w:tr>
      <w:tr w:rsidR="00640E6B" w:rsidRPr="009110F7" w14:paraId="26DFC812" w14:textId="77777777" w:rsidTr="00E1168B">
        <w:trPr>
          <w:trHeight w:val="170"/>
        </w:trPr>
        <w:tc>
          <w:tcPr>
            <w:tcW w:w="1806" w:type="dxa"/>
            <w:vMerge w:val="restart"/>
            <w:shd w:val="clear" w:color="auto" w:fill="auto"/>
            <w:tcMar>
              <w:left w:w="0" w:type="dxa"/>
            </w:tcMar>
          </w:tcPr>
          <w:p w14:paraId="0B599F90" w14:textId="77777777" w:rsidR="00640E6B" w:rsidRDefault="00640E6B" w:rsidP="00E1168B">
            <w:pPr>
              <w:pStyle w:val="Marginlie"/>
            </w:pPr>
          </w:p>
        </w:tc>
        <w:tc>
          <w:tcPr>
            <w:tcW w:w="223" w:type="dxa"/>
            <w:vMerge w:val="restart"/>
            <w:shd w:val="clear" w:color="auto" w:fill="auto"/>
            <w:tcMar>
              <w:left w:w="0" w:type="dxa"/>
            </w:tcMar>
          </w:tcPr>
          <w:p w14:paraId="084B07A5" w14:textId="77777777" w:rsidR="00640E6B" w:rsidRDefault="00640E6B" w:rsidP="00E1168B">
            <w:pPr>
              <w:pStyle w:val="Textpoznpodarou"/>
              <w:jc w:val="both"/>
              <w:rPr>
                <w:spacing w:val="-4"/>
              </w:rPr>
            </w:pPr>
          </w:p>
        </w:tc>
        <w:tc>
          <w:tcPr>
            <w:tcW w:w="7610" w:type="dxa"/>
            <w:shd w:val="clear" w:color="auto" w:fill="auto"/>
            <w:tcMar>
              <w:left w:w="0" w:type="dxa"/>
            </w:tcMar>
          </w:tcPr>
          <w:p w14:paraId="4170FE7D" w14:textId="77777777" w:rsidR="00640E6B" w:rsidRDefault="00640E6B" w:rsidP="00E1168B">
            <w:pPr>
              <w:spacing w:after="0"/>
            </w:pPr>
            <w:r w:rsidRPr="0041745D">
              <w:rPr>
                <w:b/>
                <w:sz w:val="18"/>
                <w:szCs w:val="18"/>
              </w:rPr>
              <w:t xml:space="preserve">Graf </w:t>
            </w:r>
            <w:r>
              <w:rPr>
                <w:b/>
                <w:sz w:val="18"/>
                <w:szCs w:val="18"/>
              </w:rPr>
              <w:t xml:space="preserve">č. 2  </w:t>
            </w:r>
            <w:r w:rsidRPr="00663018">
              <w:rPr>
                <w:rFonts w:cs="Arial"/>
                <w:b/>
                <w:sz w:val="18"/>
                <w:szCs w:val="18"/>
                <w:lang w:eastAsia="en-US"/>
              </w:rPr>
              <w:t>Příspěvky výdajových složek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 xml:space="preserve">změně HDP* </w:t>
            </w:r>
            <w:r w:rsidRPr="00363CF2">
              <w:rPr>
                <w:rFonts w:cs="Arial"/>
                <w:bCs/>
                <w:sz w:val="18"/>
                <w:szCs w:val="18"/>
                <w:lang w:eastAsia="en-US"/>
              </w:rPr>
              <w:t>(objemové indexy, meziroční růst, příspěvky v p. b., HDP v %)</w:t>
            </w:r>
          </w:p>
        </w:tc>
      </w:tr>
      <w:tr w:rsidR="00640E6B" w:rsidRPr="009110F7" w14:paraId="55788F5B" w14:textId="77777777" w:rsidTr="00E1168B">
        <w:tblPrEx>
          <w:tblCellMar>
            <w:left w:w="70" w:type="dxa"/>
            <w:right w:w="70" w:type="dxa"/>
          </w:tblCellMar>
        </w:tblPrEx>
        <w:trPr>
          <w:trHeight w:val="170"/>
        </w:trPr>
        <w:tc>
          <w:tcPr>
            <w:tcW w:w="1806" w:type="dxa"/>
            <w:vMerge/>
            <w:shd w:val="clear" w:color="auto" w:fill="auto"/>
          </w:tcPr>
          <w:p w14:paraId="720B1907" w14:textId="77777777" w:rsidR="00640E6B" w:rsidRDefault="00640E6B" w:rsidP="00E1168B">
            <w:pPr>
              <w:pStyle w:val="Marginlie"/>
            </w:pPr>
          </w:p>
        </w:tc>
        <w:tc>
          <w:tcPr>
            <w:tcW w:w="223" w:type="dxa"/>
            <w:vMerge/>
            <w:shd w:val="clear" w:color="auto" w:fill="auto"/>
          </w:tcPr>
          <w:p w14:paraId="2ECC0E1E" w14:textId="77777777" w:rsidR="00640E6B" w:rsidRDefault="00640E6B" w:rsidP="00E1168B">
            <w:pPr>
              <w:pStyle w:val="Textpoznpodarou"/>
              <w:jc w:val="both"/>
              <w:rPr>
                <w:spacing w:val="-4"/>
              </w:rPr>
            </w:pPr>
          </w:p>
        </w:tc>
        <w:tc>
          <w:tcPr>
            <w:tcW w:w="7610" w:type="dxa"/>
            <w:shd w:val="clear" w:color="auto" w:fill="auto"/>
          </w:tcPr>
          <w:p w14:paraId="65465004" w14:textId="77777777" w:rsidR="00640E6B" w:rsidRDefault="00640E6B" w:rsidP="00E1168B">
            <w:pPr>
              <w:spacing w:after="0"/>
            </w:pPr>
            <w:r>
              <w:rPr>
                <w:noProof/>
              </w:rPr>
              <w:drawing>
                <wp:inline distT="0" distB="0" distL="0" distR="0" wp14:anchorId="31D3E246" wp14:editId="289C6834">
                  <wp:extent cx="4737600" cy="3553200"/>
                  <wp:effectExtent l="0" t="0" r="6350" b="0"/>
                  <wp:docPr id="37" name="Graf 3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40E6B" w:rsidRPr="009110F7" w14:paraId="4EA2A960" w14:textId="77777777" w:rsidTr="00E1168B">
        <w:trPr>
          <w:trHeight w:val="170"/>
        </w:trPr>
        <w:tc>
          <w:tcPr>
            <w:tcW w:w="1806" w:type="dxa"/>
            <w:vMerge/>
            <w:shd w:val="clear" w:color="auto" w:fill="auto"/>
            <w:tcMar>
              <w:left w:w="0" w:type="dxa"/>
            </w:tcMar>
          </w:tcPr>
          <w:p w14:paraId="0D20711A" w14:textId="77777777" w:rsidR="00640E6B" w:rsidRDefault="00640E6B" w:rsidP="00E1168B">
            <w:pPr>
              <w:pStyle w:val="Marginlie"/>
            </w:pPr>
          </w:p>
        </w:tc>
        <w:tc>
          <w:tcPr>
            <w:tcW w:w="223" w:type="dxa"/>
            <w:vMerge/>
            <w:shd w:val="clear" w:color="auto" w:fill="auto"/>
            <w:tcMar>
              <w:left w:w="0" w:type="dxa"/>
            </w:tcMar>
          </w:tcPr>
          <w:p w14:paraId="309F9A29" w14:textId="77777777" w:rsidR="00640E6B" w:rsidRDefault="00640E6B" w:rsidP="00E1168B">
            <w:pPr>
              <w:pStyle w:val="Textpoznpodarou"/>
              <w:jc w:val="both"/>
              <w:rPr>
                <w:spacing w:val="-4"/>
              </w:rPr>
            </w:pPr>
          </w:p>
        </w:tc>
        <w:tc>
          <w:tcPr>
            <w:tcW w:w="7610" w:type="dxa"/>
            <w:shd w:val="clear" w:color="auto" w:fill="auto"/>
            <w:tcMar>
              <w:left w:w="0" w:type="dxa"/>
            </w:tcMar>
          </w:tcPr>
          <w:p w14:paraId="75E9D4B5" w14:textId="77777777" w:rsidR="00640E6B" w:rsidRDefault="00640E6B" w:rsidP="00E1168B">
            <w:pPr>
              <w:spacing w:after="0"/>
              <w:rPr>
                <w:sz w:val="14"/>
                <w:szCs w:val="14"/>
              </w:rPr>
            </w:pPr>
            <w:r>
              <w:rPr>
                <w:sz w:val="14"/>
                <w:szCs w:val="14"/>
              </w:rPr>
              <w:t>Zdroj: ČSÚ</w:t>
            </w:r>
          </w:p>
          <w:p w14:paraId="26921E57" w14:textId="77777777" w:rsidR="00640E6B" w:rsidRDefault="00640E6B" w:rsidP="00E1168B">
            <w:r>
              <w:rPr>
                <w:sz w:val="14"/>
                <w:szCs w:val="14"/>
              </w:rPr>
              <w:t>*po vyloučení dovozu pro konečné užití</w:t>
            </w:r>
          </w:p>
        </w:tc>
      </w:tr>
      <w:tr w:rsidR="00640E6B" w:rsidRPr="009110F7" w14:paraId="549F90D6" w14:textId="77777777" w:rsidTr="00E1168B">
        <w:trPr>
          <w:trHeight w:val="145"/>
        </w:trPr>
        <w:tc>
          <w:tcPr>
            <w:tcW w:w="1806" w:type="dxa"/>
            <w:shd w:val="clear" w:color="auto" w:fill="auto"/>
            <w:tcMar>
              <w:left w:w="0" w:type="dxa"/>
            </w:tcMar>
          </w:tcPr>
          <w:p w14:paraId="5148A370" w14:textId="77777777" w:rsidR="00640E6B" w:rsidRDefault="00640E6B" w:rsidP="00E1168B">
            <w:pPr>
              <w:pStyle w:val="Marginlie"/>
            </w:pPr>
            <w:r>
              <w:t>Klesala spotřeba domácností. Vládní instituce své výdaje meziročně navýšily.</w:t>
            </w:r>
          </w:p>
        </w:tc>
        <w:tc>
          <w:tcPr>
            <w:tcW w:w="223" w:type="dxa"/>
            <w:shd w:val="clear" w:color="auto" w:fill="auto"/>
            <w:tcMar>
              <w:left w:w="0" w:type="dxa"/>
            </w:tcMar>
          </w:tcPr>
          <w:p w14:paraId="6AB2D82D" w14:textId="77777777" w:rsidR="00640E6B" w:rsidRDefault="00640E6B" w:rsidP="00E1168B">
            <w:pPr>
              <w:pStyle w:val="Textpoznpodarou"/>
              <w:jc w:val="both"/>
              <w:rPr>
                <w:spacing w:val="-4"/>
              </w:rPr>
            </w:pPr>
          </w:p>
        </w:tc>
        <w:tc>
          <w:tcPr>
            <w:tcW w:w="7610" w:type="dxa"/>
            <w:shd w:val="clear" w:color="auto" w:fill="auto"/>
            <w:tcMar>
              <w:left w:w="0" w:type="dxa"/>
            </w:tcMar>
          </w:tcPr>
          <w:p w14:paraId="6A1C240A" w14:textId="77777777" w:rsidR="00640E6B" w:rsidRDefault="00640E6B" w:rsidP="00E1168B">
            <w:r>
              <w:t xml:space="preserve">Celkový meziroční pokles domácí spotřeby dosáhl 4,8 % a její příspěvek ve směru poklesu HDP činil 1,6 p. b. Spotřeba se meziročně snížila poprvé od 4. čtvrtletí 2012. Klesala výhradně spotřeba domácností, které měly vzhledem k zavedeným opatřením omezené možnosti, kde a za co utrácet. Meziroční pokles spotřeby domácností tak činil </w:t>
            </w:r>
            <w:r>
              <w:lastRenderedPageBreak/>
              <w:t>7,6 % a šlo o nejhlubší zaznamenaný propad. Spotřeba sektoru vládních institucí naopak meziročně vzrostla o 1,8 %. Mezičtvrtletní pokles celkové spotřeby činil 4,8 %. Hluboký propad se týkal domácností (–6,3 %), poklesla ale rovněž vládní spotřeba</w:t>
            </w:r>
            <w:r>
              <w:br/>
              <w:t>(–1,5 %). Vývoj spotřeby z hlediska trvanlivosti</w:t>
            </w:r>
            <w:r>
              <w:rPr>
                <w:rStyle w:val="Znakapoznpodarou"/>
              </w:rPr>
              <w:footnoteReference w:id="9"/>
            </w:r>
            <w:r>
              <w:t xml:space="preserve"> zcela odrážel situaci v ekonomice. Výdaje na předměty krátkodobé spotřeby se meziročně snížily poměrně mírně – o 1,7 %. Uzavření velké části prodejen se zbytným zbožím pak mimo jiné vedlo k velkým propadům spotřeby statků dlouhodobé spotřeby (–12,2 %) a střednědobé spotřeby (–25,0 %). Spotřeba služeb se ve 2. čtvrtletí propadla o 13,8 %.</w:t>
            </w:r>
          </w:p>
        </w:tc>
      </w:tr>
      <w:tr w:rsidR="00640E6B" w:rsidRPr="009110F7" w14:paraId="57B573A6" w14:textId="77777777" w:rsidTr="00E1168B">
        <w:trPr>
          <w:trHeight w:val="145"/>
        </w:trPr>
        <w:tc>
          <w:tcPr>
            <w:tcW w:w="1806" w:type="dxa"/>
            <w:shd w:val="clear" w:color="auto" w:fill="auto"/>
            <w:tcMar>
              <w:left w:w="0" w:type="dxa"/>
            </w:tcMar>
          </w:tcPr>
          <w:p w14:paraId="08844F97" w14:textId="77777777" w:rsidR="00640E6B" w:rsidRDefault="00640E6B" w:rsidP="00E1168B">
            <w:pPr>
              <w:pStyle w:val="Marginlie"/>
            </w:pPr>
            <w:r>
              <w:lastRenderedPageBreak/>
              <w:t>Investiční aktivita se meziročně propadla, ale mezičtvrtletně došlo k mírnému nárůstu.</w:t>
            </w:r>
          </w:p>
        </w:tc>
        <w:tc>
          <w:tcPr>
            <w:tcW w:w="223" w:type="dxa"/>
            <w:shd w:val="clear" w:color="auto" w:fill="auto"/>
            <w:tcMar>
              <w:left w:w="0" w:type="dxa"/>
            </w:tcMar>
          </w:tcPr>
          <w:p w14:paraId="56EE1245" w14:textId="77777777" w:rsidR="00640E6B" w:rsidRDefault="00640E6B" w:rsidP="00E1168B">
            <w:pPr>
              <w:pStyle w:val="Textpoznpodarou"/>
              <w:jc w:val="both"/>
              <w:rPr>
                <w:spacing w:val="-4"/>
              </w:rPr>
            </w:pPr>
          </w:p>
        </w:tc>
        <w:tc>
          <w:tcPr>
            <w:tcW w:w="7610" w:type="dxa"/>
            <w:shd w:val="clear" w:color="auto" w:fill="auto"/>
            <w:tcMar>
              <w:left w:w="0" w:type="dxa"/>
            </w:tcMar>
          </w:tcPr>
          <w:p w14:paraId="063FC6AC" w14:textId="77777777" w:rsidR="00640E6B" w:rsidRDefault="00640E6B" w:rsidP="00E1168B">
            <w:r>
              <w:t>Výdaje na tvorbu hrubého kapitálu ve 2. čtvrtletí meziročně klesly o 10,2 % a k celkovému propadu HDP přispěly 1,5 p. b. Z toho výdaje na tvorbu hrubého fixního kapitálu meziročně klesly o 4,8 %. Negativně působily zásoby. Mezičtvrtletní vývoj podal optimističtější obraz o investiční aktivitě. Zatímco výdaje na hrubý kapitál se ve srovnání s 1. čtvrtletím snížily o 8,5 %, investiční aktivita (hrubý fixní kapitál) vzrostla o 0,9 %. Analýza věcného členění investiční aktivity ukázala, že jedinou investiční kategorií, kde výdaje meziročně vzrostly, byly ostatní budovy a stavby (6,7 %)</w:t>
            </w:r>
            <w:r w:rsidRPr="009110F7">
              <w:rPr>
                <w:rStyle w:val="Znakapoznpodarou"/>
              </w:rPr>
              <w:footnoteReference w:id="10"/>
            </w:r>
            <w:r>
              <w:t>. U ostatních kategorií naopak došlo k propadu. Nejvíce klesaly investice do dopravních prostředků a zařízení (–19,5 %) a ICT a ostatních strojů a zařízení (–12,3 %). Mírný meziroční pokles se pak dotkl produktů duševního vlastnictví (–1,3 %) a obydlí</w:t>
            </w:r>
            <w:r>
              <w:br/>
              <w:t>(–0,3 %). Z věcné skladby investic lze nepřímo usuzovat, že nejméně narušena byla investiční aktivita sektoru vládních institucí (ostatní budovy a stavby). Naopak nefinanční podniky byly vzhledem k situaci v oblasti investic pravděpodobně zdrženlivější (stroje, dopravní prostředky).</w:t>
            </w:r>
          </w:p>
        </w:tc>
      </w:tr>
      <w:tr w:rsidR="00640E6B" w:rsidRPr="009110F7" w14:paraId="4C056619" w14:textId="77777777" w:rsidTr="00E1168B">
        <w:trPr>
          <w:trHeight w:val="145"/>
        </w:trPr>
        <w:tc>
          <w:tcPr>
            <w:tcW w:w="1806" w:type="dxa"/>
            <w:shd w:val="clear" w:color="auto" w:fill="auto"/>
            <w:tcMar>
              <w:left w:w="0" w:type="dxa"/>
            </w:tcMar>
          </w:tcPr>
          <w:p w14:paraId="672285DD" w14:textId="77777777" w:rsidR="00640E6B" w:rsidRDefault="00640E6B" w:rsidP="00E1168B">
            <w:pPr>
              <w:pStyle w:val="Marginlie"/>
            </w:pPr>
            <w:r>
              <w:t>Zahraniční obchod byl krizí silně zasažen. Bilance obchodu se zbožím i službami se rekordně zhoršila.</w:t>
            </w:r>
          </w:p>
        </w:tc>
        <w:tc>
          <w:tcPr>
            <w:tcW w:w="223" w:type="dxa"/>
            <w:shd w:val="clear" w:color="auto" w:fill="auto"/>
            <w:tcMar>
              <w:left w:w="0" w:type="dxa"/>
            </w:tcMar>
          </w:tcPr>
          <w:p w14:paraId="327651F8" w14:textId="77777777" w:rsidR="00640E6B" w:rsidRDefault="00640E6B" w:rsidP="00E1168B">
            <w:pPr>
              <w:pStyle w:val="Textpoznpodarou"/>
              <w:jc w:val="both"/>
              <w:rPr>
                <w:spacing w:val="-4"/>
              </w:rPr>
            </w:pPr>
          </w:p>
        </w:tc>
        <w:tc>
          <w:tcPr>
            <w:tcW w:w="7610" w:type="dxa"/>
            <w:shd w:val="clear" w:color="auto" w:fill="auto"/>
            <w:tcMar>
              <w:left w:w="0" w:type="dxa"/>
            </w:tcMar>
          </w:tcPr>
          <w:p w14:paraId="0033530A" w14:textId="77777777" w:rsidR="00640E6B" w:rsidRDefault="00640E6B" w:rsidP="00E1168B">
            <w:r>
              <w:t>Vývoz i dovoz zboží a služeb ve 2. čtvrtletí výrazně reálně klesaly. Meziroční propad vývozu dosáhl 23,3 %, u dovozu to bylo 18,2 %. Bilance zahraničního obchodu se zbožím a službami</w:t>
            </w:r>
            <w:r w:rsidRPr="009110F7">
              <w:rPr>
                <w:rStyle w:val="Znakapoznpodarou"/>
              </w:rPr>
              <w:footnoteReference w:id="11"/>
            </w:r>
            <w:r>
              <w:t xml:space="preserve"> tak ve 2. čtvrtletí sice dosáhla přebytku 44,1 mld. korun, šlo ale o nejhorší výsledek za 2. kvartál od roku 2012. Kladné saldo se meziročně snížilo o 56,5 mld. korun. Výrazně negativní dopad vývoje bilance na meziroční růst HDP byl zesílen i srovnáním s mimořádně úspěšným 2. čtvrtletím 2019 (přebytek dosáhl 100,6 mld.). Propadl se zejména přebytek obchodu se zbožím (22,0 mld. korun, pokles o 47,9 mld.), ale klesalo i kladné saldo obchodu se službami (22,2 mld., pokles o 8,5 mld.). Bilance služeb naposledy překonala zboží ve 3. čtvrtletí 2011.</w:t>
            </w:r>
          </w:p>
        </w:tc>
      </w:tr>
      <w:tr w:rsidR="00640E6B" w:rsidRPr="009110F7" w14:paraId="22CA299B" w14:textId="77777777" w:rsidTr="00E1168B">
        <w:trPr>
          <w:trHeight w:val="145"/>
        </w:trPr>
        <w:tc>
          <w:tcPr>
            <w:tcW w:w="1806" w:type="dxa"/>
            <w:shd w:val="clear" w:color="auto" w:fill="auto"/>
            <w:tcMar>
              <w:left w:w="0" w:type="dxa"/>
            </w:tcMar>
          </w:tcPr>
          <w:p w14:paraId="062AA128" w14:textId="77777777" w:rsidR="00640E6B" w:rsidRDefault="00640E6B" w:rsidP="00E1168B">
            <w:pPr>
              <w:pStyle w:val="Marginlie"/>
            </w:pPr>
            <w:r>
              <w:t>Opatření přímo cílila na část služeb, což se podepsalo na prudkém poklesu jejich HPH.</w:t>
            </w:r>
          </w:p>
        </w:tc>
        <w:tc>
          <w:tcPr>
            <w:tcW w:w="223" w:type="dxa"/>
            <w:shd w:val="clear" w:color="auto" w:fill="auto"/>
            <w:tcMar>
              <w:left w:w="0" w:type="dxa"/>
            </w:tcMar>
          </w:tcPr>
          <w:p w14:paraId="2C7535C1" w14:textId="77777777" w:rsidR="00640E6B" w:rsidRDefault="00640E6B" w:rsidP="00E1168B">
            <w:pPr>
              <w:pStyle w:val="Textpoznpodarou"/>
              <w:jc w:val="both"/>
              <w:rPr>
                <w:spacing w:val="-4"/>
              </w:rPr>
            </w:pPr>
          </w:p>
        </w:tc>
        <w:tc>
          <w:tcPr>
            <w:tcW w:w="7610" w:type="dxa"/>
            <w:shd w:val="clear" w:color="auto" w:fill="auto"/>
            <w:tcMar>
              <w:left w:w="0" w:type="dxa"/>
            </w:tcMar>
          </w:tcPr>
          <w:p w14:paraId="279BE5C3" w14:textId="77777777" w:rsidR="00640E6B" w:rsidRPr="00F93F2C" w:rsidRDefault="00640E6B" w:rsidP="00E1168B">
            <w:r>
              <w:t>Hrubá přidaná hodnota (HPH) se ve 2. čtvrtletí meziročně propadla o 10,9 %. Pokles se přitom týkal většiny odvětví. Ve srovnání s předchozím čtvrtletím se HPH snížila o 9,4 %. Zasažena byla většina odvětví služeb i průmyslu. Obzvlášť silný byl meziroční propad HPH v uskupení obchod, doprava, ubytování a pohostinství (–20,5 %, příspěvek k celkovému poklesu HPH činil 3,8 p. b.). Šlo o obory, kterých se přímo dotýkaly restrikce cílící na zpomalení šíření nákazy. Výrazně zasažen byl také zpracovatelský průmysl (–18,2 %, vliv na celkový růst HDP –4,6 p. b.). Zde byla výroba omezena z rozhodnutí samotných výrobců, zčásti kvůli snadnějšímu dodržování epidemiologických opatření, svou roli ale hrálo i omezení poptávky ze strany domácích i zahraničních odběratelů.</w:t>
            </w:r>
          </w:p>
        </w:tc>
      </w:tr>
      <w:tr w:rsidR="00640E6B" w:rsidRPr="009110F7" w14:paraId="02CBCD59" w14:textId="77777777" w:rsidTr="00E1168B">
        <w:trPr>
          <w:trHeight w:val="145"/>
        </w:trPr>
        <w:tc>
          <w:tcPr>
            <w:tcW w:w="1806" w:type="dxa"/>
            <w:shd w:val="clear" w:color="auto" w:fill="auto"/>
            <w:tcMar>
              <w:left w:w="0" w:type="dxa"/>
            </w:tcMar>
          </w:tcPr>
          <w:p w14:paraId="40AAE8E3" w14:textId="77777777" w:rsidR="00640E6B" w:rsidRDefault="00640E6B" w:rsidP="00E1168B">
            <w:pPr>
              <w:pStyle w:val="Marginlie"/>
            </w:pPr>
            <w:r>
              <w:t>HPH v informačních a komunikačních činnostech meziročně vzrostla.</w:t>
            </w:r>
          </w:p>
        </w:tc>
        <w:tc>
          <w:tcPr>
            <w:tcW w:w="223" w:type="dxa"/>
            <w:shd w:val="clear" w:color="auto" w:fill="auto"/>
            <w:tcMar>
              <w:left w:w="0" w:type="dxa"/>
            </w:tcMar>
          </w:tcPr>
          <w:p w14:paraId="77B5348A" w14:textId="77777777" w:rsidR="00640E6B" w:rsidRDefault="00640E6B" w:rsidP="00E1168B">
            <w:pPr>
              <w:pStyle w:val="Textpoznpodarou"/>
              <w:jc w:val="both"/>
              <w:rPr>
                <w:spacing w:val="-4"/>
              </w:rPr>
            </w:pPr>
          </w:p>
        </w:tc>
        <w:tc>
          <w:tcPr>
            <w:tcW w:w="7610" w:type="dxa"/>
            <w:shd w:val="clear" w:color="auto" w:fill="auto"/>
            <w:tcMar>
              <w:left w:w="0" w:type="dxa"/>
            </w:tcMar>
          </w:tcPr>
          <w:p w14:paraId="7DAD776F" w14:textId="05F144FB" w:rsidR="00640E6B" w:rsidRDefault="00640E6B" w:rsidP="006878C6">
            <w:r>
              <w:t>Pokles HPH v ostatních odvětvích byl spíše výsledkem zastavení společenského i ekonomického provozu. Snížení HPH v profesních, vědeckých a technických činnostech činilo 6,4 % a bylo první od 3. kvartálu 2011 (vliv na pokles HPH –0,</w:t>
            </w:r>
            <w:r w:rsidR="006878C6">
              <w:t>5</w:t>
            </w:r>
            <w:r>
              <w:t xml:space="preserve"> p. b.). Hrubá přidaná hodnota v peněžnictví a pojišťovnictví ve 2. čtvrtletí meziročně klesla o 5,1 %. Činnosti v oblasti nemovitostí zaznamenaly čtvrtý pokles v řadě (–3,1 %). Navzdory celkové situaci si naopak meziroční růst HPH udržovaly informační </w:t>
            </w:r>
            <w:r>
              <w:lastRenderedPageBreak/>
              <w:t>a komunikační činnosti (1,1 %) a zčásti tak potvrdily svou nezbytnou roli. Výrazně se snížila HPH ve stavebnictví (–6,2 %), jehož část se potýkala zejména s nedostatkem pracovní síly, především té zahraniční. Naopak rostla HPH v zemědělství, lesnictví a rybářství (1,0 %).</w:t>
            </w:r>
          </w:p>
        </w:tc>
      </w:tr>
      <w:tr w:rsidR="00640E6B" w:rsidRPr="009110F7" w14:paraId="7A4E8BB5" w14:textId="77777777" w:rsidTr="00E1168B">
        <w:trPr>
          <w:trHeight w:val="170"/>
        </w:trPr>
        <w:tc>
          <w:tcPr>
            <w:tcW w:w="1806" w:type="dxa"/>
            <w:vMerge w:val="restart"/>
            <w:shd w:val="clear" w:color="auto" w:fill="auto"/>
            <w:tcMar>
              <w:left w:w="0" w:type="dxa"/>
            </w:tcMar>
          </w:tcPr>
          <w:p w14:paraId="5F9171B9" w14:textId="77777777" w:rsidR="00640E6B" w:rsidRDefault="00640E6B" w:rsidP="00E1168B">
            <w:pPr>
              <w:pStyle w:val="Marginlie"/>
            </w:pPr>
          </w:p>
        </w:tc>
        <w:tc>
          <w:tcPr>
            <w:tcW w:w="223" w:type="dxa"/>
            <w:vMerge w:val="restart"/>
            <w:shd w:val="clear" w:color="auto" w:fill="auto"/>
            <w:tcMar>
              <w:left w:w="0" w:type="dxa"/>
            </w:tcMar>
          </w:tcPr>
          <w:p w14:paraId="69C4AE5C" w14:textId="77777777" w:rsidR="00640E6B" w:rsidRDefault="00640E6B" w:rsidP="00E1168B">
            <w:pPr>
              <w:pStyle w:val="Textpoznpodarou"/>
              <w:jc w:val="both"/>
              <w:rPr>
                <w:spacing w:val="-4"/>
              </w:rPr>
            </w:pPr>
          </w:p>
        </w:tc>
        <w:tc>
          <w:tcPr>
            <w:tcW w:w="7610" w:type="dxa"/>
            <w:shd w:val="clear" w:color="auto" w:fill="auto"/>
            <w:tcMar>
              <w:left w:w="0" w:type="dxa"/>
            </w:tcMar>
          </w:tcPr>
          <w:p w14:paraId="3961DC55" w14:textId="77777777" w:rsidR="00640E6B" w:rsidRPr="001208E3" w:rsidRDefault="00640E6B" w:rsidP="00E1168B">
            <w:pPr>
              <w:spacing w:after="0"/>
              <w:rPr>
                <w:szCs w:val="20"/>
              </w:rPr>
            </w:pPr>
            <w:r>
              <w:rPr>
                <w:b/>
                <w:sz w:val="18"/>
                <w:szCs w:val="18"/>
              </w:rPr>
              <w:t xml:space="preserve">Graf č. 3  </w:t>
            </w:r>
            <w:r w:rsidRPr="00663018">
              <w:rPr>
                <w:rFonts w:cs="Arial"/>
                <w:b/>
                <w:sz w:val="18"/>
                <w:szCs w:val="18"/>
                <w:lang w:eastAsia="en-US"/>
              </w:rPr>
              <w:t>Příspěvky odvětví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 xml:space="preserve">změně HPH </w:t>
            </w:r>
            <w:r w:rsidRPr="00363CF2">
              <w:rPr>
                <w:rFonts w:cs="Arial"/>
                <w:bCs/>
                <w:sz w:val="18"/>
                <w:szCs w:val="18"/>
                <w:lang w:eastAsia="en-US"/>
              </w:rPr>
              <w:t>(objemové indexy, meziroční příspěvky v p. b., HPH v %)</w:t>
            </w:r>
          </w:p>
        </w:tc>
      </w:tr>
      <w:tr w:rsidR="00640E6B" w:rsidRPr="009110F7" w14:paraId="7BF6D6F9" w14:textId="77777777" w:rsidTr="00E1168B">
        <w:tblPrEx>
          <w:tblCellMar>
            <w:left w:w="70" w:type="dxa"/>
            <w:right w:w="70" w:type="dxa"/>
          </w:tblCellMar>
        </w:tblPrEx>
        <w:trPr>
          <w:trHeight w:val="170"/>
        </w:trPr>
        <w:tc>
          <w:tcPr>
            <w:tcW w:w="1806" w:type="dxa"/>
            <w:vMerge/>
            <w:shd w:val="clear" w:color="auto" w:fill="auto"/>
          </w:tcPr>
          <w:p w14:paraId="32528EFF" w14:textId="77777777" w:rsidR="00640E6B" w:rsidRPr="009110F7" w:rsidRDefault="00640E6B" w:rsidP="00E1168B">
            <w:pPr>
              <w:pStyle w:val="Marginlie"/>
            </w:pPr>
          </w:p>
        </w:tc>
        <w:tc>
          <w:tcPr>
            <w:tcW w:w="223" w:type="dxa"/>
            <w:vMerge/>
            <w:shd w:val="clear" w:color="auto" w:fill="auto"/>
          </w:tcPr>
          <w:p w14:paraId="2444AA60" w14:textId="77777777" w:rsidR="00640E6B" w:rsidRPr="009110F7" w:rsidRDefault="00640E6B" w:rsidP="00E1168B">
            <w:pPr>
              <w:pStyle w:val="Textpoznpodarou"/>
              <w:jc w:val="both"/>
              <w:rPr>
                <w:spacing w:val="-4"/>
              </w:rPr>
            </w:pPr>
          </w:p>
        </w:tc>
        <w:tc>
          <w:tcPr>
            <w:tcW w:w="7610" w:type="dxa"/>
            <w:shd w:val="clear" w:color="auto" w:fill="auto"/>
          </w:tcPr>
          <w:p w14:paraId="7948E144" w14:textId="77777777" w:rsidR="00640E6B" w:rsidRPr="009110F7" w:rsidRDefault="00640E6B" w:rsidP="00E1168B">
            <w:pPr>
              <w:spacing w:after="0"/>
            </w:pPr>
            <w:r>
              <w:rPr>
                <w:noProof/>
              </w:rPr>
              <w:drawing>
                <wp:inline distT="0" distB="0" distL="0" distR="0" wp14:anchorId="13566564" wp14:editId="747C6047">
                  <wp:extent cx="4737600" cy="3553200"/>
                  <wp:effectExtent l="0" t="0" r="6350" b="0"/>
                  <wp:docPr id="42" name="Graf 4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40E6B" w:rsidRPr="009110F7" w14:paraId="24F62C49" w14:textId="77777777" w:rsidTr="00E1168B">
        <w:trPr>
          <w:trHeight w:val="170"/>
        </w:trPr>
        <w:tc>
          <w:tcPr>
            <w:tcW w:w="1806" w:type="dxa"/>
            <w:vMerge/>
            <w:shd w:val="clear" w:color="auto" w:fill="auto"/>
            <w:tcMar>
              <w:left w:w="0" w:type="dxa"/>
            </w:tcMar>
          </w:tcPr>
          <w:p w14:paraId="47A2169A" w14:textId="77777777" w:rsidR="00640E6B" w:rsidRPr="009110F7" w:rsidRDefault="00640E6B" w:rsidP="00E1168B">
            <w:pPr>
              <w:pStyle w:val="Marginlie"/>
            </w:pPr>
          </w:p>
        </w:tc>
        <w:tc>
          <w:tcPr>
            <w:tcW w:w="223" w:type="dxa"/>
            <w:vMerge/>
            <w:shd w:val="clear" w:color="auto" w:fill="auto"/>
            <w:tcMar>
              <w:left w:w="0" w:type="dxa"/>
            </w:tcMar>
          </w:tcPr>
          <w:p w14:paraId="3049ED6F" w14:textId="77777777" w:rsidR="00640E6B" w:rsidRPr="009110F7" w:rsidRDefault="00640E6B" w:rsidP="00E1168B">
            <w:pPr>
              <w:pStyle w:val="Textpoznpodarou"/>
              <w:jc w:val="both"/>
              <w:rPr>
                <w:spacing w:val="-4"/>
              </w:rPr>
            </w:pPr>
          </w:p>
        </w:tc>
        <w:tc>
          <w:tcPr>
            <w:tcW w:w="7610" w:type="dxa"/>
            <w:shd w:val="clear" w:color="auto" w:fill="auto"/>
            <w:tcMar>
              <w:left w:w="0" w:type="dxa"/>
            </w:tcMar>
          </w:tcPr>
          <w:p w14:paraId="1F268CD9" w14:textId="77777777" w:rsidR="00640E6B" w:rsidRPr="009110F7" w:rsidRDefault="00640E6B" w:rsidP="00E1168B">
            <w:pPr>
              <w:rPr>
                <w:sz w:val="14"/>
                <w:szCs w:val="14"/>
              </w:rPr>
            </w:pPr>
            <w:r w:rsidRPr="00A85DE1">
              <w:rPr>
                <w:sz w:val="14"/>
                <w:szCs w:val="14"/>
              </w:rPr>
              <w:t>Zdroj: ČSÚ</w:t>
            </w:r>
          </w:p>
        </w:tc>
      </w:tr>
    </w:tbl>
    <w:p w14:paraId="130DC2FD" w14:textId="77777777" w:rsidR="00640E6B" w:rsidRPr="00C41D54" w:rsidRDefault="00640E6B" w:rsidP="00640E6B">
      <w:pPr>
        <w:pStyle w:val="Nadpis11"/>
        <w:rPr>
          <w:b w:val="0"/>
          <w:sz w:val="2"/>
          <w:szCs w:val="2"/>
          <w:highlight w:val="yellow"/>
        </w:rPr>
      </w:pPr>
    </w:p>
    <w:p w14:paraId="61374777" w14:textId="378137DA" w:rsidR="0085334C" w:rsidRDefault="0085334C" w:rsidP="0085334C">
      <w:pPr>
        <w:pStyle w:val="Nadpis11"/>
        <w:rPr>
          <w:b w:val="0"/>
          <w:sz w:val="2"/>
          <w:szCs w:val="2"/>
          <w:highlight w:val="yellow"/>
        </w:rPr>
      </w:pPr>
    </w:p>
    <w:p w14:paraId="6A57706F" w14:textId="2FBE442A" w:rsidR="0085334C" w:rsidRPr="00DA3ADF" w:rsidRDefault="0085334C" w:rsidP="00DA3ADF">
      <w:pPr>
        <w:spacing w:after="0" w:line="240" w:lineRule="auto"/>
        <w:jc w:val="left"/>
        <w:rPr>
          <w:rFonts w:eastAsia="MS Gothic"/>
          <w:bCs/>
          <w:color w:val="71818C"/>
          <w:sz w:val="2"/>
          <w:szCs w:val="2"/>
          <w:highlight w:val="yellow"/>
        </w:rPr>
      </w:pPr>
      <w:r>
        <w:rPr>
          <w:b/>
          <w:sz w:val="2"/>
          <w:szCs w:val="2"/>
          <w:highlight w:val="yellow"/>
        </w:rPr>
        <w:br w:type="page"/>
      </w:r>
    </w:p>
    <w:tbl>
      <w:tblPr>
        <w:tblW w:w="9644" w:type="dxa"/>
        <w:tblInd w:w="-15" w:type="dxa"/>
        <w:tblCellMar>
          <w:left w:w="0" w:type="dxa"/>
          <w:right w:w="0" w:type="dxa"/>
        </w:tblCellMar>
        <w:tblLook w:val="00A0" w:firstRow="1" w:lastRow="0" w:firstColumn="1" w:lastColumn="0" w:noHBand="0" w:noVBand="0"/>
      </w:tblPr>
      <w:tblGrid>
        <w:gridCol w:w="9641"/>
        <w:gridCol w:w="6"/>
        <w:gridCol w:w="6"/>
      </w:tblGrid>
      <w:tr w:rsidR="0002669F" w:rsidRPr="0085334C" w14:paraId="4A1707A4" w14:textId="77777777" w:rsidTr="00DA3ADF">
        <w:trPr>
          <w:trHeight w:val="866"/>
        </w:trPr>
        <w:tc>
          <w:tcPr>
            <w:tcW w:w="1744" w:type="dxa"/>
            <w:shd w:val="clear" w:color="auto" w:fill="auto"/>
            <w:tcMar>
              <w:left w:w="0" w:type="dxa"/>
            </w:tcMar>
          </w:tcPr>
          <w:tbl>
            <w:tblPr>
              <w:tblW w:w="9653" w:type="dxa"/>
              <w:tblCellMar>
                <w:left w:w="0" w:type="dxa"/>
                <w:right w:w="0" w:type="dxa"/>
              </w:tblCellMar>
              <w:tblLook w:val="00A0" w:firstRow="1" w:lastRow="0" w:firstColumn="1" w:lastColumn="0" w:noHBand="0" w:noVBand="0"/>
            </w:tblPr>
            <w:tblGrid>
              <w:gridCol w:w="9629"/>
              <w:gridCol w:w="6"/>
              <w:gridCol w:w="6"/>
            </w:tblGrid>
            <w:tr w:rsidR="004A0D0E" w:rsidRPr="0085334C" w14:paraId="16B2F609" w14:textId="77777777" w:rsidTr="0026300B">
              <w:trPr>
                <w:trHeight w:val="866"/>
              </w:trPr>
              <w:tc>
                <w:tcPr>
                  <w:tcW w:w="9641" w:type="dxa"/>
                  <w:shd w:val="clear" w:color="auto" w:fill="auto"/>
                  <w:tcMar>
                    <w:left w:w="0" w:type="dxa"/>
                  </w:tcMar>
                </w:tcPr>
                <w:p w14:paraId="420E6275" w14:textId="77777777" w:rsidR="004A0D0E" w:rsidRDefault="004A0D0E" w:rsidP="004A0D0E">
                  <w:pPr>
                    <w:pStyle w:val="Nadpis11"/>
                  </w:pPr>
                  <w:bookmarkStart w:id="7" w:name="_Toc37403642"/>
                  <w:bookmarkStart w:id="8" w:name="_Toc50712127"/>
                  <w:r w:rsidRPr="009F2921">
                    <w:lastRenderedPageBreak/>
                    <w:t>3. </w:t>
                  </w:r>
                  <w:bookmarkStart w:id="9" w:name="_Toc454185150"/>
                  <w:bookmarkStart w:id="10" w:name="_Toc493683635"/>
                  <w:r w:rsidRPr="009F2921">
                    <w:t>Výkonnost odvětví</w:t>
                  </w:r>
                  <w:bookmarkEnd w:id="7"/>
                  <w:bookmarkEnd w:id="8"/>
                  <w:bookmarkEnd w:id="9"/>
                  <w:bookmarkEnd w:id="10"/>
                </w:p>
                <w:tbl>
                  <w:tblPr>
                    <w:tblW w:w="9644" w:type="dxa"/>
                    <w:tblCellMar>
                      <w:left w:w="0" w:type="dxa"/>
                      <w:right w:w="0" w:type="dxa"/>
                    </w:tblCellMar>
                    <w:tblLook w:val="00A0" w:firstRow="1" w:lastRow="0" w:firstColumn="1" w:lastColumn="0" w:noHBand="0" w:noVBand="0"/>
                  </w:tblPr>
                  <w:tblGrid>
                    <w:gridCol w:w="1723"/>
                    <w:gridCol w:w="191"/>
                    <w:gridCol w:w="7730"/>
                  </w:tblGrid>
                  <w:tr w:rsidR="004A0D0E" w:rsidRPr="00DF6A33" w14:paraId="6547585E" w14:textId="77777777" w:rsidTr="0026300B">
                    <w:trPr>
                      <w:trHeight w:val="145"/>
                    </w:trPr>
                    <w:tc>
                      <w:tcPr>
                        <w:tcW w:w="1723" w:type="dxa"/>
                        <w:shd w:val="clear" w:color="auto" w:fill="auto"/>
                        <w:tcMar>
                          <w:left w:w="0" w:type="dxa"/>
                        </w:tcMar>
                      </w:tcPr>
                      <w:p w14:paraId="3CE3F78C" w14:textId="77777777" w:rsidR="004A0D0E" w:rsidRDefault="004A0D0E" w:rsidP="004A0D0E">
                        <w:pPr>
                          <w:pStyle w:val="Marginlie"/>
                        </w:pPr>
                        <w:r>
                          <w:t>Mezikvartální pokles HPH v celé ekonomice se ve 2. čtvrtletí prohloubil až na 9,4 %.</w:t>
                        </w:r>
                      </w:p>
                      <w:p w14:paraId="109C95EC" w14:textId="77777777" w:rsidR="004A0D0E" w:rsidRDefault="004A0D0E" w:rsidP="004A0D0E">
                        <w:pPr>
                          <w:pStyle w:val="Marginlie"/>
                        </w:pPr>
                      </w:p>
                      <w:p w14:paraId="62302CF7" w14:textId="77777777" w:rsidR="004A0D0E" w:rsidRDefault="004A0D0E" w:rsidP="004A0D0E">
                        <w:pPr>
                          <w:pStyle w:val="Marginlie"/>
                        </w:pPr>
                      </w:p>
                      <w:p w14:paraId="6D39DC57" w14:textId="77777777" w:rsidR="004A0D0E" w:rsidRDefault="004A0D0E" w:rsidP="004A0D0E">
                        <w:pPr>
                          <w:pStyle w:val="Marginlie"/>
                        </w:pPr>
                      </w:p>
                      <w:p w14:paraId="5FC6E2ED" w14:textId="77777777" w:rsidR="004A0D0E" w:rsidRDefault="004A0D0E" w:rsidP="004A0D0E">
                        <w:pPr>
                          <w:pStyle w:val="Marginlie"/>
                        </w:pPr>
                      </w:p>
                      <w:p w14:paraId="6BFC7889" w14:textId="77777777" w:rsidR="004A0D0E" w:rsidRDefault="004A0D0E" w:rsidP="004A0D0E">
                        <w:pPr>
                          <w:pStyle w:val="Marginlie"/>
                        </w:pPr>
                      </w:p>
                      <w:p w14:paraId="4FA902D3" w14:textId="77777777" w:rsidR="004A0D0E" w:rsidRDefault="004A0D0E" w:rsidP="004A0D0E">
                        <w:pPr>
                          <w:pStyle w:val="Marginlie"/>
                        </w:pPr>
                        <w:r>
                          <w:t>Největší meziroční útlum výkonu ekonomiky postihl v 1. pololetí hlavně státy jižního křídla eurozóny. Česko patří spíše k průměru.</w:t>
                        </w:r>
                      </w:p>
                    </w:tc>
                    <w:tc>
                      <w:tcPr>
                        <w:tcW w:w="191" w:type="dxa"/>
                        <w:shd w:val="clear" w:color="auto" w:fill="auto"/>
                        <w:tcMar>
                          <w:left w:w="0" w:type="dxa"/>
                        </w:tcMar>
                      </w:tcPr>
                      <w:p w14:paraId="21DE3797" w14:textId="77777777" w:rsidR="004A0D0E" w:rsidRDefault="004A0D0E" w:rsidP="004A0D0E">
                        <w:pPr>
                          <w:pStyle w:val="Textpoznpodarou"/>
                          <w:jc w:val="both"/>
                          <w:rPr>
                            <w:spacing w:val="-4"/>
                          </w:rPr>
                        </w:pPr>
                      </w:p>
                    </w:tc>
                    <w:tc>
                      <w:tcPr>
                        <w:tcW w:w="7730" w:type="dxa"/>
                        <w:shd w:val="clear" w:color="auto" w:fill="auto"/>
                        <w:tcMar>
                          <w:left w:w="0" w:type="dxa"/>
                        </w:tcMar>
                      </w:tcPr>
                      <w:p w14:paraId="650754A6" w14:textId="77777777" w:rsidR="004A0D0E" w:rsidRPr="007D0EE4" w:rsidRDefault="004A0D0E" w:rsidP="004A0D0E">
                        <w:pPr>
                          <w:spacing w:after="220"/>
                          <w:rPr>
                            <w:spacing w:val="-3"/>
                          </w:rPr>
                        </w:pPr>
                        <w:r w:rsidRPr="007D0EE4">
                          <w:rPr>
                            <w:spacing w:val="-3"/>
                          </w:rPr>
                          <w:t>Jestliže restriktivní protipandemická opatření tvrdě dopadla v 1.</w:t>
                        </w:r>
                        <w:r>
                          <w:rPr>
                            <w:spacing w:val="-3"/>
                          </w:rPr>
                          <w:t> čtvrtlet</w:t>
                        </w:r>
                        <w:r w:rsidRPr="007D0EE4">
                          <w:rPr>
                            <w:spacing w:val="-3"/>
                          </w:rPr>
                          <w:t xml:space="preserve">í 2020 primárně na odvětví těsně navázaná na cestovní ruch, během následujícího kvartálu již </w:t>
                        </w:r>
                        <w:r>
                          <w:rPr>
                            <w:spacing w:val="-3"/>
                          </w:rPr>
                          <w:t>dokázala</w:t>
                        </w:r>
                        <w:r w:rsidRPr="007D0EE4">
                          <w:rPr>
                            <w:spacing w:val="-3"/>
                          </w:rPr>
                          <w:t xml:space="preserve"> na několik týdnů fakticky paralyzovat velkou část ekonomiky. Hrubá přidaná hodnota (HPH)</w:t>
                        </w:r>
                        <w:r w:rsidRPr="007D0EE4">
                          <w:rPr>
                            <w:rStyle w:val="Znakapoznpodarou"/>
                            <w:spacing w:val="-3"/>
                          </w:rPr>
                          <w:footnoteReference w:id="12"/>
                        </w:r>
                        <w:r w:rsidRPr="007D0EE4">
                          <w:rPr>
                            <w:spacing w:val="-3"/>
                          </w:rPr>
                          <w:t xml:space="preserve"> tak mezikvartálně propadla o</w:t>
                        </w:r>
                        <w:r>
                          <w:rPr>
                            <w:spacing w:val="-3"/>
                          </w:rPr>
                          <w:t> </w:t>
                        </w:r>
                        <w:r w:rsidRPr="007D0EE4">
                          <w:rPr>
                            <w:spacing w:val="-3"/>
                          </w:rPr>
                          <w:t>rekordních 9,4</w:t>
                        </w:r>
                        <w:r>
                          <w:rPr>
                            <w:spacing w:val="-3"/>
                          </w:rPr>
                          <w:t> %</w:t>
                        </w:r>
                        <w:r w:rsidRPr="007D0EE4">
                          <w:rPr>
                            <w:spacing w:val="-3"/>
                          </w:rPr>
                          <w:t xml:space="preserve"> a</w:t>
                        </w:r>
                        <w:r>
                          <w:rPr>
                            <w:spacing w:val="-3"/>
                          </w:rPr>
                          <w:t> </w:t>
                        </w:r>
                        <w:r w:rsidRPr="007D0EE4">
                          <w:rPr>
                            <w:spacing w:val="-3"/>
                          </w:rPr>
                          <w:t>citelně prohloubila svůj pokles z 1.</w:t>
                        </w:r>
                        <w:r>
                          <w:rPr>
                            <w:spacing w:val="-3"/>
                          </w:rPr>
                          <w:t> čtvrtlet</w:t>
                        </w:r>
                        <w:r w:rsidRPr="007D0EE4">
                          <w:rPr>
                            <w:spacing w:val="-3"/>
                          </w:rPr>
                          <w:t>í (</w:t>
                        </w:r>
                        <w:r w:rsidRPr="007D0EE4">
                          <w:rPr>
                            <w:color w:val="000000" w:themeColor="text1"/>
                            <w:spacing w:val="-3"/>
                          </w:rPr>
                          <w:t>–</w:t>
                        </w:r>
                        <w:r w:rsidRPr="007D0EE4">
                          <w:rPr>
                            <w:spacing w:val="-3"/>
                          </w:rPr>
                          <w:t>2,4</w:t>
                        </w:r>
                        <w:r>
                          <w:rPr>
                            <w:spacing w:val="-3"/>
                          </w:rPr>
                          <w:t> %</w:t>
                        </w:r>
                        <w:r w:rsidRPr="007D0EE4">
                          <w:rPr>
                            <w:spacing w:val="-3"/>
                          </w:rPr>
                          <w:t>). V</w:t>
                        </w:r>
                        <w:r>
                          <w:rPr>
                            <w:spacing w:val="-3"/>
                          </w:rPr>
                          <w:t> </w:t>
                        </w:r>
                        <w:r w:rsidRPr="007D0EE4">
                          <w:rPr>
                            <w:spacing w:val="-3"/>
                          </w:rPr>
                          <w:t>meziročním vyjádření se HPH v</w:t>
                        </w:r>
                        <w:r>
                          <w:rPr>
                            <w:spacing w:val="-3"/>
                          </w:rPr>
                          <w:t> </w:t>
                        </w:r>
                        <w:r w:rsidRPr="007D0EE4">
                          <w:rPr>
                            <w:spacing w:val="-3"/>
                          </w:rPr>
                          <w:t>celém 1.</w:t>
                        </w:r>
                        <w:r>
                          <w:rPr>
                            <w:spacing w:val="-3"/>
                          </w:rPr>
                          <w:t> pololet</w:t>
                        </w:r>
                        <w:r w:rsidRPr="007D0EE4">
                          <w:rPr>
                            <w:spacing w:val="-3"/>
                          </w:rPr>
                          <w:t>í snížila o</w:t>
                        </w:r>
                        <w:r>
                          <w:rPr>
                            <w:spacing w:val="-3"/>
                          </w:rPr>
                          <w:t> </w:t>
                        </w:r>
                        <w:r w:rsidRPr="007D0EE4">
                          <w:rPr>
                            <w:spacing w:val="-3"/>
                          </w:rPr>
                          <w:t>6,1 % a</w:t>
                        </w:r>
                        <w:r>
                          <w:rPr>
                            <w:spacing w:val="-3"/>
                          </w:rPr>
                          <w:t> </w:t>
                        </w:r>
                        <w:r w:rsidRPr="007D0EE4">
                          <w:rPr>
                            <w:spacing w:val="-3"/>
                          </w:rPr>
                          <w:t>mírně překonala intenzitu obdobného útlumu z</w:t>
                        </w:r>
                        <w:r>
                          <w:rPr>
                            <w:spacing w:val="-3"/>
                          </w:rPr>
                          <w:t> </w:t>
                        </w:r>
                        <w:r w:rsidRPr="007D0EE4">
                          <w:rPr>
                            <w:spacing w:val="-3"/>
                          </w:rPr>
                          <w:t>první půle krizového roku 2009. Pololetní výkon řadil Česko v rámci států EU spíše k průměrným (na 12</w:t>
                        </w:r>
                        <w:r>
                          <w:rPr>
                            <w:spacing w:val="-3"/>
                          </w:rPr>
                          <w:t>. </w:t>
                        </w:r>
                        <w:r w:rsidRPr="007D0EE4">
                          <w:rPr>
                            <w:spacing w:val="-3"/>
                          </w:rPr>
                          <w:t>místo ze 23</w:t>
                        </w:r>
                        <w:r>
                          <w:rPr>
                            <w:spacing w:val="-3"/>
                          </w:rPr>
                          <w:t> </w:t>
                        </w:r>
                        <w:r w:rsidRPr="007D0EE4">
                          <w:rPr>
                            <w:spacing w:val="-3"/>
                          </w:rPr>
                          <w:t>států s dostupnými údaji</w:t>
                        </w:r>
                        <w:r w:rsidRPr="007D0EE4">
                          <w:rPr>
                            <w:rStyle w:val="Znakapoznpodarou"/>
                            <w:spacing w:val="-3"/>
                          </w:rPr>
                          <w:footnoteReference w:id="13"/>
                        </w:r>
                        <w:r w:rsidRPr="007D0EE4">
                          <w:rPr>
                            <w:spacing w:val="-3"/>
                          </w:rPr>
                          <w:t xml:space="preserve">). Nejhlubší útlum registrovaly především státy jižního křídla </w:t>
                        </w:r>
                        <w:r>
                          <w:rPr>
                            <w:spacing w:val="-3"/>
                          </w:rPr>
                          <w:t>e</w:t>
                        </w:r>
                        <w:r w:rsidRPr="007D0EE4">
                          <w:rPr>
                            <w:spacing w:val="-3"/>
                          </w:rPr>
                          <w:t>urozóny (např</w:t>
                        </w:r>
                        <w:r>
                          <w:rPr>
                            <w:spacing w:val="-3"/>
                          </w:rPr>
                          <w:t>íklad</w:t>
                        </w:r>
                        <w:r w:rsidRPr="007D0EE4">
                          <w:rPr>
                            <w:spacing w:val="-3"/>
                          </w:rPr>
                          <w:t xml:space="preserve"> Španělsko 12,9</w:t>
                        </w:r>
                        <w:r>
                          <w:rPr>
                            <w:spacing w:val="-3"/>
                          </w:rPr>
                          <w:t> %</w:t>
                        </w:r>
                        <w:r w:rsidRPr="007D0EE4">
                          <w:rPr>
                            <w:spacing w:val="-3"/>
                          </w:rPr>
                          <w:t>, Itálie</w:t>
                        </w:r>
                        <w:r>
                          <w:rPr>
                            <w:spacing w:val="-3"/>
                          </w:rPr>
                          <w:t xml:space="preserve"> </w:t>
                        </w:r>
                        <w:r w:rsidRPr="007D0EE4">
                          <w:rPr>
                            <w:spacing w:val="-3"/>
                          </w:rPr>
                          <w:t>11,8</w:t>
                        </w:r>
                        <w:r>
                          <w:rPr>
                            <w:spacing w:val="-3"/>
                          </w:rPr>
                          <w:t> %</w:t>
                        </w:r>
                        <w:r w:rsidRPr="007D0EE4">
                          <w:rPr>
                            <w:spacing w:val="-3"/>
                          </w:rPr>
                          <w:t>, Portugalsko 8,7</w:t>
                        </w:r>
                        <w:r>
                          <w:rPr>
                            <w:spacing w:val="-3"/>
                          </w:rPr>
                          <w:t> %) a také Francie</w:t>
                        </w:r>
                        <w:r w:rsidRPr="007D0EE4">
                          <w:rPr>
                            <w:spacing w:val="-3"/>
                          </w:rPr>
                          <w:t xml:space="preserve"> (12,1</w:t>
                        </w:r>
                        <w:r>
                          <w:rPr>
                            <w:spacing w:val="-3"/>
                          </w:rPr>
                          <w:t> %</w:t>
                        </w:r>
                        <w:r w:rsidRPr="007D0EE4">
                          <w:rPr>
                            <w:spacing w:val="-3"/>
                          </w:rPr>
                          <w:t>). Naopak relativn</w:t>
                        </w:r>
                        <w:r>
                          <w:rPr>
                            <w:spacing w:val="-3"/>
                          </w:rPr>
                          <w:t>ě</w:t>
                        </w:r>
                        <w:r w:rsidRPr="007D0EE4">
                          <w:rPr>
                            <w:spacing w:val="-3"/>
                          </w:rPr>
                          <w:t xml:space="preserve"> příznivé pozici se dosud těšily hlavně s</w:t>
                        </w:r>
                        <w:r>
                          <w:rPr>
                            <w:spacing w:val="-3"/>
                          </w:rPr>
                          <w:t>everské státy a rovněž většina</w:t>
                        </w:r>
                        <w:r w:rsidRPr="007D0EE4">
                          <w:rPr>
                            <w:spacing w:val="-3"/>
                          </w:rPr>
                          <w:t xml:space="preserve"> novějších </w:t>
                        </w:r>
                        <w:r w:rsidRPr="007D0EE4">
                          <w:t>členů EU (se vstupem po roce 2000), např</w:t>
                        </w:r>
                        <w:r>
                          <w:t>íklad</w:t>
                        </w:r>
                        <w:r w:rsidRPr="007D0EE4">
                          <w:t xml:space="preserve"> Litva (</w:t>
                        </w:r>
                        <w:r w:rsidRPr="007D0EE4">
                          <w:rPr>
                            <w:color w:val="000000" w:themeColor="text1"/>
                          </w:rPr>
                          <w:t>–</w:t>
                        </w:r>
                        <w:r w:rsidRPr="007D0EE4">
                          <w:t>0,8</w:t>
                        </w:r>
                        <w:r>
                          <w:t> %</w:t>
                        </w:r>
                        <w:r w:rsidRPr="007D0EE4">
                          <w:t>), Bulharsko (</w:t>
                        </w:r>
                        <w:r w:rsidRPr="007D0EE4">
                          <w:rPr>
                            <w:color w:val="000000" w:themeColor="text1"/>
                          </w:rPr>
                          <w:t>–</w:t>
                        </w:r>
                        <w:r w:rsidRPr="007D0EE4">
                          <w:t>2,7</w:t>
                        </w:r>
                        <w:r>
                          <w:t> %</w:t>
                        </w:r>
                        <w:r w:rsidRPr="007D0EE4">
                          <w:t>), Polsko (</w:t>
                        </w:r>
                        <w:r w:rsidRPr="007D0EE4">
                          <w:rPr>
                            <w:color w:val="000000" w:themeColor="text1"/>
                          </w:rPr>
                          <w:t>–</w:t>
                        </w:r>
                        <w:r w:rsidRPr="007D0EE4">
                          <w:t>3,5</w:t>
                        </w:r>
                        <w:r>
                          <w:t> %</w:t>
                        </w:r>
                        <w:r w:rsidRPr="007D0EE4">
                          <w:t>).</w:t>
                        </w:r>
                        <w:r w:rsidRPr="007D0EE4">
                          <w:rPr>
                            <w:spacing w:val="-3"/>
                          </w:rPr>
                          <w:t xml:space="preserve"> Rozdíly mezi státy vypovídají primárně o</w:t>
                        </w:r>
                        <w:r>
                          <w:rPr>
                            <w:spacing w:val="-3"/>
                          </w:rPr>
                          <w:t> </w:t>
                        </w:r>
                        <w:r w:rsidRPr="007D0EE4">
                          <w:rPr>
                            <w:spacing w:val="-3"/>
                          </w:rPr>
                          <w:t>náběhu koronavirové nákazy napříč EU, rychlosti a</w:t>
                        </w:r>
                        <w:r>
                          <w:rPr>
                            <w:spacing w:val="-3"/>
                          </w:rPr>
                          <w:t> </w:t>
                        </w:r>
                        <w:r w:rsidRPr="007D0EE4">
                          <w:rPr>
                            <w:spacing w:val="-3"/>
                          </w:rPr>
                          <w:t>intenzitě vládních restriktivních opatření a</w:t>
                        </w:r>
                        <w:r>
                          <w:rPr>
                            <w:spacing w:val="-3"/>
                          </w:rPr>
                          <w:t> </w:t>
                        </w:r>
                        <w:r w:rsidRPr="007D0EE4">
                          <w:rPr>
                            <w:spacing w:val="-3"/>
                          </w:rPr>
                          <w:t>zčásti také o odlišné odvětvové skladbě ekonomik (negativně se projevilo vyšší zastoupení odvětví s vazbou na cestovní ruch, pozitivně pak např</w:t>
                        </w:r>
                        <w:r>
                          <w:rPr>
                            <w:spacing w:val="-3"/>
                          </w:rPr>
                          <w:t>íklad</w:t>
                        </w:r>
                        <w:r w:rsidRPr="007D0EE4">
                          <w:rPr>
                            <w:spacing w:val="-3"/>
                          </w:rPr>
                          <w:t xml:space="preserve"> role veřejných služeb).</w:t>
                        </w:r>
                      </w:p>
                    </w:tc>
                  </w:tr>
                  <w:tr w:rsidR="004A0D0E" w:rsidRPr="00DF6A33" w14:paraId="5587AE4F" w14:textId="77777777" w:rsidTr="0026300B">
                    <w:trPr>
                      <w:trHeight w:val="145"/>
                    </w:trPr>
                    <w:tc>
                      <w:tcPr>
                        <w:tcW w:w="1723" w:type="dxa"/>
                        <w:shd w:val="clear" w:color="auto" w:fill="auto"/>
                        <w:tcMar>
                          <w:left w:w="0" w:type="dxa"/>
                        </w:tcMar>
                      </w:tcPr>
                      <w:p w14:paraId="7D15F5D9" w14:textId="77777777" w:rsidR="004A0D0E" w:rsidRDefault="004A0D0E" w:rsidP="004A0D0E">
                        <w:pPr>
                          <w:pStyle w:val="Marginlie"/>
                        </w:pPr>
                        <w:r>
                          <w:t>Výkon ekonomiky táhl dolů nejvíce zpracovatelský průmysl.</w:t>
                        </w:r>
                      </w:p>
                      <w:p w14:paraId="4E856EA8" w14:textId="77777777" w:rsidR="004A0D0E" w:rsidRDefault="004A0D0E" w:rsidP="004A0D0E">
                        <w:pPr>
                          <w:pStyle w:val="Marginlie"/>
                        </w:pPr>
                      </w:p>
                      <w:p w14:paraId="6FF3015D" w14:textId="77777777" w:rsidR="004A0D0E" w:rsidRDefault="004A0D0E" w:rsidP="004A0D0E">
                        <w:pPr>
                          <w:pStyle w:val="Marginlie"/>
                        </w:pPr>
                      </w:p>
                      <w:p w14:paraId="588840EC" w14:textId="77777777" w:rsidR="004A0D0E" w:rsidRDefault="004A0D0E" w:rsidP="004A0D0E">
                        <w:pPr>
                          <w:pStyle w:val="Marginlie"/>
                        </w:pPr>
                      </w:p>
                      <w:p w14:paraId="7E2F8C8D" w14:textId="77777777" w:rsidR="004A0D0E" w:rsidRDefault="004A0D0E" w:rsidP="004A0D0E">
                        <w:pPr>
                          <w:pStyle w:val="Marginlie"/>
                        </w:pPr>
                      </w:p>
                      <w:p w14:paraId="012FEFDE" w14:textId="77777777" w:rsidR="004A0D0E" w:rsidRDefault="004A0D0E" w:rsidP="004A0D0E">
                        <w:pPr>
                          <w:pStyle w:val="Marginlie"/>
                        </w:pPr>
                        <w:r>
                          <w:t>Ve stavebnictví se negativní dopady začaly projevovat s mírným zpožděním.</w:t>
                        </w:r>
                      </w:p>
                      <w:p w14:paraId="2711C7D4" w14:textId="77777777" w:rsidR="004A0D0E" w:rsidRDefault="004A0D0E" w:rsidP="004A0D0E">
                        <w:pPr>
                          <w:pStyle w:val="Marginlie"/>
                        </w:pPr>
                      </w:p>
                      <w:p w14:paraId="702BE1FC" w14:textId="77777777" w:rsidR="004A0D0E" w:rsidRDefault="004A0D0E" w:rsidP="004A0D0E">
                        <w:pPr>
                          <w:pStyle w:val="Marginlie"/>
                        </w:pPr>
                      </w:p>
                      <w:p w14:paraId="5E89814F" w14:textId="77777777" w:rsidR="004A0D0E" w:rsidRDefault="004A0D0E" w:rsidP="004A0D0E">
                        <w:pPr>
                          <w:pStyle w:val="Marginlie"/>
                        </w:pPr>
                      </w:p>
                      <w:p w14:paraId="5C32A690" w14:textId="77777777" w:rsidR="004A0D0E" w:rsidRDefault="004A0D0E" w:rsidP="004A0D0E">
                        <w:pPr>
                          <w:pStyle w:val="Marginlie"/>
                        </w:pPr>
                      </w:p>
                      <w:p w14:paraId="1E2CCD9D" w14:textId="77777777" w:rsidR="004A0D0E" w:rsidRDefault="004A0D0E" w:rsidP="004A0D0E">
                        <w:pPr>
                          <w:pStyle w:val="Marginlie"/>
                        </w:pPr>
                      </w:p>
                      <w:p w14:paraId="37D8B7B5" w14:textId="77777777" w:rsidR="004A0D0E" w:rsidRDefault="004A0D0E" w:rsidP="004A0D0E">
                        <w:pPr>
                          <w:pStyle w:val="Marginlie"/>
                        </w:pPr>
                        <w:r>
                          <w:t>K růstu výkonu v primárním sektoru pomáhala živočišná výroba i těžba dřeva.</w:t>
                        </w:r>
                      </w:p>
                      <w:p w14:paraId="100C7306" w14:textId="77777777" w:rsidR="004A0D0E" w:rsidRDefault="004A0D0E" w:rsidP="004A0D0E">
                        <w:pPr>
                          <w:pStyle w:val="Marginlie"/>
                        </w:pPr>
                      </w:p>
                    </w:tc>
                    <w:tc>
                      <w:tcPr>
                        <w:tcW w:w="191" w:type="dxa"/>
                        <w:shd w:val="clear" w:color="auto" w:fill="auto"/>
                        <w:tcMar>
                          <w:left w:w="0" w:type="dxa"/>
                        </w:tcMar>
                      </w:tcPr>
                      <w:p w14:paraId="48A55F9B" w14:textId="77777777" w:rsidR="004A0D0E" w:rsidRDefault="004A0D0E" w:rsidP="004A0D0E">
                        <w:pPr>
                          <w:pStyle w:val="Textpoznpodarou"/>
                          <w:jc w:val="both"/>
                          <w:rPr>
                            <w:spacing w:val="-4"/>
                          </w:rPr>
                        </w:pPr>
                      </w:p>
                    </w:tc>
                    <w:tc>
                      <w:tcPr>
                        <w:tcW w:w="7730" w:type="dxa"/>
                        <w:shd w:val="clear" w:color="auto" w:fill="auto"/>
                        <w:tcMar>
                          <w:left w:w="0" w:type="dxa"/>
                        </w:tcMar>
                      </w:tcPr>
                      <w:p w14:paraId="0B51A084" w14:textId="77777777" w:rsidR="004A0D0E" w:rsidRPr="0095470B" w:rsidRDefault="004A0D0E" w:rsidP="004A0D0E">
                        <w:pPr>
                          <w:spacing w:after="220"/>
                          <w:rPr>
                            <w:spacing w:val="-4"/>
                          </w:rPr>
                        </w:pPr>
                        <w:r>
                          <w:rPr>
                            <w:spacing w:val="-4"/>
                          </w:rPr>
                          <w:t>Meziroční</w:t>
                        </w:r>
                        <w:r w:rsidRPr="0012427B">
                          <w:rPr>
                            <w:spacing w:val="-4"/>
                          </w:rPr>
                          <w:t xml:space="preserve"> pokles přidané hodnoty v tuzemské ekonomice</w:t>
                        </w:r>
                        <w:r>
                          <w:rPr>
                            <w:spacing w:val="-4"/>
                          </w:rPr>
                          <w:t xml:space="preserve"> byl v 1. pololetí 2020 bezmála z poloviny výsledkem citelného propadu zpracovatelského průmyslu (příspěvek 2,7 p. b., pokles samotného odvětví o 10,6 %). Toto odvětví přitom vlivem své váhy táhlo dolů celou ekonomiku nejvíce jak v 1., tak i ve 2. letošním čtvrtletí. Více než o desetinu slabší výkon zaznamenala v 1. pololetí také nezpracovatelská průmyslová odvětví. I zde se projevil vliv několikatýdenního přerušení výroby motivovaného hygienickými opatřeními, ale i sníženou poptávkou</w:t>
                        </w:r>
                        <w:r w:rsidRPr="007D0EE4">
                          <w:rPr>
                            <w:rStyle w:val="Znakapoznpodarou"/>
                            <w:spacing w:val="-3"/>
                          </w:rPr>
                          <w:footnoteReference w:id="14"/>
                        </w:r>
                        <w:r>
                          <w:rPr>
                            <w:spacing w:val="-4"/>
                          </w:rPr>
                          <w:t>. Podstatně lépe se vyvíjelo stavebnictví, v němž zpočátku nebyly dopady nastupující hospodářské recese patrné. V 1. čtvrtletí se dokonce jeho výkon díky vysoké zásobě zakázek i příznivému počasí mírně zvýšil. Ve 2. čtvrtletí již HPH klesla (o 6,2 %). Již tak náročný administrativní proces přípravy staveb se vlivem vyhlášeného nouzového stavu dále komplikoval, řada projektů byla pozastavena. Odvětví bylo limitováno nedostatkem pracovních sil, řada pracovníků se po znovuotevření hranic vracela do Česka pomalu. Tento faktor platil i pro odvětví primárního sektoru, což se projevilo poklesem odpracovaných hodin (o více než 5 % v 1. pololetí). Navzdory tomu zde HPH rostla již třetím rokem v řadě (+4,1 %, nejvíce z 11 hlavních odvětví). Přispěla k tomu stabilizovaná situace v zemědělské prvovýrobě, jež nebyla vyjma zpřísněných hygienických opatření regulačními vlivy negativně dotčena. Výroba masa v 1. pololetí stagnovala, tuzemští producenti prodali naturálně o 5 % mléka více. Růst celého primárního sektoru podpořila i pokračující živelní těžba dřeva.</w:t>
                        </w:r>
                      </w:p>
                    </w:tc>
                  </w:tr>
                  <w:tr w:rsidR="004A0D0E" w:rsidRPr="00DF6A33" w14:paraId="6BBE239E" w14:textId="77777777" w:rsidTr="0026300B">
                    <w:trPr>
                      <w:trHeight w:val="145"/>
                    </w:trPr>
                    <w:tc>
                      <w:tcPr>
                        <w:tcW w:w="1723" w:type="dxa"/>
                        <w:shd w:val="clear" w:color="auto" w:fill="auto"/>
                        <w:tcMar>
                          <w:left w:w="0" w:type="dxa"/>
                        </w:tcMar>
                      </w:tcPr>
                      <w:p w14:paraId="5136FC0B" w14:textId="77777777" w:rsidR="004A0D0E" w:rsidRDefault="004A0D0E" w:rsidP="004A0D0E">
                        <w:pPr>
                          <w:pStyle w:val="Marginlie"/>
                          <w:rPr>
                            <w:spacing w:val="-4"/>
                          </w:rPr>
                        </w:pPr>
                        <w:r>
                          <w:t xml:space="preserve">Přidaná hodnota se nejvíce snižovala v odvětví </w:t>
                        </w:r>
                        <w:r>
                          <w:rPr>
                            <w:spacing w:val="-4"/>
                          </w:rPr>
                          <w:t>obchod, doprava, ubytování a</w:t>
                        </w:r>
                        <w:r>
                          <w:t> </w:t>
                        </w:r>
                        <w:r w:rsidRPr="0012427B">
                          <w:rPr>
                            <w:spacing w:val="-4"/>
                          </w:rPr>
                          <w:t>pohostinství</w:t>
                        </w:r>
                        <w:r>
                          <w:rPr>
                            <w:spacing w:val="-4"/>
                          </w:rPr>
                          <w:t>.</w:t>
                        </w:r>
                      </w:p>
                      <w:p w14:paraId="457008B0" w14:textId="77777777" w:rsidR="004A0D0E" w:rsidRDefault="004A0D0E" w:rsidP="004A0D0E">
                        <w:pPr>
                          <w:pStyle w:val="Marginlie"/>
                          <w:rPr>
                            <w:spacing w:val="-4"/>
                          </w:rPr>
                        </w:pPr>
                      </w:p>
                      <w:p w14:paraId="760A27D8" w14:textId="77777777" w:rsidR="004A0D0E" w:rsidRDefault="004A0D0E" w:rsidP="004A0D0E">
                        <w:pPr>
                          <w:pStyle w:val="Marginlie"/>
                          <w:rPr>
                            <w:spacing w:val="-4"/>
                          </w:rPr>
                        </w:pPr>
                      </w:p>
                      <w:p w14:paraId="7EA7767C" w14:textId="77777777" w:rsidR="004A0D0E" w:rsidRDefault="004A0D0E" w:rsidP="004A0D0E">
                        <w:pPr>
                          <w:pStyle w:val="Marginlie"/>
                          <w:rPr>
                            <w:spacing w:val="-4"/>
                          </w:rPr>
                        </w:pPr>
                        <w:r>
                          <w:rPr>
                            <w:spacing w:val="-4"/>
                          </w:rPr>
                          <w:t>Protipandemická opatření posílila roli veřejných služeb a</w:t>
                        </w:r>
                        <w:r>
                          <w:t> </w:t>
                        </w:r>
                        <w:r>
                          <w:rPr>
                            <w:spacing w:val="-4"/>
                          </w:rPr>
                          <w:t>informačních a komunikačních činností.</w:t>
                        </w:r>
                      </w:p>
                      <w:p w14:paraId="79797E56" w14:textId="77777777" w:rsidR="004A0D0E" w:rsidRDefault="004A0D0E" w:rsidP="004A0D0E">
                        <w:pPr>
                          <w:pStyle w:val="Marginlie"/>
                        </w:pPr>
                      </w:p>
                    </w:tc>
                    <w:tc>
                      <w:tcPr>
                        <w:tcW w:w="191" w:type="dxa"/>
                        <w:shd w:val="clear" w:color="auto" w:fill="auto"/>
                        <w:tcMar>
                          <w:left w:w="0" w:type="dxa"/>
                        </w:tcMar>
                      </w:tcPr>
                      <w:p w14:paraId="44F09CDB" w14:textId="77777777" w:rsidR="004A0D0E" w:rsidRDefault="004A0D0E" w:rsidP="004A0D0E">
                        <w:pPr>
                          <w:pStyle w:val="Textpoznpodarou"/>
                          <w:jc w:val="both"/>
                          <w:rPr>
                            <w:spacing w:val="-4"/>
                          </w:rPr>
                        </w:pPr>
                      </w:p>
                    </w:tc>
                    <w:tc>
                      <w:tcPr>
                        <w:tcW w:w="7730" w:type="dxa"/>
                        <w:shd w:val="clear" w:color="auto" w:fill="auto"/>
                        <w:tcMar>
                          <w:left w:w="0" w:type="dxa"/>
                        </w:tcMar>
                      </w:tcPr>
                      <w:p w14:paraId="5DBE61E3" w14:textId="77777777" w:rsidR="004A0D0E" w:rsidRDefault="004A0D0E" w:rsidP="004A0D0E">
                        <w:pPr>
                          <w:spacing w:after="0"/>
                        </w:pPr>
                        <w:r>
                          <w:rPr>
                            <w:spacing w:val="-4"/>
                          </w:rPr>
                          <w:t>Silný makroekonomický dopad pocítil rovněž segment</w:t>
                        </w:r>
                        <w:r w:rsidRPr="0012427B">
                          <w:rPr>
                            <w:spacing w:val="-4"/>
                          </w:rPr>
                          <w:t xml:space="preserve"> obchod, doprava, ubytování a</w:t>
                        </w:r>
                        <w:r>
                          <w:rPr>
                            <w:spacing w:val="-4"/>
                          </w:rPr>
                          <w:t> </w:t>
                        </w:r>
                        <w:r w:rsidRPr="0012427B">
                          <w:rPr>
                            <w:spacing w:val="-4"/>
                          </w:rPr>
                          <w:t>pohostinství</w:t>
                        </w:r>
                        <w:r>
                          <w:rPr>
                            <w:spacing w:val="-4"/>
                          </w:rPr>
                          <w:t xml:space="preserve"> (příspěvek </w:t>
                        </w:r>
                        <w:r w:rsidRPr="007D0EE4">
                          <w:rPr>
                            <w:color w:val="000000" w:themeColor="text1"/>
                          </w:rPr>
                          <w:t>–</w:t>
                        </w:r>
                        <w:r>
                          <w:rPr>
                            <w:spacing w:val="-4"/>
                          </w:rPr>
                          <w:t>2,2 p. b.). HPH zde mimo jiné vlivem zásadního omezení mezinárodního pohybu osob</w:t>
                        </w:r>
                        <w:r w:rsidRPr="007D0EE4">
                          <w:rPr>
                            <w:rStyle w:val="Znakapoznpodarou"/>
                            <w:spacing w:val="-3"/>
                          </w:rPr>
                          <w:footnoteReference w:id="15"/>
                        </w:r>
                        <w:r>
                          <w:rPr>
                            <w:spacing w:val="-4"/>
                          </w:rPr>
                          <w:t xml:space="preserve"> propadla o osminu – tedy nejvíce z hlavních odvětví. Vliv ostatních odvětví terciární sféry byl řádově nižší. I tak byla některá z nich silně zasažena – zejména tzv. ostatní služby</w:t>
                        </w:r>
                        <w:r w:rsidRPr="007D0EE4">
                          <w:rPr>
                            <w:rStyle w:val="Znakapoznpodarou"/>
                            <w:spacing w:val="-3"/>
                          </w:rPr>
                          <w:footnoteReference w:id="16"/>
                        </w:r>
                        <w:r>
                          <w:rPr>
                            <w:spacing w:val="-4"/>
                          </w:rPr>
                          <w:t>, kde HPH klesla o desetinu (z toho ve 2. čtvrtletí o více než pětinu). Menší pokles ve výši 2 až 3 % byl shodně patrný v profesních, vědeckých a technických činnostech, dále ve finančnictví nebo činnostech v oblasti nemovitostí. Naopak ve veřejných službách</w:t>
                        </w:r>
                        <w:r w:rsidRPr="007D0EE4">
                          <w:rPr>
                            <w:rStyle w:val="Znakapoznpodarou"/>
                            <w:spacing w:val="-3"/>
                          </w:rPr>
                          <w:footnoteReference w:id="17"/>
                        </w:r>
                        <w:r>
                          <w:rPr>
                            <w:spacing w:val="-4"/>
                          </w:rPr>
                          <w:t xml:space="preserve"> zajišťujících základní chod společnosti HPH stagnovala. Rovněž role informačních a komunikačních činností v pandemickém období nabírala na významu. I tak se přidaná hodnota v tomto dynamickém odvětví letos zvýšila nejméně za posledních osm let (+1,3 %).</w:t>
                        </w:r>
                      </w:p>
                    </w:tc>
                  </w:tr>
                  <w:tr w:rsidR="004A0D0E" w:rsidRPr="00DF6A33" w14:paraId="3820BC68" w14:textId="77777777" w:rsidTr="0026300B">
                    <w:trPr>
                      <w:trHeight w:val="145"/>
                    </w:trPr>
                    <w:tc>
                      <w:tcPr>
                        <w:tcW w:w="1723" w:type="dxa"/>
                        <w:shd w:val="clear" w:color="auto" w:fill="auto"/>
                        <w:tcMar>
                          <w:left w:w="0" w:type="dxa"/>
                        </w:tcMar>
                      </w:tcPr>
                      <w:p w14:paraId="786962A6" w14:textId="77777777" w:rsidR="004A0D0E" w:rsidRDefault="004A0D0E" w:rsidP="004A0D0E">
                        <w:pPr>
                          <w:pStyle w:val="Marginlie"/>
                        </w:pPr>
                        <w:r>
                          <w:t>Březnové a dubnové zmrazení činnosti klíčových exportních podniků vyústilo v rekordní propad průmyslové produkce.</w:t>
                        </w:r>
                      </w:p>
                      <w:p w14:paraId="7DFA7D0D" w14:textId="77777777" w:rsidR="004A0D0E" w:rsidRDefault="004A0D0E" w:rsidP="004A0D0E">
                        <w:pPr>
                          <w:pStyle w:val="Marginlie"/>
                        </w:pPr>
                      </w:p>
                      <w:p w14:paraId="0D9C5A94" w14:textId="77777777" w:rsidR="004A0D0E" w:rsidRDefault="004A0D0E" w:rsidP="004A0D0E">
                        <w:pPr>
                          <w:pStyle w:val="Marginlie"/>
                        </w:pPr>
                      </w:p>
                      <w:p w14:paraId="424BA72C" w14:textId="77777777" w:rsidR="004A0D0E" w:rsidRDefault="004A0D0E" w:rsidP="004A0D0E">
                        <w:pPr>
                          <w:pStyle w:val="Marginlie"/>
                        </w:pPr>
                      </w:p>
                      <w:p w14:paraId="6B5920CB" w14:textId="77777777" w:rsidR="004A0D0E" w:rsidRDefault="004A0D0E" w:rsidP="004A0D0E">
                        <w:pPr>
                          <w:pStyle w:val="Marginlie"/>
                        </w:pPr>
                      </w:p>
                      <w:p w14:paraId="554BF578" w14:textId="77777777" w:rsidR="004A0D0E" w:rsidRDefault="004A0D0E" w:rsidP="004A0D0E">
                        <w:pPr>
                          <w:pStyle w:val="Marginlie"/>
                        </w:pPr>
                        <w:r w:rsidRPr="00D4412F">
                          <w:rPr>
                            <w:spacing w:val="-4"/>
                          </w:rPr>
                          <w:t xml:space="preserve">Červencová produkce stále za </w:t>
                        </w:r>
                        <w:r>
                          <w:rPr>
                            <w:spacing w:val="-4"/>
                          </w:rPr>
                          <w:t>úrovní z doby před pandemií</w:t>
                        </w:r>
                        <w:r w:rsidRPr="00D4412F">
                          <w:rPr>
                            <w:spacing w:val="-4"/>
                          </w:rPr>
                          <w:t xml:space="preserve"> mírně zaostávala</w:t>
                        </w:r>
                        <w:r>
                          <w:t>.</w:t>
                        </w:r>
                      </w:p>
                    </w:tc>
                    <w:tc>
                      <w:tcPr>
                        <w:tcW w:w="191" w:type="dxa"/>
                        <w:shd w:val="clear" w:color="auto" w:fill="auto"/>
                        <w:tcMar>
                          <w:left w:w="0" w:type="dxa"/>
                        </w:tcMar>
                      </w:tcPr>
                      <w:p w14:paraId="5E14E1D2" w14:textId="77777777" w:rsidR="004A0D0E" w:rsidRDefault="004A0D0E" w:rsidP="004A0D0E">
                        <w:pPr>
                          <w:pStyle w:val="Textpoznpodarou"/>
                          <w:jc w:val="both"/>
                          <w:rPr>
                            <w:spacing w:val="-4"/>
                          </w:rPr>
                        </w:pPr>
                      </w:p>
                    </w:tc>
                    <w:tc>
                      <w:tcPr>
                        <w:tcW w:w="7730" w:type="dxa"/>
                        <w:shd w:val="clear" w:color="auto" w:fill="auto"/>
                        <w:tcMar>
                          <w:left w:w="0" w:type="dxa"/>
                        </w:tcMar>
                      </w:tcPr>
                      <w:p w14:paraId="62281E56" w14:textId="77777777" w:rsidR="004A0D0E" w:rsidRDefault="004A0D0E" w:rsidP="004A0D0E">
                        <w:pPr>
                          <w:spacing w:after="220"/>
                        </w:pPr>
                        <w:r>
                          <w:t xml:space="preserve">Nebývale silný a rychlý dopad protipandemických opatření na výkony tuzemského průmyslu </w:t>
                        </w:r>
                        <w:r w:rsidRPr="00DB613B">
                          <w:t>dokládají i</w:t>
                        </w:r>
                        <w:r>
                          <w:t> </w:t>
                        </w:r>
                        <w:r w:rsidRPr="00DB613B">
                          <w:t>podrobnější údaje z podnikových statistik.</w:t>
                        </w:r>
                        <w:r>
                          <w:t xml:space="preserve"> Jestliže v první čtvrtině letošního roku </w:t>
                        </w:r>
                        <w:r>
                          <w:rPr>
                            <w:color w:val="000000" w:themeColor="text1"/>
                          </w:rPr>
                          <w:t>průmyslová</w:t>
                        </w:r>
                        <w:r w:rsidRPr="00DB613B">
                          <w:rPr>
                            <w:color w:val="000000" w:themeColor="text1"/>
                          </w:rPr>
                          <w:t xml:space="preserve"> produkce</w:t>
                        </w:r>
                        <w:r w:rsidRPr="00DB613B">
                          <w:rPr>
                            <w:color w:val="000000" w:themeColor="text1"/>
                            <w:vertAlign w:val="superscript"/>
                          </w:rPr>
                          <w:footnoteReference w:id="18"/>
                        </w:r>
                        <w:r>
                          <w:rPr>
                            <w:color w:val="000000" w:themeColor="text1"/>
                          </w:rPr>
                          <w:t xml:space="preserve"> mezikvartálně klesla „jen“ o 3,7 %, ve 2. čtvrtletí došlo k prohloubení na dosud nevídaných 18,3 %. Rekordní letošní propad byl zásadně ovlivněn vývojem na přelomu obou čtvrtletí – v březnu se produkce meziměsíčně snížila o více než desetinu, v dubnu téměř o čtvrtinu. </w:t>
                        </w:r>
                        <w:r w:rsidRPr="00B97785">
                          <w:t xml:space="preserve">Opatření proti šíření koronaviru vedla </w:t>
                        </w:r>
                        <w:r w:rsidRPr="00B97785">
                          <w:lastRenderedPageBreak/>
                          <w:t xml:space="preserve">postupně k narušení či k úplnému zpřetrhání dodavatelských řetězců. Během druhé poloviny března </w:t>
                        </w:r>
                        <w:r>
                          <w:t>začala</w:t>
                        </w:r>
                        <w:r w:rsidRPr="00B97785">
                          <w:t xml:space="preserve"> řada podniků </w:t>
                        </w:r>
                        <w:r>
                          <w:t>omezovat výrobu, mnohé</w:t>
                        </w:r>
                        <w:r w:rsidRPr="00B97785">
                          <w:t xml:space="preserve"> ji prak</w:t>
                        </w:r>
                        <w:r>
                          <w:t>ticky zastavily (to se týkalo zejména klíčových firem automobilového průmyslu a jejich tuzemských subdodavatelů). V následujících měsících sice došlo v mnohých pozastavených oborech k poměrně rychlému oživení, navzdory tomu však i letošní červencová produkce v celém průmyslu za „předpandemickou“ (únorovou) úrovní stále mírně zaostávala (o 4 %).</w:t>
                        </w:r>
                      </w:p>
                    </w:tc>
                  </w:tr>
                  <w:tr w:rsidR="004A0D0E" w:rsidRPr="00DF6A33" w14:paraId="3A134090" w14:textId="77777777" w:rsidTr="0026300B">
                    <w:trPr>
                      <w:trHeight w:val="145"/>
                    </w:trPr>
                    <w:tc>
                      <w:tcPr>
                        <w:tcW w:w="1723" w:type="dxa"/>
                        <w:shd w:val="clear" w:color="auto" w:fill="auto"/>
                        <w:tcMar>
                          <w:left w:w="0" w:type="dxa"/>
                        </w:tcMar>
                      </w:tcPr>
                      <w:p w14:paraId="5AE8C296" w14:textId="77777777" w:rsidR="004A0D0E" w:rsidRDefault="004A0D0E" w:rsidP="004A0D0E">
                        <w:pPr>
                          <w:pStyle w:val="Marginlie"/>
                        </w:pPr>
                        <w:r>
                          <w:lastRenderedPageBreak/>
                          <w:t>Více než polovina meziročního poklesu průmyslu v 1. pololetí šla na vrub automobilového průmyslu a jeho nejbližších subdodavatelů.</w:t>
                        </w:r>
                      </w:p>
                    </w:tc>
                    <w:tc>
                      <w:tcPr>
                        <w:tcW w:w="191" w:type="dxa"/>
                        <w:shd w:val="clear" w:color="auto" w:fill="auto"/>
                        <w:tcMar>
                          <w:left w:w="0" w:type="dxa"/>
                        </w:tcMar>
                      </w:tcPr>
                      <w:p w14:paraId="2E7DE868" w14:textId="77777777" w:rsidR="004A0D0E" w:rsidRDefault="004A0D0E" w:rsidP="004A0D0E">
                        <w:pPr>
                          <w:pStyle w:val="Textpoznpodarou"/>
                          <w:jc w:val="both"/>
                          <w:rPr>
                            <w:spacing w:val="-4"/>
                          </w:rPr>
                        </w:pPr>
                      </w:p>
                    </w:tc>
                    <w:tc>
                      <w:tcPr>
                        <w:tcW w:w="7730" w:type="dxa"/>
                        <w:shd w:val="clear" w:color="auto" w:fill="auto"/>
                        <w:tcMar>
                          <w:left w:w="0" w:type="dxa"/>
                        </w:tcMar>
                      </w:tcPr>
                      <w:p w14:paraId="2F49B78C" w14:textId="77777777" w:rsidR="004A0D0E" w:rsidRPr="00DB613B" w:rsidRDefault="004A0D0E" w:rsidP="004A0D0E">
                        <w:pPr>
                          <w:spacing w:after="220"/>
                        </w:pPr>
                        <w:r>
                          <w:t>Průmyslová produkce se ve 2. čtvrtletí 2020 meziročně propadla o 23,6 %. Kromě pandemického nabídkového šoku se zčásti nasčítal také efekt předchozího cyklického zpomalování průmyslu (</w:t>
                        </w:r>
                        <w:r>
                          <w:rPr>
                            <w:rFonts w:cstheme="minorHAnsi"/>
                          </w:rPr>
                          <w:t>ve vazbě na dřívější pokles v eurozóně)</w:t>
                        </w:r>
                        <w:r>
                          <w:t>, patrného již po většinu loňského roku</w:t>
                        </w:r>
                        <w:r w:rsidRPr="00DB613B">
                          <w:rPr>
                            <w:color w:val="000000" w:themeColor="text1"/>
                            <w:vertAlign w:val="superscript"/>
                          </w:rPr>
                          <w:footnoteReference w:id="19"/>
                        </w:r>
                        <w:r>
                          <w:t>. Za celé 1. pololetí činil pokles 14,4 %. Více než třetinou se na tom podílela výroba motorových vozidel, spolu s nejbližšími návaznými obory (elektrická zařízení, gumárenství, plastikářství) pak více než polovinou. Zhruba desetinou následně shodně přispěly jak strojírenský, tak kovodělný průmysl.</w:t>
                        </w:r>
                      </w:p>
                    </w:tc>
                  </w:tr>
                  <w:tr w:rsidR="004A0D0E" w:rsidRPr="0041745D" w14:paraId="2C1F744D" w14:textId="77777777" w:rsidTr="0026300B">
                    <w:trPr>
                      <w:trHeight w:val="170"/>
                    </w:trPr>
                    <w:tc>
                      <w:tcPr>
                        <w:tcW w:w="1723" w:type="dxa"/>
                        <w:vMerge w:val="restart"/>
                        <w:shd w:val="clear" w:color="auto" w:fill="auto"/>
                        <w:tcMar>
                          <w:left w:w="0" w:type="dxa"/>
                        </w:tcMar>
                      </w:tcPr>
                      <w:p w14:paraId="0FA0B1D4" w14:textId="77777777" w:rsidR="004A0D0E" w:rsidRDefault="004A0D0E" w:rsidP="004A0D0E">
                        <w:pPr>
                          <w:pStyle w:val="Marginlie"/>
                        </w:pPr>
                      </w:p>
                    </w:tc>
                    <w:tc>
                      <w:tcPr>
                        <w:tcW w:w="191" w:type="dxa"/>
                        <w:vMerge w:val="restart"/>
                        <w:shd w:val="clear" w:color="auto" w:fill="auto"/>
                        <w:tcMar>
                          <w:left w:w="0" w:type="dxa"/>
                        </w:tcMar>
                      </w:tcPr>
                      <w:p w14:paraId="22D2B981" w14:textId="77777777" w:rsidR="004A0D0E" w:rsidRDefault="004A0D0E" w:rsidP="004A0D0E">
                        <w:pPr>
                          <w:pStyle w:val="Textpoznpodarou"/>
                          <w:jc w:val="both"/>
                          <w:rPr>
                            <w:spacing w:val="-4"/>
                          </w:rPr>
                        </w:pPr>
                      </w:p>
                    </w:tc>
                    <w:tc>
                      <w:tcPr>
                        <w:tcW w:w="7730" w:type="dxa"/>
                        <w:shd w:val="clear" w:color="auto" w:fill="auto"/>
                        <w:tcMar>
                          <w:left w:w="0" w:type="dxa"/>
                        </w:tcMar>
                      </w:tcPr>
                      <w:p w14:paraId="09235924" w14:textId="77777777" w:rsidR="004A0D0E" w:rsidRPr="00DB613B" w:rsidRDefault="004A0D0E" w:rsidP="004A0D0E">
                        <w:pPr>
                          <w:spacing w:after="0"/>
                          <w:rPr>
                            <w:b/>
                          </w:rPr>
                        </w:pPr>
                        <w:r w:rsidRPr="00DB613B">
                          <w:rPr>
                            <w:rFonts w:cs="Arial"/>
                            <w:b/>
                            <w:bCs/>
                            <w:color w:val="000000"/>
                            <w:szCs w:val="20"/>
                          </w:rPr>
                          <w:t>Graf č. 4</w:t>
                        </w:r>
                        <w:r>
                          <w:rPr>
                            <w:rFonts w:cs="Arial"/>
                            <w:b/>
                            <w:bCs/>
                            <w:color w:val="000000"/>
                            <w:szCs w:val="20"/>
                          </w:rPr>
                          <w:t xml:space="preserve"> </w:t>
                        </w:r>
                        <w:r w:rsidRPr="00DB613B">
                          <w:rPr>
                            <w:rFonts w:cs="Arial"/>
                            <w:b/>
                            <w:bCs/>
                            <w:color w:val="000000"/>
                            <w:szCs w:val="20"/>
                          </w:rPr>
                          <w:t xml:space="preserve"> </w:t>
                        </w:r>
                        <w:r w:rsidRPr="00DB613B">
                          <w:rPr>
                            <w:b/>
                          </w:rPr>
                          <w:t>Příspěvky dílčích odvětví k meziroční změně průmyslové produkce</w:t>
                        </w:r>
                        <w:r>
                          <w:rPr>
                            <w:b/>
                          </w:rPr>
                          <w:br/>
                        </w:r>
                        <w:r>
                          <w:t>(v p. b., očištěno o kal.</w:t>
                        </w:r>
                        <w:r w:rsidRPr="00DB613B">
                          <w:t xml:space="preserve"> vlivy)</w:t>
                        </w:r>
                        <w:r w:rsidRPr="006D0A2D">
                          <w:rPr>
                            <w:b/>
                            <w:bCs/>
                          </w:rPr>
                          <w:t xml:space="preserve">, </w:t>
                        </w:r>
                        <w:r w:rsidRPr="00DB613B">
                          <w:rPr>
                            <w:b/>
                          </w:rPr>
                          <w:t xml:space="preserve">saldo indikátoru důvěry v průmyslu* </w:t>
                        </w:r>
                        <w:r w:rsidRPr="00DB613B">
                          <w:t>(v p. b.</w:t>
                        </w:r>
                        <w:r>
                          <w:t>, pr. </w:t>
                        </w:r>
                        <w:r w:rsidRPr="00DB613B">
                          <w:t>osa)</w:t>
                        </w:r>
                      </w:p>
                    </w:tc>
                  </w:tr>
                  <w:tr w:rsidR="004A0D0E" w14:paraId="685C98FC" w14:textId="77777777" w:rsidTr="0026300B">
                    <w:tblPrEx>
                      <w:tblCellMar>
                        <w:left w:w="70" w:type="dxa"/>
                        <w:right w:w="70" w:type="dxa"/>
                      </w:tblCellMar>
                    </w:tblPrEx>
                    <w:trPr>
                      <w:trHeight w:val="170"/>
                    </w:trPr>
                    <w:tc>
                      <w:tcPr>
                        <w:tcW w:w="1723" w:type="dxa"/>
                        <w:vMerge/>
                        <w:shd w:val="clear" w:color="auto" w:fill="auto"/>
                      </w:tcPr>
                      <w:p w14:paraId="4DBD669E" w14:textId="77777777" w:rsidR="004A0D0E" w:rsidRPr="009110F7" w:rsidRDefault="004A0D0E" w:rsidP="004A0D0E">
                        <w:pPr>
                          <w:pStyle w:val="Marginlie"/>
                        </w:pPr>
                      </w:p>
                    </w:tc>
                    <w:tc>
                      <w:tcPr>
                        <w:tcW w:w="191" w:type="dxa"/>
                        <w:vMerge/>
                        <w:shd w:val="clear" w:color="auto" w:fill="auto"/>
                      </w:tcPr>
                      <w:p w14:paraId="7616A186" w14:textId="77777777" w:rsidR="004A0D0E" w:rsidRPr="009110F7" w:rsidRDefault="004A0D0E" w:rsidP="004A0D0E">
                        <w:pPr>
                          <w:pStyle w:val="Textpoznpodarou"/>
                          <w:jc w:val="both"/>
                          <w:rPr>
                            <w:spacing w:val="-4"/>
                          </w:rPr>
                        </w:pPr>
                      </w:p>
                    </w:tc>
                    <w:tc>
                      <w:tcPr>
                        <w:tcW w:w="7730" w:type="dxa"/>
                        <w:shd w:val="clear" w:color="auto" w:fill="auto"/>
                      </w:tcPr>
                      <w:p w14:paraId="5D3F819F" w14:textId="77777777" w:rsidR="004A0D0E" w:rsidRPr="00DB613B" w:rsidRDefault="004A0D0E" w:rsidP="004A0D0E">
                        <w:pPr>
                          <w:spacing w:after="0"/>
                          <w:rPr>
                            <w:color w:val="000000" w:themeColor="text1"/>
                          </w:rPr>
                        </w:pPr>
                        <w:r>
                          <w:rPr>
                            <w:noProof/>
                          </w:rPr>
                          <w:drawing>
                            <wp:inline distT="0" distB="0" distL="0" distR="0" wp14:anchorId="0EDD1558" wp14:editId="52889CCC">
                              <wp:extent cx="4817745" cy="3598127"/>
                              <wp:effectExtent l="0" t="0" r="1905" b="25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A0D0E" w14:paraId="0C2F8B9D" w14:textId="77777777" w:rsidTr="0026300B">
                    <w:trPr>
                      <w:trHeight w:val="170"/>
                    </w:trPr>
                    <w:tc>
                      <w:tcPr>
                        <w:tcW w:w="1723" w:type="dxa"/>
                        <w:vMerge/>
                        <w:shd w:val="clear" w:color="auto" w:fill="auto"/>
                        <w:tcMar>
                          <w:left w:w="0" w:type="dxa"/>
                        </w:tcMar>
                      </w:tcPr>
                      <w:p w14:paraId="4365EEC9" w14:textId="77777777" w:rsidR="004A0D0E" w:rsidRPr="009110F7" w:rsidRDefault="004A0D0E" w:rsidP="004A0D0E">
                        <w:pPr>
                          <w:pStyle w:val="Marginlie"/>
                        </w:pPr>
                      </w:p>
                    </w:tc>
                    <w:tc>
                      <w:tcPr>
                        <w:tcW w:w="191" w:type="dxa"/>
                        <w:vMerge/>
                        <w:shd w:val="clear" w:color="auto" w:fill="auto"/>
                        <w:tcMar>
                          <w:left w:w="0" w:type="dxa"/>
                        </w:tcMar>
                      </w:tcPr>
                      <w:p w14:paraId="38867CCC"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1A6E678B" w14:textId="77777777" w:rsidR="004A0D0E" w:rsidRDefault="004A0D0E" w:rsidP="004A0D0E">
                        <w:pPr>
                          <w:spacing w:after="0"/>
                          <w:rPr>
                            <w:rFonts w:cs="Arial"/>
                            <w:sz w:val="14"/>
                            <w:szCs w:val="14"/>
                          </w:rPr>
                        </w:pPr>
                        <w:r>
                          <w:rPr>
                            <w:rFonts w:cs="Arial"/>
                            <w:sz w:val="14"/>
                            <w:szCs w:val="14"/>
                          </w:rPr>
                          <w:t>*Saldo důvěry je</w:t>
                        </w:r>
                        <w:r w:rsidRPr="00DB613B">
                          <w:rPr>
                            <w:rFonts w:cs="Arial"/>
                            <w:sz w:val="14"/>
                            <w:szCs w:val="14"/>
                          </w:rPr>
                          <w:t xml:space="preserve"> sezónně očišt</w:t>
                        </w:r>
                        <w:r>
                          <w:rPr>
                            <w:rFonts w:cs="Arial"/>
                            <w:sz w:val="14"/>
                            <w:szCs w:val="14"/>
                          </w:rPr>
                          <w:t>ěno a vyjadřuje stav v prvním měsíci daného čtvrtletí.</w:t>
                        </w:r>
                      </w:p>
                      <w:p w14:paraId="1886F346" w14:textId="77777777" w:rsidR="004A0D0E" w:rsidRPr="00DB613B" w:rsidRDefault="004A0D0E" w:rsidP="004A0D0E">
                        <w:pPr>
                          <w:spacing w:after="120"/>
                          <w:rPr>
                            <w:color w:val="000000" w:themeColor="text1"/>
                          </w:rPr>
                        </w:pPr>
                        <w:r w:rsidRPr="00DB613B">
                          <w:rPr>
                            <w:rFonts w:cs="Arial"/>
                            <w:sz w:val="14"/>
                            <w:szCs w:val="14"/>
                          </w:rPr>
                          <w:t>Zdroj: ČSÚ</w:t>
                        </w:r>
                      </w:p>
                    </w:tc>
                  </w:tr>
                  <w:tr w:rsidR="004A0D0E" w:rsidRPr="00B01C55" w14:paraId="07B20A33" w14:textId="77777777" w:rsidTr="0026300B">
                    <w:trPr>
                      <w:trHeight w:val="145"/>
                    </w:trPr>
                    <w:tc>
                      <w:tcPr>
                        <w:tcW w:w="1723" w:type="dxa"/>
                        <w:shd w:val="clear" w:color="auto" w:fill="auto"/>
                        <w:tcMar>
                          <w:left w:w="0" w:type="dxa"/>
                        </w:tcMar>
                      </w:tcPr>
                      <w:p w14:paraId="170BCEF1" w14:textId="77777777" w:rsidR="004A0D0E" w:rsidRDefault="004A0D0E" w:rsidP="004A0D0E">
                        <w:pPr>
                          <w:pStyle w:val="Marginlie"/>
                        </w:pPr>
                        <w:r>
                          <w:t xml:space="preserve">Průmyslová produkce klesla v 1. pololetí meziročně o více než </w:t>
                        </w:r>
                        <w:r>
                          <w:lastRenderedPageBreak/>
                          <w:t>pětinu v automobilovém, těžebním a kožedělném průmyslu. Významný byl propad strojírenství.</w:t>
                        </w:r>
                      </w:p>
                      <w:p w14:paraId="3B0EC346" w14:textId="77777777" w:rsidR="004A0D0E" w:rsidRDefault="004A0D0E" w:rsidP="004A0D0E">
                        <w:pPr>
                          <w:pStyle w:val="Marginlie"/>
                        </w:pPr>
                      </w:p>
                      <w:p w14:paraId="40663876" w14:textId="77777777" w:rsidR="004A0D0E" w:rsidRDefault="004A0D0E" w:rsidP="004A0D0E">
                        <w:pPr>
                          <w:pStyle w:val="Marginlie"/>
                        </w:pPr>
                      </w:p>
                      <w:p w14:paraId="2C90CD27" w14:textId="77777777" w:rsidR="004A0D0E" w:rsidRDefault="004A0D0E" w:rsidP="004A0D0E">
                        <w:pPr>
                          <w:pStyle w:val="Marginlie"/>
                        </w:pPr>
                      </w:p>
                      <w:p w14:paraId="4A1B132E" w14:textId="77777777" w:rsidR="004A0D0E" w:rsidRDefault="004A0D0E" w:rsidP="004A0D0E">
                        <w:pPr>
                          <w:pStyle w:val="Marginlie"/>
                        </w:pPr>
                      </w:p>
                      <w:p w14:paraId="0BBBA687" w14:textId="77777777" w:rsidR="004A0D0E" w:rsidRDefault="004A0D0E" w:rsidP="004A0D0E">
                        <w:pPr>
                          <w:pStyle w:val="Marginlie"/>
                        </w:pPr>
                      </w:p>
                      <w:p w14:paraId="38F04237" w14:textId="77777777" w:rsidR="004A0D0E" w:rsidRDefault="004A0D0E" w:rsidP="004A0D0E">
                        <w:pPr>
                          <w:pStyle w:val="Marginlie"/>
                        </w:pPr>
                        <w:r>
                          <w:t xml:space="preserve">Některým zejména menším oborům naopak </w:t>
                        </w:r>
                        <w:r>
                          <w:rPr>
                            <w:color w:val="000000" w:themeColor="text1"/>
                            <w:spacing w:val="-3"/>
                          </w:rPr>
                          <w:t>specifická skladba</w:t>
                        </w:r>
                        <w:r w:rsidRPr="00344DAD">
                          <w:rPr>
                            <w:color w:val="000000" w:themeColor="text1"/>
                            <w:spacing w:val="-3"/>
                          </w:rPr>
                          <w:t xml:space="preserve"> poptávky během koronavirové krize</w:t>
                        </w:r>
                        <w:r>
                          <w:rPr>
                            <w:color w:val="000000" w:themeColor="text1"/>
                            <w:spacing w:val="-3"/>
                          </w:rPr>
                          <w:t xml:space="preserve"> pomáhala.</w:t>
                        </w:r>
                      </w:p>
                      <w:p w14:paraId="74290228" w14:textId="77777777" w:rsidR="004A0D0E" w:rsidRDefault="004A0D0E" w:rsidP="004A0D0E">
                        <w:pPr>
                          <w:pStyle w:val="Marginlie"/>
                        </w:pPr>
                      </w:p>
                    </w:tc>
                    <w:tc>
                      <w:tcPr>
                        <w:tcW w:w="191" w:type="dxa"/>
                        <w:shd w:val="clear" w:color="auto" w:fill="auto"/>
                        <w:tcMar>
                          <w:left w:w="0" w:type="dxa"/>
                        </w:tcMar>
                      </w:tcPr>
                      <w:p w14:paraId="6444B1FD" w14:textId="77777777" w:rsidR="004A0D0E" w:rsidRDefault="004A0D0E" w:rsidP="004A0D0E">
                        <w:pPr>
                          <w:pStyle w:val="Textpoznpodarou"/>
                          <w:jc w:val="both"/>
                          <w:rPr>
                            <w:spacing w:val="-4"/>
                          </w:rPr>
                        </w:pPr>
                      </w:p>
                    </w:tc>
                    <w:tc>
                      <w:tcPr>
                        <w:tcW w:w="7730" w:type="dxa"/>
                        <w:shd w:val="clear" w:color="auto" w:fill="auto"/>
                        <w:tcMar>
                          <w:left w:w="0" w:type="dxa"/>
                        </w:tcMar>
                      </w:tcPr>
                      <w:p w14:paraId="3A6D21AF" w14:textId="77777777" w:rsidR="004A0D0E" w:rsidRPr="00D0649C" w:rsidRDefault="004A0D0E" w:rsidP="004A0D0E">
                        <w:pPr>
                          <w:spacing w:after="200"/>
                          <w:rPr>
                            <w:color w:val="0D0D0D" w:themeColor="text1" w:themeTint="F2"/>
                            <w:spacing w:val="-4"/>
                          </w:rPr>
                        </w:pPr>
                        <w:r w:rsidRPr="00D0649C">
                          <w:rPr>
                            <w:color w:val="0D0D0D" w:themeColor="text1" w:themeTint="F2"/>
                            <w:spacing w:val="-4"/>
                          </w:rPr>
                          <w:t>Není překvapivé, že nejhlubší útlum produkce postihl v 1.</w:t>
                        </w:r>
                        <w:r>
                          <w:rPr>
                            <w:color w:val="0D0D0D" w:themeColor="text1" w:themeTint="F2"/>
                            <w:spacing w:val="-4"/>
                          </w:rPr>
                          <w:t> pololet</w:t>
                        </w:r>
                        <w:r w:rsidRPr="00D0649C">
                          <w:rPr>
                            <w:color w:val="0D0D0D" w:themeColor="text1" w:themeTint="F2"/>
                            <w:spacing w:val="-4"/>
                          </w:rPr>
                          <w:t>í výrobu motorových vozidel (</w:t>
                        </w:r>
                        <w:r w:rsidRPr="00D0649C">
                          <w:rPr>
                            <w:color w:val="000000" w:themeColor="text1"/>
                            <w:spacing w:val="-4"/>
                          </w:rPr>
                          <w:t>–</w:t>
                        </w:r>
                        <w:r w:rsidRPr="00D0649C">
                          <w:rPr>
                            <w:color w:val="0D0D0D" w:themeColor="text1" w:themeTint="F2"/>
                            <w:spacing w:val="-4"/>
                          </w:rPr>
                          <w:t>27,8</w:t>
                        </w:r>
                        <w:r>
                          <w:rPr>
                            <w:color w:val="0D0D0D" w:themeColor="text1" w:themeTint="F2"/>
                            <w:spacing w:val="-4"/>
                          </w:rPr>
                          <w:t> %</w:t>
                        </w:r>
                        <w:r w:rsidRPr="00D0649C">
                          <w:rPr>
                            <w:color w:val="0D0D0D" w:themeColor="text1" w:themeTint="F2"/>
                            <w:spacing w:val="-4"/>
                          </w:rPr>
                          <w:t xml:space="preserve"> meziročně), neboť na počátku 2.</w:t>
                        </w:r>
                        <w:r>
                          <w:rPr>
                            <w:color w:val="0D0D0D" w:themeColor="text1" w:themeTint="F2"/>
                            <w:spacing w:val="-4"/>
                          </w:rPr>
                          <w:t> čtvrtlet</w:t>
                        </w:r>
                        <w:r w:rsidRPr="00D0649C">
                          <w:rPr>
                            <w:color w:val="0D0D0D" w:themeColor="text1" w:themeTint="F2"/>
                            <w:spacing w:val="-4"/>
                          </w:rPr>
                          <w:t>í činilo využití výrobních kapacit v tomto odvětví jen 50</w:t>
                        </w:r>
                        <w:r>
                          <w:rPr>
                            <w:color w:val="0D0D0D" w:themeColor="text1" w:themeTint="F2"/>
                            <w:spacing w:val="-4"/>
                          </w:rPr>
                          <w:t> %</w:t>
                        </w:r>
                        <w:r w:rsidRPr="00D0649C">
                          <w:rPr>
                            <w:color w:val="0D0D0D" w:themeColor="text1" w:themeTint="F2"/>
                            <w:spacing w:val="-4"/>
                          </w:rPr>
                          <w:t>. Zhruba o</w:t>
                        </w:r>
                        <w:r>
                          <w:rPr>
                            <w:color w:val="0D0D0D" w:themeColor="text1" w:themeTint="F2"/>
                            <w:spacing w:val="-4"/>
                          </w:rPr>
                          <w:t> </w:t>
                        </w:r>
                        <w:r w:rsidRPr="00D0649C">
                          <w:rPr>
                            <w:color w:val="0D0D0D" w:themeColor="text1" w:themeTint="F2"/>
                            <w:spacing w:val="-4"/>
                          </w:rPr>
                          <w:t>čtvrtinu propadl i</w:t>
                        </w:r>
                        <w:r>
                          <w:rPr>
                            <w:color w:val="0D0D0D" w:themeColor="text1" w:themeTint="F2"/>
                            <w:spacing w:val="-4"/>
                          </w:rPr>
                          <w:t> </w:t>
                        </w:r>
                        <w:r w:rsidRPr="00D0649C">
                          <w:rPr>
                            <w:color w:val="0D0D0D" w:themeColor="text1" w:themeTint="F2"/>
                            <w:spacing w:val="-4"/>
                          </w:rPr>
                          <w:t>výkon v těžbě uhlí a</w:t>
                        </w:r>
                        <w:r>
                          <w:rPr>
                            <w:color w:val="0D0D0D" w:themeColor="text1" w:themeTint="F2"/>
                            <w:spacing w:val="-4"/>
                          </w:rPr>
                          <w:t> </w:t>
                        </w:r>
                        <w:r w:rsidRPr="00D0649C">
                          <w:rPr>
                            <w:color w:val="0D0D0D" w:themeColor="text1" w:themeTint="F2"/>
                            <w:spacing w:val="-4"/>
                          </w:rPr>
                          <w:t xml:space="preserve">kožedělném průmyslu, kde </w:t>
                        </w:r>
                        <w:r w:rsidRPr="00D0649C">
                          <w:rPr>
                            <w:color w:val="0D0D0D" w:themeColor="text1" w:themeTint="F2"/>
                            <w:spacing w:val="-4"/>
                          </w:rPr>
                          <w:lastRenderedPageBreak/>
                          <w:t>ale šlo o</w:t>
                        </w:r>
                        <w:r>
                          <w:rPr>
                            <w:color w:val="0D0D0D" w:themeColor="text1" w:themeTint="F2"/>
                            <w:spacing w:val="-4"/>
                          </w:rPr>
                          <w:t> </w:t>
                        </w:r>
                        <w:r w:rsidRPr="00D0649C">
                          <w:rPr>
                            <w:color w:val="0D0D0D" w:themeColor="text1" w:themeTint="F2"/>
                            <w:spacing w:val="-4"/>
                          </w:rPr>
                          <w:t>dlouhodobý trend. Mnohem významnější byl více než 17% pokles produkce strojírenství, jenž odrážel výrazný propad soukromých investic v celé ekonomice</w:t>
                        </w:r>
                        <w:r>
                          <w:rPr>
                            <w:color w:val="0D0D0D" w:themeColor="text1" w:themeTint="F2"/>
                            <w:spacing w:val="-4"/>
                          </w:rPr>
                          <w:t>.</w:t>
                        </w:r>
                        <w:r w:rsidRPr="00D0649C">
                          <w:rPr>
                            <w:rStyle w:val="Znakapoznpodarou"/>
                            <w:spacing w:val="-4"/>
                          </w:rPr>
                          <w:footnoteReference w:id="20"/>
                        </w:r>
                        <w:r w:rsidRPr="00D0649C">
                          <w:rPr>
                            <w:color w:val="0D0D0D" w:themeColor="text1" w:themeTint="F2"/>
                            <w:spacing w:val="-4"/>
                          </w:rPr>
                          <w:t xml:space="preserve"> O</w:t>
                        </w:r>
                        <w:r>
                          <w:rPr>
                            <w:color w:val="0D0D0D" w:themeColor="text1" w:themeTint="F2"/>
                            <w:spacing w:val="-4"/>
                          </w:rPr>
                          <w:t> </w:t>
                        </w:r>
                        <w:r w:rsidRPr="00D0649C">
                          <w:rPr>
                            <w:color w:val="0D0D0D" w:themeColor="text1" w:themeTint="F2"/>
                            <w:spacing w:val="-4"/>
                          </w:rPr>
                          <w:t>sedminu snížily svou produkci váhově významný kovodělný průmysl, hutnictví, ale také např. výroba nápojů. Naproti tomu potravinářský průmysl docílil jen mírného poklesu</w:t>
                        </w:r>
                        <w:r>
                          <w:rPr>
                            <w:color w:val="0D0D0D" w:themeColor="text1" w:themeTint="F2"/>
                            <w:spacing w:val="-4"/>
                          </w:rPr>
                          <w:br/>
                        </w:r>
                        <w:r w:rsidRPr="00D0649C">
                          <w:rPr>
                            <w:color w:val="0D0D0D" w:themeColor="text1" w:themeTint="F2"/>
                            <w:spacing w:val="-4"/>
                          </w:rPr>
                          <w:t>(</w:t>
                        </w:r>
                        <w:r w:rsidRPr="00D0649C">
                          <w:rPr>
                            <w:color w:val="000000" w:themeColor="text1"/>
                            <w:spacing w:val="-4"/>
                          </w:rPr>
                          <w:t>–2,4 %), nebo</w:t>
                        </w:r>
                        <w:r>
                          <w:rPr>
                            <w:color w:val="000000" w:themeColor="text1"/>
                            <w:spacing w:val="-4"/>
                          </w:rPr>
                          <w:t>ť</w:t>
                        </w:r>
                        <w:r w:rsidRPr="00D0649C">
                          <w:rPr>
                            <w:color w:val="000000" w:themeColor="text1"/>
                            <w:spacing w:val="-4"/>
                          </w:rPr>
                          <w:t xml:space="preserve"> objem výdajů domácností na předměty krátkodobé spotřeby byl v 1.</w:t>
                        </w:r>
                        <w:r>
                          <w:rPr>
                            <w:color w:val="000000" w:themeColor="text1"/>
                            <w:spacing w:val="-4"/>
                          </w:rPr>
                          <w:t> pololet</w:t>
                        </w:r>
                        <w:r w:rsidRPr="00D0649C">
                          <w:rPr>
                            <w:color w:val="000000" w:themeColor="text1"/>
                            <w:spacing w:val="-4"/>
                          </w:rPr>
                          <w:t>í restriktivními opatřeními dotčen spíše okrajově (–0,5</w:t>
                        </w:r>
                        <w:r>
                          <w:rPr>
                            <w:color w:val="000000" w:themeColor="text1"/>
                            <w:spacing w:val="-4"/>
                          </w:rPr>
                          <w:t> %</w:t>
                        </w:r>
                        <w:r w:rsidRPr="00D0649C">
                          <w:rPr>
                            <w:color w:val="000000" w:themeColor="text1"/>
                            <w:spacing w:val="-4"/>
                          </w:rPr>
                          <w:t>). Podobně na tom bylo i</w:t>
                        </w:r>
                        <w:r>
                          <w:rPr>
                            <w:color w:val="000000" w:themeColor="text1"/>
                            <w:spacing w:val="-4"/>
                          </w:rPr>
                          <w:t> </w:t>
                        </w:r>
                        <w:r w:rsidRPr="00D0649C">
                          <w:rPr>
                            <w:color w:val="000000" w:themeColor="text1"/>
                            <w:spacing w:val="-4"/>
                          </w:rPr>
                          <w:t>poměrně diverzifikované odvětví ostatního zpracovatelského průmyslu, které podporovala sílící poptávka po zdravotnických potřebách. S tím zčásti souvisela také vyšší produkce farmaceutického průmyslu (+4,9</w:t>
                        </w:r>
                        <w:r>
                          <w:rPr>
                            <w:color w:val="000000" w:themeColor="text1"/>
                            <w:spacing w:val="-4"/>
                          </w:rPr>
                          <w:t> %</w:t>
                        </w:r>
                        <w:r w:rsidRPr="00D0649C">
                          <w:rPr>
                            <w:color w:val="000000" w:themeColor="text1"/>
                            <w:spacing w:val="-4"/>
                          </w:rPr>
                          <w:t>), kde je však růst výkonů dlouhodobějším jevem. Mírně rostoucími obory byly letos také dřevozpracující a</w:t>
                        </w:r>
                        <w:r>
                          <w:rPr>
                            <w:color w:val="000000" w:themeColor="text1"/>
                            <w:spacing w:val="-4"/>
                          </w:rPr>
                          <w:t> </w:t>
                        </w:r>
                        <w:r w:rsidRPr="00D0649C">
                          <w:rPr>
                            <w:color w:val="000000" w:themeColor="text1"/>
                            <w:spacing w:val="-4"/>
                          </w:rPr>
                          <w:t>papírenský průmysl, kde jde patrně o důsledek v posledních letech sílící živelní těžby dřeva. Tři výše uvedené rostoucí obory však v</w:t>
                        </w:r>
                        <w:r>
                          <w:rPr>
                            <w:color w:val="000000" w:themeColor="text1"/>
                            <w:spacing w:val="-4"/>
                          </w:rPr>
                          <w:t> </w:t>
                        </w:r>
                        <w:r w:rsidRPr="00D0649C">
                          <w:rPr>
                            <w:color w:val="000000" w:themeColor="text1"/>
                            <w:spacing w:val="-4"/>
                          </w:rPr>
                          <w:t>1.</w:t>
                        </w:r>
                        <w:r>
                          <w:rPr>
                            <w:color w:val="000000" w:themeColor="text1"/>
                            <w:spacing w:val="-4"/>
                          </w:rPr>
                          <w:t> pololet</w:t>
                        </w:r>
                        <w:r w:rsidRPr="00D0649C">
                          <w:rPr>
                            <w:color w:val="000000" w:themeColor="text1"/>
                            <w:spacing w:val="-4"/>
                          </w:rPr>
                          <w:t>í působily ve směru růstu celkové průmyslové produkce pouhými 0,2</w:t>
                        </w:r>
                        <w:r>
                          <w:rPr>
                            <w:color w:val="000000" w:themeColor="text1"/>
                            <w:spacing w:val="-4"/>
                          </w:rPr>
                          <w:t> p. b.</w:t>
                        </w:r>
                      </w:p>
                    </w:tc>
                  </w:tr>
                  <w:tr w:rsidR="004A0D0E" w:rsidRPr="00B01C55" w14:paraId="2799FCFA" w14:textId="77777777" w:rsidTr="0026300B">
                    <w:trPr>
                      <w:trHeight w:val="145"/>
                    </w:trPr>
                    <w:tc>
                      <w:tcPr>
                        <w:tcW w:w="1723" w:type="dxa"/>
                        <w:shd w:val="clear" w:color="auto" w:fill="auto"/>
                        <w:tcMar>
                          <w:left w:w="0" w:type="dxa"/>
                        </w:tcMar>
                      </w:tcPr>
                      <w:p w14:paraId="543DEEEA" w14:textId="77777777" w:rsidR="004A0D0E" w:rsidRDefault="004A0D0E" w:rsidP="004A0D0E">
                        <w:pPr>
                          <w:pStyle w:val="Marginlie"/>
                        </w:pPr>
                        <w:r>
                          <w:lastRenderedPageBreak/>
                          <w:t>Tržby z průmyslové činnosti meziročně posílily jen v energetice, farmacii a potravinářství.</w:t>
                        </w:r>
                      </w:p>
                      <w:p w14:paraId="67035D2C" w14:textId="77777777" w:rsidR="004A0D0E" w:rsidRDefault="004A0D0E" w:rsidP="004A0D0E">
                        <w:pPr>
                          <w:pStyle w:val="Marginlie"/>
                        </w:pPr>
                      </w:p>
                      <w:p w14:paraId="071A5CD8" w14:textId="77777777" w:rsidR="004A0D0E" w:rsidRDefault="004A0D0E" w:rsidP="004A0D0E">
                        <w:pPr>
                          <w:pStyle w:val="Marginlie"/>
                        </w:pPr>
                      </w:p>
                      <w:p w14:paraId="1968879D" w14:textId="77777777" w:rsidR="004A0D0E" w:rsidRDefault="004A0D0E" w:rsidP="004A0D0E">
                        <w:pPr>
                          <w:pStyle w:val="Marginlie"/>
                        </w:pPr>
                      </w:p>
                      <w:p w14:paraId="5A274DE7" w14:textId="77777777" w:rsidR="004A0D0E" w:rsidRDefault="004A0D0E" w:rsidP="004A0D0E">
                        <w:pPr>
                          <w:pStyle w:val="Marginlie"/>
                        </w:pPr>
                      </w:p>
                      <w:p w14:paraId="30E475C7" w14:textId="77777777" w:rsidR="004A0D0E" w:rsidRDefault="004A0D0E" w:rsidP="004A0D0E">
                        <w:pPr>
                          <w:pStyle w:val="Marginlie"/>
                        </w:pPr>
                        <w:r>
                          <w:t>Domácí tržby vykazovaly nadále vyšší tempa než tržby z přímého vývozu.</w:t>
                        </w:r>
                      </w:p>
                    </w:tc>
                    <w:tc>
                      <w:tcPr>
                        <w:tcW w:w="191" w:type="dxa"/>
                        <w:shd w:val="clear" w:color="auto" w:fill="auto"/>
                        <w:tcMar>
                          <w:left w:w="0" w:type="dxa"/>
                        </w:tcMar>
                      </w:tcPr>
                      <w:p w14:paraId="47872B7C" w14:textId="77777777" w:rsidR="004A0D0E" w:rsidRDefault="004A0D0E" w:rsidP="004A0D0E">
                        <w:pPr>
                          <w:pStyle w:val="Textpoznpodarou"/>
                          <w:jc w:val="both"/>
                          <w:rPr>
                            <w:spacing w:val="-4"/>
                          </w:rPr>
                        </w:pPr>
                      </w:p>
                    </w:tc>
                    <w:tc>
                      <w:tcPr>
                        <w:tcW w:w="7730" w:type="dxa"/>
                        <w:shd w:val="clear" w:color="auto" w:fill="auto"/>
                        <w:tcMar>
                          <w:left w:w="0" w:type="dxa"/>
                        </w:tcMar>
                      </w:tcPr>
                      <w:p w14:paraId="279C05DF" w14:textId="77777777" w:rsidR="004A0D0E" w:rsidRPr="00B31CBF" w:rsidRDefault="004A0D0E" w:rsidP="004A0D0E">
                        <w:pPr>
                          <w:spacing w:after="200"/>
                          <w:rPr>
                            <w:color w:val="000000" w:themeColor="text1"/>
                            <w:spacing w:val="-4"/>
                          </w:rPr>
                        </w:pPr>
                        <w:r w:rsidRPr="00B31CBF">
                          <w:rPr>
                            <w:spacing w:val="-4"/>
                          </w:rPr>
                          <w:t>Nominální tržby podniků z</w:t>
                        </w:r>
                        <w:r>
                          <w:rPr>
                            <w:spacing w:val="-4"/>
                          </w:rPr>
                          <w:t> </w:t>
                        </w:r>
                        <w:r w:rsidRPr="00B31CBF">
                          <w:rPr>
                            <w:spacing w:val="-4"/>
                          </w:rPr>
                          <w:t xml:space="preserve">průmyslové činnosti zaznamenaly letos obdobný vývoj jako průmyslová produkce. Po mírném </w:t>
                        </w:r>
                        <w:r>
                          <w:rPr>
                            <w:spacing w:val="-4"/>
                          </w:rPr>
                          <w:t xml:space="preserve">meziročním </w:t>
                        </w:r>
                        <w:r w:rsidRPr="00B31CBF">
                          <w:rPr>
                            <w:spacing w:val="-4"/>
                          </w:rPr>
                          <w:t>poklesu v 1.</w:t>
                        </w:r>
                        <w:r>
                          <w:rPr>
                            <w:spacing w:val="-4"/>
                          </w:rPr>
                          <w:t> čtvrtlet</w:t>
                        </w:r>
                        <w:r w:rsidRPr="00B31CBF">
                          <w:rPr>
                            <w:spacing w:val="-4"/>
                          </w:rPr>
                          <w:t>í (</w:t>
                        </w:r>
                        <w:r w:rsidRPr="00B31CBF">
                          <w:rPr>
                            <w:color w:val="000000" w:themeColor="text1"/>
                            <w:spacing w:val="-4"/>
                          </w:rPr>
                          <w:t>–</w:t>
                        </w:r>
                        <w:r w:rsidRPr="00B31CBF">
                          <w:rPr>
                            <w:spacing w:val="-4"/>
                          </w:rPr>
                          <w:t>3,1</w:t>
                        </w:r>
                        <w:r>
                          <w:rPr>
                            <w:spacing w:val="-4"/>
                          </w:rPr>
                          <w:t> %</w:t>
                        </w:r>
                        <w:r w:rsidRPr="00B31CBF">
                          <w:rPr>
                            <w:spacing w:val="-4"/>
                          </w:rPr>
                          <w:t xml:space="preserve">) se </w:t>
                        </w:r>
                        <w:r>
                          <w:rPr>
                            <w:spacing w:val="-4"/>
                          </w:rPr>
                          <w:t>v </w:t>
                        </w:r>
                        <w:r w:rsidRPr="00B31CBF">
                          <w:rPr>
                            <w:spacing w:val="-4"/>
                          </w:rPr>
                          <w:t>následujícím kvartále propadly (</w:t>
                        </w:r>
                        <w:r w:rsidRPr="00B31CBF">
                          <w:rPr>
                            <w:color w:val="000000" w:themeColor="text1"/>
                            <w:spacing w:val="-4"/>
                          </w:rPr>
                          <w:t>–</w:t>
                        </w:r>
                        <w:r w:rsidRPr="00B31CBF">
                          <w:rPr>
                            <w:spacing w:val="-4"/>
                          </w:rPr>
                          <w:t>2</w:t>
                        </w:r>
                        <w:r w:rsidRPr="00B31CBF">
                          <w:rPr>
                            <w:color w:val="000000" w:themeColor="text1"/>
                            <w:spacing w:val="-4"/>
                          </w:rPr>
                          <w:t>3</w:t>
                        </w:r>
                        <w:r w:rsidRPr="00B31CBF">
                          <w:rPr>
                            <w:spacing w:val="-4"/>
                          </w:rPr>
                          <w:t>,8</w:t>
                        </w:r>
                        <w:r>
                          <w:rPr>
                            <w:spacing w:val="-4"/>
                          </w:rPr>
                          <w:t> %</w:t>
                        </w:r>
                        <w:r w:rsidRPr="00B31CBF">
                          <w:rPr>
                            <w:spacing w:val="-4"/>
                          </w:rPr>
                          <w:t>). Za celé 1.</w:t>
                        </w:r>
                        <w:r>
                          <w:rPr>
                            <w:spacing w:val="-4"/>
                          </w:rPr>
                          <w:t> pololet</w:t>
                        </w:r>
                        <w:r w:rsidRPr="00B31CBF">
                          <w:rPr>
                            <w:spacing w:val="-4"/>
                          </w:rPr>
                          <w:t xml:space="preserve">í </w:t>
                        </w:r>
                        <w:r>
                          <w:rPr>
                            <w:spacing w:val="-4"/>
                          </w:rPr>
                          <w:t>více stržily</w:t>
                        </w:r>
                        <w:r w:rsidRPr="00B31CBF">
                          <w:rPr>
                            <w:spacing w:val="-4"/>
                          </w:rPr>
                          <w:t xml:space="preserve"> </w:t>
                        </w:r>
                        <w:r>
                          <w:rPr>
                            <w:spacing w:val="-4"/>
                          </w:rPr>
                          <w:t xml:space="preserve">jen </w:t>
                        </w:r>
                        <w:r w:rsidRPr="00B31CBF">
                          <w:rPr>
                            <w:spacing w:val="-4"/>
                          </w:rPr>
                          <w:t>podniky v energetice (+6</w:t>
                        </w:r>
                        <w:r>
                          <w:rPr>
                            <w:spacing w:val="-4"/>
                          </w:rPr>
                          <w:t> %</w:t>
                        </w:r>
                        <w:r w:rsidRPr="00B31CBF">
                          <w:rPr>
                            <w:spacing w:val="-4"/>
                          </w:rPr>
                          <w:t>), farmacii (</w:t>
                        </w:r>
                        <w:r>
                          <w:rPr>
                            <w:spacing w:val="-4"/>
                          </w:rPr>
                          <w:t>+</w:t>
                        </w:r>
                        <w:r w:rsidRPr="00B31CBF">
                          <w:rPr>
                            <w:spacing w:val="-4"/>
                          </w:rPr>
                          <w:t>6</w:t>
                        </w:r>
                        <w:r>
                          <w:rPr>
                            <w:spacing w:val="-4"/>
                          </w:rPr>
                          <w:t> </w:t>
                        </w:r>
                        <w:r w:rsidRPr="00B31CBF">
                          <w:rPr>
                            <w:spacing w:val="-4"/>
                          </w:rPr>
                          <w:t>%)</w:t>
                        </w:r>
                        <w:r>
                          <w:rPr>
                            <w:spacing w:val="-4"/>
                          </w:rPr>
                          <w:t xml:space="preserve"> a v </w:t>
                        </w:r>
                        <w:r w:rsidRPr="00B31CBF">
                          <w:rPr>
                            <w:spacing w:val="-4"/>
                          </w:rPr>
                          <w:t>potravinářství (+2</w:t>
                        </w:r>
                        <w:r>
                          <w:rPr>
                            <w:spacing w:val="-4"/>
                          </w:rPr>
                          <w:t> %</w:t>
                        </w:r>
                        <w:r w:rsidRPr="00B31CBF">
                          <w:rPr>
                            <w:spacing w:val="-4"/>
                          </w:rPr>
                          <w:t xml:space="preserve">). </w:t>
                        </w:r>
                        <w:r>
                          <w:rPr>
                            <w:spacing w:val="-4"/>
                          </w:rPr>
                          <w:t>Cenový růst pomohl částečně kompenzovat pokles reálné produkce výrobcům oděvů či usní, naopak mírný růst produkce nebyl zárukou posílení tržeb v dřevozpracujícím či papírenském průmyslu. Významnější</w:t>
                        </w:r>
                        <w:r>
                          <w:rPr>
                            <w:rFonts w:cstheme="minorHAnsi"/>
                            <w:spacing w:val="-3"/>
                          </w:rPr>
                          <w:t xml:space="preserve"> cenový pokles v</w:t>
                        </w:r>
                        <w:r w:rsidRPr="00D0649C">
                          <w:rPr>
                            <w:color w:val="000000" w:themeColor="text1"/>
                            <w:spacing w:val="-4"/>
                          </w:rPr>
                          <w:t> </w:t>
                        </w:r>
                        <w:r>
                          <w:rPr>
                            <w:rFonts w:cstheme="minorHAnsi"/>
                            <w:spacing w:val="-3"/>
                          </w:rPr>
                          <w:t>chemickém průmyslu</w:t>
                        </w:r>
                        <w:r w:rsidRPr="00E8182E">
                          <w:rPr>
                            <w:rFonts w:cstheme="minorHAnsi"/>
                            <w:spacing w:val="-3"/>
                          </w:rPr>
                          <w:t xml:space="preserve"> </w:t>
                        </w:r>
                        <w:r>
                          <w:rPr>
                            <w:rFonts w:cstheme="minorHAnsi"/>
                            <w:spacing w:val="-3"/>
                          </w:rPr>
                          <w:t xml:space="preserve">či </w:t>
                        </w:r>
                        <w:r w:rsidRPr="00E8182E">
                          <w:rPr>
                            <w:rFonts w:cstheme="minorHAnsi"/>
                            <w:spacing w:val="-3"/>
                          </w:rPr>
                          <w:t>hutni</w:t>
                        </w:r>
                        <w:r>
                          <w:rPr>
                            <w:rFonts w:cstheme="minorHAnsi"/>
                            <w:spacing w:val="-3"/>
                          </w:rPr>
                          <w:t>ctví se negativně podepsal na tržbách podniků a nepříznivý vývoj produkce v těchto odvětvích ještě umocnil. Celkové tržby průmyslových podniků z přímého vývozu klesly oproti 1. pololetí loňského roku o 15 %, tržby z tuzemska jen o</w:t>
                        </w:r>
                        <w:r w:rsidRPr="00B31CBF">
                          <w:rPr>
                            <w:spacing w:val="-4"/>
                          </w:rPr>
                          <w:t> </w:t>
                        </w:r>
                        <w:r>
                          <w:rPr>
                            <w:rFonts w:cstheme="minorHAnsi"/>
                            <w:spacing w:val="-3"/>
                          </w:rPr>
                          <w:t>10</w:t>
                        </w:r>
                        <w:r w:rsidRPr="00B31CBF">
                          <w:rPr>
                            <w:spacing w:val="-4"/>
                          </w:rPr>
                          <w:t> </w:t>
                        </w:r>
                        <w:r>
                          <w:rPr>
                            <w:rFonts w:cstheme="minorHAnsi"/>
                            <w:spacing w:val="-3"/>
                          </w:rPr>
                          <w:t xml:space="preserve">%. </w:t>
                        </w:r>
                        <w:r w:rsidRPr="00E8182E">
                          <w:rPr>
                            <w:rFonts w:cstheme="minorHAnsi"/>
                            <w:spacing w:val="-3"/>
                          </w:rPr>
                          <w:t>Vyšší tempa domácích tržeb oproti zahraničním přetrvával</w:t>
                        </w:r>
                        <w:r>
                          <w:rPr>
                            <w:rFonts w:cstheme="minorHAnsi"/>
                            <w:spacing w:val="-3"/>
                          </w:rPr>
                          <w:t>a</w:t>
                        </w:r>
                        <w:r w:rsidRPr="00E8182E">
                          <w:rPr>
                            <w:rFonts w:cstheme="minorHAnsi"/>
                            <w:spacing w:val="-3"/>
                          </w:rPr>
                          <w:t xml:space="preserve"> v zásadě i</w:t>
                        </w:r>
                        <w:r>
                          <w:rPr>
                            <w:rFonts w:cstheme="minorHAnsi"/>
                            <w:spacing w:val="-3"/>
                          </w:rPr>
                          <w:t> </w:t>
                        </w:r>
                        <w:r w:rsidRPr="00E8182E">
                          <w:rPr>
                            <w:rFonts w:cstheme="minorHAnsi"/>
                            <w:spacing w:val="-3"/>
                          </w:rPr>
                          <w:t>v období 2</w:t>
                        </w:r>
                        <w:r>
                          <w:rPr>
                            <w:rFonts w:cstheme="minorHAnsi"/>
                            <w:spacing w:val="-3"/>
                          </w:rPr>
                          <w:t xml:space="preserve">017 až </w:t>
                        </w:r>
                        <w:r w:rsidRPr="00E8182E">
                          <w:rPr>
                            <w:rFonts w:cstheme="minorHAnsi"/>
                            <w:spacing w:val="-3"/>
                          </w:rPr>
                          <w:t>2019.</w:t>
                        </w:r>
                      </w:p>
                    </w:tc>
                  </w:tr>
                  <w:tr w:rsidR="004A0D0E" w:rsidRPr="00B01C55" w14:paraId="4CEC85B0" w14:textId="77777777" w:rsidTr="0026300B">
                    <w:trPr>
                      <w:trHeight w:val="145"/>
                    </w:trPr>
                    <w:tc>
                      <w:tcPr>
                        <w:tcW w:w="1723" w:type="dxa"/>
                        <w:shd w:val="clear" w:color="auto" w:fill="auto"/>
                        <w:tcMar>
                          <w:left w:w="0" w:type="dxa"/>
                        </w:tcMar>
                      </w:tcPr>
                      <w:p w14:paraId="598AC8CD" w14:textId="77777777" w:rsidR="004A0D0E" w:rsidRDefault="004A0D0E" w:rsidP="004A0D0E">
                        <w:pPr>
                          <w:pStyle w:val="Marginlie"/>
                        </w:pPr>
                        <w:r>
                          <w:t>Pokles nových zakázek se v letním období zmírnil. Využití výrobních kapacit stále nedosáhlo úrovně před pandemií.</w:t>
                        </w:r>
                      </w:p>
                      <w:p w14:paraId="3C465357" w14:textId="77777777" w:rsidR="004A0D0E" w:rsidRDefault="004A0D0E" w:rsidP="004A0D0E">
                        <w:pPr>
                          <w:pStyle w:val="Marginlie"/>
                        </w:pPr>
                      </w:p>
                      <w:p w14:paraId="70F7F589" w14:textId="77777777" w:rsidR="004A0D0E" w:rsidRDefault="004A0D0E" w:rsidP="004A0D0E">
                        <w:pPr>
                          <w:pStyle w:val="Marginlie"/>
                        </w:pPr>
                      </w:p>
                      <w:p w14:paraId="73938D2A" w14:textId="77777777" w:rsidR="004A0D0E" w:rsidRDefault="004A0D0E" w:rsidP="004A0D0E">
                        <w:pPr>
                          <w:pStyle w:val="Marginlie"/>
                        </w:pPr>
                      </w:p>
                      <w:p w14:paraId="7E9B82F5" w14:textId="77777777" w:rsidR="004A0D0E" w:rsidRDefault="004A0D0E" w:rsidP="004A0D0E">
                        <w:pPr>
                          <w:pStyle w:val="Marginlie"/>
                        </w:pPr>
                      </w:p>
                      <w:p w14:paraId="2EFBF734" w14:textId="77777777" w:rsidR="004A0D0E" w:rsidRDefault="004A0D0E" w:rsidP="004A0D0E">
                        <w:pPr>
                          <w:pStyle w:val="Marginlie"/>
                        </w:pPr>
                      </w:p>
                      <w:p w14:paraId="134745A8" w14:textId="77777777" w:rsidR="004A0D0E" w:rsidRDefault="004A0D0E" w:rsidP="004A0D0E">
                        <w:pPr>
                          <w:pStyle w:val="Marginlie"/>
                        </w:pPr>
                        <w:r>
                          <w:t>Nedostatečná poptávka sužovala takřka dvě třetiny průmyslových podniků.</w:t>
                        </w:r>
                      </w:p>
                      <w:p w14:paraId="3048079D" w14:textId="77777777" w:rsidR="004A0D0E" w:rsidRDefault="004A0D0E" w:rsidP="004A0D0E">
                        <w:pPr>
                          <w:pStyle w:val="Marginlie"/>
                        </w:pPr>
                      </w:p>
                      <w:p w14:paraId="5658D3BF" w14:textId="77777777" w:rsidR="004A0D0E" w:rsidRDefault="004A0D0E" w:rsidP="004A0D0E">
                        <w:pPr>
                          <w:pStyle w:val="Marginlie"/>
                        </w:pPr>
                      </w:p>
                      <w:p w14:paraId="28C02BB1" w14:textId="77777777" w:rsidR="004A0D0E" w:rsidRDefault="004A0D0E" w:rsidP="004A0D0E">
                        <w:pPr>
                          <w:pStyle w:val="Marginlie"/>
                        </w:pPr>
                      </w:p>
                      <w:p w14:paraId="6F58EEF4" w14:textId="77777777" w:rsidR="004A0D0E" w:rsidRDefault="004A0D0E" w:rsidP="004A0D0E">
                        <w:pPr>
                          <w:pStyle w:val="Marginlie"/>
                        </w:pPr>
                      </w:p>
                      <w:p w14:paraId="41D3F5AF" w14:textId="77777777" w:rsidR="004A0D0E" w:rsidRDefault="004A0D0E" w:rsidP="004A0D0E">
                        <w:pPr>
                          <w:pStyle w:val="Marginlie"/>
                        </w:pPr>
                        <w:r>
                          <w:t>Výrazně negativní saldo důvěry přetrvávalo ve strojírenství.</w:t>
                        </w:r>
                      </w:p>
                      <w:p w14:paraId="7B851BE7" w14:textId="77777777" w:rsidR="004A0D0E" w:rsidRDefault="004A0D0E" w:rsidP="004A0D0E">
                        <w:pPr>
                          <w:pStyle w:val="Marginlie"/>
                        </w:pPr>
                      </w:p>
                    </w:tc>
                    <w:tc>
                      <w:tcPr>
                        <w:tcW w:w="191" w:type="dxa"/>
                        <w:shd w:val="clear" w:color="auto" w:fill="auto"/>
                        <w:tcMar>
                          <w:left w:w="0" w:type="dxa"/>
                        </w:tcMar>
                      </w:tcPr>
                      <w:p w14:paraId="3C8C6B3F" w14:textId="77777777" w:rsidR="004A0D0E" w:rsidRDefault="004A0D0E" w:rsidP="004A0D0E">
                        <w:pPr>
                          <w:pStyle w:val="Textpoznpodarou"/>
                          <w:jc w:val="both"/>
                          <w:rPr>
                            <w:spacing w:val="-4"/>
                          </w:rPr>
                        </w:pPr>
                      </w:p>
                    </w:tc>
                    <w:tc>
                      <w:tcPr>
                        <w:tcW w:w="7730" w:type="dxa"/>
                        <w:shd w:val="clear" w:color="auto" w:fill="auto"/>
                        <w:tcMar>
                          <w:left w:w="0" w:type="dxa"/>
                        </w:tcMar>
                      </w:tcPr>
                      <w:p w14:paraId="71FB3350" w14:textId="77777777" w:rsidR="004A0D0E" w:rsidRPr="00460505" w:rsidRDefault="004A0D0E" w:rsidP="004A0D0E">
                        <w:pPr>
                          <w:spacing w:after="200"/>
                          <w:rPr>
                            <w:color w:val="000000" w:themeColor="text1"/>
                            <w:spacing w:val="-3"/>
                          </w:rPr>
                        </w:pPr>
                        <w:r>
                          <w:rPr>
                            <w:color w:val="000000" w:themeColor="text1"/>
                            <w:spacing w:val="-3"/>
                          </w:rPr>
                          <w:t xml:space="preserve">Krátkodobé vyhlídky průmyslu zůstávaly v letním období nadále nepříznivé. </w:t>
                        </w:r>
                        <w:r w:rsidRPr="002E3E92">
                          <w:rPr>
                            <w:color w:val="0D0D0D" w:themeColor="text1" w:themeTint="F2"/>
                            <w:spacing w:val="-4"/>
                          </w:rPr>
                          <w:t>Hodnota průmyslových zakázek</w:t>
                        </w:r>
                        <w:r w:rsidRPr="002E3E92">
                          <w:rPr>
                            <w:rStyle w:val="Znakapoznpodarou"/>
                            <w:spacing w:val="-4"/>
                          </w:rPr>
                          <w:footnoteReference w:id="21"/>
                        </w:r>
                        <w:r>
                          <w:rPr>
                            <w:color w:val="0D0D0D" w:themeColor="text1" w:themeTint="F2"/>
                            <w:spacing w:val="-4"/>
                          </w:rPr>
                          <w:t xml:space="preserve"> byla ve 2</w:t>
                        </w:r>
                        <w:r w:rsidRPr="002E3E92">
                          <w:rPr>
                            <w:color w:val="0D0D0D" w:themeColor="text1" w:themeTint="F2"/>
                            <w:spacing w:val="-4"/>
                          </w:rPr>
                          <w:t>.</w:t>
                        </w:r>
                        <w:r>
                          <w:rPr>
                            <w:color w:val="0D0D0D" w:themeColor="text1" w:themeTint="F2"/>
                            <w:spacing w:val="-4"/>
                          </w:rPr>
                          <w:t> čtvrtlet</w:t>
                        </w:r>
                        <w:r w:rsidRPr="002E3E92">
                          <w:rPr>
                            <w:color w:val="0D0D0D" w:themeColor="text1" w:themeTint="F2"/>
                            <w:spacing w:val="-4"/>
                          </w:rPr>
                          <w:t xml:space="preserve">í </w:t>
                        </w:r>
                        <w:r>
                          <w:rPr>
                            <w:color w:val="0D0D0D" w:themeColor="text1" w:themeTint="F2"/>
                            <w:spacing w:val="-4"/>
                          </w:rPr>
                          <w:t xml:space="preserve">2020 </w:t>
                        </w:r>
                        <w:r w:rsidRPr="002E3E92">
                          <w:rPr>
                            <w:color w:val="0D0D0D" w:themeColor="text1" w:themeTint="F2"/>
                            <w:spacing w:val="-4"/>
                          </w:rPr>
                          <w:t>meziroč</w:t>
                        </w:r>
                        <w:r>
                          <w:rPr>
                            <w:color w:val="0D0D0D" w:themeColor="text1" w:themeTint="F2"/>
                            <w:spacing w:val="-4"/>
                          </w:rPr>
                          <w:t xml:space="preserve">ně o více než čtvrtinu nižší (bez významnějších rozdílů v tempech mezi </w:t>
                        </w:r>
                        <w:r w:rsidRPr="002E3E92">
                          <w:rPr>
                            <w:color w:val="0D0D0D" w:themeColor="text1" w:themeTint="F2"/>
                            <w:spacing w:val="-4"/>
                          </w:rPr>
                          <w:t>domácí a</w:t>
                        </w:r>
                        <w:r>
                          <w:rPr>
                            <w:color w:val="0D0D0D" w:themeColor="text1" w:themeTint="F2"/>
                            <w:spacing w:val="-4"/>
                          </w:rPr>
                          <w:t> </w:t>
                        </w:r>
                        <w:r w:rsidRPr="002E3E92">
                          <w:rPr>
                            <w:color w:val="0D0D0D" w:themeColor="text1" w:themeTint="F2"/>
                            <w:spacing w:val="-4"/>
                          </w:rPr>
                          <w:t>zahraniční poptávkou</w:t>
                        </w:r>
                        <w:r>
                          <w:rPr>
                            <w:color w:val="0D0D0D" w:themeColor="text1" w:themeTint="F2"/>
                            <w:spacing w:val="-4"/>
                          </w:rPr>
                          <w:t xml:space="preserve">). Mírný růst signalizovala pouze malá odvětví – farmacie a také výroba ostatních (zejména kolejových) dopravních prostředků, </w:t>
                        </w:r>
                        <w:r>
                          <w:rPr>
                            <w:color w:val="000000" w:themeColor="text1"/>
                            <w:spacing w:val="-3"/>
                          </w:rPr>
                          <w:t>kde je ale vývoj tradičně silně volatilní. Ve výrobě motorových vozidel byly zakázky nižší o 44 %, což lze chápat jako dozvuk dubnového zastavení výroby. Příznivější náznaky přinesly červencové údaje, když zakázky rostly o desetinu (v automobilovém průmyslu), resp. zmírnily pokles na 4 % (v celém průmyslu). O tom, že situace v průmyslu nebyla po jarním šoku ještě zdaleka stabilizovaná, svědčilo stále podprůměrné využití výrobních kapacit (v celém průmyslu i automobilovém segmentu). Nepříznivý byl i vysoký podíl podniků považujících nedostatečnou poptávku za růstovou bariéru</w:t>
                        </w:r>
                        <w:r w:rsidRPr="002E3E92">
                          <w:rPr>
                            <w:rStyle w:val="Znakapoznpodarou"/>
                            <w:spacing w:val="-4"/>
                          </w:rPr>
                          <w:footnoteReference w:id="22"/>
                        </w:r>
                        <w:r>
                          <w:rPr>
                            <w:color w:val="000000" w:themeColor="text1"/>
                            <w:spacing w:val="-3"/>
                          </w:rPr>
                          <w:t xml:space="preserve"> (na počátku 3. čtvrtletí 63 %, nejvíce za posledních sedm let). Citelné zchlazení trhu práce naznačuje pouze 15% váha nedostatku pracovníků (nejméně od konce roku 2015). Rovněž očekávání podniků v oblasti zaměstnanosti zůstávalo negativní (na úrovni roku recese – 2012). </w:t>
                        </w:r>
                        <w:r>
                          <w:rPr>
                            <w:color w:val="0D0D0D" w:themeColor="text1" w:themeTint="F2"/>
                            <w:spacing w:val="-4"/>
                          </w:rPr>
                          <w:t>S</w:t>
                        </w:r>
                        <w:r w:rsidRPr="002E3E92">
                          <w:rPr>
                            <w:color w:val="0D0D0D" w:themeColor="text1" w:themeTint="F2"/>
                            <w:spacing w:val="-4"/>
                          </w:rPr>
                          <w:t xml:space="preserve">aldo </w:t>
                        </w:r>
                        <w:r w:rsidRPr="002E3E92">
                          <w:rPr>
                            <w:rFonts w:cs="Arial"/>
                            <w:color w:val="0D0D0D" w:themeColor="text1" w:themeTint="F2"/>
                            <w:spacing w:val="-4"/>
                          </w:rPr>
                          <w:t>indikát</w:t>
                        </w:r>
                        <w:r>
                          <w:rPr>
                            <w:rFonts w:cs="Arial"/>
                            <w:color w:val="0D0D0D" w:themeColor="text1" w:themeTint="F2"/>
                            <w:spacing w:val="-4"/>
                          </w:rPr>
                          <w:t xml:space="preserve">oru důvěry podnikatelů v průmyslu se během léta zlepšilo, v srpnu skončilo na </w:t>
                        </w:r>
                        <w:r w:rsidRPr="002E3E92">
                          <w:rPr>
                            <w:color w:val="000000" w:themeColor="text1"/>
                            <w:spacing w:val="-4"/>
                          </w:rPr>
                          <w:t>–</w:t>
                        </w:r>
                        <w:r>
                          <w:rPr>
                            <w:rFonts w:cs="Arial"/>
                            <w:color w:val="0D0D0D" w:themeColor="text1" w:themeTint="F2"/>
                            <w:spacing w:val="-4"/>
                          </w:rPr>
                          <w:t>6 bodech a dostalo se tak na úroveň z počátku letošního roku. Z jednotlivých oborů přetrvával největší pesimismus ve strojírenství (</w:t>
                        </w:r>
                        <w:r w:rsidRPr="002E3E92">
                          <w:rPr>
                            <w:color w:val="000000" w:themeColor="text1"/>
                            <w:spacing w:val="-4"/>
                          </w:rPr>
                          <w:t>–</w:t>
                        </w:r>
                        <w:r>
                          <w:rPr>
                            <w:rFonts w:cs="Arial"/>
                            <w:color w:val="0D0D0D" w:themeColor="text1" w:themeTint="F2"/>
                            <w:spacing w:val="-4"/>
                          </w:rPr>
                          <w:t>31 bodů), nábytkářském (</w:t>
                        </w:r>
                        <w:r w:rsidRPr="002E3E92">
                          <w:rPr>
                            <w:color w:val="000000" w:themeColor="text1"/>
                            <w:spacing w:val="-4"/>
                          </w:rPr>
                          <w:t>–</w:t>
                        </w:r>
                        <w:r>
                          <w:rPr>
                            <w:rFonts w:cs="Arial"/>
                            <w:color w:val="0D0D0D" w:themeColor="text1" w:themeTint="F2"/>
                            <w:spacing w:val="-4"/>
                          </w:rPr>
                          <w:t>27) a</w:t>
                        </w:r>
                        <w:r>
                          <w:rPr>
                            <w:color w:val="000000" w:themeColor="text1"/>
                            <w:spacing w:val="-3"/>
                          </w:rPr>
                          <w:t> </w:t>
                        </w:r>
                        <w:r>
                          <w:rPr>
                            <w:rFonts w:cs="Arial"/>
                            <w:color w:val="0D0D0D" w:themeColor="text1" w:themeTint="F2"/>
                            <w:spacing w:val="-4"/>
                          </w:rPr>
                          <w:t>oděvním průmyslu (</w:t>
                        </w:r>
                        <w:r w:rsidRPr="002E3E92">
                          <w:rPr>
                            <w:color w:val="000000" w:themeColor="text1"/>
                            <w:spacing w:val="-4"/>
                          </w:rPr>
                          <w:t>–</w:t>
                        </w:r>
                        <w:r>
                          <w:rPr>
                            <w:rFonts w:cs="Arial"/>
                            <w:color w:val="0D0D0D" w:themeColor="text1" w:themeTint="F2"/>
                            <w:spacing w:val="-4"/>
                          </w:rPr>
                          <w:t>26). Ve výrobě motorových vozidel byl sentiment příznivější a dosáhl stejné hodnoty jako na konci loňského roku (</w:t>
                        </w:r>
                        <w:r w:rsidRPr="002E3E92">
                          <w:rPr>
                            <w:color w:val="000000" w:themeColor="text1"/>
                            <w:spacing w:val="-4"/>
                          </w:rPr>
                          <w:t>–</w:t>
                        </w:r>
                        <w:r>
                          <w:rPr>
                            <w:rFonts w:cs="Arial"/>
                            <w:color w:val="0D0D0D" w:themeColor="text1" w:themeTint="F2"/>
                            <w:spacing w:val="-4"/>
                          </w:rPr>
                          <w:t>2 body).</w:t>
                        </w:r>
                      </w:p>
                    </w:tc>
                  </w:tr>
                  <w:tr w:rsidR="004A0D0E" w:rsidRPr="00B01C55" w14:paraId="25AC42A2" w14:textId="77777777" w:rsidTr="0026300B">
                    <w:trPr>
                      <w:trHeight w:val="145"/>
                    </w:trPr>
                    <w:tc>
                      <w:tcPr>
                        <w:tcW w:w="1723" w:type="dxa"/>
                        <w:shd w:val="clear" w:color="auto" w:fill="auto"/>
                        <w:tcMar>
                          <w:left w:w="0" w:type="dxa"/>
                        </w:tcMar>
                      </w:tcPr>
                      <w:p w14:paraId="28D19412" w14:textId="77777777" w:rsidR="004A0D0E" w:rsidRDefault="004A0D0E" w:rsidP="004A0D0E">
                        <w:pPr>
                          <w:pStyle w:val="Marginlie"/>
                        </w:pPr>
                        <w:r>
                          <w:t>Meziroční propad průmyslové produkce v 1. pololetí byl v ČR mezi státy EU osmý největší.</w:t>
                        </w:r>
                      </w:p>
                    </w:tc>
                    <w:tc>
                      <w:tcPr>
                        <w:tcW w:w="191" w:type="dxa"/>
                        <w:shd w:val="clear" w:color="auto" w:fill="auto"/>
                        <w:tcMar>
                          <w:left w:w="0" w:type="dxa"/>
                        </w:tcMar>
                      </w:tcPr>
                      <w:p w14:paraId="0B2A35EF" w14:textId="77777777" w:rsidR="004A0D0E" w:rsidRDefault="004A0D0E" w:rsidP="004A0D0E">
                        <w:pPr>
                          <w:pStyle w:val="Textpoznpodarou"/>
                          <w:jc w:val="both"/>
                          <w:rPr>
                            <w:spacing w:val="-4"/>
                          </w:rPr>
                        </w:pPr>
                      </w:p>
                    </w:tc>
                    <w:tc>
                      <w:tcPr>
                        <w:tcW w:w="7730" w:type="dxa"/>
                        <w:shd w:val="clear" w:color="auto" w:fill="auto"/>
                        <w:tcMar>
                          <w:left w:w="0" w:type="dxa"/>
                        </w:tcMar>
                      </w:tcPr>
                      <w:p w14:paraId="6D63B88F" w14:textId="77777777" w:rsidR="004A0D0E" w:rsidRPr="00301AAB" w:rsidRDefault="004A0D0E" w:rsidP="004A0D0E">
                        <w:pPr>
                          <w:spacing w:after="200"/>
                          <w:rPr>
                            <w:spacing w:val="-4"/>
                          </w:rPr>
                        </w:pPr>
                        <w:r w:rsidRPr="00F40458">
                          <w:rPr>
                            <w:spacing w:val="-4"/>
                          </w:rPr>
                          <w:t>Zatímco v 1. čtvrtletí se průmyslová produkce v EU meziročně snížila srovnatelným tempem jako v Česku (</w:t>
                        </w:r>
                        <w:r w:rsidRPr="00F40458">
                          <w:rPr>
                            <w:color w:val="000000" w:themeColor="text1"/>
                            <w:spacing w:val="-4"/>
                          </w:rPr>
                          <w:t>–</w:t>
                        </w:r>
                        <w:r w:rsidRPr="00F40458">
                          <w:rPr>
                            <w:spacing w:val="-4"/>
                          </w:rPr>
                          <w:t>5,3 %), ve 2. čtvrtletí byl unijní propad mírnější (</w:t>
                        </w:r>
                        <w:r w:rsidRPr="00F40458">
                          <w:rPr>
                            <w:color w:val="000000" w:themeColor="text1"/>
                            <w:spacing w:val="-4"/>
                          </w:rPr>
                          <w:t>–</w:t>
                        </w:r>
                        <w:r w:rsidRPr="00F40458">
                          <w:rPr>
                            <w:spacing w:val="-4"/>
                          </w:rPr>
                          <w:t>19,2 %). V</w:t>
                        </w:r>
                        <w:r w:rsidRPr="00301AAB">
                          <w:rPr>
                            <w:spacing w:val="-4"/>
                          </w:rPr>
                          <w:t> celém</w:t>
                        </w:r>
                        <w:r>
                          <w:rPr>
                            <w:spacing w:val="-4"/>
                          </w:rPr>
                          <w:t xml:space="preserve"> 1.</w:t>
                        </w:r>
                        <w:r w:rsidRPr="00301AAB">
                          <w:rPr>
                            <w:spacing w:val="-4"/>
                          </w:rPr>
                          <w:t xml:space="preserve"> pololetí </w:t>
                        </w:r>
                        <w:r>
                          <w:rPr>
                            <w:spacing w:val="-4"/>
                          </w:rPr>
                          <w:t>registrovaly největší útlum</w:t>
                        </w:r>
                        <w:r w:rsidRPr="00301AAB">
                          <w:rPr>
                            <w:spacing w:val="-4"/>
                          </w:rPr>
                          <w:t xml:space="preserve"> Lucembursko a</w:t>
                        </w:r>
                        <w:r>
                          <w:rPr>
                            <w:spacing w:val="-4"/>
                          </w:rPr>
                          <w:t> </w:t>
                        </w:r>
                        <w:r w:rsidRPr="00301AAB">
                          <w:rPr>
                            <w:spacing w:val="-4"/>
                          </w:rPr>
                          <w:t xml:space="preserve">Itálie (shodně </w:t>
                        </w:r>
                        <w:r w:rsidRPr="00301AAB">
                          <w:rPr>
                            <w:color w:val="000000" w:themeColor="text1"/>
                            <w:spacing w:val="-4"/>
                          </w:rPr>
                          <w:t>–</w:t>
                        </w:r>
                        <w:r w:rsidRPr="00301AAB">
                          <w:rPr>
                            <w:spacing w:val="-4"/>
                          </w:rPr>
                          <w:t>18</w:t>
                        </w:r>
                        <w:r>
                          <w:rPr>
                            <w:spacing w:val="-4"/>
                          </w:rPr>
                          <w:t> %</w:t>
                        </w:r>
                        <w:r w:rsidRPr="00301AAB">
                          <w:rPr>
                            <w:spacing w:val="-4"/>
                          </w:rPr>
                          <w:t xml:space="preserve">), následované silně průmyslovými ekonomikami </w:t>
                        </w:r>
                        <w:r w:rsidRPr="006D294B">
                          <w:rPr>
                            <w:spacing w:val="-4"/>
                          </w:rPr>
                          <w:t>Slovenska</w:t>
                        </w:r>
                        <w:r w:rsidRPr="00301AAB">
                          <w:rPr>
                            <w:spacing w:val="-4"/>
                          </w:rPr>
                          <w:t xml:space="preserve"> (</w:t>
                        </w:r>
                        <w:r w:rsidRPr="006D294B">
                          <w:rPr>
                            <w:spacing w:val="-4"/>
                          </w:rPr>
                          <w:t>–</w:t>
                        </w:r>
                        <w:r w:rsidRPr="00301AAB">
                          <w:rPr>
                            <w:spacing w:val="-4"/>
                          </w:rPr>
                          <w:t>18</w:t>
                        </w:r>
                        <w:r>
                          <w:rPr>
                            <w:spacing w:val="-4"/>
                          </w:rPr>
                          <w:t> %</w:t>
                        </w:r>
                        <w:r w:rsidRPr="00301AAB">
                          <w:rPr>
                            <w:spacing w:val="-4"/>
                          </w:rPr>
                          <w:t>) a</w:t>
                        </w:r>
                        <w:r>
                          <w:rPr>
                            <w:spacing w:val="-4"/>
                          </w:rPr>
                          <w:t> </w:t>
                        </w:r>
                        <w:r w:rsidRPr="00301AAB">
                          <w:rPr>
                            <w:spacing w:val="-4"/>
                          </w:rPr>
                          <w:t>Rumunska (</w:t>
                        </w:r>
                        <w:r w:rsidRPr="00301AAB">
                          <w:rPr>
                            <w:color w:val="000000" w:themeColor="text1"/>
                            <w:spacing w:val="-4"/>
                          </w:rPr>
                          <w:t>–</w:t>
                        </w:r>
                        <w:r w:rsidRPr="00301AAB">
                          <w:rPr>
                            <w:spacing w:val="-4"/>
                          </w:rPr>
                          <w:t>17</w:t>
                        </w:r>
                        <w:r>
                          <w:rPr>
                            <w:spacing w:val="-4"/>
                          </w:rPr>
                          <w:t> %</w:t>
                        </w:r>
                        <w:r w:rsidRPr="00301AAB">
                          <w:rPr>
                            <w:spacing w:val="-4"/>
                          </w:rPr>
                          <w:t>). Pokles v ČR byl v rámci Unie osmý nejvyšší</w:t>
                        </w:r>
                        <w:r>
                          <w:rPr>
                            <w:spacing w:val="-4"/>
                          </w:rPr>
                          <w:t xml:space="preserve"> </w:t>
                        </w:r>
                        <w:r w:rsidRPr="00301AAB">
                          <w:rPr>
                            <w:spacing w:val="-4"/>
                          </w:rPr>
                          <w:t>(</w:t>
                        </w:r>
                        <w:r w:rsidRPr="00301AAB">
                          <w:rPr>
                            <w:color w:val="000000" w:themeColor="text1"/>
                            <w:spacing w:val="-4"/>
                          </w:rPr>
                          <w:t>–</w:t>
                        </w:r>
                        <w:r w:rsidRPr="00301AAB">
                          <w:rPr>
                            <w:spacing w:val="-4"/>
                          </w:rPr>
                          <w:t>14</w:t>
                        </w:r>
                        <w:r>
                          <w:rPr>
                            <w:spacing w:val="-4"/>
                          </w:rPr>
                          <w:t> %</w:t>
                        </w:r>
                        <w:r w:rsidRPr="00301AAB">
                          <w:rPr>
                            <w:spacing w:val="-4"/>
                          </w:rPr>
                          <w:t>), obdobné tempo zaznamenaly i</w:t>
                        </w:r>
                        <w:r>
                          <w:rPr>
                            <w:spacing w:val="-4"/>
                          </w:rPr>
                          <w:t> </w:t>
                        </w:r>
                        <w:r w:rsidRPr="00301AAB">
                          <w:rPr>
                            <w:spacing w:val="-4"/>
                          </w:rPr>
                          <w:t xml:space="preserve">Maďarsko či </w:t>
                        </w:r>
                        <w:r w:rsidRPr="006D294B">
                          <w:rPr>
                            <w:spacing w:val="-4"/>
                          </w:rPr>
                          <w:t>Německo</w:t>
                        </w:r>
                        <w:r w:rsidRPr="00301AAB">
                          <w:rPr>
                            <w:spacing w:val="-4"/>
                          </w:rPr>
                          <w:t xml:space="preserve">. </w:t>
                        </w:r>
                        <w:r w:rsidRPr="00301AAB">
                          <w:rPr>
                            <w:spacing w:val="-4"/>
                          </w:rPr>
                          <w:lastRenderedPageBreak/>
                          <w:t>Lépe si vedlo</w:t>
                        </w:r>
                        <w:r w:rsidRPr="00301AAB">
                          <w:rPr>
                            <w:color w:val="0D0D0D" w:themeColor="text1" w:themeTint="F2"/>
                            <w:spacing w:val="-4"/>
                          </w:rPr>
                          <w:t xml:space="preserve"> Polsko (</w:t>
                        </w:r>
                        <w:r w:rsidRPr="00301AAB">
                          <w:rPr>
                            <w:color w:val="000000" w:themeColor="text1"/>
                            <w:spacing w:val="-4"/>
                          </w:rPr>
                          <w:t>–</w:t>
                        </w:r>
                        <w:r w:rsidRPr="00301AAB">
                          <w:rPr>
                            <w:color w:val="0D0D0D" w:themeColor="text1" w:themeTint="F2"/>
                            <w:spacing w:val="-4"/>
                          </w:rPr>
                          <w:t>7</w:t>
                        </w:r>
                        <w:r>
                          <w:rPr>
                            <w:color w:val="0D0D0D" w:themeColor="text1" w:themeTint="F2"/>
                            <w:spacing w:val="-4"/>
                          </w:rPr>
                          <w:t> %</w:t>
                        </w:r>
                        <w:r w:rsidRPr="00301AAB">
                          <w:rPr>
                            <w:color w:val="0D0D0D" w:themeColor="text1" w:themeTint="F2"/>
                            <w:spacing w:val="-4"/>
                          </w:rPr>
                          <w:t>), kde se projevoval i</w:t>
                        </w:r>
                        <w:r>
                          <w:rPr>
                            <w:color w:val="0D0D0D" w:themeColor="text1" w:themeTint="F2"/>
                            <w:spacing w:val="-4"/>
                          </w:rPr>
                          <w:t> </w:t>
                        </w:r>
                        <w:r w:rsidRPr="00301AAB">
                          <w:rPr>
                            <w:color w:val="0D0D0D" w:themeColor="text1" w:themeTint="F2"/>
                            <w:spacing w:val="-4"/>
                          </w:rPr>
                          <w:t xml:space="preserve">vliv odlišnější skladby průmyslu (např. vyšší zastoupení odvětví navázaných na zemědělství). Výkon průmyslu rostl pouze </w:t>
                        </w:r>
                        <w:r w:rsidRPr="00301AAB">
                          <w:rPr>
                            <w:color w:val="0D0D0D" w:themeColor="text1" w:themeTint="F2"/>
                            <w:spacing w:val="-2"/>
                          </w:rPr>
                          <w:t>v Irsku (+3</w:t>
                        </w:r>
                        <w:r>
                          <w:rPr>
                            <w:color w:val="0D0D0D" w:themeColor="text1" w:themeTint="F2"/>
                            <w:spacing w:val="-2"/>
                          </w:rPr>
                          <w:t> %</w:t>
                        </w:r>
                        <w:r w:rsidRPr="00301AAB">
                          <w:rPr>
                            <w:color w:val="0D0D0D" w:themeColor="text1" w:themeTint="F2"/>
                            <w:spacing w:val="-2"/>
                          </w:rPr>
                          <w:t>)</w:t>
                        </w:r>
                        <w:r>
                          <w:rPr>
                            <w:color w:val="0D0D0D" w:themeColor="text1" w:themeTint="F2"/>
                            <w:spacing w:val="-2"/>
                          </w:rPr>
                          <w:t> </w:t>
                        </w:r>
                        <w:r w:rsidRPr="00301AAB">
                          <w:rPr>
                            <w:color w:val="0D0D0D" w:themeColor="text1" w:themeTint="F2"/>
                            <w:spacing w:val="-2"/>
                          </w:rPr>
                          <w:t>– vlivem vyššího zastoupení high</w:t>
                        </w:r>
                        <w:r>
                          <w:rPr>
                            <w:color w:val="0D0D0D" w:themeColor="text1" w:themeTint="F2"/>
                            <w:spacing w:val="-2"/>
                          </w:rPr>
                          <w:noBreakHyphen/>
                        </w:r>
                        <w:r w:rsidRPr="00301AAB">
                          <w:rPr>
                            <w:color w:val="0D0D0D" w:themeColor="text1" w:themeTint="F2"/>
                            <w:spacing w:val="-2"/>
                          </w:rPr>
                          <w:t>tech oborů</w:t>
                        </w:r>
                        <w:r>
                          <w:rPr>
                            <w:color w:val="0D0D0D" w:themeColor="text1" w:themeTint="F2"/>
                            <w:spacing w:val="-2"/>
                          </w:rPr>
                          <w:t> –</w:t>
                        </w:r>
                        <w:r w:rsidRPr="00301AAB">
                          <w:rPr>
                            <w:color w:val="0D0D0D" w:themeColor="text1" w:themeTint="F2"/>
                            <w:spacing w:val="-2"/>
                          </w:rPr>
                          <w:t xml:space="preserve"> a</w:t>
                        </w:r>
                        <w:r>
                          <w:rPr>
                            <w:color w:val="0D0D0D" w:themeColor="text1" w:themeTint="F2"/>
                            <w:spacing w:val="-2"/>
                          </w:rPr>
                          <w:t> </w:t>
                        </w:r>
                        <w:r w:rsidRPr="00301AAB">
                          <w:rPr>
                            <w:color w:val="0D0D0D" w:themeColor="text1" w:themeTint="F2"/>
                            <w:spacing w:val="-2"/>
                          </w:rPr>
                          <w:t xml:space="preserve">také </w:t>
                        </w:r>
                        <w:r>
                          <w:rPr>
                            <w:color w:val="0D0D0D" w:themeColor="text1" w:themeTint="F2"/>
                            <w:spacing w:val="-2"/>
                          </w:rPr>
                          <w:t>na Maltě</w:t>
                        </w:r>
                        <w:r w:rsidRPr="00301AAB">
                          <w:rPr>
                            <w:color w:val="0D0D0D" w:themeColor="text1" w:themeTint="F2"/>
                            <w:spacing w:val="-2"/>
                          </w:rPr>
                          <w:t xml:space="preserve"> (+2</w:t>
                        </w:r>
                        <w:r>
                          <w:rPr>
                            <w:color w:val="0D0D0D" w:themeColor="text1" w:themeTint="F2"/>
                            <w:spacing w:val="-2"/>
                          </w:rPr>
                          <w:t> %</w:t>
                        </w:r>
                        <w:r w:rsidRPr="00301AAB">
                          <w:rPr>
                            <w:color w:val="0D0D0D" w:themeColor="text1" w:themeTint="F2"/>
                            <w:spacing w:val="-2"/>
                          </w:rPr>
                          <w:t>). V</w:t>
                        </w:r>
                        <w:r>
                          <w:rPr>
                            <w:color w:val="0D0D0D" w:themeColor="text1" w:themeTint="F2"/>
                            <w:spacing w:val="-2"/>
                          </w:rPr>
                          <w:t> ČR</w:t>
                        </w:r>
                        <w:r>
                          <w:rPr>
                            <w:color w:val="0D0D0D" w:themeColor="text1" w:themeTint="F2"/>
                            <w:spacing w:val="-2"/>
                          </w:rPr>
                          <w:br/>
                        </w:r>
                        <w:r w:rsidRPr="00301AAB">
                          <w:rPr>
                            <w:color w:val="0D0D0D" w:themeColor="text1" w:themeTint="F2"/>
                            <w:spacing w:val="-2"/>
                          </w:rPr>
                          <w:t>(–20,0</w:t>
                        </w:r>
                        <w:r>
                          <w:rPr>
                            <w:color w:val="0D0D0D" w:themeColor="text1" w:themeTint="F2"/>
                            <w:spacing w:val="-2"/>
                          </w:rPr>
                          <w:t> %</w:t>
                        </w:r>
                        <w:r w:rsidRPr="00301AAB">
                          <w:rPr>
                            <w:color w:val="0D0D0D" w:themeColor="text1" w:themeTint="F2"/>
                            <w:spacing w:val="-2"/>
                          </w:rPr>
                          <w:t>)</w:t>
                        </w:r>
                        <w:r w:rsidRPr="00301AAB">
                          <w:rPr>
                            <w:color w:val="0D0D0D" w:themeColor="text1" w:themeTint="F2"/>
                            <w:spacing w:val="-4"/>
                          </w:rPr>
                          <w:t xml:space="preserve"> podobně jako v celé EU (–18,5</w:t>
                        </w:r>
                        <w:r>
                          <w:rPr>
                            <w:color w:val="0D0D0D" w:themeColor="text1" w:themeTint="F2"/>
                            <w:spacing w:val="-4"/>
                          </w:rPr>
                          <w:t> %</w:t>
                        </w:r>
                        <w:r w:rsidRPr="00301AAB">
                          <w:rPr>
                            <w:color w:val="0D0D0D" w:themeColor="text1" w:themeTint="F2"/>
                            <w:spacing w:val="-4"/>
                          </w:rPr>
                          <w:t xml:space="preserve">) klesla nejvíce </w:t>
                        </w:r>
                        <w:r>
                          <w:rPr>
                            <w:color w:val="0D0D0D" w:themeColor="text1" w:themeTint="F2"/>
                            <w:spacing w:val="-4"/>
                          </w:rPr>
                          <w:t>výroba</w:t>
                        </w:r>
                        <w:r w:rsidRPr="00301AAB">
                          <w:rPr>
                            <w:color w:val="0D0D0D" w:themeColor="text1" w:themeTint="F2"/>
                            <w:spacing w:val="-4"/>
                          </w:rPr>
                          <w:t xml:space="preserve"> v odvětvích vyrábějících produkty investiční povahy (např. stroje, dopravní prostředky).</w:t>
                        </w:r>
                      </w:p>
                    </w:tc>
                  </w:tr>
                  <w:tr w:rsidR="004A0D0E" w:rsidRPr="0041745D" w14:paraId="7B0BBB44" w14:textId="77777777" w:rsidTr="0026300B">
                    <w:trPr>
                      <w:trHeight w:val="170"/>
                    </w:trPr>
                    <w:tc>
                      <w:tcPr>
                        <w:tcW w:w="1723" w:type="dxa"/>
                        <w:vMerge w:val="restart"/>
                        <w:shd w:val="clear" w:color="auto" w:fill="auto"/>
                        <w:tcMar>
                          <w:left w:w="0" w:type="dxa"/>
                        </w:tcMar>
                      </w:tcPr>
                      <w:p w14:paraId="5C84FDEB" w14:textId="77777777" w:rsidR="004A0D0E" w:rsidRDefault="004A0D0E" w:rsidP="004A0D0E">
                        <w:pPr>
                          <w:pStyle w:val="Marginlie"/>
                        </w:pPr>
                      </w:p>
                    </w:tc>
                    <w:tc>
                      <w:tcPr>
                        <w:tcW w:w="191" w:type="dxa"/>
                        <w:vMerge w:val="restart"/>
                        <w:shd w:val="clear" w:color="auto" w:fill="auto"/>
                        <w:tcMar>
                          <w:left w:w="0" w:type="dxa"/>
                        </w:tcMar>
                      </w:tcPr>
                      <w:p w14:paraId="750DFBA1" w14:textId="77777777" w:rsidR="004A0D0E" w:rsidRDefault="004A0D0E" w:rsidP="004A0D0E">
                        <w:pPr>
                          <w:pStyle w:val="Textpoznpodarou"/>
                          <w:jc w:val="both"/>
                          <w:rPr>
                            <w:spacing w:val="-4"/>
                          </w:rPr>
                        </w:pPr>
                      </w:p>
                    </w:tc>
                    <w:tc>
                      <w:tcPr>
                        <w:tcW w:w="7730" w:type="dxa"/>
                        <w:shd w:val="clear" w:color="auto" w:fill="auto"/>
                        <w:tcMar>
                          <w:left w:w="0" w:type="dxa"/>
                        </w:tcMar>
                      </w:tcPr>
                      <w:p w14:paraId="347B58D5" w14:textId="77777777" w:rsidR="004A0D0E" w:rsidRPr="007C1C44" w:rsidRDefault="004A0D0E" w:rsidP="004A0D0E">
                        <w:pPr>
                          <w:pStyle w:val="Textpoznpodarou"/>
                          <w:spacing w:line="276" w:lineRule="auto"/>
                          <w:rPr>
                            <w:b/>
                          </w:rPr>
                        </w:pPr>
                        <w:r w:rsidRPr="00DB613B">
                          <w:rPr>
                            <w:b/>
                          </w:rPr>
                          <w:t>Graf č. 5</w:t>
                        </w:r>
                        <w:r>
                          <w:rPr>
                            <w:b/>
                          </w:rPr>
                          <w:t xml:space="preserve"> </w:t>
                        </w:r>
                        <w:r w:rsidRPr="00DB613B">
                          <w:rPr>
                            <w:b/>
                          </w:rPr>
                          <w:t xml:space="preserve"> Nové zakázky v automobilovém průmyslu, v průmyslu celkem</w:t>
                        </w:r>
                        <w:r>
                          <w:rPr>
                            <w:b/>
                          </w:rPr>
                          <w:t xml:space="preserve"> </w:t>
                        </w:r>
                        <w:r>
                          <w:rPr>
                            <w:bCs/>
                          </w:rPr>
                          <w:t>(v běžných</w:t>
                        </w:r>
                        <w:r w:rsidRPr="00DB613B">
                          <w:rPr>
                            <w:bCs/>
                          </w:rPr>
                          <w:t xml:space="preserve"> cenách, </w:t>
                        </w:r>
                        <w:r w:rsidRPr="00DB613B">
                          <w:t>meziročně</w:t>
                        </w:r>
                        <w:r w:rsidRPr="00DB613B">
                          <w:rPr>
                            <w:bCs/>
                          </w:rPr>
                          <w:t xml:space="preserve"> v %)</w:t>
                        </w:r>
                        <w:r>
                          <w:rPr>
                            <w:b/>
                          </w:rPr>
                          <w:t xml:space="preserve"> a využití výrobních kapacit v </w:t>
                        </w:r>
                        <w:r w:rsidRPr="00DB613B">
                          <w:rPr>
                            <w:b/>
                          </w:rPr>
                          <w:t>průmyslu*</w:t>
                        </w:r>
                        <w:r>
                          <w:t xml:space="preserve"> </w:t>
                        </w:r>
                        <w:r w:rsidRPr="00DB613B">
                          <w:rPr>
                            <w:b/>
                          </w:rPr>
                          <w:t>a vybrané bariéry růstu</w:t>
                        </w:r>
                        <w:r>
                          <w:t xml:space="preserve">* (v %, pravá </w:t>
                        </w:r>
                        <w:r w:rsidRPr="00DB613B">
                          <w:t>osa)</w:t>
                        </w:r>
                      </w:p>
                    </w:tc>
                  </w:tr>
                  <w:tr w:rsidR="004A0D0E" w:rsidRPr="00970E6F" w14:paraId="24B571D3" w14:textId="77777777" w:rsidTr="0026300B">
                    <w:tblPrEx>
                      <w:tblCellMar>
                        <w:left w:w="70" w:type="dxa"/>
                        <w:right w:w="70" w:type="dxa"/>
                      </w:tblCellMar>
                    </w:tblPrEx>
                    <w:trPr>
                      <w:trHeight w:val="170"/>
                    </w:trPr>
                    <w:tc>
                      <w:tcPr>
                        <w:tcW w:w="1723" w:type="dxa"/>
                        <w:vMerge/>
                        <w:shd w:val="clear" w:color="auto" w:fill="auto"/>
                      </w:tcPr>
                      <w:p w14:paraId="0C1C2262" w14:textId="77777777" w:rsidR="004A0D0E" w:rsidRPr="009110F7" w:rsidRDefault="004A0D0E" w:rsidP="004A0D0E">
                        <w:pPr>
                          <w:pStyle w:val="Marginlie"/>
                        </w:pPr>
                      </w:p>
                    </w:tc>
                    <w:tc>
                      <w:tcPr>
                        <w:tcW w:w="191" w:type="dxa"/>
                        <w:vMerge/>
                        <w:shd w:val="clear" w:color="auto" w:fill="auto"/>
                      </w:tcPr>
                      <w:p w14:paraId="2E5FB4B0" w14:textId="77777777" w:rsidR="004A0D0E" w:rsidRPr="009110F7" w:rsidRDefault="004A0D0E" w:rsidP="004A0D0E">
                        <w:pPr>
                          <w:pStyle w:val="Textpoznpodarou"/>
                          <w:jc w:val="both"/>
                          <w:rPr>
                            <w:spacing w:val="-4"/>
                          </w:rPr>
                        </w:pPr>
                      </w:p>
                    </w:tc>
                    <w:tc>
                      <w:tcPr>
                        <w:tcW w:w="7730" w:type="dxa"/>
                        <w:shd w:val="clear" w:color="auto" w:fill="auto"/>
                      </w:tcPr>
                      <w:p w14:paraId="28A3886C" w14:textId="77777777" w:rsidR="004A0D0E" w:rsidRPr="00DB613B" w:rsidRDefault="004A0D0E" w:rsidP="004A0D0E">
                        <w:pPr>
                          <w:spacing w:after="0" w:line="240" w:lineRule="auto"/>
                          <w:rPr>
                            <w:szCs w:val="20"/>
                          </w:rPr>
                        </w:pPr>
                        <w:r>
                          <w:rPr>
                            <w:noProof/>
                          </w:rPr>
                          <w:drawing>
                            <wp:inline distT="0" distB="0" distL="0" distR="0" wp14:anchorId="5DF4280E" wp14:editId="7AB19B24">
                              <wp:extent cx="4759549" cy="3553200"/>
                              <wp:effectExtent l="0" t="0" r="3175"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A0D0E" w:rsidRPr="00DE6706" w14:paraId="1A4834A9" w14:textId="77777777" w:rsidTr="0026300B">
                    <w:trPr>
                      <w:trHeight w:val="170"/>
                    </w:trPr>
                    <w:tc>
                      <w:tcPr>
                        <w:tcW w:w="1723" w:type="dxa"/>
                        <w:vMerge/>
                        <w:shd w:val="clear" w:color="auto" w:fill="auto"/>
                        <w:tcMar>
                          <w:left w:w="0" w:type="dxa"/>
                        </w:tcMar>
                      </w:tcPr>
                      <w:p w14:paraId="5FDC7648" w14:textId="77777777" w:rsidR="004A0D0E" w:rsidRPr="009110F7" w:rsidRDefault="004A0D0E" w:rsidP="004A0D0E">
                        <w:pPr>
                          <w:pStyle w:val="Marginlie"/>
                        </w:pPr>
                      </w:p>
                    </w:tc>
                    <w:tc>
                      <w:tcPr>
                        <w:tcW w:w="191" w:type="dxa"/>
                        <w:vMerge/>
                        <w:shd w:val="clear" w:color="auto" w:fill="auto"/>
                        <w:tcMar>
                          <w:left w:w="0" w:type="dxa"/>
                        </w:tcMar>
                      </w:tcPr>
                      <w:p w14:paraId="27B27EB3"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05B36B01" w14:textId="77777777" w:rsidR="004A0D0E" w:rsidRDefault="004A0D0E" w:rsidP="004A0D0E">
                        <w:pPr>
                          <w:spacing w:after="0"/>
                          <w:rPr>
                            <w:rFonts w:cs="Arial"/>
                            <w:sz w:val="14"/>
                            <w:szCs w:val="14"/>
                          </w:rPr>
                        </w:pPr>
                        <w:r>
                          <w:rPr>
                            <w:rFonts w:cs="Arial"/>
                            <w:sz w:val="14"/>
                            <w:szCs w:val="14"/>
                          </w:rPr>
                          <w:t>*Využití průmyslových kapacit i bariéry růstu jsou</w:t>
                        </w:r>
                        <w:r w:rsidRPr="00DB613B">
                          <w:rPr>
                            <w:rFonts w:cs="Arial"/>
                            <w:sz w:val="14"/>
                            <w:szCs w:val="14"/>
                          </w:rPr>
                          <w:t xml:space="preserve"> sezónně očišt</w:t>
                        </w:r>
                        <w:r>
                          <w:rPr>
                            <w:rFonts w:cs="Arial"/>
                            <w:sz w:val="14"/>
                            <w:szCs w:val="14"/>
                          </w:rPr>
                          <w:t>ěny a vyjadřují stav v prvním měsíci daného čtvrtletí.</w:t>
                        </w:r>
                      </w:p>
                      <w:p w14:paraId="4F1CADE6" w14:textId="77777777" w:rsidR="004A0D0E" w:rsidRPr="00DB613B" w:rsidRDefault="004A0D0E" w:rsidP="004A0D0E">
                        <w:pPr>
                          <w:spacing w:after="200"/>
                          <w:rPr>
                            <w:rFonts w:cs="Arial"/>
                            <w:sz w:val="14"/>
                            <w:szCs w:val="14"/>
                          </w:rPr>
                        </w:pPr>
                        <w:r w:rsidRPr="00DB613B">
                          <w:rPr>
                            <w:rFonts w:cs="Arial"/>
                            <w:sz w:val="14"/>
                            <w:szCs w:val="14"/>
                          </w:rPr>
                          <w:t>Zdroj: ČSÚ</w:t>
                        </w:r>
                      </w:p>
                    </w:tc>
                  </w:tr>
                  <w:tr w:rsidR="004A0D0E" w14:paraId="2180CFB6" w14:textId="77777777" w:rsidTr="0026300B">
                    <w:trPr>
                      <w:trHeight w:val="145"/>
                    </w:trPr>
                    <w:tc>
                      <w:tcPr>
                        <w:tcW w:w="1723" w:type="dxa"/>
                        <w:shd w:val="clear" w:color="auto" w:fill="auto"/>
                        <w:tcMar>
                          <w:left w:w="0" w:type="dxa"/>
                        </w:tcMar>
                      </w:tcPr>
                      <w:p w14:paraId="5F1904A5" w14:textId="77777777" w:rsidR="004A0D0E" w:rsidRDefault="004A0D0E" w:rsidP="004A0D0E">
                        <w:pPr>
                          <w:pStyle w:val="Marginlie"/>
                        </w:pPr>
                        <w:r>
                          <w:t>Po příznivém vývoji na počátku roku postihl ve 2. čtvrtletí stavebnictví útlum. Ten se projevil primárně v pozemním stavitelství a postihl spíše malé a střední firmy.</w:t>
                        </w:r>
                      </w:p>
                    </w:tc>
                    <w:tc>
                      <w:tcPr>
                        <w:tcW w:w="191" w:type="dxa"/>
                        <w:shd w:val="clear" w:color="auto" w:fill="auto"/>
                        <w:tcMar>
                          <w:left w:w="0" w:type="dxa"/>
                        </w:tcMar>
                      </w:tcPr>
                      <w:p w14:paraId="5DD41232" w14:textId="77777777" w:rsidR="004A0D0E" w:rsidRPr="002A4B98" w:rsidRDefault="004A0D0E" w:rsidP="004A0D0E">
                        <w:pPr>
                          <w:pStyle w:val="Textpoznpodarou"/>
                          <w:jc w:val="both"/>
                          <w:rPr>
                            <w:spacing w:val="-3"/>
                          </w:rPr>
                        </w:pPr>
                      </w:p>
                    </w:tc>
                    <w:tc>
                      <w:tcPr>
                        <w:tcW w:w="7730" w:type="dxa"/>
                        <w:shd w:val="clear" w:color="auto" w:fill="auto"/>
                        <w:tcMar>
                          <w:left w:w="0" w:type="dxa"/>
                        </w:tcMar>
                      </w:tcPr>
                      <w:p w14:paraId="2BCAE35A" w14:textId="77777777" w:rsidR="004A0D0E" w:rsidRDefault="004A0D0E" w:rsidP="004A0D0E">
                        <w:pPr>
                          <w:pStyle w:val="Textpoznpodarou"/>
                          <w:spacing w:after="200" w:line="276" w:lineRule="auto"/>
                          <w:jc w:val="both"/>
                          <w:rPr>
                            <w:color w:val="0D0D0D" w:themeColor="text1" w:themeTint="F2"/>
                          </w:rPr>
                        </w:pPr>
                        <w:r>
                          <w:rPr>
                            <w:color w:val="0D0D0D" w:themeColor="text1" w:themeTint="F2"/>
                          </w:rPr>
                          <w:t>Stavebnictví vstoupilo do roku 2020 s odhodláním. Vysoká zásoba veřejných, ale i soukromých zakázek spolu s velmi příznivým počasím se promítly do pokračujícího růstu</w:t>
                        </w:r>
                        <w:r w:rsidRPr="00D17511">
                          <w:rPr>
                            <w:color w:val="0D0D0D" w:themeColor="text1" w:themeTint="F2"/>
                            <w:spacing w:val="-2"/>
                          </w:rPr>
                          <w:t xml:space="preserve"> s</w:t>
                        </w:r>
                        <w:r w:rsidRPr="00D17511">
                          <w:rPr>
                            <w:spacing w:val="-2"/>
                          </w:rPr>
                          <w:t>tavební produkce</w:t>
                        </w:r>
                        <w:r w:rsidRPr="00D17511">
                          <w:rPr>
                            <w:rStyle w:val="Znakapoznpodarou"/>
                            <w:spacing w:val="-2"/>
                          </w:rPr>
                          <w:footnoteReference w:id="23"/>
                        </w:r>
                        <w:r>
                          <w:rPr>
                            <w:spacing w:val="-2"/>
                          </w:rPr>
                          <w:t xml:space="preserve"> Ta se v </w:t>
                        </w:r>
                        <w:r>
                          <w:rPr>
                            <w:color w:val="0D0D0D" w:themeColor="text1" w:themeTint="F2"/>
                          </w:rPr>
                          <w:t>1. čtvrtletí</w:t>
                        </w:r>
                        <w:r w:rsidRPr="00D17511">
                          <w:rPr>
                            <w:color w:val="0D0D0D" w:themeColor="text1" w:themeTint="F2"/>
                            <w:spacing w:val="-2"/>
                          </w:rPr>
                          <w:t xml:space="preserve"> </w:t>
                        </w:r>
                        <w:r>
                          <w:rPr>
                            <w:spacing w:val="-2"/>
                          </w:rPr>
                          <w:t>mezikvartálně zvýšila o 1,1 %. V následujícím období se však toto odvětví postupně začalo potýkat s problémy. Zavedená vládní restriktivní opatření ztížila administrativní proces přípravy staveb, došlo k přerušení různých výběrových řízení, čímž se narušila plynulost výstavby. Dále také prohloubila ve stavebnictví již tak palčivý problém s dostupností pracovních sil. Stavební produkce tak mezikvartálně klesla o 7,0 %, což představovalo silnější šok než krátkodobý výpadek veřejných infrastrukturních investic na počátku roku 2016 (vlivem přechodu na nové programové období EU). Meziročně klesl ve 2. čtvrtletí výkon stavebnictví o bezmála 9 %. Více než tři roky trvající růstové období tak bylo ukončeno. Na rozdíl od roku 2016, kdy celé odvětví táhlo dolů inženýrské stavitelství, působilo letos negativně pozemní stavitelství. Větší výpadek zde postihl především malé a střední firmy, u nichž lze předpokládat, že méně disponovaly dostatečným rezervoárem zakázek z období nedávné konjunktury. Naopak produkce inženýrského stavitelství i díky zrychlující fázi čerpání eurofondů v obou letošních čtvrtletích rostla (+15,5, resp. +1,7 %).</w:t>
                        </w:r>
                      </w:p>
                    </w:tc>
                  </w:tr>
                  <w:tr w:rsidR="004A0D0E" w14:paraId="5B06A03F" w14:textId="77777777" w:rsidTr="0026300B">
                    <w:trPr>
                      <w:trHeight w:val="145"/>
                    </w:trPr>
                    <w:tc>
                      <w:tcPr>
                        <w:tcW w:w="1723" w:type="dxa"/>
                        <w:shd w:val="clear" w:color="auto" w:fill="auto"/>
                        <w:tcMar>
                          <w:left w:w="0" w:type="dxa"/>
                        </w:tcMar>
                      </w:tcPr>
                      <w:p w14:paraId="65AD2EB0" w14:textId="77777777" w:rsidR="004A0D0E" w:rsidRDefault="004A0D0E" w:rsidP="004A0D0E">
                        <w:pPr>
                          <w:pStyle w:val="Marginlie"/>
                        </w:pPr>
                        <w:r>
                          <w:t>Několikaletý růst počtu zahájených i dokončených bytů se letos zastavil.</w:t>
                        </w:r>
                      </w:p>
                    </w:tc>
                    <w:tc>
                      <w:tcPr>
                        <w:tcW w:w="191" w:type="dxa"/>
                        <w:shd w:val="clear" w:color="auto" w:fill="auto"/>
                        <w:tcMar>
                          <w:left w:w="0" w:type="dxa"/>
                        </w:tcMar>
                      </w:tcPr>
                      <w:p w14:paraId="3FE51145" w14:textId="77777777" w:rsidR="004A0D0E" w:rsidRPr="002A4B98" w:rsidRDefault="004A0D0E" w:rsidP="004A0D0E">
                        <w:pPr>
                          <w:pStyle w:val="Textpoznpodarou"/>
                          <w:jc w:val="both"/>
                          <w:rPr>
                            <w:spacing w:val="-3"/>
                          </w:rPr>
                        </w:pPr>
                      </w:p>
                    </w:tc>
                    <w:tc>
                      <w:tcPr>
                        <w:tcW w:w="7730" w:type="dxa"/>
                        <w:shd w:val="clear" w:color="auto" w:fill="auto"/>
                        <w:tcMar>
                          <w:left w:w="0" w:type="dxa"/>
                        </w:tcMar>
                      </w:tcPr>
                      <w:p w14:paraId="51D45D28" w14:textId="77777777" w:rsidR="004A0D0E" w:rsidRPr="005E1137" w:rsidRDefault="004A0D0E" w:rsidP="004A0D0E">
                        <w:pPr>
                          <w:pStyle w:val="Textpoznpodarou"/>
                          <w:spacing w:after="200" w:line="276" w:lineRule="auto"/>
                          <w:jc w:val="both"/>
                          <w:rPr>
                            <w:color w:val="0D0D0D" w:themeColor="text1" w:themeTint="F2"/>
                            <w:spacing w:val="-3"/>
                          </w:rPr>
                        </w:pPr>
                        <w:r w:rsidRPr="005E1137">
                          <w:rPr>
                            <w:color w:val="0D0D0D" w:themeColor="text1" w:themeTint="F2"/>
                            <w:spacing w:val="-3"/>
                          </w:rPr>
                          <w:t>Objem bytové výstavby se v 1.</w:t>
                        </w:r>
                        <w:r>
                          <w:rPr>
                            <w:color w:val="0D0D0D" w:themeColor="text1" w:themeTint="F2"/>
                            <w:spacing w:val="-3"/>
                          </w:rPr>
                          <w:t> pololet</w:t>
                        </w:r>
                        <w:r w:rsidRPr="005E1137">
                          <w:rPr>
                            <w:color w:val="0D0D0D" w:themeColor="text1" w:themeTint="F2"/>
                            <w:spacing w:val="-3"/>
                          </w:rPr>
                          <w:t>í 2020 mírně snížil. K rychlejšímu poklesu do</w:t>
                        </w:r>
                        <w:r>
                          <w:rPr>
                            <w:color w:val="0D0D0D" w:themeColor="text1" w:themeTint="F2"/>
                            <w:spacing w:val="-3"/>
                          </w:rPr>
                          <w:t>šlo u</w:t>
                        </w:r>
                        <w:r w:rsidRPr="005E1137">
                          <w:rPr>
                            <w:color w:val="0D0D0D" w:themeColor="text1" w:themeTint="F2"/>
                            <w:spacing w:val="-3"/>
                          </w:rPr>
                          <w:t> dokončených bytů, jejich počet (15,3</w:t>
                        </w:r>
                        <w:r>
                          <w:rPr>
                            <w:color w:val="0D0D0D" w:themeColor="text1" w:themeTint="F2"/>
                            <w:spacing w:val="-3"/>
                          </w:rPr>
                          <w:t> tis.</w:t>
                        </w:r>
                        <w:r w:rsidRPr="005E1137">
                          <w:rPr>
                            <w:color w:val="0D0D0D" w:themeColor="text1" w:themeTint="F2"/>
                            <w:spacing w:val="-3"/>
                          </w:rPr>
                          <w:t>) se meziročně snížil o</w:t>
                        </w:r>
                        <w:r>
                          <w:rPr>
                            <w:color w:val="0D0D0D" w:themeColor="text1" w:themeTint="F2"/>
                            <w:spacing w:val="-3"/>
                          </w:rPr>
                          <w:t> </w:t>
                        </w:r>
                        <w:r w:rsidRPr="005E1137">
                          <w:rPr>
                            <w:color w:val="0D0D0D" w:themeColor="text1" w:themeTint="F2"/>
                            <w:spacing w:val="-3"/>
                          </w:rPr>
                          <w:t>7</w:t>
                        </w:r>
                        <w:r>
                          <w:rPr>
                            <w:color w:val="0D0D0D" w:themeColor="text1" w:themeTint="F2"/>
                            <w:spacing w:val="-3"/>
                          </w:rPr>
                          <w:t> %</w:t>
                        </w:r>
                        <w:r w:rsidRPr="005E1137">
                          <w:rPr>
                            <w:color w:val="0D0D0D" w:themeColor="text1" w:themeTint="F2"/>
                            <w:spacing w:val="-3"/>
                          </w:rPr>
                          <w:t>. Méně bytů vzniklo v nových bytových domech (</w:t>
                        </w:r>
                        <w:r w:rsidRPr="005E1137">
                          <w:rPr>
                            <w:color w:val="000000" w:themeColor="text1"/>
                            <w:spacing w:val="-3"/>
                          </w:rPr>
                          <w:t>–</w:t>
                        </w:r>
                        <w:r w:rsidRPr="005E1137">
                          <w:rPr>
                            <w:color w:val="0D0D0D" w:themeColor="text1" w:themeTint="F2"/>
                            <w:spacing w:val="-3"/>
                          </w:rPr>
                          <w:t>1,1</w:t>
                        </w:r>
                        <w:r>
                          <w:rPr>
                            <w:color w:val="0D0D0D" w:themeColor="text1" w:themeTint="F2"/>
                            <w:spacing w:val="-3"/>
                          </w:rPr>
                          <w:t> tis.</w:t>
                        </w:r>
                        <w:r w:rsidRPr="005E1137">
                          <w:rPr>
                            <w:color w:val="0D0D0D" w:themeColor="text1" w:themeTint="F2"/>
                            <w:spacing w:val="-3"/>
                          </w:rPr>
                          <w:t xml:space="preserve">), bytů v nebytových budovách či v rodinných domech </w:t>
                        </w:r>
                        <w:r w:rsidRPr="005E1137">
                          <w:rPr>
                            <w:color w:val="0D0D0D" w:themeColor="text1" w:themeTint="F2"/>
                            <w:spacing w:val="-3"/>
                          </w:rPr>
                          <w:lastRenderedPageBreak/>
                          <w:t>naopak mírně přibylo. Počet všech zahájených bytů se snížil jen nepatrně (o</w:t>
                        </w:r>
                        <w:r>
                          <w:rPr>
                            <w:color w:val="0D0D0D" w:themeColor="text1" w:themeTint="F2"/>
                            <w:spacing w:val="-3"/>
                          </w:rPr>
                          <w:t> 2,4 %</w:t>
                        </w:r>
                        <w:r w:rsidRPr="005E1137">
                          <w:rPr>
                            <w:color w:val="0D0D0D" w:themeColor="text1" w:themeTint="F2"/>
                            <w:spacing w:val="-3"/>
                          </w:rPr>
                          <w:t xml:space="preserve">), opět především vlivem nižší výstavby bytových domů. </w:t>
                        </w:r>
                        <w:r>
                          <w:rPr>
                            <w:color w:val="0D0D0D" w:themeColor="text1" w:themeTint="F2"/>
                            <w:spacing w:val="-3"/>
                          </w:rPr>
                          <w:t>Naproti tomu</w:t>
                        </w:r>
                        <w:r w:rsidRPr="005E1137">
                          <w:rPr>
                            <w:color w:val="0D0D0D" w:themeColor="text1" w:themeTint="F2"/>
                            <w:spacing w:val="-3"/>
                          </w:rPr>
                          <w:t xml:space="preserve"> četnost bytů v rodinných domech</w:t>
                        </w:r>
                        <w:r>
                          <w:rPr>
                            <w:color w:val="0D0D0D" w:themeColor="text1" w:themeTint="F2"/>
                            <w:spacing w:val="-3"/>
                          </w:rPr>
                          <w:t xml:space="preserve"> se zvyšovala již šestým rokem, když přesáhla 10 tis. a svou výší se již blížila nejvyšším pololetním úhrnům z konjunkturního období 2006 až 2008.</w:t>
                        </w:r>
                      </w:p>
                    </w:tc>
                  </w:tr>
                  <w:tr w:rsidR="004A0D0E" w14:paraId="5C05CFD6" w14:textId="77777777" w:rsidTr="0026300B">
                    <w:trPr>
                      <w:trHeight w:val="145"/>
                    </w:trPr>
                    <w:tc>
                      <w:tcPr>
                        <w:tcW w:w="1723" w:type="dxa"/>
                        <w:shd w:val="clear" w:color="auto" w:fill="auto"/>
                        <w:tcMar>
                          <w:left w:w="0" w:type="dxa"/>
                        </w:tcMar>
                      </w:tcPr>
                      <w:p w14:paraId="283E6D20" w14:textId="77777777" w:rsidR="004A0D0E" w:rsidRDefault="004A0D0E" w:rsidP="004A0D0E">
                        <w:pPr>
                          <w:pStyle w:val="Marginlie"/>
                          <w:rPr>
                            <w:rFonts w:cstheme="minorHAnsi"/>
                            <w:spacing w:val="-4"/>
                          </w:rPr>
                        </w:pPr>
                        <w:r>
                          <w:rPr>
                            <w:rFonts w:cstheme="minorHAnsi"/>
                            <w:spacing w:val="-4"/>
                          </w:rPr>
                          <w:lastRenderedPageBreak/>
                          <w:t>O</w:t>
                        </w:r>
                        <w:r w:rsidRPr="00521C8E">
                          <w:rPr>
                            <w:rFonts w:cstheme="minorHAnsi"/>
                            <w:spacing w:val="-4"/>
                          </w:rPr>
                          <w:t>rientační hodnota stavebního povolení</w:t>
                        </w:r>
                        <w:r>
                          <w:rPr>
                            <w:rFonts w:cstheme="minorHAnsi"/>
                            <w:spacing w:val="-4"/>
                          </w:rPr>
                          <w:t xml:space="preserve"> stagnovala, nové zakázky ve 2. čtvrtletí mírně vzrostly.</w:t>
                        </w:r>
                      </w:p>
                      <w:p w14:paraId="7DED2F1A" w14:textId="77777777" w:rsidR="004A0D0E" w:rsidRDefault="004A0D0E" w:rsidP="004A0D0E">
                        <w:pPr>
                          <w:pStyle w:val="Marginlie"/>
                          <w:rPr>
                            <w:rFonts w:cstheme="minorHAnsi"/>
                            <w:spacing w:val="-4"/>
                          </w:rPr>
                        </w:pPr>
                      </w:p>
                      <w:p w14:paraId="0F34E76B" w14:textId="77777777" w:rsidR="004A0D0E" w:rsidRDefault="004A0D0E" w:rsidP="004A0D0E">
                        <w:pPr>
                          <w:pStyle w:val="Marginlie"/>
                          <w:rPr>
                            <w:rFonts w:cstheme="minorHAnsi"/>
                            <w:spacing w:val="-4"/>
                          </w:rPr>
                        </w:pPr>
                      </w:p>
                      <w:p w14:paraId="7B9EA7CB" w14:textId="77777777" w:rsidR="004A0D0E" w:rsidRDefault="004A0D0E" w:rsidP="004A0D0E">
                        <w:pPr>
                          <w:pStyle w:val="Marginlie"/>
                          <w:rPr>
                            <w:rFonts w:cstheme="minorHAnsi"/>
                            <w:spacing w:val="-4"/>
                          </w:rPr>
                        </w:pPr>
                      </w:p>
                      <w:p w14:paraId="1098123B" w14:textId="77777777" w:rsidR="004A0D0E" w:rsidRDefault="004A0D0E" w:rsidP="004A0D0E">
                        <w:pPr>
                          <w:pStyle w:val="Marginlie"/>
                          <w:rPr>
                            <w:rFonts w:cstheme="minorHAnsi"/>
                            <w:spacing w:val="-4"/>
                          </w:rPr>
                        </w:pPr>
                      </w:p>
                      <w:p w14:paraId="35002219" w14:textId="77777777" w:rsidR="004A0D0E" w:rsidRDefault="004A0D0E" w:rsidP="004A0D0E">
                        <w:pPr>
                          <w:pStyle w:val="Marginlie"/>
                        </w:pPr>
                        <w:r>
                          <w:rPr>
                            <w:rFonts w:cstheme="minorHAnsi"/>
                            <w:spacing w:val="-4"/>
                          </w:rPr>
                          <w:t>Důvěra podnikatelů ve stavebnictví sestoupila na 2,5leté minimum. Hlavní růstová bariéra odvětví se pozvolna přesouvá od nedostatku lidských zdrojů k nedostatku práce.</w:t>
                        </w:r>
                      </w:p>
                    </w:tc>
                    <w:tc>
                      <w:tcPr>
                        <w:tcW w:w="191" w:type="dxa"/>
                        <w:shd w:val="clear" w:color="auto" w:fill="auto"/>
                        <w:tcMar>
                          <w:left w:w="0" w:type="dxa"/>
                        </w:tcMar>
                      </w:tcPr>
                      <w:p w14:paraId="6128E98E" w14:textId="77777777" w:rsidR="004A0D0E" w:rsidRPr="002A4B98" w:rsidRDefault="004A0D0E" w:rsidP="004A0D0E">
                        <w:pPr>
                          <w:pStyle w:val="Textpoznpodarou"/>
                          <w:jc w:val="both"/>
                          <w:rPr>
                            <w:spacing w:val="-3"/>
                          </w:rPr>
                        </w:pPr>
                      </w:p>
                    </w:tc>
                    <w:tc>
                      <w:tcPr>
                        <w:tcW w:w="7730" w:type="dxa"/>
                        <w:shd w:val="clear" w:color="auto" w:fill="auto"/>
                        <w:tcMar>
                          <w:left w:w="0" w:type="dxa"/>
                        </w:tcMar>
                      </w:tcPr>
                      <w:p w14:paraId="7994C992" w14:textId="77777777" w:rsidR="004A0D0E" w:rsidRPr="00521C8E" w:rsidRDefault="004A0D0E" w:rsidP="004A0D0E">
                        <w:pPr>
                          <w:pStyle w:val="Textpoznpodarou"/>
                          <w:spacing w:after="200" w:line="276" w:lineRule="auto"/>
                          <w:jc w:val="both"/>
                          <w:rPr>
                            <w:color w:val="0D0D0D" w:themeColor="text1" w:themeTint="F2"/>
                            <w:spacing w:val="-4"/>
                          </w:rPr>
                        </w:pPr>
                        <w:r>
                          <w:rPr>
                            <w:rFonts w:cstheme="minorHAnsi"/>
                            <w:spacing w:val="-4"/>
                          </w:rPr>
                          <w:t>O</w:t>
                        </w:r>
                        <w:r w:rsidRPr="00521C8E">
                          <w:rPr>
                            <w:rFonts w:cstheme="minorHAnsi"/>
                            <w:spacing w:val="-4"/>
                          </w:rPr>
                          <w:t xml:space="preserve">rientační hodnota stavebního povolení </w:t>
                        </w:r>
                        <w:r>
                          <w:rPr>
                            <w:rFonts w:cstheme="minorHAnsi"/>
                            <w:spacing w:val="-4"/>
                          </w:rPr>
                          <w:t xml:space="preserve">se </w:t>
                        </w:r>
                        <w:r w:rsidRPr="00521C8E">
                          <w:rPr>
                            <w:rFonts w:cstheme="minorHAnsi"/>
                            <w:spacing w:val="-4"/>
                          </w:rPr>
                          <w:t>za prvních sedm měsíců roku 2020 proti loňské hodnotě téměř nezměnila (</w:t>
                        </w:r>
                        <w:r w:rsidRPr="00521C8E">
                          <w:rPr>
                            <w:color w:val="000000" w:themeColor="text1"/>
                            <w:spacing w:val="-4"/>
                          </w:rPr>
                          <w:t>–</w:t>
                        </w:r>
                        <w:r w:rsidRPr="00521C8E">
                          <w:rPr>
                            <w:rFonts w:cstheme="minorHAnsi"/>
                            <w:spacing w:val="-4"/>
                          </w:rPr>
                          <w:t>0,6</w:t>
                        </w:r>
                        <w:r>
                          <w:rPr>
                            <w:rFonts w:cstheme="minorHAnsi"/>
                            <w:spacing w:val="-4"/>
                          </w:rPr>
                          <w:t> %</w:t>
                        </w:r>
                        <w:r w:rsidRPr="00521C8E">
                          <w:rPr>
                            <w:rFonts w:cstheme="minorHAnsi"/>
                            <w:spacing w:val="-4"/>
                          </w:rPr>
                          <w:t>). Mírný růst u</w:t>
                        </w:r>
                        <w:r>
                          <w:rPr>
                            <w:rFonts w:cstheme="minorHAnsi"/>
                            <w:spacing w:val="-4"/>
                          </w:rPr>
                          <w:t> </w:t>
                        </w:r>
                        <w:r w:rsidRPr="00521C8E">
                          <w:rPr>
                            <w:rFonts w:cstheme="minorHAnsi"/>
                            <w:spacing w:val="-4"/>
                          </w:rPr>
                          <w:t>bytových (+4,6</w:t>
                        </w:r>
                        <w:r>
                          <w:rPr>
                            <w:rFonts w:cstheme="minorHAnsi"/>
                            <w:spacing w:val="-4"/>
                          </w:rPr>
                          <w:t> %</w:t>
                        </w:r>
                        <w:r w:rsidRPr="00521C8E">
                          <w:rPr>
                            <w:rFonts w:cstheme="minorHAnsi"/>
                            <w:spacing w:val="-4"/>
                          </w:rPr>
                          <w:t>) i</w:t>
                        </w:r>
                        <w:r>
                          <w:rPr>
                            <w:rFonts w:cstheme="minorHAnsi"/>
                            <w:spacing w:val="-4"/>
                          </w:rPr>
                          <w:t> nebytových budov (+3,9</w:t>
                        </w:r>
                        <w:r>
                          <w:rPr>
                            <w:color w:val="0D0D0D" w:themeColor="text1" w:themeTint="F2"/>
                            <w:spacing w:val="-3"/>
                          </w:rPr>
                          <w:t> </w:t>
                        </w:r>
                        <w:r w:rsidRPr="00521C8E">
                          <w:rPr>
                            <w:rFonts w:cstheme="minorHAnsi"/>
                            <w:spacing w:val="-4"/>
                          </w:rPr>
                          <w:t>%) byl kompenzován hlubším poklesem u</w:t>
                        </w:r>
                        <w:r>
                          <w:rPr>
                            <w:rFonts w:cstheme="minorHAnsi"/>
                            <w:spacing w:val="-4"/>
                          </w:rPr>
                          <w:t> </w:t>
                        </w:r>
                        <w:r w:rsidRPr="00521C8E">
                          <w:rPr>
                            <w:rFonts w:cstheme="minorHAnsi"/>
                            <w:spacing w:val="-4"/>
                          </w:rPr>
                          <w:t>inženýrských staveb (</w:t>
                        </w:r>
                        <w:r w:rsidRPr="00521C8E">
                          <w:rPr>
                            <w:color w:val="000000" w:themeColor="text1"/>
                            <w:spacing w:val="-4"/>
                          </w:rPr>
                          <w:t>–</w:t>
                        </w:r>
                        <w:r w:rsidRPr="00521C8E">
                          <w:rPr>
                            <w:rFonts w:cstheme="minorHAnsi"/>
                            <w:spacing w:val="-4"/>
                          </w:rPr>
                          <w:t>9,1</w:t>
                        </w:r>
                        <w:r>
                          <w:rPr>
                            <w:rFonts w:cstheme="minorHAnsi"/>
                            <w:spacing w:val="-4"/>
                          </w:rPr>
                          <w:t> %</w:t>
                        </w:r>
                        <w:r w:rsidRPr="00521C8E">
                          <w:rPr>
                            <w:rFonts w:cstheme="minorHAnsi"/>
                            <w:spacing w:val="-4"/>
                          </w:rPr>
                          <w:t>, zčásti vlivem vysoké loňské základny). Průměrná orientační hodnota stavebního povolení čítala ve stejném období 4,6</w:t>
                        </w:r>
                        <w:r>
                          <w:rPr>
                            <w:rFonts w:cstheme="minorHAnsi"/>
                            <w:spacing w:val="-4"/>
                          </w:rPr>
                          <w:t> mil.</w:t>
                        </w:r>
                        <w:r w:rsidRPr="00521C8E">
                          <w:rPr>
                            <w:rFonts w:cstheme="minorHAnsi"/>
                            <w:spacing w:val="-4"/>
                          </w:rPr>
                          <w:t xml:space="preserve"> korun a</w:t>
                        </w:r>
                        <w:r>
                          <w:rPr>
                            <w:rFonts w:cstheme="minorHAnsi"/>
                            <w:spacing w:val="-4"/>
                          </w:rPr>
                          <w:t> </w:t>
                        </w:r>
                        <w:r w:rsidRPr="00521C8E">
                          <w:rPr>
                            <w:rFonts w:cstheme="minorHAnsi"/>
                            <w:spacing w:val="-4"/>
                          </w:rPr>
                          <w:t xml:space="preserve">meziročně stagnovala. Příznivé bylo, že hodnota nově uzavřených tuzemských zakázek </w:t>
                        </w:r>
                        <w:r>
                          <w:rPr>
                            <w:rFonts w:cstheme="minorHAnsi"/>
                            <w:spacing w:val="-4"/>
                          </w:rPr>
                          <w:t xml:space="preserve">(v podnicích nad 50 zaměstnanců) </w:t>
                        </w:r>
                        <w:r w:rsidRPr="00521C8E">
                          <w:rPr>
                            <w:rFonts w:cstheme="minorHAnsi"/>
                            <w:spacing w:val="-4"/>
                          </w:rPr>
                          <w:t>ve 2.</w:t>
                        </w:r>
                        <w:r>
                          <w:rPr>
                            <w:rFonts w:cstheme="minorHAnsi"/>
                            <w:spacing w:val="-4"/>
                          </w:rPr>
                          <w:t> čtvrtlet</w:t>
                        </w:r>
                        <w:r w:rsidRPr="00521C8E">
                          <w:rPr>
                            <w:rFonts w:cstheme="minorHAnsi"/>
                            <w:spacing w:val="-4"/>
                          </w:rPr>
                          <w:t>í mírně vzrostla (meziročně o</w:t>
                        </w:r>
                        <w:r>
                          <w:rPr>
                            <w:rFonts w:cstheme="minorHAnsi"/>
                            <w:spacing w:val="-4"/>
                          </w:rPr>
                          <w:t> </w:t>
                        </w:r>
                        <w:r w:rsidRPr="00521C8E">
                          <w:rPr>
                            <w:rFonts w:cstheme="minorHAnsi"/>
                            <w:spacing w:val="-4"/>
                          </w:rPr>
                          <w:t>6,9</w:t>
                        </w:r>
                        <w:r>
                          <w:rPr>
                            <w:rFonts w:cstheme="minorHAnsi"/>
                            <w:spacing w:val="-4"/>
                          </w:rPr>
                          <w:t> %</w:t>
                        </w:r>
                        <w:r w:rsidRPr="00521C8E">
                          <w:rPr>
                            <w:rFonts w:cstheme="minorHAnsi"/>
                            <w:spacing w:val="-4"/>
                          </w:rPr>
                          <w:t>), a</w:t>
                        </w:r>
                        <w:r>
                          <w:rPr>
                            <w:rFonts w:cstheme="minorHAnsi"/>
                            <w:spacing w:val="-4"/>
                          </w:rPr>
                          <w:t> </w:t>
                        </w:r>
                        <w:r w:rsidRPr="00521C8E">
                          <w:rPr>
                            <w:rFonts w:cstheme="minorHAnsi"/>
                            <w:spacing w:val="-4"/>
                          </w:rPr>
                          <w:t>to zásluhou pozemního i</w:t>
                        </w:r>
                        <w:r>
                          <w:rPr>
                            <w:rFonts w:cstheme="minorHAnsi"/>
                            <w:spacing w:val="-4"/>
                          </w:rPr>
                          <w:t> </w:t>
                        </w:r>
                        <w:r w:rsidRPr="00521C8E">
                          <w:rPr>
                            <w:rFonts w:cstheme="minorHAnsi"/>
                            <w:spacing w:val="-4"/>
                          </w:rPr>
                          <w:t>inženýrského stavitelství.</w:t>
                        </w:r>
                        <w:r>
                          <w:rPr>
                            <w:rFonts w:cstheme="minorHAnsi"/>
                            <w:spacing w:val="-4"/>
                          </w:rPr>
                          <w:t xml:space="preserve"> Posilovala i celková zásoba práce ve formě dosud nerealizovaných stavebních zakázek. </w:t>
                        </w:r>
                        <w:r>
                          <w:rPr>
                            <w:rFonts w:cstheme="minorHAnsi"/>
                          </w:rPr>
                          <w:t>Na konci 2.</w:t>
                        </w:r>
                        <w:r>
                          <w:rPr>
                            <w:color w:val="0D0D0D" w:themeColor="text1" w:themeTint="F2"/>
                            <w:spacing w:val="-3"/>
                          </w:rPr>
                          <w:t> </w:t>
                        </w:r>
                        <w:r>
                          <w:rPr>
                            <w:rFonts w:cstheme="minorHAnsi"/>
                          </w:rPr>
                          <w:t>čtvrtletí byla meziročně o</w:t>
                        </w:r>
                        <w:r>
                          <w:rPr>
                            <w:color w:val="0D0D0D" w:themeColor="text1" w:themeTint="F2"/>
                            <w:spacing w:val="-3"/>
                          </w:rPr>
                          <w:t> </w:t>
                        </w:r>
                        <w:r>
                          <w:rPr>
                            <w:rFonts w:cstheme="minorHAnsi"/>
                          </w:rPr>
                          <w:t>desetinu vyšší, a to díky veřejným i soukromým objednávkám</w:t>
                        </w:r>
                        <w:r w:rsidRPr="00521C8E">
                          <w:rPr>
                            <w:rStyle w:val="Znakapoznpodarou"/>
                            <w:spacing w:val="-4"/>
                          </w:rPr>
                          <w:footnoteReference w:id="24"/>
                        </w:r>
                        <w:r>
                          <w:rPr>
                            <w:rFonts w:cstheme="minorHAnsi"/>
                          </w:rPr>
                          <w:t xml:space="preserve">. Po více než pěti letech posílil i okrajový segment zakázek v zahraničí. Více než tři pětiny zásoby práce stále připadaly na tuzemské veřejné zakázky. </w:t>
                        </w:r>
                        <w:r>
                          <w:rPr>
                            <w:color w:val="0D0D0D" w:themeColor="text1" w:themeTint="F2"/>
                            <w:spacing w:val="-4"/>
                          </w:rPr>
                          <w:t>S</w:t>
                        </w:r>
                        <w:r w:rsidRPr="002E3E92">
                          <w:rPr>
                            <w:color w:val="0D0D0D" w:themeColor="text1" w:themeTint="F2"/>
                            <w:spacing w:val="-4"/>
                          </w:rPr>
                          <w:t xml:space="preserve">aldo </w:t>
                        </w:r>
                        <w:r w:rsidRPr="002E3E92">
                          <w:rPr>
                            <w:rFonts w:cs="Arial"/>
                            <w:color w:val="0D0D0D" w:themeColor="text1" w:themeTint="F2"/>
                            <w:spacing w:val="-4"/>
                          </w:rPr>
                          <w:t>indikát</w:t>
                        </w:r>
                        <w:r>
                          <w:rPr>
                            <w:rFonts w:cs="Arial"/>
                            <w:color w:val="0D0D0D" w:themeColor="text1" w:themeTint="F2"/>
                            <w:spacing w:val="-4"/>
                          </w:rPr>
                          <w:t>oru důvěry stavebních podnikatelů se od počátku letošního roku zhoršovalo a na počátku léta kleslo na 2,5leté minimum (</w:t>
                        </w:r>
                        <w:r w:rsidRPr="00521C8E">
                          <w:rPr>
                            <w:color w:val="000000" w:themeColor="text1"/>
                            <w:spacing w:val="-4"/>
                          </w:rPr>
                          <w:t>–</w:t>
                        </w:r>
                        <w:r>
                          <w:rPr>
                            <w:rFonts w:cs="Arial"/>
                            <w:color w:val="0D0D0D" w:themeColor="text1" w:themeTint="F2"/>
                            <w:spacing w:val="-4"/>
                          </w:rPr>
                          <w:t>16 bodů). V srpnu 2020 považovalo 38 % stavebních podniků za významnou bariéru růstu nedostatečnou poptávku, stejný podíl pak i nedostatek zaměstnanců. Patrně tak skončilo dvouleté období, kdy stavebnictví limitovaly primárně lidské zdroje. Trend růstu váhy nedostatečné poptávky je od začátku letošního roku patrný.</w:t>
                        </w:r>
                      </w:p>
                    </w:tc>
                  </w:tr>
                  <w:tr w:rsidR="004A0D0E" w:rsidRPr="001A21A7" w14:paraId="19ACADFD" w14:textId="77777777" w:rsidTr="0026300B">
                    <w:trPr>
                      <w:trHeight w:val="170"/>
                    </w:trPr>
                    <w:tc>
                      <w:tcPr>
                        <w:tcW w:w="1723" w:type="dxa"/>
                        <w:vMerge w:val="restart"/>
                        <w:shd w:val="clear" w:color="auto" w:fill="auto"/>
                        <w:tcMar>
                          <w:left w:w="0" w:type="dxa"/>
                        </w:tcMar>
                      </w:tcPr>
                      <w:p w14:paraId="660330DD" w14:textId="77777777" w:rsidR="004A0D0E" w:rsidRDefault="004A0D0E" w:rsidP="004A0D0E">
                        <w:pPr>
                          <w:pStyle w:val="Marginlie"/>
                        </w:pPr>
                      </w:p>
                    </w:tc>
                    <w:tc>
                      <w:tcPr>
                        <w:tcW w:w="191" w:type="dxa"/>
                        <w:vMerge w:val="restart"/>
                        <w:shd w:val="clear" w:color="auto" w:fill="auto"/>
                        <w:tcMar>
                          <w:left w:w="0" w:type="dxa"/>
                        </w:tcMar>
                      </w:tcPr>
                      <w:p w14:paraId="23766C3F" w14:textId="77777777" w:rsidR="004A0D0E" w:rsidRDefault="004A0D0E" w:rsidP="004A0D0E">
                        <w:pPr>
                          <w:pStyle w:val="Textpoznpodarou"/>
                          <w:jc w:val="both"/>
                          <w:rPr>
                            <w:spacing w:val="-4"/>
                          </w:rPr>
                        </w:pPr>
                      </w:p>
                    </w:tc>
                    <w:tc>
                      <w:tcPr>
                        <w:tcW w:w="7730" w:type="dxa"/>
                        <w:shd w:val="clear" w:color="auto" w:fill="auto"/>
                        <w:tcMar>
                          <w:left w:w="0" w:type="dxa"/>
                        </w:tcMar>
                      </w:tcPr>
                      <w:p w14:paraId="11237E30" w14:textId="77777777" w:rsidR="004A0D0E" w:rsidRPr="00DB613B" w:rsidRDefault="004A0D0E" w:rsidP="004A0D0E">
                        <w:pPr>
                          <w:spacing w:after="0"/>
                          <w:jc w:val="left"/>
                          <w:rPr>
                            <w:b/>
                          </w:rPr>
                        </w:pPr>
                        <w:r w:rsidRPr="00DB613B">
                          <w:rPr>
                            <w:b/>
                          </w:rPr>
                          <w:t>Graf č. 6</w:t>
                        </w:r>
                        <w:r>
                          <w:rPr>
                            <w:b/>
                          </w:rPr>
                          <w:t xml:space="preserve"> </w:t>
                        </w:r>
                        <w:r w:rsidRPr="00DB613B">
                          <w:rPr>
                            <w:b/>
                          </w:rPr>
                          <w:t xml:space="preserve"> Příspěvky odvětví k meziroční změně stavební produkce </w:t>
                        </w:r>
                        <w:r w:rsidRPr="00DB613B">
                          <w:t>(v p. b.)</w:t>
                        </w:r>
                        <w:r w:rsidRPr="00DB613B">
                          <w:rPr>
                            <w:b/>
                            <w:bCs/>
                          </w:rPr>
                          <w:t>,</w:t>
                        </w:r>
                        <w:r>
                          <w:rPr>
                            <w:b/>
                            <w:bCs/>
                          </w:rPr>
                          <w:br/>
                        </w:r>
                        <w:r w:rsidRPr="00DB613B">
                          <w:rPr>
                            <w:b/>
                          </w:rPr>
                          <w:t xml:space="preserve">nové </w:t>
                        </w:r>
                        <w:r>
                          <w:rPr>
                            <w:b/>
                          </w:rPr>
                          <w:t xml:space="preserve">stavební </w:t>
                        </w:r>
                        <w:r w:rsidRPr="00DB613B">
                          <w:rPr>
                            <w:b/>
                          </w:rPr>
                          <w:t xml:space="preserve">zakázky </w:t>
                        </w:r>
                        <w:r w:rsidRPr="00DB613B">
                          <w:rPr>
                            <w:bCs/>
                          </w:rPr>
                          <w:t>(</w:t>
                        </w:r>
                        <w:r w:rsidRPr="00DB613B">
                          <w:t>meziročně</w:t>
                        </w:r>
                        <w:r w:rsidRPr="00DB613B">
                          <w:rPr>
                            <w:bCs/>
                          </w:rPr>
                          <w:t xml:space="preserve"> v %</w:t>
                        </w:r>
                        <w:r w:rsidRPr="00DB613B">
                          <w:t>, pravá osa</w:t>
                        </w:r>
                        <w:r w:rsidRPr="00DB613B">
                          <w:rPr>
                            <w:bCs/>
                          </w:rPr>
                          <w:t>)</w:t>
                        </w:r>
                        <w:r w:rsidRPr="00DB613B">
                          <w:rPr>
                            <w:b/>
                          </w:rPr>
                          <w:t>, saldo indikátoru důvěry ve</w:t>
                        </w:r>
                        <w:r>
                          <w:rPr>
                            <w:b/>
                          </w:rPr>
                          <w:t xml:space="preserve"> </w:t>
                        </w:r>
                        <w:r w:rsidRPr="00DB613B">
                          <w:rPr>
                            <w:b/>
                          </w:rPr>
                          <w:t>stavebnictví*</w:t>
                        </w:r>
                        <w:r w:rsidRPr="00DB613B">
                          <w:t xml:space="preserve"> (v p. b., pravá osa) </w:t>
                        </w:r>
                        <w:r w:rsidRPr="00DB613B">
                          <w:rPr>
                            <w:b/>
                          </w:rPr>
                          <w:t>a vybrané bariéry růstu</w:t>
                        </w:r>
                        <w:r w:rsidRPr="00DB613B">
                          <w:t>* (v %, pravá osa)</w:t>
                        </w:r>
                      </w:p>
                    </w:tc>
                  </w:tr>
                  <w:tr w:rsidR="004A0D0E" w:rsidRPr="00B4411A" w14:paraId="61127BDD" w14:textId="77777777" w:rsidTr="0026300B">
                    <w:tblPrEx>
                      <w:tblCellMar>
                        <w:left w:w="70" w:type="dxa"/>
                        <w:right w:w="70" w:type="dxa"/>
                      </w:tblCellMar>
                    </w:tblPrEx>
                    <w:trPr>
                      <w:trHeight w:val="170"/>
                    </w:trPr>
                    <w:tc>
                      <w:tcPr>
                        <w:tcW w:w="1723" w:type="dxa"/>
                        <w:vMerge/>
                        <w:shd w:val="clear" w:color="auto" w:fill="auto"/>
                      </w:tcPr>
                      <w:p w14:paraId="109B7F61" w14:textId="77777777" w:rsidR="004A0D0E" w:rsidRPr="009110F7" w:rsidRDefault="004A0D0E" w:rsidP="004A0D0E">
                        <w:pPr>
                          <w:pStyle w:val="Marginlie"/>
                        </w:pPr>
                      </w:p>
                    </w:tc>
                    <w:tc>
                      <w:tcPr>
                        <w:tcW w:w="191" w:type="dxa"/>
                        <w:vMerge/>
                        <w:shd w:val="clear" w:color="auto" w:fill="auto"/>
                      </w:tcPr>
                      <w:p w14:paraId="3872761E" w14:textId="77777777" w:rsidR="004A0D0E" w:rsidRPr="009110F7" w:rsidRDefault="004A0D0E" w:rsidP="004A0D0E">
                        <w:pPr>
                          <w:pStyle w:val="Textpoznpodarou"/>
                          <w:jc w:val="both"/>
                          <w:rPr>
                            <w:spacing w:val="-4"/>
                          </w:rPr>
                        </w:pPr>
                      </w:p>
                    </w:tc>
                    <w:tc>
                      <w:tcPr>
                        <w:tcW w:w="7730" w:type="dxa"/>
                        <w:shd w:val="clear" w:color="auto" w:fill="auto"/>
                      </w:tcPr>
                      <w:p w14:paraId="1A2A3A7D" w14:textId="77777777" w:rsidR="004A0D0E" w:rsidRPr="00DB613B" w:rsidRDefault="004A0D0E" w:rsidP="004A0D0E">
                        <w:pPr>
                          <w:spacing w:after="0"/>
                        </w:pPr>
                        <w:r>
                          <w:rPr>
                            <w:noProof/>
                          </w:rPr>
                          <w:drawing>
                            <wp:inline distT="0" distB="0" distL="0" distR="0" wp14:anchorId="0A99B02A" wp14:editId="4507E6F1">
                              <wp:extent cx="4730115" cy="3532909"/>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A0D0E" w:rsidRPr="004621FE" w14:paraId="41212DF5" w14:textId="77777777" w:rsidTr="0026300B">
                    <w:trPr>
                      <w:trHeight w:val="170"/>
                    </w:trPr>
                    <w:tc>
                      <w:tcPr>
                        <w:tcW w:w="1723" w:type="dxa"/>
                        <w:vMerge/>
                        <w:shd w:val="clear" w:color="auto" w:fill="auto"/>
                        <w:tcMar>
                          <w:left w:w="0" w:type="dxa"/>
                        </w:tcMar>
                      </w:tcPr>
                      <w:p w14:paraId="1D26BECE" w14:textId="77777777" w:rsidR="004A0D0E" w:rsidRPr="009110F7" w:rsidRDefault="004A0D0E" w:rsidP="004A0D0E">
                        <w:pPr>
                          <w:pStyle w:val="Marginlie"/>
                        </w:pPr>
                      </w:p>
                    </w:tc>
                    <w:tc>
                      <w:tcPr>
                        <w:tcW w:w="191" w:type="dxa"/>
                        <w:vMerge/>
                        <w:shd w:val="clear" w:color="auto" w:fill="auto"/>
                        <w:tcMar>
                          <w:left w:w="0" w:type="dxa"/>
                        </w:tcMar>
                      </w:tcPr>
                      <w:p w14:paraId="72729F6D"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325B1A73" w14:textId="77777777" w:rsidR="004A0D0E" w:rsidRPr="00DB613B" w:rsidRDefault="004A0D0E" w:rsidP="004A0D0E">
                        <w:pPr>
                          <w:spacing w:after="0"/>
                          <w:rPr>
                            <w:rFonts w:cs="Arial"/>
                            <w:sz w:val="14"/>
                            <w:szCs w:val="14"/>
                          </w:rPr>
                        </w:pPr>
                        <w:r w:rsidRPr="00DB613B">
                          <w:rPr>
                            <w:rFonts w:cs="Arial"/>
                            <w:sz w:val="14"/>
                            <w:szCs w:val="14"/>
                          </w:rPr>
                          <w:t>Údaje o stavební produkci jsou očištěny o kalendářní vlivy.</w:t>
                        </w:r>
                      </w:p>
                      <w:p w14:paraId="6C127F5F" w14:textId="77777777" w:rsidR="004A0D0E" w:rsidRDefault="004A0D0E" w:rsidP="004A0D0E">
                        <w:pPr>
                          <w:spacing w:after="0"/>
                          <w:rPr>
                            <w:rFonts w:cs="Arial"/>
                            <w:sz w:val="14"/>
                            <w:szCs w:val="14"/>
                          </w:rPr>
                        </w:pPr>
                        <w:r>
                          <w:rPr>
                            <w:rFonts w:cs="Arial"/>
                            <w:sz w:val="14"/>
                            <w:szCs w:val="14"/>
                          </w:rPr>
                          <w:t>*</w:t>
                        </w:r>
                        <w:r w:rsidRPr="00937931">
                          <w:rPr>
                            <w:rFonts w:cs="Arial"/>
                            <w:spacing w:val="-2"/>
                            <w:sz w:val="14"/>
                            <w:szCs w:val="14"/>
                          </w:rPr>
                          <w:t>Saldo důvěry i</w:t>
                        </w:r>
                        <w:r>
                          <w:rPr>
                            <w:rFonts w:cs="Arial"/>
                            <w:spacing w:val="-2"/>
                            <w:sz w:val="14"/>
                            <w:szCs w:val="14"/>
                          </w:rPr>
                          <w:t> </w:t>
                        </w:r>
                        <w:r w:rsidRPr="00937931">
                          <w:rPr>
                            <w:rFonts w:cs="Arial"/>
                            <w:spacing w:val="-2"/>
                            <w:sz w:val="14"/>
                            <w:szCs w:val="14"/>
                          </w:rPr>
                          <w:t>bariéry růstu jsou sezónně očištěny a</w:t>
                        </w:r>
                        <w:r>
                          <w:rPr>
                            <w:rFonts w:cs="Arial"/>
                            <w:spacing w:val="-2"/>
                            <w:sz w:val="14"/>
                            <w:szCs w:val="14"/>
                          </w:rPr>
                          <w:t> </w:t>
                        </w:r>
                        <w:r w:rsidRPr="00937931">
                          <w:rPr>
                            <w:rFonts w:cs="Arial"/>
                            <w:spacing w:val="-2"/>
                            <w:sz w:val="14"/>
                            <w:szCs w:val="14"/>
                          </w:rPr>
                          <w:t>vyjadřují stav v prvním měsíci daného čtvrtletí</w:t>
                        </w:r>
                        <w:r>
                          <w:rPr>
                            <w:rFonts w:cs="Arial"/>
                            <w:sz w:val="14"/>
                            <w:szCs w:val="14"/>
                          </w:rPr>
                          <w:t>.</w:t>
                        </w:r>
                      </w:p>
                      <w:p w14:paraId="1CAD584C" w14:textId="77777777" w:rsidR="004A0D0E" w:rsidRPr="00DB613B" w:rsidRDefault="004A0D0E" w:rsidP="004A0D0E">
                        <w:pPr>
                          <w:spacing w:after="200"/>
                          <w:rPr>
                            <w:rFonts w:cs="Arial"/>
                            <w:sz w:val="14"/>
                            <w:szCs w:val="14"/>
                          </w:rPr>
                        </w:pPr>
                        <w:r w:rsidRPr="00DB613B">
                          <w:rPr>
                            <w:rFonts w:cs="Arial"/>
                            <w:sz w:val="14"/>
                            <w:szCs w:val="14"/>
                          </w:rPr>
                          <w:t>Zdroj: ČSÚ</w:t>
                        </w:r>
                      </w:p>
                    </w:tc>
                  </w:tr>
                  <w:tr w:rsidR="004A0D0E" w14:paraId="41FE15AF" w14:textId="77777777" w:rsidTr="0026300B">
                    <w:trPr>
                      <w:trHeight w:val="145"/>
                    </w:trPr>
                    <w:tc>
                      <w:tcPr>
                        <w:tcW w:w="1723" w:type="dxa"/>
                        <w:shd w:val="clear" w:color="auto" w:fill="auto"/>
                        <w:tcMar>
                          <w:left w:w="0" w:type="dxa"/>
                        </w:tcMar>
                      </w:tcPr>
                      <w:p w14:paraId="30ECDB62" w14:textId="77777777" w:rsidR="004A0D0E" w:rsidRDefault="004A0D0E" w:rsidP="004A0D0E">
                        <w:pPr>
                          <w:pStyle w:val="Marginlie"/>
                        </w:pPr>
                        <w:r>
                          <w:t xml:space="preserve">Stavební produkce v Česku klesla méně </w:t>
                        </w:r>
                        <w:r>
                          <w:lastRenderedPageBreak/>
                          <w:t>než v EU, zejména díky lepšímu výkonu inženýrského stavitelství.</w:t>
                        </w:r>
                      </w:p>
                    </w:tc>
                    <w:tc>
                      <w:tcPr>
                        <w:tcW w:w="191" w:type="dxa"/>
                        <w:shd w:val="clear" w:color="auto" w:fill="auto"/>
                        <w:tcMar>
                          <w:left w:w="0" w:type="dxa"/>
                        </w:tcMar>
                      </w:tcPr>
                      <w:p w14:paraId="09A90E1B"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358ECA92" w14:textId="77777777" w:rsidR="004A0D0E" w:rsidRPr="00E051E8" w:rsidRDefault="004A0D0E" w:rsidP="004A0D0E">
                        <w:pPr>
                          <w:spacing w:after="200"/>
                          <w:rPr>
                            <w:color w:val="0D0D0D" w:themeColor="text1" w:themeTint="F2"/>
                            <w:spacing w:val="-4"/>
                          </w:rPr>
                        </w:pPr>
                        <w:r w:rsidRPr="00E051E8">
                          <w:rPr>
                            <w:color w:val="0D0D0D" w:themeColor="text1" w:themeTint="F2"/>
                            <w:spacing w:val="-4"/>
                          </w:rPr>
                          <w:t>Stavební produkce v EU klesla v 1.</w:t>
                        </w:r>
                        <w:r>
                          <w:rPr>
                            <w:color w:val="0D0D0D" w:themeColor="text1" w:themeTint="F2"/>
                            <w:spacing w:val="-4"/>
                          </w:rPr>
                          <w:t> pololet</w:t>
                        </w:r>
                        <w:r w:rsidRPr="00E051E8">
                          <w:rPr>
                            <w:color w:val="0D0D0D" w:themeColor="text1" w:themeTint="F2"/>
                            <w:spacing w:val="-4"/>
                          </w:rPr>
                          <w:t>í meziročně o</w:t>
                        </w:r>
                        <w:r>
                          <w:rPr>
                            <w:color w:val="0D0D0D" w:themeColor="text1" w:themeTint="F2"/>
                            <w:spacing w:val="-4"/>
                          </w:rPr>
                          <w:t> </w:t>
                        </w:r>
                        <w:r w:rsidRPr="00E051E8">
                          <w:rPr>
                            <w:color w:val="0D0D0D" w:themeColor="text1" w:themeTint="F2"/>
                            <w:spacing w:val="-4"/>
                          </w:rPr>
                          <w:t>7,8</w:t>
                        </w:r>
                        <w:r>
                          <w:rPr>
                            <w:color w:val="0D0D0D" w:themeColor="text1" w:themeTint="F2"/>
                            <w:spacing w:val="-4"/>
                          </w:rPr>
                          <w:t> % </w:t>
                        </w:r>
                        <w:r w:rsidRPr="00E051E8">
                          <w:rPr>
                            <w:color w:val="000000" w:themeColor="text1"/>
                            <w:spacing w:val="-4"/>
                          </w:rPr>
                          <w:t>–</w:t>
                        </w:r>
                        <w:r w:rsidRPr="00E051E8">
                          <w:rPr>
                            <w:color w:val="0D0D0D" w:themeColor="text1" w:themeTint="F2"/>
                            <w:spacing w:val="-4"/>
                          </w:rPr>
                          <w:t xml:space="preserve"> </w:t>
                        </w:r>
                        <w:r>
                          <w:rPr>
                            <w:color w:val="0D0D0D" w:themeColor="text1" w:themeTint="F2"/>
                            <w:spacing w:val="-4"/>
                          </w:rPr>
                          <w:t xml:space="preserve">tedy </w:t>
                        </w:r>
                        <w:r w:rsidRPr="00E051E8">
                          <w:rPr>
                            <w:color w:val="0D0D0D" w:themeColor="text1" w:themeTint="F2"/>
                            <w:spacing w:val="-4"/>
                          </w:rPr>
                          <w:t>téměř dvojnásobně než v </w:t>
                        </w:r>
                        <w:r>
                          <w:rPr>
                            <w:color w:val="0D0D0D" w:themeColor="text1" w:themeTint="F2"/>
                            <w:spacing w:val="-4"/>
                          </w:rPr>
                          <w:t>Česku</w:t>
                        </w:r>
                        <w:r w:rsidRPr="00E051E8">
                          <w:rPr>
                            <w:color w:val="0D0D0D" w:themeColor="text1" w:themeTint="F2"/>
                            <w:spacing w:val="-4"/>
                          </w:rPr>
                          <w:t xml:space="preserve">. </w:t>
                        </w:r>
                        <w:r>
                          <w:rPr>
                            <w:color w:val="0D0D0D" w:themeColor="text1" w:themeTint="F2"/>
                            <w:spacing w:val="-4"/>
                          </w:rPr>
                          <w:t>Největší propad ze sledovaných</w:t>
                        </w:r>
                        <w:r w:rsidRPr="00E051E8">
                          <w:rPr>
                            <w:color w:val="0D0D0D" w:themeColor="text1" w:themeTint="F2"/>
                            <w:spacing w:val="-4"/>
                          </w:rPr>
                          <w:t xml:space="preserve"> zemí</w:t>
                        </w:r>
                        <w:r w:rsidRPr="00E051E8">
                          <w:rPr>
                            <w:color w:val="0D0D0D" w:themeColor="text1" w:themeTint="F2"/>
                            <w:spacing w:val="-4"/>
                            <w:vertAlign w:val="superscript"/>
                          </w:rPr>
                          <w:footnoteReference w:id="25"/>
                        </w:r>
                        <w:r w:rsidRPr="00E051E8">
                          <w:rPr>
                            <w:color w:val="0D0D0D" w:themeColor="text1" w:themeTint="F2"/>
                            <w:spacing w:val="-4"/>
                          </w:rPr>
                          <w:t xml:space="preserve"> postihl Francii (</w:t>
                        </w:r>
                        <w:r w:rsidRPr="00E051E8">
                          <w:rPr>
                            <w:color w:val="000000" w:themeColor="text1"/>
                            <w:spacing w:val="-4"/>
                          </w:rPr>
                          <w:t>–</w:t>
                        </w:r>
                        <w:r w:rsidRPr="00E051E8">
                          <w:rPr>
                            <w:color w:val="0D0D0D" w:themeColor="text1" w:themeTint="F2"/>
                            <w:spacing w:val="-4"/>
                          </w:rPr>
                          <w:t>23,5</w:t>
                        </w:r>
                        <w:r>
                          <w:rPr>
                            <w:color w:val="0D0D0D" w:themeColor="text1" w:themeTint="F2"/>
                            <w:spacing w:val="-4"/>
                          </w:rPr>
                          <w:t> %</w:t>
                        </w:r>
                        <w:r w:rsidRPr="00E051E8">
                          <w:rPr>
                            <w:color w:val="0D0D0D" w:themeColor="text1" w:themeTint="F2"/>
                            <w:spacing w:val="-4"/>
                          </w:rPr>
                          <w:t>) a</w:t>
                        </w:r>
                        <w:r>
                          <w:rPr>
                            <w:color w:val="0D0D0D" w:themeColor="text1" w:themeTint="F2"/>
                            <w:spacing w:val="-4"/>
                          </w:rPr>
                          <w:t> </w:t>
                        </w:r>
                        <w:r w:rsidRPr="00E051E8">
                          <w:rPr>
                            <w:color w:val="0D0D0D" w:themeColor="text1" w:themeTint="F2"/>
                            <w:spacing w:val="-4"/>
                          </w:rPr>
                          <w:t>Španělsko</w:t>
                        </w:r>
                        <w:r>
                          <w:rPr>
                            <w:color w:val="0D0D0D" w:themeColor="text1" w:themeTint="F2"/>
                            <w:spacing w:val="-4"/>
                          </w:rPr>
                          <w:br/>
                        </w:r>
                        <w:r w:rsidRPr="00E051E8">
                          <w:rPr>
                            <w:color w:val="0D0D0D" w:themeColor="text1" w:themeTint="F2"/>
                            <w:spacing w:val="-4"/>
                          </w:rPr>
                          <w:lastRenderedPageBreak/>
                          <w:t>(</w:t>
                        </w:r>
                        <w:r w:rsidRPr="00E051E8">
                          <w:rPr>
                            <w:color w:val="000000" w:themeColor="text1"/>
                            <w:spacing w:val="-4"/>
                          </w:rPr>
                          <w:t>–</w:t>
                        </w:r>
                        <w:r>
                          <w:rPr>
                            <w:color w:val="000000" w:themeColor="text1"/>
                            <w:spacing w:val="-4"/>
                          </w:rPr>
                          <w:t xml:space="preserve">16,0 %). S tím kontrastoval téměř 20% nárůst v Rumunsku. K navýšení došlo v dalších osmi státech, mj. v Německu (+3,6 %) a Polsku (+0,1 %). Lepšího výsledku než EU dosáhly všechny </w:t>
                        </w:r>
                        <w:r>
                          <w:rPr>
                            <w:color w:val="0D0D0D" w:themeColor="text1" w:themeTint="F2"/>
                          </w:rPr>
                          <w:t>novější členské státy ze střední a</w:t>
                        </w:r>
                        <w:r>
                          <w:rPr>
                            <w:rFonts w:cstheme="minorHAnsi"/>
                          </w:rPr>
                          <w:t> </w:t>
                        </w:r>
                        <w:r>
                          <w:rPr>
                            <w:color w:val="0D0D0D" w:themeColor="text1" w:themeTint="F2"/>
                          </w:rPr>
                          <w:t>východní Evropy, k čemuž mnohde přispěl také svižný růst inženýrského stavitelství.</w:t>
                        </w:r>
                      </w:p>
                    </w:tc>
                  </w:tr>
                  <w:tr w:rsidR="004A0D0E" w14:paraId="66B7A5F7" w14:textId="77777777" w:rsidTr="0026300B">
                    <w:trPr>
                      <w:trHeight w:val="145"/>
                    </w:trPr>
                    <w:tc>
                      <w:tcPr>
                        <w:tcW w:w="1723" w:type="dxa"/>
                        <w:shd w:val="clear" w:color="auto" w:fill="auto"/>
                        <w:tcMar>
                          <w:left w:w="0" w:type="dxa"/>
                        </w:tcMar>
                      </w:tcPr>
                      <w:p w14:paraId="4B92C1D3" w14:textId="77777777" w:rsidR="004A0D0E" w:rsidRDefault="004A0D0E" w:rsidP="004A0D0E">
                        <w:pPr>
                          <w:pStyle w:val="Marginlie"/>
                        </w:pPr>
                        <w:r>
                          <w:lastRenderedPageBreak/>
                          <w:t>V březnu i dubnu se tržby ve službách meziměsíčně propadly zhruba o desetinu.</w:t>
                        </w:r>
                      </w:p>
                    </w:tc>
                    <w:tc>
                      <w:tcPr>
                        <w:tcW w:w="191" w:type="dxa"/>
                        <w:shd w:val="clear" w:color="auto" w:fill="auto"/>
                        <w:tcMar>
                          <w:left w:w="0" w:type="dxa"/>
                        </w:tcMar>
                      </w:tcPr>
                      <w:p w14:paraId="5822A107"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43888087" w14:textId="77777777" w:rsidR="004A0D0E" w:rsidRPr="00281CBA" w:rsidRDefault="004A0D0E" w:rsidP="004A0D0E">
                        <w:pPr>
                          <w:spacing w:after="200"/>
                          <w:rPr>
                            <w:spacing w:val="-2"/>
                          </w:rPr>
                        </w:pPr>
                        <w:r w:rsidRPr="00281CBA">
                          <w:rPr>
                            <w:spacing w:val="-2"/>
                          </w:rPr>
                          <w:t xml:space="preserve">Tržby </w:t>
                        </w:r>
                        <w:r w:rsidRPr="00281CBA">
                          <w:rPr>
                            <w:color w:val="0D0D0D" w:themeColor="text1" w:themeTint="F2"/>
                            <w:spacing w:val="-2"/>
                          </w:rPr>
                          <w:t>ve vybraných službách</w:t>
                        </w:r>
                        <w:r w:rsidRPr="00281CBA">
                          <w:rPr>
                            <w:color w:val="0D0D0D" w:themeColor="text1" w:themeTint="F2"/>
                            <w:spacing w:val="-2"/>
                            <w:vertAlign w:val="superscript"/>
                          </w:rPr>
                          <w:footnoteReference w:id="26"/>
                        </w:r>
                        <w:r>
                          <w:rPr>
                            <w:color w:val="0D0D0D" w:themeColor="text1" w:themeTint="F2"/>
                            <w:spacing w:val="-2"/>
                          </w:rPr>
                          <w:t xml:space="preserve"> byly vládními restriktivními opatřeními citelně zasaženy. Již v březnu 2020 se meziměsíčně snížily o 8,9 %.</w:t>
                        </w:r>
                        <w:r w:rsidRPr="00281CBA">
                          <w:rPr>
                            <w:color w:val="0D0D0D" w:themeColor="text1" w:themeTint="F2"/>
                            <w:spacing w:val="-2"/>
                          </w:rPr>
                          <w:t xml:space="preserve"> V dílčích odvětvích</w:t>
                        </w:r>
                        <w:r>
                          <w:rPr>
                            <w:color w:val="0D0D0D" w:themeColor="text1" w:themeTint="F2"/>
                            <w:spacing w:val="-2"/>
                          </w:rPr>
                          <w:t xml:space="preserve"> navázaných na cestovní ruch se</w:t>
                        </w:r>
                        <w:r w:rsidRPr="00281CBA">
                          <w:rPr>
                            <w:color w:val="0D0D0D" w:themeColor="text1" w:themeTint="F2"/>
                            <w:spacing w:val="-2"/>
                          </w:rPr>
                          <w:t xml:space="preserve"> propad</w:t>
                        </w:r>
                        <w:r>
                          <w:rPr>
                            <w:color w:val="0D0D0D" w:themeColor="text1" w:themeTint="F2"/>
                            <w:spacing w:val="-2"/>
                          </w:rPr>
                          <w:t>ly téměř</w:t>
                        </w:r>
                        <w:r w:rsidRPr="00281CBA">
                          <w:rPr>
                            <w:color w:val="0D0D0D" w:themeColor="text1" w:themeTint="F2"/>
                            <w:spacing w:val="-2"/>
                          </w:rPr>
                          <w:t xml:space="preserve"> na polovinu, neboť činnost podniků v nich působících se prakticky omezila jen na první půli měsíce.</w:t>
                        </w:r>
                        <w:r>
                          <w:rPr>
                            <w:color w:val="0D0D0D" w:themeColor="text1" w:themeTint="F2"/>
                            <w:spacing w:val="-2"/>
                          </w:rPr>
                          <w:t xml:space="preserve"> V dubnu se pokles celkových tržeb mírně prohloubil (</w:t>
                        </w:r>
                        <w:r w:rsidRPr="00E051E8">
                          <w:rPr>
                            <w:color w:val="000000" w:themeColor="text1"/>
                            <w:spacing w:val="-4"/>
                          </w:rPr>
                          <w:t>–</w:t>
                        </w:r>
                        <w:r>
                          <w:rPr>
                            <w:color w:val="0D0D0D" w:themeColor="text1" w:themeTint="F2"/>
                            <w:spacing w:val="-2"/>
                          </w:rPr>
                          <w:t>10,4 %). Postupné oživení v následujících měsících v reakci na uvolňované restrikce bylo velmi pozvolné. Mezikvartální pokles ve 2. čtvrtletí tak dosáhl hlubokých 14,4 %, což byl dvojnásobek dosud rekordního útlumu z počátku roku 2009.</w:t>
                        </w:r>
                      </w:p>
                    </w:tc>
                  </w:tr>
                  <w:tr w:rsidR="004A0D0E" w:rsidRPr="00A16220" w14:paraId="7D9B9955" w14:textId="77777777" w:rsidTr="0026300B">
                    <w:trPr>
                      <w:trHeight w:val="170"/>
                    </w:trPr>
                    <w:tc>
                      <w:tcPr>
                        <w:tcW w:w="1723" w:type="dxa"/>
                        <w:vMerge w:val="restart"/>
                        <w:shd w:val="clear" w:color="auto" w:fill="auto"/>
                        <w:tcMar>
                          <w:left w:w="0" w:type="dxa"/>
                        </w:tcMar>
                      </w:tcPr>
                      <w:p w14:paraId="2E66D64A" w14:textId="77777777" w:rsidR="004A0D0E" w:rsidRDefault="004A0D0E" w:rsidP="004A0D0E">
                        <w:pPr>
                          <w:pStyle w:val="Marginlie"/>
                        </w:pPr>
                      </w:p>
                    </w:tc>
                    <w:tc>
                      <w:tcPr>
                        <w:tcW w:w="191" w:type="dxa"/>
                        <w:vMerge w:val="restart"/>
                        <w:shd w:val="clear" w:color="auto" w:fill="auto"/>
                        <w:tcMar>
                          <w:left w:w="0" w:type="dxa"/>
                        </w:tcMar>
                      </w:tcPr>
                      <w:p w14:paraId="3A379B64" w14:textId="77777777" w:rsidR="004A0D0E" w:rsidRDefault="004A0D0E" w:rsidP="004A0D0E">
                        <w:pPr>
                          <w:pStyle w:val="Textpoznpodarou"/>
                          <w:jc w:val="both"/>
                          <w:rPr>
                            <w:spacing w:val="-4"/>
                          </w:rPr>
                        </w:pPr>
                      </w:p>
                    </w:tc>
                    <w:tc>
                      <w:tcPr>
                        <w:tcW w:w="7730" w:type="dxa"/>
                        <w:shd w:val="clear" w:color="auto" w:fill="auto"/>
                        <w:tcMar>
                          <w:left w:w="0" w:type="dxa"/>
                        </w:tcMar>
                      </w:tcPr>
                      <w:p w14:paraId="02512240" w14:textId="77777777" w:rsidR="004A0D0E" w:rsidRPr="00DB613B" w:rsidRDefault="004A0D0E" w:rsidP="004A0D0E">
                        <w:pPr>
                          <w:pStyle w:val="Textpoznpodarou"/>
                          <w:spacing w:line="276" w:lineRule="auto"/>
                          <w:rPr>
                            <w:b/>
                          </w:rPr>
                        </w:pPr>
                        <w:r w:rsidRPr="00DB613B">
                          <w:rPr>
                            <w:b/>
                          </w:rPr>
                          <w:t>Graf č. 7</w:t>
                        </w:r>
                        <w:r>
                          <w:rPr>
                            <w:b/>
                          </w:rPr>
                          <w:t xml:space="preserve"> </w:t>
                        </w:r>
                        <w:r w:rsidRPr="00DB613B">
                          <w:rPr>
                            <w:b/>
                          </w:rPr>
                          <w:t xml:space="preserve"> Příspěvky odvětví k meziroční změně tržeb ve službách*</w:t>
                        </w:r>
                        <w:r>
                          <w:rPr>
                            <w:b/>
                          </w:rPr>
                          <w:br/>
                        </w:r>
                        <w:r w:rsidRPr="00DB613B">
                          <w:t>(v</w:t>
                        </w:r>
                        <w:r>
                          <w:t> p. b.</w:t>
                        </w:r>
                        <w:r w:rsidRPr="00DB613B">
                          <w:t>, očištěno o</w:t>
                        </w:r>
                        <w:r>
                          <w:t> </w:t>
                        </w:r>
                        <w:r w:rsidRPr="00DB613B">
                          <w:t>kalendářní vlivy)</w:t>
                        </w:r>
                        <w:r w:rsidRPr="00950709">
                          <w:rPr>
                            <w:b/>
                            <w:bCs/>
                          </w:rPr>
                          <w:t xml:space="preserve">, </w:t>
                        </w:r>
                        <w:r w:rsidRPr="00DB613B">
                          <w:rPr>
                            <w:b/>
                          </w:rPr>
                          <w:t>saldo indikátoru důvěry ve službách**</w:t>
                        </w:r>
                        <w:r>
                          <w:rPr>
                            <w:b/>
                          </w:rPr>
                          <w:br/>
                        </w:r>
                        <w:r w:rsidRPr="00DB613B">
                          <w:t>(v p. b.,</w:t>
                        </w:r>
                        <w:r>
                          <w:t xml:space="preserve"> p</w:t>
                        </w:r>
                        <w:r w:rsidRPr="00DB613B">
                          <w:t>ravá osa)</w:t>
                        </w:r>
                        <w:r w:rsidRPr="00DB613B">
                          <w:rPr>
                            <w:b/>
                          </w:rPr>
                          <w:t xml:space="preserve"> a vybrané bariéry růstu*</w:t>
                        </w:r>
                        <w:r w:rsidRPr="00DB613B">
                          <w:t>* (v %, pravá osa)</w:t>
                        </w:r>
                      </w:p>
                    </w:tc>
                  </w:tr>
                  <w:tr w:rsidR="004A0D0E" w:rsidRPr="00535F78" w14:paraId="6D2426C9" w14:textId="77777777" w:rsidTr="0026300B">
                    <w:tblPrEx>
                      <w:tblCellMar>
                        <w:left w:w="70" w:type="dxa"/>
                        <w:right w:w="70" w:type="dxa"/>
                      </w:tblCellMar>
                    </w:tblPrEx>
                    <w:trPr>
                      <w:trHeight w:val="170"/>
                    </w:trPr>
                    <w:tc>
                      <w:tcPr>
                        <w:tcW w:w="1723" w:type="dxa"/>
                        <w:vMerge/>
                        <w:shd w:val="clear" w:color="auto" w:fill="auto"/>
                      </w:tcPr>
                      <w:p w14:paraId="555658E7" w14:textId="77777777" w:rsidR="004A0D0E" w:rsidRPr="009110F7" w:rsidRDefault="004A0D0E" w:rsidP="004A0D0E">
                        <w:pPr>
                          <w:pStyle w:val="Marginlie"/>
                        </w:pPr>
                      </w:p>
                    </w:tc>
                    <w:tc>
                      <w:tcPr>
                        <w:tcW w:w="191" w:type="dxa"/>
                        <w:vMerge/>
                        <w:shd w:val="clear" w:color="auto" w:fill="auto"/>
                      </w:tcPr>
                      <w:p w14:paraId="6C9D6C9C" w14:textId="77777777" w:rsidR="004A0D0E" w:rsidRPr="009110F7" w:rsidRDefault="004A0D0E" w:rsidP="004A0D0E">
                        <w:pPr>
                          <w:pStyle w:val="Textpoznpodarou"/>
                          <w:jc w:val="both"/>
                          <w:rPr>
                            <w:spacing w:val="-4"/>
                          </w:rPr>
                        </w:pPr>
                      </w:p>
                    </w:tc>
                    <w:tc>
                      <w:tcPr>
                        <w:tcW w:w="7730" w:type="dxa"/>
                        <w:shd w:val="clear" w:color="auto" w:fill="auto"/>
                      </w:tcPr>
                      <w:p w14:paraId="6E5C7C94" w14:textId="77777777" w:rsidR="004A0D0E" w:rsidRPr="00DB613B" w:rsidRDefault="004A0D0E" w:rsidP="004A0D0E">
                        <w:pPr>
                          <w:spacing w:after="0"/>
                          <w:rPr>
                            <w:rFonts w:cs="Arial"/>
                            <w:sz w:val="14"/>
                            <w:szCs w:val="14"/>
                          </w:rPr>
                        </w:pPr>
                        <w:r>
                          <w:rPr>
                            <w:noProof/>
                          </w:rPr>
                          <w:drawing>
                            <wp:inline distT="0" distB="0" distL="0" distR="0" wp14:anchorId="5B33816B" wp14:editId="61F8C5DA">
                              <wp:extent cx="4772660" cy="3527946"/>
                              <wp:effectExtent l="0" t="0" r="889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4A0D0E" w:rsidRPr="00535F78" w14:paraId="3B952433" w14:textId="77777777" w:rsidTr="0026300B">
                    <w:trPr>
                      <w:trHeight w:val="170"/>
                    </w:trPr>
                    <w:tc>
                      <w:tcPr>
                        <w:tcW w:w="1723" w:type="dxa"/>
                        <w:vMerge/>
                        <w:shd w:val="clear" w:color="auto" w:fill="auto"/>
                        <w:tcMar>
                          <w:left w:w="0" w:type="dxa"/>
                        </w:tcMar>
                      </w:tcPr>
                      <w:p w14:paraId="1EF0D1F3" w14:textId="77777777" w:rsidR="004A0D0E" w:rsidRPr="009110F7" w:rsidRDefault="004A0D0E" w:rsidP="004A0D0E">
                        <w:pPr>
                          <w:pStyle w:val="Marginlie"/>
                        </w:pPr>
                      </w:p>
                    </w:tc>
                    <w:tc>
                      <w:tcPr>
                        <w:tcW w:w="191" w:type="dxa"/>
                        <w:vMerge/>
                        <w:shd w:val="clear" w:color="auto" w:fill="auto"/>
                        <w:tcMar>
                          <w:left w:w="0" w:type="dxa"/>
                        </w:tcMar>
                      </w:tcPr>
                      <w:p w14:paraId="17B32488"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4E8D334C" w14:textId="77777777" w:rsidR="004A0D0E" w:rsidRPr="00DB613B" w:rsidRDefault="004A0D0E" w:rsidP="004A0D0E">
                        <w:pPr>
                          <w:spacing w:after="0"/>
                          <w:rPr>
                            <w:rFonts w:cs="Arial"/>
                            <w:sz w:val="14"/>
                            <w:szCs w:val="14"/>
                          </w:rPr>
                        </w:pPr>
                        <w:r w:rsidRPr="00DB613B">
                          <w:rPr>
                            <w:rFonts w:cs="Arial"/>
                            <w:sz w:val="14"/>
                            <w:szCs w:val="14"/>
                          </w:rPr>
                          <w:t>*</w:t>
                        </w:r>
                        <w:r w:rsidRPr="00DB613B">
                          <w:rPr>
                            <w:color w:val="0D0D0D" w:themeColor="text1" w:themeTint="F2"/>
                            <w:sz w:val="14"/>
                            <w:szCs w:val="14"/>
                          </w:rPr>
                          <w:t xml:space="preserve"> Bez odvětví obchodu, peněžnictví, pojišťovnictví, vědy, výzkumu a veřejných služeb.</w:t>
                        </w:r>
                      </w:p>
                      <w:p w14:paraId="19F5C5CD" w14:textId="77777777" w:rsidR="004A0D0E" w:rsidRDefault="004A0D0E" w:rsidP="004A0D0E">
                        <w:pPr>
                          <w:spacing w:after="0"/>
                          <w:rPr>
                            <w:rFonts w:cs="Arial"/>
                            <w:sz w:val="14"/>
                            <w:szCs w:val="14"/>
                          </w:rPr>
                        </w:pPr>
                        <w:r>
                          <w:rPr>
                            <w:rFonts w:cs="Arial"/>
                            <w:sz w:val="14"/>
                            <w:szCs w:val="14"/>
                          </w:rPr>
                          <w:t>**</w:t>
                        </w:r>
                        <w:r w:rsidRPr="00937931">
                          <w:rPr>
                            <w:rFonts w:cs="Arial"/>
                            <w:spacing w:val="-2"/>
                            <w:sz w:val="14"/>
                            <w:szCs w:val="14"/>
                          </w:rPr>
                          <w:t>Zahrnuje i finanční sektor. Saldo důvěry i</w:t>
                        </w:r>
                        <w:r>
                          <w:rPr>
                            <w:rFonts w:cs="Arial"/>
                            <w:spacing w:val="-2"/>
                            <w:sz w:val="14"/>
                            <w:szCs w:val="14"/>
                          </w:rPr>
                          <w:t> </w:t>
                        </w:r>
                        <w:r w:rsidRPr="00937931">
                          <w:rPr>
                            <w:rFonts w:cs="Arial"/>
                            <w:spacing w:val="-2"/>
                            <w:sz w:val="14"/>
                            <w:szCs w:val="14"/>
                          </w:rPr>
                          <w:t>bariéry růstu jsou sezónně očištěny a</w:t>
                        </w:r>
                        <w:r>
                          <w:rPr>
                            <w:rFonts w:cs="Arial"/>
                            <w:spacing w:val="-2"/>
                            <w:sz w:val="14"/>
                            <w:szCs w:val="14"/>
                          </w:rPr>
                          <w:t> </w:t>
                        </w:r>
                        <w:r w:rsidRPr="00937931">
                          <w:rPr>
                            <w:rFonts w:cs="Arial"/>
                            <w:spacing w:val="-2"/>
                            <w:sz w:val="14"/>
                            <w:szCs w:val="14"/>
                          </w:rPr>
                          <w:t>vyjadřují stav v prvním měsíci daného čtvrtletí.</w:t>
                        </w:r>
                      </w:p>
                      <w:p w14:paraId="04B1FF20" w14:textId="77777777" w:rsidR="004A0D0E" w:rsidRPr="00DB613B" w:rsidRDefault="004A0D0E" w:rsidP="004A0D0E">
                        <w:pPr>
                          <w:spacing w:after="180"/>
                          <w:rPr>
                            <w:rFonts w:cs="Arial"/>
                            <w:sz w:val="14"/>
                            <w:szCs w:val="14"/>
                          </w:rPr>
                        </w:pPr>
                        <w:r w:rsidRPr="00DB613B">
                          <w:rPr>
                            <w:rFonts w:cs="Arial"/>
                            <w:sz w:val="14"/>
                            <w:szCs w:val="14"/>
                          </w:rPr>
                          <w:t>Zdroj: ČSÚ</w:t>
                        </w:r>
                      </w:p>
                    </w:tc>
                  </w:tr>
                  <w:tr w:rsidR="004A0D0E" w:rsidRPr="000E298B" w14:paraId="66CE491D" w14:textId="77777777" w:rsidTr="0026300B">
                    <w:trPr>
                      <w:trHeight w:val="80"/>
                    </w:trPr>
                    <w:tc>
                      <w:tcPr>
                        <w:tcW w:w="1723" w:type="dxa"/>
                        <w:shd w:val="clear" w:color="auto" w:fill="auto"/>
                        <w:tcMar>
                          <w:left w:w="0" w:type="dxa"/>
                        </w:tcMar>
                      </w:tcPr>
                      <w:p w14:paraId="639A8D7F" w14:textId="77777777" w:rsidR="004A0D0E" w:rsidRDefault="004A0D0E" w:rsidP="004A0D0E">
                        <w:pPr>
                          <w:pStyle w:val="Marginlie"/>
                        </w:pPr>
                        <w:r>
                          <w:t>Za poklesem tržeb ve službách stály zejména slabší výkony v dopravě a skladování a též útlum v ubytování, stravování a pohostinství.</w:t>
                        </w:r>
                      </w:p>
                      <w:p w14:paraId="3B331A3A" w14:textId="77777777" w:rsidR="004A0D0E" w:rsidRDefault="004A0D0E" w:rsidP="004A0D0E">
                        <w:pPr>
                          <w:pStyle w:val="Marginlie"/>
                        </w:pPr>
                      </w:p>
                      <w:p w14:paraId="3281FBC9" w14:textId="77777777" w:rsidR="004A0D0E" w:rsidRDefault="004A0D0E" w:rsidP="004A0D0E">
                        <w:pPr>
                          <w:pStyle w:val="Marginlie"/>
                        </w:pPr>
                      </w:p>
                      <w:p w14:paraId="3FA52A42" w14:textId="77777777" w:rsidR="004A0D0E" w:rsidRDefault="004A0D0E" w:rsidP="004A0D0E">
                        <w:pPr>
                          <w:pStyle w:val="Marginlie"/>
                        </w:pPr>
                        <w:r>
                          <w:t>V růstu pokračovaly pouze telekomunikace, oblasti ICT a poštovní a kurýrní činnosti.</w:t>
                        </w:r>
                      </w:p>
                      <w:p w14:paraId="3E52F075" w14:textId="77777777" w:rsidR="004A0D0E" w:rsidRPr="00E679BC" w:rsidRDefault="004A0D0E" w:rsidP="004A0D0E">
                        <w:pPr>
                          <w:pStyle w:val="Marginlie"/>
                        </w:pPr>
                        <w:r>
                          <w:lastRenderedPageBreak/>
                          <w:t>Čtyři roky trvající růst tržeb za průzkum trhu a </w:t>
                        </w:r>
                        <w:r w:rsidRPr="00E679BC">
                          <w:t>veřejného mínění</w:t>
                        </w:r>
                        <w:r>
                          <w:t xml:space="preserve"> se zastavil.</w:t>
                        </w:r>
                      </w:p>
                    </w:tc>
                    <w:tc>
                      <w:tcPr>
                        <w:tcW w:w="191" w:type="dxa"/>
                        <w:shd w:val="clear" w:color="auto" w:fill="auto"/>
                        <w:tcMar>
                          <w:left w:w="0" w:type="dxa"/>
                        </w:tcMar>
                      </w:tcPr>
                      <w:p w14:paraId="0EDF811D"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2F68E963" w14:textId="77777777" w:rsidR="004A0D0E" w:rsidRPr="00DB613B" w:rsidRDefault="004A0D0E" w:rsidP="004A0D0E">
                        <w:pPr>
                          <w:spacing w:after="220"/>
                          <w:rPr>
                            <w:rFonts w:cs="Arial"/>
                            <w:szCs w:val="20"/>
                          </w:rPr>
                        </w:pPr>
                        <w:r w:rsidRPr="0063690C">
                          <w:rPr>
                            <w:spacing w:val="-4"/>
                          </w:rPr>
                          <w:t>V</w:t>
                        </w:r>
                        <w:r>
                          <w:rPr>
                            <w:spacing w:val="-4"/>
                          </w:rPr>
                          <w:t> </w:t>
                        </w:r>
                        <w:r w:rsidRPr="0063690C">
                          <w:rPr>
                            <w:spacing w:val="-4"/>
                          </w:rPr>
                          <w:t>1.</w:t>
                        </w:r>
                        <w:r>
                          <w:rPr>
                            <w:spacing w:val="-4"/>
                          </w:rPr>
                          <w:t> pololet</w:t>
                        </w:r>
                        <w:r w:rsidRPr="0063690C">
                          <w:rPr>
                            <w:spacing w:val="-4"/>
                          </w:rPr>
                          <w:t>í 2020 se tržby ve službách meziročně snížily o</w:t>
                        </w:r>
                        <w:r>
                          <w:rPr>
                            <w:spacing w:val="-4"/>
                          </w:rPr>
                          <w:t> </w:t>
                        </w:r>
                        <w:r w:rsidRPr="0063690C">
                          <w:rPr>
                            <w:spacing w:val="-4"/>
                          </w:rPr>
                          <w:t>12,0</w:t>
                        </w:r>
                        <w:r>
                          <w:rPr>
                            <w:spacing w:val="-4"/>
                          </w:rPr>
                          <w:t> %</w:t>
                        </w:r>
                        <w:r w:rsidRPr="0063690C">
                          <w:rPr>
                            <w:spacing w:val="-4"/>
                          </w:rPr>
                          <w:t>. Podepsal se na tom hlavně vývoj v dopravě a</w:t>
                        </w:r>
                        <w:r>
                          <w:rPr>
                            <w:spacing w:val="-4"/>
                          </w:rPr>
                          <w:t> </w:t>
                        </w:r>
                        <w:r w:rsidRPr="0063690C">
                          <w:rPr>
                            <w:spacing w:val="-4"/>
                          </w:rPr>
                          <w:t xml:space="preserve">skladování (příspěvek </w:t>
                        </w:r>
                        <w:r w:rsidRPr="0063690C">
                          <w:rPr>
                            <w:color w:val="000000" w:themeColor="text1"/>
                            <w:spacing w:val="-4"/>
                          </w:rPr>
                          <w:t>–</w:t>
                        </w:r>
                        <w:r w:rsidRPr="0063690C">
                          <w:rPr>
                            <w:spacing w:val="-4"/>
                          </w:rPr>
                          <w:t>4,5</w:t>
                        </w:r>
                        <w:r>
                          <w:rPr>
                            <w:spacing w:val="-4"/>
                          </w:rPr>
                          <w:t> p. b.</w:t>
                        </w:r>
                        <w:r w:rsidRPr="0063690C">
                          <w:rPr>
                            <w:spacing w:val="-4"/>
                          </w:rPr>
                          <w:t>) a</w:t>
                        </w:r>
                        <w:r>
                          <w:rPr>
                            <w:spacing w:val="-4"/>
                          </w:rPr>
                          <w:t> </w:t>
                        </w:r>
                        <w:r w:rsidRPr="0063690C">
                          <w:rPr>
                            <w:spacing w:val="-4"/>
                          </w:rPr>
                          <w:t>odvětví ubytování, stravování a pohostinství (</w:t>
                        </w:r>
                        <w:r w:rsidRPr="0063690C">
                          <w:rPr>
                            <w:color w:val="000000" w:themeColor="text1"/>
                            <w:spacing w:val="-4"/>
                          </w:rPr>
                          <w:t>–</w:t>
                        </w:r>
                        <w:r w:rsidRPr="0063690C">
                          <w:rPr>
                            <w:spacing w:val="-4"/>
                          </w:rPr>
                          <w:t>3,0</w:t>
                        </w:r>
                        <w:r>
                          <w:rPr>
                            <w:spacing w:val="-4"/>
                          </w:rPr>
                          <w:t> p. b.</w:t>
                        </w:r>
                        <w:r w:rsidRPr="0063690C">
                          <w:rPr>
                            <w:spacing w:val="-4"/>
                          </w:rPr>
                          <w:t>). Postiženy však byly i</w:t>
                        </w:r>
                        <w:r>
                          <w:rPr>
                            <w:spacing w:val="-4"/>
                          </w:rPr>
                          <w:t> </w:t>
                        </w:r>
                        <w:r w:rsidRPr="0063690C">
                          <w:rPr>
                            <w:spacing w:val="-4"/>
                          </w:rPr>
                          <w:t>ostatní odvětvové sekce</w:t>
                        </w:r>
                        <w:r>
                          <w:rPr>
                            <w:spacing w:val="-4"/>
                          </w:rPr>
                          <w:t> </w:t>
                        </w:r>
                        <w:r w:rsidRPr="0063690C">
                          <w:rPr>
                            <w:color w:val="000000" w:themeColor="text1"/>
                            <w:spacing w:val="-4"/>
                          </w:rPr>
                          <w:t>–</w:t>
                        </w:r>
                        <w:r w:rsidRPr="0063690C">
                          <w:rPr>
                            <w:spacing w:val="-4"/>
                          </w:rPr>
                          <w:t xml:space="preserve"> nejméně z nich pak informační a</w:t>
                        </w:r>
                        <w:r>
                          <w:rPr>
                            <w:spacing w:val="-4"/>
                          </w:rPr>
                          <w:t> </w:t>
                        </w:r>
                        <w:r w:rsidRPr="0063690C">
                          <w:rPr>
                            <w:spacing w:val="-4"/>
                          </w:rPr>
                          <w:t>komunikační činnosti (příspěvek +0,3</w:t>
                        </w:r>
                        <w:r>
                          <w:rPr>
                            <w:spacing w:val="-4"/>
                          </w:rPr>
                          <w:t> p. b.</w:t>
                        </w:r>
                        <w:r w:rsidRPr="0063690C">
                          <w:rPr>
                            <w:spacing w:val="-4"/>
                          </w:rPr>
                          <w:t>, růst odvětví 1,7</w:t>
                        </w:r>
                        <w:r>
                          <w:rPr>
                            <w:spacing w:val="-4"/>
                          </w:rPr>
                          <w:t> %</w:t>
                        </w:r>
                        <w:r w:rsidRPr="0063690C">
                          <w:rPr>
                            <w:spacing w:val="-4"/>
                          </w:rPr>
                          <w:t>). Zatímco některé oddíly tohoto odvětví ze zvýšené poptávky během koronakrize profitovaly (telekomunikační činnosti, oblasti I</w:t>
                        </w:r>
                        <w:r>
                          <w:rPr>
                            <w:spacing w:val="-4"/>
                          </w:rPr>
                          <w:t>C</w:t>
                        </w:r>
                        <w:r w:rsidRPr="0063690C">
                          <w:rPr>
                            <w:spacing w:val="-4"/>
                          </w:rPr>
                          <w:t>T), jiné byly různou měrou zasaženy (vydavatelské činnosti, tvorba programů a</w:t>
                        </w:r>
                        <w:r>
                          <w:rPr>
                            <w:spacing w:val="-4"/>
                          </w:rPr>
                          <w:t> </w:t>
                        </w:r>
                        <w:r w:rsidRPr="0063690C">
                          <w:rPr>
                            <w:spacing w:val="-4"/>
                          </w:rPr>
                          <w:t>vysílání a</w:t>
                        </w:r>
                        <w:r>
                          <w:rPr>
                            <w:spacing w:val="-4"/>
                          </w:rPr>
                          <w:t> </w:t>
                        </w:r>
                        <w:r w:rsidRPr="0063690C">
                          <w:rPr>
                            <w:spacing w:val="-4"/>
                          </w:rPr>
                          <w:t xml:space="preserve">zejména tzv. </w:t>
                        </w:r>
                        <w:r w:rsidRPr="0063690C">
                          <w:rPr>
                            <w:color w:val="0D0D0D" w:themeColor="text1" w:themeTint="F2"/>
                            <w:spacing w:val="-4"/>
                          </w:rPr>
                          <w:t>filmový a hudební průmysl, kde tržby propadly o</w:t>
                        </w:r>
                        <w:r>
                          <w:rPr>
                            <w:color w:val="0D0D0D" w:themeColor="text1" w:themeTint="F2"/>
                            <w:spacing w:val="-4"/>
                          </w:rPr>
                          <w:t> </w:t>
                        </w:r>
                        <w:r w:rsidRPr="0063690C">
                          <w:rPr>
                            <w:color w:val="0D0D0D" w:themeColor="text1" w:themeTint="F2"/>
                            <w:spacing w:val="-4"/>
                          </w:rPr>
                          <w:t>více než třetinu</w:t>
                        </w:r>
                        <w:r w:rsidRPr="0063690C">
                          <w:rPr>
                            <w:rStyle w:val="Znakapoznpodarou"/>
                            <w:spacing w:val="-4"/>
                          </w:rPr>
                          <w:footnoteReference w:id="27"/>
                        </w:r>
                        <w:r w:rsidRPr="0063690C">
                          <w:rPr>
                            <w:color w:val="0D0D0D" w:themeColor="text1" w:themeTint="F2"/>
                            <w:spacing w:val="-4"/>
                          </w:rPr>
                          <w:t>). Také odvětví dopravy a</w:t>
                        </w:r>
                        <w:r>
                          <w:rPr>
                            <w:color w:val="0D0D0D" w:themeColor="text1" w:themeTint="F2"/>
                            <w:spacing w:val="-4"/>
                          </w:rPr>
                          <w:t> </w:t>
                        </w:r>
                        <w:r w:rsidRPr="0063690C">
                          <w:rPr>
                            <w:color w:val="0D0D0D" w:themeColor="text1" w:themeTint="F2"/>
                            <w:spacing w:val="-4"/>
                          </w:rPr>
                          <w:t>skladování se vyznačovalo různorodým vývojem. Hluboký propad letecké dopravy (</w:t>
                        </w:r>
                        <w:r w:rsidRPr="0063690C">
                          <w:rPr>
                            <w:color w:val="000000" w:themeColor="text1"/>
                            <w:spacing w:val="-4"/>
                          </w:rPr>
                          <w:t>–</w:t>
                        </w:r>
                        <w:r w:rsidRPr="0063690C">
                          <w:rPr>
                            <w:color w:val="0D0D0D" w:themeColor="text1" w:themeTint="F2"/>
                            <w:spacing w:val="-4"/>
                          </w:rPr>
                          <w:t>63,9</w:t>
                        </w:r>
                        <w:r>
                          <w:rPr>
                            <w:color w:val="0D0D0D" w:themeColor="text1" w:themeTint="F2"/>
                            <w:spacing w:val="-4"/>
                          </w:rPr>
                          <w:t> %</w:t>
                        </w:r>
                        <w:r w:rsidRPr="0063690C">
                          <w:rPr>
                            <w:color w:val="0D0D0D" w:themeColor="text1" w:themeTint="F2"/>
                            <w:spacing w:val="-4"/>
                          </w:rPr>
                          <w:t>) i</w:t>
                        </w:r>
                        <w:r>
                          <w:rPr>
                            <w:color w:val="0D0D0D" w:themeColor="text1" w:themeTint="F2"/>
                            <w:spacing w:val="-4"/>
                          </w:rPr>
                          <w:t> </w:t>
                        </w:r>
                        <w:r w:rsidRPr="0063690C">
                          <w:rPr>
                            <w:color w:val="0D0D0D" w:themeColor="text1" w:themeTint="F2"/>
                            <w:spacing w:val="-4"/>
                          </w:rPr>
                          <w:t>významný pokles v klíčovém oddíle pozemní a</w:t>
                        </w:r>
                        <w:r>
                          <w:rPr>
                            <w:color w:val="0D0D0D" w:themeColor="text1" w:themeTint="F2"/>
                            <w:spacing w:val="-4"/>
                          </w:rPr>
                          <w:t> </w:t>
                        </w:r>
                        <w:r w:rsidRPr="0063690C">
                          <w:rPr>
                            <w:color w:val="0D0D0D" w:themeColor="text1" w:themeTint="F2"/>
                            <w:spacing w:val="-4"/>
                          </w:rPr>
                          <w:t>potrubní doprava (</w:t>
                        </w:r>
                        <w:r w:rsidRPr="0063690C">
                          <w:rPr>
                            <w:color w:val="000000" w:themeColor="text1"/>
                            <w:spacing w:val="-4"/>
                          </w:rPr>
                          <w:t>–</w:t>
                        </w:r>
                        <w:r w:rsidRPr="0063690C">
                          <w:rPr>
                            <w:color w:val="0D0D0D" w:themeColor="text1" w:themeTint="F2"/>
                            <w:spacing w:val="-4"/>
                          </w:rPr>
                          <w:t>15,0</w:t>
                        </w:r>
                        <w:r>
                          <w:rPr>
                            <w:color w:val="0D0D0D" w:themeColor="text1" w:themeTint="F2"/>
                            <w:spacing w:val="-4"/>
                          </w:rPr>
                          <w:t> %</w:t>
                        </w:r>
                        <w:r w:rsidRPr="0063690C">
                          <w:rPr>
                            <w:color w:val="0D0D0D" w:themeColor="text1" w:themeTint="F2"/>
                            <w:spacing w:val="-4"/>
                          </w:rPr>
                          <w:t>) kontrastoval</w:t>
                        </w:r>
                        <w:r>
                          <w:rPr>
                            <w:color w:val="0D0D0D" w:themeColor="text1" w:themeTint="F2"/>
                            <w:spacing w:val="-4"/>
                          </w:rPr>
                          <w:t xml:space="preserve">y s rostoucí poptávkou </w:t>
                        </w:r>
                        <w:r>
                          <w:rPr>
                            <w:color w:val="0D0D0D" w:themeColor="text1" w:themeTint="F2"/>
                            <w:spacing w:val="-4"/>
                          </w:rPr>
                          <w:lastRenderedPageBreak/>
                          <w:t xml:space="preserve">po </w:t>
                        </w:r>
                        <w:r w:rsidRPr="0063690C">
                          <w:rPr>
                            <w:color w:val="0D0D0D" w:themeColor="text1" w:themeTint="F2"/>
                            <w:spacing w:val="-4"/>
                          </w:rPr>
                          <w:t>poštovních a</w:t>
                        </w:r>
                        <w:r>
                          <w:rPr>
                            <w:color w:val="0D0D0D" w:themeColor="text1" w:themeTint="F2"/>
                            <w:spacing w:val="-4"/>
                          </w:rPr>
                          <w:t> </w:t>
                        </w:r>
                        <w:r w:rsidRPr="0063690C">
                          <w:rPr>
                            <w:color w:val="0D0D0D" w:themeColor="text1" w:themeTint="F2"/>
                            <w:spacing w:val="-4"/>
                          </w:rPr>
                          <w:t>kurýrních činnostech (+8,8</w:t>
                        </w:r>
                        <w:r>
                          <w:rPr>
                            <w:color w:val="0D0D0D" w:themeColor="text1" w:themeTint="F2"/>
                            <w:spacing w:val="-4"/>
                          </w:rPr>
                          <w:t> %</w:t>
                        </w:r>
                        <w:r w:rsidRPr="0063690C">
                          <w:rPr>
                            <w:color w:val="0D0D0D" w:themeColor="text1" w:themeTint="F2"/>
                            <w:spacing w:val="-4"/>
                          </w:rPr>
                          <w:t>). V</w:t>
                        </w:r>
                        <w:r>
                          <w:rPr>
                            <w:color w:val="0D0D0D" w:themeColor="text1" w:themeTint="F2"/>
                            <w:spacing w:val="-4"/>
                          </w:rPr>
                          <w:t> </w:t>
                        </w:r>
                        <w:r w:rsidRPr="0063690C">
                          <w:rPr>
                            <w:spacing w:val="-4"/>
                          </w:rPr>
                          <w:t>ubytování, stravování a pohostinství klesly tržby skoro o</w:t>
                        </w:r>
                        <w:r>
                          <w:rPr>
                            <w:spacing w:val="-4"/>
                          </w:rPr>
                          <w:t> </w:t>
                        </w:r>
                        <w:r w:rsidRPr="0063690C">
                          <w:rPr>
                            <w:spacing w:val="-4"/>
                          </w:rPr>
                          <w:t>dvě pětiny. V samotném ubytování činil propad 53,4 %</w:t>
                        </w:r>
                        <w:r w:rsidRPr="0063690C">
                          <w:rPr>
                            <w:color w:val="0D0D0D" w:themeColor="text1" w:themeTint="F2"/>
                            <w:spacing w:val="-4"/>
                            <w:vertAlign w:val="superscript"/>
                          </w:rPr>
                          <w:footnoteReference w:id="28"/>
                        </w:r>
                        <w:r w:rsidRPr="0063690C">
                          <w:rPr>
                            <w:spacing w:val="-4"/>
                          </w:rPr>
                          <w:t>. Odvětví administrativní a</w:t>
                        </w:r>
                        <w:r>
                          <w:rPr>
                            <w:spacing w:val="-4"/>
                          </w:rPr>
                          <w:t> </w:t>
                        </w:r>
                        <w:r w:rsidRPr="0063690C">
                          <w:rPr>
                            <w:spacing w:val="-4"/>
                          </w:rPr>
                          <w:t xml:space="preserve">podpůrné činnosti zaznamenalo </w:t>
                        </w:r>
                        <w:r>
                          <w:rPr>
                            <w:spacing w:val="-4"/>
                          </w:rPr>
                          <w:t xml:space="preserve">téměř </w:t>
                        </w:r>
                        <w:r w:rsidRPr="0063690C">
                          <w:rPr>
                            <w:spacing w:val="-4"/>
                          </w:rPr>
                          <w:t>čtvrtinový propad tržeb. Projevil se očekávaný hluboký pokles výkonů cestovních kanceláří a agentur (</w:t>
                        </w:r>
                        <w:r w:rsidRPr="0063690C">
                          <w:rPr>
                            <w:color w:val="000000" w:themeColor="text1"/>
                            <w:spacing w:val="-4"/>
                          </w:rPr>
                          <w:t>–</w:t>
                        </w:r>
                        <w:r w:rsidRPr="0063690C">
                          <w:rPr>
                            <w:spacing w:val="-4"/>
                          </w:rPr>
                          <w:t>63,9</w:t>
                        </w:r>
                        <w:r>
                          <w:rPr>
                            <w:spacing w:val="-4"/>
                          </w:rPr>
                          <w:t> %</w:t>
                        </w:r>
                        <w:r w:rsidRPr="0063690C">
                          <w:rPr>
                            <w:spacing w:val="-4"/>
                          </w:rPr>
                          <w:t>), skoro o</w:t>
                        </w:r>
                        <w:r>
                          <w:rPr>
                            <w:spacing w:val="-4"/>
                          </w:rPr>
                          <w:t xml:space="preserve"> čtvrtinu</w:t>
                        </w:r>
                        <w:r w:rsidRPr="0063690C">
                          <w:rPr>
                            <w:spacing w:val="-4"/>
                          </w:rPr>
                          <w:t xml:space="preserve"> se snížily i</w:t>
                        </w:r>
                        <w:r>
                          <w:rPr>
                            <w:spacing w:val="-4"/>
                          </w:rPr>
                          <w:t> </w:t>
                        </w:r>
                        <w:r w:rsidRPr="0063690C">
                          <w:rPr>
                            <w:spacing w:val="-4"/>
                          </w:rPr>
                          <w:t>tržby pracov</w:t>
                        </w:r>
                        <w:r>
                          <w:rPr>
                            <w:spacing w:val="-4"/>
                          </w:rPr>
                          <w:t>ním agenturám</w:t>
                        </w:r>
                        <w:r w:rsidRPr="0063690C">
                          <w:rPr>
                            <w:spacing w:val="-4"/>
                          </w:rPr>
                          <w:t>. Pokles o</w:t>
                        </w:r>
                        <w:r>
                          <w:rPr>
                            <w:spacing w:val="-4"/>
                          </w:rPr>
                          <w:t> </w:t>
                        </w:r>
                        <w:r w:rsidRPr="0063690C">
                          <w:rPr>
                            <w:spacing w:val="-4"/>
                          </w:rPr>
                          <w:t>bezmála desetinu zasáhl i</w:t>
                        </w:r>
                        <w:r>
                          <w:rPr>
                            <w:spacing w:val="-4"/>
                          </w:rPr>
                          <w:t> </w:t>
                        </w:r>
                        <w:r w:rsidRPr="0063690C">
                          <w:rPr>
                            <w:spacing w:val="-4"/>
                          </w:rPr>
                          <w:t>odvětví profesní, vědecké a</w:t>
                        </w:r>
                        <w:r>
                          <w:rPr>
                            <w:spacing w:val="-4"/>
                          </w:rPr>
                          <w:t> </w:t>
                        </w:r>
                        <w:r w:rsidRPr="0063690C">
                          <w:rPr>
                            <w:spacing w:val="-4"/>
                          </w:rPr>
                          <w:t>technické činnosti.</w:t>
                        </w:r>
                        <w:r w:rsidRPr="00281CBA">
                          <w:rPr>
                            <w:spacing w:val="-2"/>
                          </w:rPr>
                          <w:t xml:space="preserve"> </w:t>
                        </w:r>
                        <w:r>
                          <w:rPr>
                            <w:spacing w:val="-2"/>
                          </w:rPr>
                          <w:t>Negativní vliv měly hlavně</w:t>
                        </w:r>
                        <w:r w:rsidRPr="00281CBA">
                          <w:rPr>
                            <w:spacing w:val="-2"/>
                          </w:rPr>
                          <w:t xml:space="preserve"> </w:t>
                        </w:r>
                        <w:r>
                          <w:rPr>
                            <w:spacing w:val="-2"/>
                          </w:rPr>
                          <w:t>nižší výkony ostatních profesních a vědeckých činností (</w:t>
                        </w:r>
                        <w:r w:rsidRPr="00281CBA">
                          <w:rPr>
                            <w:color w:val="000000" w:themeColor="text1"/>
                            <w:spacing w:val="-2"/>
                          </w:rPr>
                          <w:t>–</w:t>
                        </w:r>
                        <w:r>
                          <w:rPr>
                            <w:spacing w:val="-2"/>
                          </w:rPr>
                          <w:t>13,0 %) a také architektonických i </w:t>
                        </w:r>
                        <w:r w:rsidRPr="00281CBA">
                          <w:rPr>
                            <w:spacing w:val="-2"/>
                          </w:rPr>
                          <w:t>inženýrských činností (</w:t>
                        </w:r>
                        <w:r w:rsidRPr="00281CBA">
                          <w:rPr>
                            <w:color w:val="000000" w:themeColor="text1"/>
                            <w:spacing w:val="-2"/>
                          </w:rPr>
                          <w:t>–</w:t>
                        </w:r>
                        <w:r>
                          <w:rPr>
                            <w:spacing w:val="-2"/>
                          </w:rPr>
                          <w:t>8,1 %</w:t>
                        </w:r>
                        <w:r w:rsidRPr="00281CBA">
                          <w:rPr>
                            <w:spacing w:val="-2"/>
                          </w:rPr>
                          <w:t>)</w:t>
                        </w:r>
                        <w:r>
                          <w:rPr>
                            <w:spacing w:val="-2"/>
                          </w:rPr>
                          <w:t>, poptávka ale klesala ve všech dílčích oborech, vč. dlouhodobě rostoucího průzkumu trhu a veřejného mínění. Nejméně dotčeny zůstaly p</w:t>
                        </w:r>
                        <w:r w:rsidRPr="00F63ADE">
                          <w:rPr>
                            <w:spacing w:val="-2"/>
                          </w:rPr>
                          <w:t>rávní a</w:t>
                        </w:r>
                        <w:r>
                          <w:rPr>
                            <w:spacing w:val="-2"/>
                          </w:rPr>
                          <w:t> </w:t>
                        </w:r>
                        <w:r w:rsidRPr="00F63ADE">
                          <w:rPr>
                            <w:spacing w:val="-2"/>
                          </w:rPr>
                          <w:t>účetnické činnosti</w:t>
                        </w:r>
                        <w:r>
                          <w:rPr>
                            <w:spacing w:val="-2"/>
                          </w:rPr>
                          <w:t xml:space="preserve">. Mírný pokles byl zaznamenán i v odvětví činnosti v oblasti nemovitostí </w:t>
                        </w:r>
                        <w:r w:rsidRPr="00281CBA">
                          <w:rPr>
                            <w:spacing w:val="-2"/>
                          </w:rPr>
                          <w:t>(</w:t>
                        </w:r>
                        <w:r w:rsidRPr="00281CBA">
                          <w:rPr>
                            <w:color w:val="000000" w:themeColor="text1"/>
                            <w:spacing w:val="-2"/>
                          </w:rPr>
                          <w:t>–</w:t>
                        </w:r>
                        <w:r>
                          <w:rPr>
                            <w:spacing w:val="-2"/>
                          </w:rPr>
                          <w:t>1,3 %</w:t>
                        </w:r>
                        <w:r w:rsidRPr="00281CBA">
                          <w:rPr>
                            <w:spacing w:val="-2"/>
                          </w:rPr>
                          <w:t>)</w:t>
                        </w:r>
                        <w:r>
                          <w:rPr>
                            <w:spacing w:val="-2"/>
                          </w:rPr>
                          <w:t>.</w:t>
                        </w:r>
                      </w:p>
                    </w:tc>
                  </w:tr>
                  <w:tr w:rsidR="004A0D0E" w:rsidRPr="000E298B" w14:paraId="59A32F50" w14:textId="77777777" w:rsidTr="0026300B">
                    <w:trPr>
                      <w:trHeight w:val="80"/>
                    </w:trPr>
                    <w:tc>
                      <w:tcPr>
                        <w:tcW w:w="1723" w:type="dxa"/>
                        <w:shd w:val="clear" w:color="auto" w:fill="auto"/>
                        <w:tcMar>
                          <w:left w:w="0" w:type="dxa"/>
                        </w:tcMar>
                      </w:tcPr>
                      <w:p w14:paraId="12D7C8B0" w14:textId="77777777" w:rsidR="004A0D0E" w:rsidRDefault="004A0D0E" w:rsidP="004A0D0E">
                        <w:pPr>
                          <w:pStyle w:val="Marginlie"/>
                          <w:rPr>
                            <w:color w:val="0D0D0D" w:themeColor="text1" w:themeTint="F2"/>
                            <w:spacing w:val="-4"/>
                          </w:rPr>
                        </w:pPr>
                        <w:r>
                          <w:rPr>
                            <w:color w:val="0D0D0D" w:themeColor="text1" w:themeTint="F2"/>
                            <w:spacing w:val="-4"/>
                          </w:rPr>
                          <w:lastRenderedPageBreak/>
                          <w:t>Růst maloobchodních tržeb se vlivem restriktivních opatření i zhoršení spotřebitelské důvěry zastavil. Na konci 2. čtvrtletí ale došlo k mírnému oživení.</w:t>
                        </w:r>
                      </w:p>
                    </w:tc>
                    <w:tc>
                      <w:tcPr>
                        <w:tcW w:w="191" w:type="dxa"/>
                        <w:shd w:val="clear" w:color="auto" w:fill="auto"/>
                        <w:tcMar>
                          <w:left w:w="0" w:type="dxa"/>
                        </w:tcMar>
                      </w:tcPr>
                      <w:p w14:paraId="7B3AB1AB"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15BEF3FF" w14:textId="77777777" w:rsidR="004A0D0E" w:rsidRPr="00DB613B" w:rsidRDefault="004A0D0E" w:rsidP="004A0D0E">
                        <w:pPr>
                          <w:spacing w:after="220"/>
                          <w:rPr>
                            <w:rFonts w:cs="Arial"/>
                            <w:szCs w:val="20"/>
                          </w:rPr>
                        </w:pPr>
                        <w:r w:rsidRPr="00DB613B">
                          <w:rPr>
                            <w:rFonts w:cs="Arial"/>
                            <w:szCs w:val="20"/>
                          </w:rPr>
                          <w:t>Maloobchodních tržby</w:t>
                        </w:r>
                        <w:r w:rsidRPr="00DB613B">
                          <w:rPr>
                            <w:rStyle w:val="Znakapoznpodarou"/>
                          </w:rPr>
                          <w:footnoteReference w:id="29"/>
                        </w:r>
                        <w:r>
                          <w:rPr>
                            <w:rFonts w:cs="Arial"/>
                            <w:szCs w:val="20"/>
                          </w:rPr>
                          <w:t xml:space="preserve"> během 1. čtvrtletí 2020 klesly o 2,3 % (šlo o první mezikvartální pokles od konce roku 2013). Obdobné tempo se zopakovalo i v následujícím období. Tyto výsledky byly zásadně ovlivněny protipandemickými opatřeními, která limitovala nákupní možnosti obyvatel zejména v březnu a dubnu</w:t>
                        </w:r>
                        <w:r w:rsidRPr="00DB613B">
                          <w:rPr>
                            <w:rStyle w:val="Znakapoznpodarou"/>
                          </w:rPr>
                          <w:footnoteReference w:id="30"/>
                        </w:r>
                        <w:r>
                          <w:rPr>
                            <w:rFonts w:cs="Arial"/>
                            <w:szCs w:val="20"/>
                          </w:rPr>
                          <w:t>. I později se celé odvětví potýkalo se stále oslabenou poptávkou ze strany nerezidentů a nákupní apetit tuzemských domácností byl tlumen zhoršující se spotřebitelskou důvěrou, razantním snížením nominálních průměrných mezd i zvyšujícími se obavami domácností z růstu cen i nezaměstnanosti. I přesto došlo k obnovení dosud křehkého meziročního růstu tržeb v květnu (+0,7 %) i červenci (+1,9 %).</w:t>
                        </w:r>
                      </w:p>
                    </w:tc>
                  </w:tr>
                  <w:tr w:rsidR="004A0D0E" w:rsidRPr="000E298B" w14:paraId="2F85A738" w14:textId="77777777" w:rsidTr="0026300B">
                    <w:trPr>
                      <w:trHeight w:val="80"/>
                    </w:trPr>
                    <w:tc>
                      <w:tcPr>
                        <w:tcW w:w="1723" w:type="dxa"/>
                        <w:shd w:val="clear" w:color="auto" w:fill="auto"/>
                        <w:tcMar>
                          <w:left w:w="0" w:type="dxa"/>
                        </w:tcMar>
                      </w:tcPr>
                      <w:p w14:paraId="645AFA4F" w14:textId="77777777" w:rsidR="004A0D0E" w:rsidRDefault="004A0D0E" w:rsidP="004A0D0E">
                        <w:pPr>
                          <w:pStyle w:val="Marginlie"/>
                          <w:rPr>
                            <w:color w:val="0D0D0D" w:themeColor="text1" w:themeTint="F2"/>
                            <w:spacing w:val="-4"/>
                          </w:rPr>
                        </w:pPr>
                        <w:r>
                          <w:rPr>
                            <w:color w:val="0D0D0D" w:themeColor="text1" w:themeTint="F2"/>
                            <w:spacing w:val="-4"/>
                          </w:rPr>
                          <w:t>Pokles maloobchodu byl v 1. pololetí tažen zejména významnou redukcí tržeb z prodeje pohonných hmot.</w:t>
                        </w:r>
                      </w:p>
                      <w:p w14:paraId="11419845" w14:textId="77777777" w:rsidR="004A0D0E" w:rsidRDefault="004A0D0E" w:rsidP="004A0D0E">
                        <w:pPr>
                          <w:pStyle w:val="Marginlie"/>
                          <w:rPr>
                            <w:color w:val="0D0D0D" w:themeColor="text1" w:themeTint="F2"/>
                            <w:spacing w:val="-4"/>
                          </w:rPr>
                        </w:pPr>
                      </w:p>
                      <w:p w14:paraId="1C7B544D" w14:textId="77777777" w:rsidR="004A0D0E" w:rsidRDefault="004A0D0E" w:rsidP="004A0D0E">
                        <w:pPr>
                          <w:pStyle w:val="Marginlie"/>
                          <w:rPr>
                            <w:color w:val="0D0D0D" w:themeColor="text1" w:themeTint="F2"/>
                            <w:spacing w:val="-4"/>
                          </w:rPr>
                        </w:pPr>
                      </w:p>
                      <w:p w14:paraId="425DE185" w14:textId="77777777" w:rsidR="004A0D0E" w:rsidRDefault="004A0D0E" w:rsidP="004A0D0E">
                        <w:pPr>
                          <w:pStyle w:val="Marginlie"/>
                          <w:rPr>
                            <w:color w:val="0D0D0D" w:themeColor="text1" w:themeTint="F2"/>
                            <w:spacing w:val="-4"/>
                          </w:rPr>
                        </w:pPr>
                      </w:p>
                      <w:p w14:paraId="26A17319" w14:textId="77777777" w:rsidR="004A0D0E" w:rsidRDefault="004A0D0E" w:rsidP="004A0D0E">
                        <w:pPr>
                          <w:pStyle w:val="Marginlie"/>
                          <w:rPr>
                            <w:color w:val="0D0D0D" w:themeColor="text1" w:themeTint="F2"/>
                            <w:spacing w:val="-4"/>
                          </w:rPr>
                        </w:pPr>
                      </w:p>
                      <w:p w14:paraId="1AC96060" w14:textId="77777777" w:rsidR="004A0D0E" w:rsidRDefault="004A0D0E" w:rsidP="004A0D0E">
                        <w:pPr>
                          <w:pStyle w:val="Marginlie"/>
                          <w:rPr>
                            <w:color w:val="0D0D0D" w:themeColor="text1" w:themeTint="F2"/>
                            <w:spacing w:val="-4"/>
                          </w:rPr>
                        </w:pPr>
                      </w:p>
                      <w:p w14:paraId="3A82F1A2" w14:textId="77777777" w:rsidR="004A0D0E" w:rsidRDefault="004A0D0E" w:rsidP="004A0D0E">
                        <w:pPr>
                          <w:pStyle w:val="Marginlie"/>
                          <w:rPr>
                            <w:color w:val="0D0D0D" w:themeColor="text1" w:themeTint="F2"/>
                            <w:spacing w:val="-4"/>
                          </w:rPr>
                        </w:pPr>
                      </w:p>
                      <w:p w14:paraId="4C7C9484" w14:textId="77777777" w:rsidR="004A0D0E" w:rsidRDefault="004A0D0E" w:rsidP="004A0D0E">
                        <w:pPr>
                          <w:pStyle w:val="Marginlie"/>
                          <w:rPr>
                            <w:color w:val="0D0D0D" w:themeColor="text1" w:themeTint="F2"/>
                            <w:spacing w:val="-4"/>
                          </w:rPr>
                        </w:pPr>
                      </w:p>
                      <w:p w14:paraId="625A5C6D" w14:textId="77777777" w:rsidR="004A0D0E" w:rsidRDefault="004A0D0E" w:rsidP="004A0D0E">
                        <w:pPr>
                          <w:pStyle w:val="Marginlie"/>
                          <w:rPr>
                            <w:color w:val="0D0D0D" w:themeColor="text1" w:themeTint="F2"/>
                            <w:spacing w:val="-4"/>
                          </w:rPr>
                        </w:pPr>
                        <w:r>
                          <w:rPr>
                            <w:color w:val="0D0D0D" w:themeColor="text1" w:themeTint="F2"/>
                            <w:spacing w:val="-4"/>
                          </w:rPr>
                          <w:t>Růstová dynamika internetových prodejů dále sílila.</w:t>
                        </w:r>
                      </w:p>
                    </w:tc>
                    <w:tc>
                      <w:tcPr>
                        <w:tcW w:w="191" w:type="dxa"/>
                        <w:shd w:val="clear" w:color="auto" w:fill="auto"/>
                        <w:tcMar>
                          <w:left w:w="0" w:type="dxa"/>
                        </w:tcMar>
                      </w:tcPr>
                      <w:p w14:paraId="3F989E96"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5D08A3ED" w14:textId="77777777" w:rsidR="004A0D0E" w:rsidRPr="00DB613B" w:rsidRDefault="004A0D0E" w:rsidP="004A0D0E">
                        <w:pPr>
                          <w:spacing w:after="220"/>
                          <w:rPr>
                            <w:rFonts w:cs="Arial"/>
                            <w:szCs w:val="20"/>
                          </w:rPr>
                        </w:pPr>
                        <w:r>
                          <w:rPr>
                            <w:rFonts w:cs="Arial"/>
                            <w:szCs w:val="20"/>
                          </w:rPr>
                          <w:t xml:space="preserve">Za 1. pololetí 2020 se maloobchodní tržby meziročně snížily o 1,7 %. K tomuto poklesu přispěly nejvíce tržby za prodej pohonných hmot (PHM). Ty se snížily téměř o osminu a v pololetní kumulaci zaznamenaly první pokles od konce roku 2013. Přestože ve 2. čtvrtletí došlo k citelnému snížení spotřebitelských cen PHM, důležitějším faktorem se ukázal být znatelný pokles tranzitní dopravy i slabší pravidelná dojížďka do zaměstnání (v důsledku rozšíření práce z domova). Tržby za prodej nepotravinářského zboží se snížily jen mírně (o 0,3 %). Vývoj v jednotlivých </w:t>
                        </w:r>
                        <w:r w:rsidRPr="000208FE">
                          <w:rPr>
                            <w:rFonts w:cs="Arial"/>
                            <w:szCs w:val="20"/>
                          </w:rPr>
                          <w:t>specializovaných prodejnách</w:t>
                        </w:r>
                        <w:r>
                          <w:rPr>
                            <w:rFonts w:cs="Arial"/>
                            <w:szCs w:val="20"/>
                          </w:rPr>
                          <w:t xml:space="preserve"> byl ale odlišný. Zatímco prodeje oděvů, obuvi a koženého zboží či výrobků</w:t>
                        </w:r>
                        <w:r w:rsidRPr="000208FE">
                          <w:rPr>
                            <w:rFonts w:cs="Arial"/>
                            <w:szCs w:val="20"/>
                          </w:rPr>
                          <w:t xml:space="preserve"> pro kulturu a</w:t>
                        </w:r>
                        <w:r>
                          <w:rPr>
                            <w:rFonts w:cs="Arial"/>
                            <w:szCs w:val="20"/>
                          </w:rPr>
                          <w:t> </w:t>
                        </w:r>
                        <w:r w:rsidRPr="000208FE">
                          <w:rPr>
                            <w:rFonts w:cs="Arial"/>
                            <w:szCs w:val="20"/>
                          </w:rPr>
                          <w:t xml:space="preserve">rekreaci </w:t>
                        </w:r>
                        <w:r>
                          <w:rPr>
                            <w:rFonts w:cs="Arial"/>
                            <w:szCs w:val="20"/>
                          </w:rPr>
                          <w:t>zaznamenaly dvouciferný pokles, poptávka po počítačových i komunikačních zařízeních, f</w:t>
                        </w:r>
                        <w:r w:rsidRPr="006875C8">
                          <w:rPr>
                            <w:rFonts w:cs="Arial"/>
                            <w:szCs w:val="20"/>
                          </w:rPr>
                          <w:t>armaceu</w:t>
                        </w:r>
                        <w:r>
                          <w:rPr>
                            <w:rFonts w:cs="Arial"/>
                            <w:szCs w:val="20"/>
                          </w:rPr>
                          <w:t xml:space="preserve">tickém, zdravotnickém a drogistickém zboží či po výrobcích pro domácnost mírně rostla. Klíčový byl ale sílící růst prodejů </w:t>
                        </w:r>
                        <w:r w:rsidRPr="004B68B4">
                          <w:rPr>
                            <w:rFonts w:cs="Arial"/>
                            <w:szCs w:val="20"/>
                          </w:rPr>
                          <w:t>prostřednictvím internetu nebo zásilkové služby</w:t>
                        </w:r>
                        <w:r>
                          <w:rPr>
                            <w:rFonts w:cs="Arial"/>
                            <w:szCs w:val="20"/>
                          </w:rPr>
                          <w:t xml:space="preserve"> (+28,4 %, z toho ve 2. čtvrtletí +37,8 %). Tržby za prodej potravin v 1. pololetí klesly o 0,3 %. K mírnému poklesu zde zásadně přispěly slabší tržby ve specializovaných prodejnách (</w:t>
                        </w:r>
                        <w:r w:rsidRPr="00281CBA">
                          <w:rPr>
                            <w:color w:val="000000" w:themeColor="text1"/>
                            <w:spacing w:val="-2"/>
                          </w:rPr>
                          <w:t>–</w:t>
                        </w:r>
                        <w:r>
                          <w:rPr>
                            <w:rFonts w:cs="Arial"/>
                            <w:szCs w:val="20"/>
                          </w:rPr>
                          <w:t>13,6 %). Výrazný útlum, který svou hloubkou přesáhl propad z roku 2009, postihl letos motoristický segment obchodu (</w:t>
                        </w:r>
                        <w:r w:rsidRPr="00281CBA">
                          <w:rPr>
                            <w:color w:val="000000" w:themeColor="text1"/>
                            <w:spacing w:val="-2"/>
                          </w:rPr>
                          <w:t>–</w:t>
                        </w:r>
                        <w:r>
                          <w:rPr>
                            <w:rFonts w:cs="Arial"/>
                            <w:szCs w:val="20"/>
                          </w:rPr>
                          <w:t>22,6 %).</w:t>
                        </w:r>
                      </w:p>
                    </w:tc>
                  </w:tr>
                  <w:tr w:rsidR="004A0D0E" w:rsidRPr="000E298B" w14:paraId="129CBCAC" w14:textId="77777777" w:rsidTr="0026300B">
                    <w:trPr>
                      <w:trHeight w:val="80"/>
                    </w:trPr>
                    <w:tc>
                      <w:tcPr>
                        <w:tcW w:w="1723" w:type="dxa"/>
                        <w:shd w:val="clear" w:color="auto" w:fill="auto"/>
                        <w:tcMar>
                          <w:left w:w="0" w:type="dxa"/>
                        </w:tcMar>
                      </w:tcPr>
                      <w:p w14:paraId="356CED4E" w14:textId="77777777" w:rsidR="004A0D0E" w:rsidRPr="003A0ED0" w:rsidRDefault="004A0D0E" w:rsidP="004A0D0E">
                        <w:pPr>
                          <w:pStyle w:val="Marginlie"/>
                          <w:rPr>
                            <w:color w:val="0D0D0D" w:themeColor="text1" w:themeTint="F2"/>
                          </w:rPr>
                        </w:pPr>
                        <w:r w:rsidRPr="003A0ED0">
                          <w:rPr>
                            <w:color w:val="0D0D0D" w:themeColor="text1" w:themeTint="F2"/>
                          </w:rPr>
                          <w:t>Maloobchodní tržby v 1. pololetí klesly v EU dvojnásobným tempem než v ČR.</w:t>
                        </w:r>
                      </w:p>
                    </w:tc>
                    <w:tc>
                      <w:tcPr>
                        <w:tcW w:w="191" w:type="dxa"/>
                        <w:shd w:val="clear" w:color="auto" w:fill="auto"/>
                        <w:tcMar>
                          <w:left w:w="0" w:type="dxa"/>
                        </w:tcMar>
                      </w:tcPr>
                      <w:p w14:paraId="2ED89AA2"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46B115C3" w14:textId="77777777" w:rsidR="004A0D0E" w:rsidRPr="00DB613B" w:rsidRDefault="004A0D0E" w:rsidP="004A0D0E">
                        <w:pPr>
                          <w:spacing w:after="220"/>
                          <w:rPr>
                            <w:rFonts w:cs="Arial"/>
                            <w:szCs w:val="20"/>
                          </w:rPr>
                        </w:pPr>
                        <w:r>
                          <w:rPr>
                            <w:rFonts w:cs="Arial"/>
                            <w:szCs w:val="20"/>
                          </w:rPr>
                          <w:t>V 1. pololetí klesly maloobchodní tržby v EU meziročně o 3,5 %, tedy více jak dvojnásobným tempem oproti ČR. O více než desetinu se tržby propadly v Itálii, Španělsku a Bulharsku, silně klesly také např. ve Slovinsku (o 9,5 %). Naopak růst zaznamenali v deseti státech, nejvyšší ve Finsku (+3,7 %), dále v Německu (+1,9 %) a Nizozemsku (+1,7 %). Slabý růst se vyskytl rovněž např. v Polsku či Maďarsku.</w:t>
                        </w:r>
                      </w:p>
                    </w:tc>
                  </w:tr>
                </w:tbl>
                <w:p w14:paraId="21FEDC5E" w14:textId="77777777" w:rsidR="004A0D0E" w:rsidRPr="0085334C" w:rsidRDefault="004A0D0E" w:rsidP="004A0D0E">
                  <w:pPr>
                    <w:pStyle w:val="Marginlie"/>
                    <w:rPr>
                      <w:color w:val="0D0D0D" w:themeColor="text1" w:themeTint="F2"/>
                      <w:spacing w:val="-4"/>
                      <w:highlight w:val="yellow"/>
                    </w:rPr>
                  </w:pPr>
                </w:p>
              </w:tc>
              <w:tc>
                <w:tcPr>
                  <w:tcW w:w="6" w:type="dxa"/>
                  <w:shd w:val="clear" w:color="auto" w:fill="auto"/>
                  <w:tcMar>
                    <w:left w:w="0" w:type="dxa"/>
                  </w:tcMar>
                </w:tcPr>
                <w:p w14:paraId="4958B95F" w14:textId="77777777" w:rsidR="004A0D0E" w:rsidRPr="0085334C" w:rsidRDefault="004A0D0E" w:rsidP="004A0D0E">
                  <w:pPr>
                    <w:pStyle w:val="Textpoznpodarou"/>
                    <w:jc w:val="both"/>
                    <w:rPr>
                      <w:spacing w:val="-4"/>
                      <w:highlight w:val="yellow"/>
                    </w:rPr>
                  </w:pPr>
                </w:p>
              </w:tc>
              <w:tc>
                <w:tcPr>
                  <w:tcW w:w="6" w:type="dxa"/>
                  <w:shd w:val="clear" w:color="auto" w:fill="auto"/>
                  <w:tcMar>
                    <w:left w:w="0" w:type="dxa"/>
                  </w:tcMar>
                </w:tcPr>
                <w:p w14:paraId="6BCC4654" w14:textId="77777777" w:rsidR="004A0D0E" w:rsidRPr="0085334C" w:rsidRDefault="004A0D0E" w:rsidP="004A0D0E">
                  <w:pPr>
                    <w:spacing w:after="0"/>
                    <w:rPr>
                      <w:rFonts w:cs="Arial"/>
                      <w:szCs w:val="20"/>
                      <w:highlight w:val="yellow"/>
                    </w:rPr>
                  </w:pPr>
                </w:p>
              </w:tc>
            </w:tr>
          </w:tbl>
          <w:p w14:paraId="6A9571F0" w14:textId="77777777" w:rsidR="004A0D0E" w:rsidRPr="00C35A2A" w:rsidRDefault="004A0D0E" w:rsidP="004A0D0E">
            <w:pPr>
              <w:pStyle w:val="Nadpis11"/>
              <w:rPr>
                <w:sz w:val="2"/>
                <w:szCs w:val="2"/>
              </w:rPr>
            </w:pPr>
          </w:p>
          <w:p w14:paraId="0240E6A6" w14:textId="77777777" w:rsidR="004A0D0E" w:rsidRPr="00C35A2A" w:rsidRDefault="004A0D0E" w:rsidP="004A0D0E">
            <w:pPr>
              <w:pStyle w:val="Nadpis11"/>
              <w:rPr>
                <w:sz w:val="2"/>
                <w:szCs w:val="2"/>
              </w:rPr>
            </w:pPr>
          </w:p>
          <w:p w14:paraId="7FCD3F3D" w14:textId="67413BE3" w:rsidR="0002669F" w:rsidRPr="0085334C" w:rsidRDefault="0002669F" w:rsidP="0002669F">
            <w:pPr>
              <w:pStyle w:val="Marginlie"/>
              <w:rPr>
                <w:color w:val="0D0D0D" w:themeColor="text1" w:themeTint="F2"/>
                <w:spacing w:val="-4"/>
                <w:highlight w:val="yellow"/>
              </w:rPr>
            </w:pPr>
          </w:p>
        </w:tc>
        <w:tc>
          <w:tcPr>
            <w:tcW w:w="200" w:type="dxa"/>
            <w:shd w:val="clear" w:color="auto" w:fill="auto"/>
            <w:tcMar>
              <w:left w:w="0" w:type="dxa"/>
            </w:tcMar>
          </w:tcPr>
          <w:p w14:paraId="00000B90" w14:textId="77777777" w:rsidR="0002669F" w:rsidRPr="0085334C" w:rsidRDefault="0002669F" w:rsidP="0002669F">
            <w:pPr>
              <w:pStyle w:val="Textpoznpodarou"/>
              <w:jc w:val="both"/>
              <w:rPr>
                <w:spacing w:val="-4"/>
                <w:highlight w:val="yellow"/>
              </w:rPr>
            </w:pPr>
          </w:p>
        </w:tc>
        <w:tc>
          <w:tcPr>
            <w:tcW w:w="7700" w:type="dxa"/>
            <w:shd w:val="clear" w:color="auto" w:fill="auto"/>
            <w:tcMar>
              <w:left w:w="0" w:type="dxa"/>
            </w:tcMar>
          </w:tcPr>
          <w:p w14:paraId="1CC8454B" w14:textId="549B5CBA" w:rsidR="0002669F" w:rsidRPr="0085334C" w:rsidRDefault="0002669F" w:rsidP="0002669F">
            <w:pPr>
              <w:spacing w:after="0"/>
              <w:rPr>
                <w:rFonts w:cs="Arial"/>
                <w:szCs w:val="20"/>
                <w:highlight w:val="yellow"/>
              </w:rPr>
            </w:pPr>
          </w:p>
        </w:tc>
      </w:tr>
    </w:tbl>
    <w:p w14:paraId="74F2F8DA" w14:textId="77777777" w:rsidR="006E761A" w:rsidRPr="0085334C" w:rsidRDefault="006E761A" w:rsidP="006E761A">
      <w:pPr>
        <w:pStyle w:val="Nadpis11"/>
        <w:rPr>
          <w:sz w:val="20"/>
          <w:szCs w:val="20"/>
          <w:highlight w:val="yellow"/>
        </w:rPr>
      </w:pPr>
    </w:p>
    <w:bookmarkEnd w:id="4"/>
    <w:p w14:paraId="1C649B4E" w14:textId="77777777" w:rsidR="00AA4790" w:rsidRPr="0085334C" w:rsidRDefault="00AA4790" w:rsidP="00AA4790">
      <w:pPr>
        <w:pStyle w:val="Nadpis11"/>
        <w:rPr>
          <w:sz w:val="2"/>
          <w:szCs w:val="2"/>
          <w:highlight w:val="yellow"/>
        </w:rPr>
      </w:pPr>
    </w:p>
    <w:p w14:paraId="61B82263" w14:textId="77777777" w:rsidR="00A746C9" w:rsidRPr="0085334C" w:rsidRDefault="00A746C9">
      <w:pPr>
        <w:spacing w:after="0" w:line="240" w:lineRule="auto"/>
        <w:jc w:val="left"/>
        <w:rPr>
          <w:rFonts w:eastAsia="MS Gothic"/>
          <w:b/>
          <w:bCs/>
          <w:color w:val="71818C"/>
          <w:sz w:val="32"/>
          <w:szCs w:val="28"/>
          <w:highlight w:val="yellow"/>
        </w:rPr>
      </w:pPr>
      <w:bookmarkStart w:id="11" w:name="_Toc532558284"/>
      <w:bookmarkStart w:id="12" w:name="_Toc26539341"/>
      <w:r w:rsidRPr="0085334C">
        <w:rPr>
          <w:highlight w:val="yellow"/>
        </w:rPr>
        <w:br w:type="page"/>
      </w:r>
    </w:p>
    <w:p w14:paraId="77401C57" w14:textId="77777777" w:rsidR="00EF23B5" w:rsidRPr="00C35A2A" w:rsidRDefault="00EF23B5" w:rsidP="00EF23B5">
      <w:pPr>
        <w:pStyle w:val="Nadpis11"/>
        <w:rPr>
          <w:sz w:val="2"/>
          <w:szCs w:val="2"/>
        </w:rPr>
      </w:pPr>
      <w:bookmarkStart w:id="13" w:name="_Toc11237634"/>
    </w:p>
    <w:p w14:paraId="2AF04AC6" w14:textId="77777777" w:rsidR="008F509F" w:rsidRPr="00C35A2A" w:rsidRDefault="008F509F" w:rsidP="008F509F">
      <w:pPr>
        <w:pStyle w:val="Nadpis11"/>
        <w:rPr>
          <w:sz w:val="2"/>
          <w:szCs w:val="2"/>
        </w:rPr>
      </w:pPr>
    </w:p>
    <w:p w14:paraId="5F7169DD" w14:textId="77777777" w:rsidR="008F509F" w:rsidRPr="009110F7" w:rsidRDefault="008F509F" w:rsidP="008F509F">
      <w:pPr>
        <w:pStyle w:val="Nadpis11"/>
      </w:pPr>
      <w:bookmarkStart w:id="14" w:name="_Toc50712128"/>
      <w:r w:rsidRPr="009110F7">
        <w:t>4.</w:t>
      </w:r>
      <w:r>
        <w:t> </w:t>
      </w:r>
      <w:r w:rsidRPr="009110F7">
        <w:t>Vnější vztahy</w:t>
      </w:r>
      <w:bookmarkEnd w:id="14"/>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8F509F" w:rsidRPr="009110F7" w14:paraId="3961D7DD" w14:textId="77777777" w:rsidTr="003F1624">
        <w:trPr>
          <w:trHeight w:val="145"/>
        </w:trPr>
        <w:tc>
          <w:tcPr>
            <w:tcW w:w="1762" w:type="dxa"/>
            <w:shd w:val="clear" w:color="auto" w:fill="auto"/>
            <w:tcMar>
              <w:left w:w="0" w:type="dxa"/>
            </w:tcMar>
          </w:tcPr>
          <w:p w14:paraId="1CF73E9F" w14:textId="77777777" w:rsidR="008F509F" w:rsidRDefault="008F509F" w:rsidP="003F1624">
            <w:pPr>
              <w:pStyle w:val="Marginlie"/>
            </w:pPr>
            <w:r>
              <w:t>Ve 2. čtvrtletí došlo k velkému propadu hodnoty vývozu.</w:t>
            </w:r>
          </w:p>
        </w:tc>
        <w:tc>
          <w:tcPr>
            <w:tcW w:w="223" w:type="dxa"/>
            <w:shd w:val="clear" w:color="auto" w:fill="auto"/>
            <w:tcMar>
              <w:left w:w="0" w:type="dxa"/>
            </w:tcMar>
          </w:tcPr>
          <w:p w14:paraId="542A0C7D" w14:textId="77777777" w:rsidR="008F509F" w:rsidRDefault="008F509F" w:rsidP="003F1624">
            <w:pPr>
              <w:pStyle w:val="Textpoznpodarou"/>
              <w:jc w:val="both"/>
              <w:rPr>
                <w:spacing w:val="-4"/>
              </w:rPr>
            </w:pPr>
          </w:p>
        </w:tc>
        <w:tc>
          <w:tcPr>
            <w:tcW w:w="7654" w:type="dxa"/>
            <w:shd w:val="clear" w:color="auto" w:fill="auto"/>
            <w:tcMar>
              <w:left w:w="0" w:type="dxa"/>
            </w:tcMar>
          </w:tcPr>
          <w:p w14:paraId="6C2DF01F" w14:textId="0CA057BB" w:rsidR="008F509F" w:rsidRPr="00AF6F98" w:rsidRDefault="008F509F" w:rsidP="00ED781F">
            <w:pPr>
              <w:spacing w:after="200"/>
              <w:rPr>
                <w:spacing w:val="-4"/>
              </w:rPr>
            </w:pPr>
            <w:r>
              <w:rPr>
                <w:spacing w:val="-4"/>
              </w:rPr>
              <w:t>Celková hodnota vývozu zboží v 1. pololetí dosáhla 1 625,7 mld. korun. Export se</w:t>
            </w:r>
            <w:r w:rsidR="00ED781F">
              <w:rPr>
                <w:spacing w:val="-4"/>
              </w:rPr>
              <w:t xml:space="preserve"> meziročně</w:t>
            </w:r>
            <w:r>
              <w:rPr>
                <w:spacing w:val="-4"/>
              </w:rPr>
              <w:t xml:space="preserve"> propadl o 253,8 mld. korun (13,5 %). Jde o největší p</w:t>
            </w:r>
            <w:r w:rsidR="00ED781F">
              <w:rPr>
                <w:spacing w:val="-4"/>
              </w:rPr>
              <w:t xml:space="preserve">okles </w:t>
            </w:r>
            <w:r>
              <w:rPr>
                <w:spacing w:val="-4"/>
              </w:rPr>
              <w:t>v tomto období od roku</w:t>
            </w:r>
            <w:r w:rsidR="00ED781F">
              <w:rPr>
                <w:spacing w:val="-4"/>
              </w:rPr>
              <w:t xml:space="preserve"> </w:t>
            </w:r>
            <w:r>
              <w:rPr>
                <w:spacing w:val="-4"/>
              </w:rPr>
              <w:t>2009</w:t>
            </w:r>
            <w:r w:rsidR="00ED781F">
              <w:rPr>
                <w:spacing w:val="-4"/>
              </w:rPr>
              <w:t xml:space="preserve"> </w:t>
            </w:r>
            <w:r>
              <w:rPr>
                <w:spacing w:val="-4"/>
              </w:rPr>
              <w:t xml:space="preserve">(–198,1 mld., 16,6 %). V samotném 2. čtvrtletí hodnota exportu činila 733,0 mld. korun a meziročně poklesla o 215,1 mld. (22,7 %). Pokles prohloubilo i srovnání s 2. kvartálem 2019 – z pohledu </w:t>
            </w:r>
            <w:r w:rsidR="00ED781F">
              <w:rPr>
                <w:spacing w:val="-4"/>
              </w:rPr>
              <w:t>hodnoty</w:t>
            </w:r>
            <w:r>
              <w:rPr>
                <w:spacing w:val="-4"/>
              </w:rPr>
              <w:t xml:space="preserve"> vývozu šlo o nejúspěšnější zaznamenané čtvrtletí. Vývoj byl jednoznačně ovlivněn omezením společenského i ekonomického provozu v reakci na šíření koronaviru. Počátek opatření lze datovat do poloviny března (</w:t>
            </w:r>
            <w:r w:rsidR="00ED781F">
              <w:rPr>
                <w:spacing w:val="-4"/>
              </w:rPr>
              <w:t xml:space="preserve">meziroční </w:t>
            </w:r>
            <w:r>
              <w:rPr>
                <w:spacing w:val="-4"/>
              </w:rPr>
              <w:t>propad vývozu o 11,</w:t>
            </w:r>
            <w:r w:rsidR="00ED781F">
              <w:rPr>
                <w:spacing w:val="-4"/>
              </w:rPr>
              <w:t>5</w:t>
            </w:r>
            <w:r>
              <w:rPr>
                <w:spacing w:val="-4"/>
              </w:rPr>
              <w:t> %), kdy také omezily nebo dočasně uzavřely provoz některé velké exportní podniky. Plně zasažen byl zejména duben a květen (meziroční propady o 3</w:t>
            </w:r>
            <w:r w:rsidR="00ED781F">
              <w:rPr>
                <w:spacing w:val="-4"/>
              </w:rPr>
              <w:t>8,1</w:t>
            </w:r>
            <w:r>
              <w:rPr>
                <w:spacing w:val="-4"/>
              </w:rPr>
              <w:t> % a </w:t>
            </w:r>
            <w:r w:rsidR="00ED781F">
              <w:rPr>
                <w:spacing w:val="-4"/>
              </w:rPr>
              <w:t>29,0</w:t>
            </w:r>
            <w:r>
              <w:rPr>
                <w:spacing w:val="-4"/>
              </w:rPr>
              <w:t xml:space="preserve"> %), v červnu již export </w:t>
            </w:r>
            <w:r w:rsidR="00ED781F">
              <w:rPr>
                <w:spacing w:val="-4"/>
              </w:rPr>
              <w:t>mírně</w:t>
            </w:r>
            <w:r>
              <w:rPr>
                <w:spacing w:val="-4"/>
              </w:rPr>
              <w:t xml:space="preserve"> vzrostl (0,3 %).</w:t>
            </w:r>
          </w:p>
        </w:tc>
      </w:tr>
      <w:tr w:rsidR="008F509F" w:rsidRPr="009110F7" w14:paraId="3FE371AD" w14:textId="77777777" w:rsidTr="003F1624">
        <w:trPr>
          <w:trHeight w:val="145"/>
        </w:trPr>
        <w:tc>
          <w:tcPr>
            <w:tcW w:w="1762" w:type="dxa"/>
            <w:shd w:val="clear" w:color="auto" w:fill="auto"/>
            <w:tcMar>
              <w:left w:w="0" w:type="dxa"/>
            </w:tcMar>
          </w:tcPr>
          <w:p w14:paraId="79A303D6" w14:textId="77777777" w:rsidR="008F509F" w:rsidRDefault="008F509F" w:rsidP="003F1624">
            <w:pPr>
              <w:pStyle w:val="Marginlie"/>
            </w:pPr>
            <w:r>
              <w:t>Pokles se týkal téměř všech důležitých vývozních destinací.</w:t>
            </w:r>
          </w:p>
        </w:tc>
        <w:tc>
          <w:tcPr>
            <w:tcW w:w="223" w:type="dxa"/>
            <w:shd w:val="clear" w:color="auto" w:fill="auto"/>
            <w:tcMar>
              <w:left w:w="0" w:type="dxa"/>
            </w:tcMar>
          </w:tcPr>
          <w:p w14:paraId="7DD71EAD" w14:textId="77777777" w:rsidR="008F509F" w:rsidRDefault="008F509F" w:rsidP="003F1624">
            <w:pPr>
              <w:pStyle w:val="Textpoznpodarou"/>
              <w:jc w:val="both"/>
              <w:rPr>
                <w:spacing w:val="-4"/>
              </w:rPr>
            </w:pPr>
          </w:p>
        </w:tc>
        <w:tc>
          <w:tcPr>
            <w:tcW w:w="7654" w:type="dxa"/>
            <w:shd w:val="clear" w:color="auto" w:fill="auto"/>
            <w:tcMar>
              <w:left w:w="0" w:type="dxa"/>
            </w:tcMar>
          </w:tcPr>
          <w:p w14:paraId="40C0CF74" w14:textId="77777777" w:rsidR="008F509F" w:rsidRPr="00AF6F98" w:rsidRDefault="008F509F" w:rsidP="003F1624">
            <w:pPr>
              <w:spacing w:after="200"/>
              <w:rPr>
                <w:spacing w:val="-4"/>
              </w:rPr>
            </w:pPr>
            <w:r>
              <w:rPr>
                <w:spacing w:val="-4"/>
              </w:rPr>
              <w:t>Propad vývozu byl plošný a dotkl se téměř všech hlavních exportních destinací. Vývoz do EU se v 1. pololetí propadl o 210,5 mld. korun (14,0 %) a mimo EU pokles činil 42,6 mld. (11,4 %). Většina z uvedeného poklesu ale připadla na 2. čtvrtletí (vývoz do EU –176,0 mld. korun, mimo EU –38,5 mld.). Ve 2. kvartálu se nejvíce propadl export do Německa</w:t>
            </w:r>
            <w:r>
              <w:rPr>
                <w:spacing w:val="-4"/>
              </w:rPr>
              <w:br/>
              <w:t>(–65,1 mld. korun, –21,9 %), Francie (–18,1 mld., –37,2 %) a na Slovensko (–15,8 mld.,</w:t>
            </w:r>
            <w:r>
              <w:rPr>
                <w:spacing w:val="-4"/>
              </w:rPr>
              <w:br/>
              <w:t>–18,7 %). Silné poklesy zaznamenali také vývozci do Španělska (–14,8 mld., –43,9 %), Polska (–13,4 mld., –22,8 %) a Itálie (–10,0 mld., –27,6 %). V případě mimounijních zemí je markantní hlavně propad hodnoty exportu do Velké Británie (–11,8 mld. korun, –33,5 %). Zde trvá série poklesů s několika výjimkami již od 3. čtvrtletí 2016 a poslední propad jen prohloubil existující trend</w:t>
            </w:r>
            <w:r>
              <w:rPr>
                <w:rStyle w:val="Znakapoznpodarou"/>
                <w:spacing w:val="-4"/>
              </w:rPr>
              <w:footnoteReference w:id="31"/>
            </w:r>
            <w:r>
              <w:rPr>
                <w:spacing w:val="-4"/>
              </w:rPr>
              <w:t>.</w:t>
            </w:r>
          </w:p>
        </w:tc>
      </w:tr>
      <w:tr w:rsidR="008F509F" w:rsidRPr="009110F7" w14:paraId="1E272FE7" w14:textId="77777777" w:rsidTr="003F1624">
        <w:trPr>
          <w:trHeight w:val="170"/>
        </w:trPr>
        <w:tc>
          <w:tcPr>
            <w:tcW w:w="1762" w:type="dxa"/>
            <w:shd w:val="clear" w:color="auto" w:fill="auto"/>
            <w:tcMar>
              <w:left w:w="0" w:type="dxa"/>
            </w:tcMar>
          </w:tcPr>
          <w:p w14:paraId="138CE034" w14:textId="77777777" w:rsidR="008F509F" w:rsidRDefault="008F509F" w:rsidP="003F1624">
            <w:pPr>
              <w:pStyle w:val="Marginlie"/>
            </w:pPr>
            <w:r>
              <w:t>Nejsilněji byl zasažen obchod s motorovými vozidly.</w:t>
            </w:r>
          </w:p>
        </w:tc>
        <w:tc>
          <w:tcPr>
            <w:tcW w:w="223" w:type="dxa"/>
            <w:shd w:val="clear" w:color="auto" w:fill="auto"/>
            <w:tcMar>
              <w:left w:w="0" w:type="dxa"/>
            </w:tcMar>
          </w:tcPr>
          <w:p w14:paraId="1E81E304" w14:textId="77777777" w:rsidR="008F509F" w:rsidRDefault="008F509F" w:rsidP="003F1624">
            <w:pPr>
              <w:pStyle w:val="Textpoznpodarou"/>
              <w:jc w:val="both"/>
              <w:rPr>
                <w:spacing w:val="-4"/>
              </w:rPr>
            </w:pPr>
          </w:p>
        </w:tc>
        <w:tc>
          <w:tcPr>
            <w:tcW w:w="7654" w:type="dxa"/>
            <w:shd w:val="clear" w:color="auto" w:fill="auto"/>
            <w:tcMar>
              <w:left w:w="0" w:type="dxa"/>
            </w:tcMar>
          </w:tcPr>
          <w:p w14:paraId="77EEC5CD" w14:textId="77777777" w:rsidR="008F509F" w:rsidRPr="00AF6F98" w:rsidRDefault="008F509F" w:rsidP="003F1624">
            <w:pPr>
              <w:spacing w:after="200"/>
              <w:rPr>
                <w:spacing w:val="-4"/>
              </w:rPr>
            </w:pPr>
            <w:r>
              <w:rPr>
                <w:spacing w:val="-4"/>
              </w:rPr>
              <w:t>Ve 2. čtvrtletí nejvýrazněji klesal vývoz artiklů, které jsou pro českou ekonomiku klíčové, a nejvíce zasaženým oborem byla výroba motorových vozidel. Hodnota exportu motorových vozidel se ve 2. čtvrtletí meziročně snížila o 117,0 mld. korun (43,6 %). Druhý nejsilnější propad se týkal strojů a zařízení (–23,1 mld. korun, –21,9 %). Klesal i export v oborech navázaných na výrobu motorových vozidel – elektrická zařízení (–14,8 mld. korun, –19,1 %) a pryžové a plastové výrobky (–12,0 mld., –23,8 %). Další silné propady byly zaznamenány u kovodělných výrobků (–10,3 mld., –17,4 %), základních kovů</w:t>
            </w:r>
            <w:r>
              <w:rPr>
                <w:spacing w:val="-4"/>
              </w:rPr>
              <w:br/>
              <w:t>(–8,1 mld., –21,8 %), chemických látek a přípravků (–7,1 mld., –16,1 %).</w:t>
            </w:r>
          </w:p>
        </w:tc>
      </w:tr>
      <w:tr w:rsidR="008F509F" w:rsidRPr="009110F7" w14:paraId="6C56F934" w14:textId="77777777" w:rsidTr="003F1624">
        <w:trPr>
          <w:trHeight w:val="145"/>
        </w:trPr>
        <w:tc>
          <w:tcPr>
            <w:tcW w:w="1762" w:type="dxa"/>
            <w:shd w:val="clear" w:color="auto" w:fill="auto"/>
            <w:tcMar>
              <w:left w:w="0" w:type="dxa"/>
            </w:tcMar>
          </w:tcPr>
          <w:p w14:paraId="60657015" w14:textId="77777777" w:rsidR="008F509F" w:rsidRDefault="008F509F" w:rsidP="003F1624">
            <w:pPr>
              <w:pStyle w:val="Marginlie"/>
            </w:pPr>
            <w:r>
              <w:t>Dovoz se také propadl. Kromě omezení ekonomické aktivity byl patrný vliv propadu cen ropy a zemního plynu.</w:t>
            </w:r>
          </w:p>
        </w:tc>
        <w:tc>
          <w:tcPr>
            <w:tcW w:w="223" w:type="dxa"/>
            <w:shd w:val="clear" w:color="auto" w:fill="auto"/>
            <w:tcMar>
              <w:left w:w="0" w:type="dxa"/>
            </w:tcMar>
          </w:tcPr>
          <w:p w14:paraId="2E89B431" w14:textId="77777777" w:rsidR="008F509F" w:rsidRDefault="008F509F" w:rsidP="003F1624">
            <w:pPr>
              <w:pStyle w:val="Textpoznpodarou"/>
              <w:jc w:val="both"/>
              <w:rPr>
                <w:spacing w:val="-4"/>
              </w:rPr>
            </w:pPr>
          </w:p>
        </w:tc>
        <w:tc>
          <w:tcPr>
            <w:tcW w:w="7654" w:type="dxa"/>
            <w:shd w:val="clear" w:color="auto" w:fill="auto"/>
            <w:tcMar>
              <w:left w:w="0" w:type="dxa"/>
            </w:tcMar>
          </w:tcPr>
          <w:p w14:paraId="73D2781D" w14:textId="1E47C806" w:rsidR="008F509F" w:rsidRPr="00AF6F98" w:rsidRDefault="008F509F" w:rsidP="003F1624">
            <w:pPr>
              <w:rPr>
                <w:spacing w:val="-4"/>
              </w:rPr>
            </w:pPr>
            <w:r>
              <w:rPr>
                <w:spacing w:val="-4"/>
              </w:rPr>
              <w:t>Hodnota dovozu zboží v 1. pololetí rovněž meziročně klesla, a to o 200,4 mld. korun</w:t>
            </w:r>
            <w:r>
              <w:rPr>
                <w:spacing w:val="-4"/>
              </w:rPr>
              <w:br/>
              <w:t>(–11,3 %) na 1 574,0 mld. Z toho ve 2. kvartálu došlo k propadu o 169,5 mld. korun</w:t>
            </w:r>
            <w:r>
              <w:rPr>
                <w:spacing w:val="-4"/>
              </w:rPr>
              <w:br/>
              <w:t>(–19,0 %). Výsledná hodnota importu tak činila 721,6 mld. Ve 2. čtvrtletí výrazněji meziročně klesal dovoz z EU (–143,5 mld. korun, –24,6 %) než ze zemí mimo EU</w:t>
            </w:r>
            <w:r>
              <w:rPr>
                <w:spacing w:val="-4"/>
              </w:rPr>
              <w:br/>
              <w:t>(–24,2 mld., –8,0 %). Nejvíce se propadl dovoz z Německa (–64,7 mld., –28,1 %), dále z Ruska (–15,7 mld., –57,0 %, propad hodnoty byl posílen i </w:t>
            </w:r>
            <w:r w:rsidR="00ED781F">
              <w:rPr>
                <w:spacing w:val="-4"/>
              </w:rPr>
              <w:t xml:space="preserve">meziročním </w:t>
            </w:r>
            <w:r>
              <w:rPr>
                <w:spacing w:val="-4"/>
              </w:rPr>
              <w:t>poklesem cen ropy a zemního plynu) a Polska (–16,7 mld., –21,8 %). K příznivějším výsledkům importu ze zemí mimo EU přispěl výrazný nárůst dovozu z Číny (20,9 mld. korun, 24,2 %). Jde o největší přírůstek od roku 2010.</w:t>
            </w:r>
          </w:p>
        </w:tc>
      </w:tr>
      <w:tr w:rsidR="008F509F" w:rsidRPr="009110F7" w14:paraId="17905E97" w14:textId="77777777" w:rsidTr="003F1624">
        <w:trPr>
          <w:trHeight w:val="145"/>
        </w:trPr>
        <w:tc>
          <w:tcPr>
            <w:tcW w:w="1762" w:type="dxa"/>
            <w:shd w:val="clear" w:color="auto" w:fill="auto"/>
            <w:tcMar>
              <w:left w:w="0" w:type="dxa"/>
            </w:tcMar>
          </w:tcPr>
          <w:p w14:paraId="5FA325B7" w14:textId="77777777" w:rsidR="008F509F" w:rsidRDefault="008F509F" w:rsidP="003F1624">
            <w:pPr>
              <w:pStyle w:val="Marginlie"/>
            </w:pPr>
            <w:r>
              <w:t>I na straně dovozu nejvíce klesala hodnota obchodu s motorovými vozidly.</w:t>
            </w:r>
          </w:p>
        </w:tc>
        <w:tc>
          <w:tcPr>
            <w:tcW w:w="223" w:type="dxa"/>
            <w:shd w:val="clear" w:color="auto" w:fill="auto"/>
            <w:tcMar>
              <w:left w:w="0" w:type="dxa"/>
            </w:tcMar>
          </w:tcPr>
          <w:p w14:paraId="10EAD7FE" w14:textId="77777777" w:rsidR="008F509F" w:rsidRDefault="008F509F" w:rsidP="003F1624">
            <w:pPr>
              <w:pStyle w:val="Textpoznpodarou"/>
              <w:jc w:val="both"/>
              <w:rPr>
                <w:spacing w:val="-4"/>
              </w:rPr>
            </w:pPr>
          </w:p>
        </w:tc>
        <w:tc>
          <w:tcPr>
            <w:tcW w:w="7654" w:type="dxa"/>
            <w:shd w:val="clear" w:color="auto" w:fill="auto"/>
            <w:tcMar>
              <w:left w:w="0" w:type="dxa"/>
            </w:tcMar>
          </w:tcPr>
          <w:p w14:paraId="1C6CDE14" w14:textId="663953A6" w:rsidR="008F509F" w:rsidRDefault="008F509F" w:rsidP="00ED781F">
            <w:pPr>
              <w:rPr>
                <w:spacing w:val="-4"/>
              </w:rPr>
            </w:pPr>
            <w:r>
              <w:rPr>
                <w:spacing w:val="-4"/>
              </w:rPr>
              <w:t>Vývoj dovozu i vývozu byl z hlediska věcné struktury v mnoha rysech podobný. Nejvíce se ve 2. čtvrtletí propadla hodnota dovozu motorových vozidel (–67,4 mld. korun, –45,4 %). Velmi silné poklesy byly dále zaznamenány u strojů a zařízení (–20,7 mld. korun, –22,8 %), ropy a zemního plynu (–20,</w:t>
            </w:r>
            <w:r w:rsidR="00ED781F">
              <w:rPr>
                <w:spacing w:val="-4"/>
              </w:rPr>
              <w:t>8</w:t>
            </w:r>
            <w:r>
              <w:rPr>
                <w:spacing w:val="-4"/>
              </w:rPr>
              <w:t> mld., –6</w:t>
            </w:r>
            <w:r w:rsidR="00ED781F">
              <w:rPr>
                <w:spacing w:val="-4"/>
              </w:rPr>
              <w:t>3,0</w:t>
            </w:r>
            <w:r>
              <w:rPr>
                <w:spacing w:val="-4"/>
              </w:rPr>
              <w:t> %, zejména vlivem propadu cen) a základních kovů (–</w:t>
            </w:r>
            <w:r w:rsidR="00ED781F">
              <w:rPr>
                <w:spacing w:val="-4"/>
              </w:rPr>
              <w:t>19,5</w:t>
            </w:r>
            <w:r>
              <w:rPr>
                <w:spacing w:val="-4"/>
              </w:rPr>
              <w:t xml:space="preserve"> mld., –28,0 %). Již několik čtvrtletí trvající pokles hodnoty importu chemických látek a přípravků se dále prohloubil na 13,8 mld. korun (–19,2 %). Nejvýraznější nárůst hodnoty dovozu od 3. čtvrtletí 2018 naopak proběhl u počítačů, elektronických a optických přístrojů (15,0 mld. korun, 16,5 %). Sérii silných nárůstů trvající od prosince 2019 zde </w:t>
            </w:r>
            <w:r>
              <w:rPr>
                <w:spacing w:val="-4"/>
              </w:rPr>
              <w:lastRenderedPageBreak/>
              <w:t>přerušil jen březen. Mimořádně vysoký přírůstek měl rovněž dovoz textilií (3,7 mld. korun, 27,6 %). Nejvíce zde dovoz rostl v dubnu a květnu.</w:t>
            </w:r>
          </w:p>
        </w:tc>
      </w:tr>
      <w:tr w:rsidR="008F509F" w:rsidRPr="009110F7" w14:paraId="3CA2D2BF" w14:textId="77777777" w:rsidTr="003F1624">
        <w:trPr>
          <w:trHeight w:val="145"/>
        </w:trPr>
        <w:tc>
          <w:tcPr>
            <w:tcW w:w="1762" w:type="dxa"/>
            <w:shd w:val="clear" w:color="auto" w:fill="auto"/>
            <w:tcMar>
              <w:left w:w="0" w:type="dxa"/>
            </w:tcMar>
          </w:tcPr>
          <w:p w14:paraId="1889789C" w14:textId="77777777" w:rsidR="008F509F" w:rsidRDefault="008F509F" w:rsidP="003F1624">
            <w:pPr>
              <w:pStyle w:val="Marginlie"/>
            </w:pPr>
            <w:r>
              <w:lastRenderedPageBreak/>
              <w:t>Bilance zahraničního obchodu se výrazně zhoršila, především u obchodu se státy EU.</w:t>
            </w:r>
          </w:p>
        </w:tc>
        <w:tc>
          <w:tcPr>
            <w:tcW w:w="223" w:type="dxa"/>
            <w:shd w:val="clear" w:color="auto" w:fill="auto"/>
            <w:tcMar>
              <w:left w:w="0" w:type="dxa"/>
            </w:tcMar>
          </w:tcPr>
          <w:p w14:paraId="6CE4C386" w14:textId="77777777" w:rsidR="008F509F" w:rsidRDefault="008F509F" w:rsidP="003F1624">
            <w:pPr>
              <w:pStyle w:val="Textpoznpodarou"/>
              <w:jc w:val="both"/>
              <w:rPr>
                <w:spacing w:val="-4"/>
              </w:rPr>
            </w:pPr>
          </w:p>
        </w:tc>
        <w:tc>
          <w:tcPr>
            <w:tcW w:w="7654" w:type="dxa"/>
            <w:shd w:val="clear" w:color="auto" w:fill="auto"/>
            <w:tcMar>
              <w:left w:w="0" w:type="dxa"/>
            </w:tcMar>
          </w:tcPr>
          <w:p w14:paraId="1F2DD721" w14:textId="64B9C16F" w:rsidR="008F509F" w:rsidRPr="00AF6F98" w:rsidRDefault="008F509F" w:rsidP="00ED781F">
            <w:pPr>
              <w:rPr>
                <w:spacing w:val="-4"/>
              </w:rPr>
            </w:pPr>
            <w:r>
              <w:rPr>
                <w:spacing w:val="-4"/>
              </w:rPr>
              <w:t>Výraznější propad hodnoty exportu nad importem vedl i ke zhoršení bilance zahraničního obchodu se zbožím. Ta v 1. pololetí dosáhla přebytku 51,7 mld. korun. Ve srovnání se stejným obdobím předchozího roku ale došlo k redukci kladného salda o více než polovinu (53,5 mld. korun). Přebytek ve 2. čtvrtletí dosáhl 11,4 mld. korun a meziročně se snížil o 45,6 mld. Ve směru zhoršení bilance ve 2. čtvrtletí nejvíce působil obchod s Čínou (prohloubení deficitu o 21,6 mld. korun), Španělskem (pokles přebytku o 9,9 mld.) a Velkou Británií (zhoršení přebytku o 9,1 mld.). Výrazné bylo i snížení kladného salda obchodu s Francií (–8,7 mld. korun), Slovenskem (–6,3 mld.) a Maďarskem (–3,5 mld.). K meziročnímu zlepšení bilance došlo u obchodu s Ruskem (+12,2 mld. korun, i díky poklesu cen ropy a zemního plynu skončil</w:t>
            </w:r>
            <w:r w:rsidR="00ED781F">
              <w:rPr>
                <w:spacing w:val="-4"/>
              </w:rPr>
              <w:t>a bilance</w:t>
            </w:r>
            <w:r>
              <w:rPr>
                <w:spacing w:val="-4"/>
              </w:rPr>
              <w:t xml:space="preserve"> netypicky v přebytku 6,3 mld.). Ve směru zlepšení salda dále výrazněji působil obchod s Polskem (+3,3 mld. korun), Japonskem (+2,9 mld.) a Nizozemskem (+2,6 mld.).</w:t>
            </w:r>
          </w:p>
        </w:tc>
      </w:tr>
      <w:tr w:rsidR="008F509F" w:rsidRPr="009110F7" w14:paraId="605096E2" w14:textId="77777777" w:rsidTr="003F1624">
        <w:trPr>
          <w:trHeight w:val="145"/>
        </w:trPr>
        <w:tc>
          <w:tcPr>
            <w:tcW w:w="1762" w:type="dxa"/>
            <w:shd w:val="clear" w:color="auto" w:fill="auto"/>
            <w:tcMar>
              <w:left w:w="0" w:type="dxa"/>
            </w:tcMar>
          </w:tcPr>
          <w:p w14:paraId="4D7BC759" w14:textId="77777777" w:rsidR="008F509F" w:rsidRDefault="008F509F" w:rsidP="003F1624">
            <w:pPr>
              <w:pStyle w:val="Marginlie"/>
            </w:pPr>
            <w:r>
              <w:t>Největší propad zaznamenal přebytek obchodu s motorovými vozidly.</w:t>
            </w:r>
          </w:p>
        </w:tc>
        <w:tc>
          <w:tcPr>
            <w:tcW w:w="223" w:type="dxa"/>
            <w:shd w:val="clear" w:color="auto" w:fill="auto"/>
            <w:tcMar>
              <w:left w:w="0" w:type="dxa"/>
            </w:tcMar>
          </w:tcPr>
          <w:p w14:paraId="209B72A2" w14:textId="77777777" w:rsidR="008F509F" w:rsidRDefault="008F509F" w:rsidP="003F1624">
            <w:pPr>
              <w:pStyle w:val="Textpoznpodarou"/>
              <w:jc w:val="both"/>
              <w:rPr>
                <w:spacing w:val="-4"/>
              </w:rPr>
            </w:pPr>
          </w:p>
        </w:tc>
        <w:tc>
          <w:tcPr>
            <w:tcW w:w="7654" w:type="dxa"/>
            <w:shd w:val="clear" w:color="auto" w:fill="auto"/>
            <w:tcMar>
              <w:left w:w="0" w:type="dxa"/>
            </w:tcMar>
          </w:tcPr>
          <w:p w14:paraId="06896767" w14:textId="77777777" w:rsidR="008F509F" w:rsidRDefault="008F509F" w:rsidP="003F1624">
            <w:pPr>
              <w:rPr>
                <w:spacing w:val="-4"/>
              </w:rPr>
            </w:pPr>
            <w:r>
              <w:rPr>
                <w:spacing w:val="-4"/>
              </w:rPr>
              <w:t>Nejvíce k meziročnímu zhoršení bilance ve 2. čtvrtletí přispělo snížení přebytku obchodu s motorovými vozidly (–49,6 mld. korun), dále prohloubení deficitu u počítačů, elektronických a optických přístrojů (–16,6 mld.) a zhoršení přebytku u elektrických zařízení o 9,2 mld. Významné zhoršení bilance bylo zaznamenáno také u textilií (–4,8 mld.), pryžových a plastových výrobků (–4,0 mld. korun), ostatních dopravních prostředků</w:t>
            </w:r>
            <w:r>
              <w:rPr>
                <w:spacing w:val="-4"/>
              </w:rPr>
              <w:br/>
              <w:t>(–2,5 mld. korun) a strojů a zařízení (–2,4 mld.). Vliv cen stál naopak za významným zlepšením bilance obchodu s ropou a zemním plynem (+19,8 mld. korun) i základními kovy</w:t>
            </w:r>
            <w:r>
              <w:rPr>
                <w:spacing w:val="-4"/>
              </w:rPr>
              <w:br/>
              <w:t>(+11,4 mld.). Zmírnil se také deficit u chemických látek a přípravků (+6,7 mld. korun).</w:t>
            </w:r>
          </w:p>
        </w:tc>
      </w:tr>
      <w:tr w:rsidR="008F509F" w:rsidRPr="009110F7" w14:paraId="6DB43DEF" w14:textId="77777777" w:rsidTr="003F1624">
        <w:trPr>
          <w:trHeight w:val="106"/>
        </w:trPr>
        <w:tc>
          <w:tcPr>
            <w:tcW w:w="1762" w:type="dxa"/>
            <w:vMerge w:val="restart"/>
            <w:shd w:val="clear" w:color="auto" w:fill="auto"/>
            <w:tcMar>
              <w:left w:w="0" w:type="dxa"/>
            </w:tcMar>
          </w:tcPr>
          <w:p w14:paraId="0EB94C59" w14:textId="77777777" w:rsidR="008F509F" w:rsidRDefault="008F509F" w:rsidP="003F1624">
            <w:pPr>
              <w:pStyle w:val="Marginlie"/>
            </w:pPr>
          </w:p>
        </w:tc>
        <w:tc>
          <w:tcPr>
            <w:tcW w:w="223" w:type="dxa"/>
            <w:vMerge w:val="restart"/>
            <w:shd w:val="clear" w:color="auto" w:fill="auto"/>
            <w:tcMar>
              <w:left w:w="0" w:type="dxa"/>
            </w:tcMar>
          </w:tcPr>
          <w:p w14:paraId="75B2A98D" w14:textId="77777777" w:rsidR="008F509F" w:rsidRDefault="008F509F" w:rsidP="003F1624">
            <w:pPr>
              <w:pStyle w:val="Textpoznpodarou"/>
              <w:jc w:val="both"/>
              <w:rPr>
                <w:spacing w:val="-4"/>
              </w:rPr>
            </w:pPr>
          </w:p>
        </w:tc>
        <w:tc>
          <w:tcPr>
            <w:tcW w:w="7654" w:type="dxa"/>
            <w:shd w:val="clear" w:color="auto" w:fill="auto"/>
            <w:tcMar>
              <w:left w:w="0" w:type="dxa"/>
            </w:tcMar>
          </w:tcPr>
          <w:p w14:paraId="621F8167" w14:textId="77777777" w:rsidR="008F509F" w:rsidRPr="00D75AC1" w:rsidRDefault="008F509F" w:rsidP="003F1624">
            <w:pPr>
              <w:spacing w:after="0"/>
              <w:rPr>
                <w:spacing w:val="-4"/>
                <w:szCs w:val="20"/>
              </w:rPr>
            </w:pPr>
            <w:r w:rsidRPr="00D75AC1">
              <w:rPr>
                <w:rFonts w:cs="Arial"/>
                <w:b/>
                <w:bCs/>
                <w:color w:val="000000"/>
                <w:szCs w:val="20"/>
              </w:rPr>
              <w:t>Graf č.</w:t>
            </w:r>
            <w:r>
              <w:rPr>
                <w:rFonts w:cs="Arial"/>
                <w:b/>
                <w:bCs/>
                <w:color w:val="000000"/>
                <w:szCs w:val="20"/>
              </w:rPr>
              <w:t> </w:t>
            </w:r>
            <w:r w:rsidRPr="00D75AC1">
              <w:rPr>
                <w:rFonts w:cs="Arial"/>
                <w:b/>
                <w:bCs/>
                <w:color w:val="000000"/>
                <w:szCs w:val="20"/>
              </w:rPr>
              <w:t>9</w:t>
            </w:r>
            <w:r>
              <w:rPr>
                <w:rFonts w:cs="Arial"/>
                <w:b/>
                <w:bCs/>
                <w:color w:val="000000"/>
                <w:szCs w:val="20"/>
              </w:rPr>
              <w:t xml:space="preserve">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(kumulace 1. </w:t>
            </w:r>
            <w:r>
              <w:rPr>
                <w:spacing w:val="-4"/>
                <w:szCs w:val="20"/>
              </w:rPr>
              <w:t>pololetí</w:t>
            </w:r>
            <w:r w:rsidRPr="00D75AC1">
              <w:rPr>
                <w:spacing w:val="-4"/>
                <w:szCs w:val="20"/>
              </w:rPr>
              <w:t>, v mld.</w:t>
            </w:r>
            <w:r>
              <w:rPr>
                <w:spacing w:val="-4"/>
                <w:szCs w:val="20"/>
              </w:rPr>
              <w:t xml:space="preserve"> </w:t>
            </w:r>
            <w:r w:rsidRPr="00D75AC1">
              <w:rPr>
                <w:spacing w:val="-4"/>
                <w:szCs w:val="20"/>
              </w:rPr>
              <w:t>korun, vybrané oddíly klasifikace CPA)</w:t>
            </w:r>
          </w:p>
        </w:tc>
      </w:tr>
      <w:tr w:rsidR="008F509F" w:rsidRPr="009110F7" w14:paraId="5022C51D" w14:textId="77777777" w:rsidTr="003F1624">
        <w:tblPrEx>
          <w:tblCellMar>
            <w:left w:w="70" w:type="dxa"/>
            <w:right w:w="70" w:type="dxa"/>
          </w:tblCellMar>
        </w:tblPrEx>
        <w:trPr>
          <w:trHeight w:val="106"/>
        </w:trPr>
        <w:tc>
          <w:tcPr>
            <w:tcW w:w="1762" w:type="dxa"/>
            <w:vMerge/>
            <w:shd w:val="clear" w:color="auto" w:fill="auto"/>
          </w:tcPr>
          <w:p w14:paraId="36B8DAC8" w14:textId="77777777" w:rsidR="008F509F" w:rsidRDefault="008F509F" w:rsidP="003F1624">
            <w:pPr>
              <w:pStyle w:val="Marginlie"/>
            </w:pPr>
          </w:p>
        </w:tc>
        <w:tc>
          <w:tcPr>
            <w:tcW w:w="223" w:type="dxa"/>
            <w:vMerge/>
            <w:shd w:val="clear" w:color="auto" w:fill="auto"/>
          </w:tcPr>
          <w:p w14:paraId="6CAE064B" w14:textId="77777777" w:rsidR="008F509F" w:rsidRDefault="008F509F" w:rsidP="003F1624">
            <w:pPr>
              <w:pStyle w:val="Textpoznpodarou"/>
              <w:jc w:val="both"/>
              <w:rPr>
                <w:spacing w:val="-4"/>
              </w:rPr>
            </w:pPr>
          </w:p>
        </w:tc>
        <w:tc>
          <w:tcPr>
            <w:tcW w:w="7654" w:type="dxa"/>
            <w:shd w:val="clear" w:color="auto" w:fill="auto"/>
          </w:tcPr>
          <w:p w14:paraId="6B344AB4" w14:textId="77777777" w:rsidR="008F509F" w:rsidRPr="00AF6F98" w:rsidRDefault="008F509F" w:rsidP="003F1624">
            <w:pPr>
              <w:spacing w:after="0"/>
              <w:rPr>
                <w:spacing w:val="-4"/>
              </w:rPr>
            </w:pPr>
            <w:r>
              <w:rPr>
                <w:noProof/>
              </w:rPr>
              <w:drawing>
                <wp:inline distT="0" distB="0" distL="0" distR="0" wp14:anchorId="13B30EA9" wp14:editId="57463419">
                  <wp:extent cx="4715023" cy="3426200"/>
                  <wp:effectExtent l="0" t="0" r="0" b="3175"/>
                  <wp:docPr id="15" name="Graf 1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F509F" w:rsidRPr="009110F7" w14:paraId="50F3AB4C" w14:textId="77777777" w:rsidTr="003F1624">
        <w:trPr>
          <w:trHeight w:val="106"/>
        </w:trPr>
        <w:tc>
          <w:tcPr>
            <w:tcW w:w="1762" w:type="dxa"/>
            <w:vMerge/>
            <w:shd w:val="clear" w:color="auto" w:fill="auto"/>
            <w:tcMar>
              <w:left w:w="0" w:type="dxa"/>
            </w:tcMar>
          </w:tcPr>
          <w:p w14:paraId="60F0CEC3" w14:textId="77777777" w:rsidR="008F509F" w:rsidRDefault="008F509F" w:rsidP="003F1624">
            <w:pPr>
              <w:pStyle w:val="Marginlie"/>
            </w:pPr>
          </w:p>
        </w:tc>
        <w:tc>
          <w:tcPr>
            <w:tcW w:w="223" w:type="dxa"/>
            <w:vMerge/>
            <w:shd w:val="clear" w:color="auto" w:fill="auto"/>
            <w:tcMar>
              <w:left w:w="0" w:type="dxa"/>
            </w:tcMar>
          </w:tcPr>
          <w:p w14:paraId="1138F7E4" w14:textId="77777777" w:rsidR="008F509F" w:rsidRDefault="008F509F" w:rsidP="003F1624">
            <w:pPr>
              <w:pStyle w:val="Textpoznpodarou"/>
              <w:jc w:val="both"/>
              <w:rPr>
                <w:spacing w:val="-4"/>
              </w:rPr>
            </w:pPr>
          </w:p>
        </w:tc>
        <w:tc>
          <w:tcPr>
            <w:tcW w:w="7654" w:type="dxa"/>
            <w:shd w:val="clear" w:color="auto" w:fill="auto"/>
            <w:tcMar>
              <w:left w:w="0" w:type="dxa"/>
            </w:tcMar>
          </w:tcPr>
          <w:p w14:paraId="518AB2A1" w14:textId="77777777" w:rsidR="008F509F" w:rsidRPr="00AF6F98" w:rsidRDefault="008F509F" w:rsidP="003F1624">
            <w:pPr>
              <w:spacing w:after="0"/>
              <w:rPr>
                <w:spacing w:val="-4"/>
              </w:rPr>
            </w:pPr>
            <w:r>
              <w:rPr>
                <w:sz w:val="14"/>
                <w:szCs w:val="14"/>
              </w:rPr>
              <w:t>Zdroj: ČSÚ</w:t>
            </w:r>
          </w:p>
        </w:tc>
      </w:tr>
    </w:tbl>
    <w:p w14:paraId="2EFF5029" w14:textId="77777777" w:rsidR="008F509F" w:rsidRPr="00C41D54" w:rsidRDefault="008F509F" w:rsidP="008F509F">
      <w:pPr>
        <w:pStyle w:val="Nadpis11"/>
        <w:rPr>
          <w:b w:val="0"/>
          <w:sz w:val="2"/>
          <w:szCs w:val="2"/>
          <w:highlight w:val="yellow"/>
        </w:rPr>
      </w:pPr>
    </w:p>
    <w:p w14:paraId="5C2789AF" w14:textId="77777777" w:rsidR="00295E96" w:rsidRDefault="00295E96" w:rsidP="00295E96">
      <w:pPr>
        <w:pStyle w:val="Nadpis11"/>
      </w:pPr>
      <w:bookmarkStart w:id="15" w:name="_Toc511215218"/>
      <w:bookmarkStart w:id="16" w:name="_Toc37403644"/>
      <w:bookmarkStart w:id="17" w:name="_Toc19090678"/>
      <w:bookmarkStart w:id="18" w:name="_Toc26539342"/>
      <w:bookmarkStart w:id="19" w:name="_Toc532558287"/>
      <w:bookmarkStart w:id="20" w:name="_Toc50712129"/>
      <w:bookmarkEnd w:id="11"/>
      <w:bookmarkEnd w:id="12"/>
      <w:bookmarkEnd w:id="13"/>
      <w:bookmarkEnd w:id="15"/>
      <w:r>
        <w:t>5. Ceny</w:t>
      </w:r>
      <w:bookmarkEnd w:id="16"/>
      <w:bookmarkEnd w:id="17"/>
      <w:bookmarkEnd w:id="20"/>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295E96" w14:paraId="1849DB63" w14:textId="77777777" w:rsidTr="003F1624">
        <w:trPr>
          <w:trHeight w:val="145"/>
        </w:trPr>
        <w:tc>
          <w:tcPr>
            <w:tcW w:w="1805" w:type="dxa"/>
            <w:hideMark/>
          </w:tcPr>
          <w:p w14:paraId="73D9F82E" w14:textId="77777777" w:rsidR="00295E96" w:rsidRDefault="00295E96" w:rsidP="003F1624">
            <w:pPr>
              <w:pStyle w:val="Marginlie"/>
              <w:rPr>
                <w:spacing w:val="0"/>
                <w:lang w:eastAsia="en-US"/>
              </w:rPr>
            </w:pPr>
            <w:r>
              <w:rPr>
                <w:spacing w:val="0"/>
                <w:lang w:eastAsia="en-US"/>
              </w:rPr>
              <w:t>Meziroční růst cenové hladiny ve 2. čtvrtletí posílil.</w:t>
            </w:r>
          </w:p>
        </w:tc>
        <w:tc>
          <w:tcPr>
            <w:tcW w:w="224" w:type="dxa"/>
          </w:tcPr>
          <w:p w14:paraId="0C12F559" w14:textId="77777777" w:rsidR="00295E96" w:rsidRDefault="00295E96" w:rsidP="003F1624">
            <w:pPr>
              <w:pStyle w:val="Textpoznpodarou1"/>
              <w:jc w:val="both"/>
              <w:rPr>
                <w:lang w:eastAsia="en-US"/>
              </w:rPr>
            </w:pPr>
          </w:p>
        </w:tc>
        <w:tc>
          <w:tcPr>
            <w:tcW w:w="7610" w:type="dxa"/>
            <w:hideMark/>
          </w:tcPr>
          <w:p w14:paraId="4E5B1BE4" w14:textId="77777777" w:rsidR="00295E96" w:rsidRDefault="00295E96" w:rsidP="003F1624">
            <w:pPr>
              <w:rPr>
                <w:szCs w:val="20"/>
                <w:lang w:eastAsia="en-US"/>
              </w:rPr>
            </w:pPr>
            <w:r>
              <w:rPr>
                <w:szCs w:val="20"/>
                <w:lang w:eastAsia="en-US"/>
              </w:rPr>
              <w:t>Meziroční růst cenové hladiny</w:t>
            </w:r>
            <w:r>
              <w:rPr>
                <w:rStyle w:val="Znakapoznpodarou"/>
                <w:szCs w:val="20"/>
                <w:lang w:eastAsia="en-US"/>
              </w:rPr>
              <w:footnoteReference w:id="32"/>
            </w:r>
            <w:r>
              <w:rPr>
                <w:szCs w:val="20"/>
                <w:lang w:eastAsia="en-US"/>
              </w:rPr>
              <w:t xml:space="preserve"> ve 2. čtvrtletí zrychlil na 4,2 %. Jde o nejvyšší přírůstek od 1. čtvrtletí 2009. Ve srovnání s 1. čtvrtletím meziroční dynamika posílila. Cenová hladina u spotřebních statků vzrostla o 3,3 %, což je méně než v 1. kvartálu. Zvolnilo tempo u statků spotřebovávaných domácnostmi i vládním sektorem. Ceny kapitálových statků ve 2. čtvrtletí meziročně rostly o 1,9 % a pokračoval tak propad tempa patrný již v předchozím čtvrtletí. Oslabení cenového růstu u domácích výdajových položek kompenzovalo výrazné zvýšení směnných relací. Ty ve 2. čtvrtletí činily 102,1 %, nejvíce od 4. čtvrtletí 2009. Kladné byly směnné relace u obchodu se zbožím (102,1 %) i službami (101,8 %).</w:t>
            </w:r>
          </w:p>
        </w:tc>
      </w:tr>
      <w:tr w:rsidR="00295E96" w14:paraId="265A9150" w14:textId="77777777" w:rsidTr="003F1624">
        <w:trPr>
          <w:trHeight w:val="145"/>
        </w:trPr>
        <w:tc>
          <w:tcPr>
            <w:tcW w:w="1805" w:type="dxa"/>
            <w:hideMark/>
          </w:tcPr>
          <w:p w14:paraId="64722B78" w14:textId="77777777" w:rsidR="00295E96" w:rsidRDefault="00295E96" w:rsidP="003F1624">
            <w:pPr>
              <w:pStyle w:val="Marginlie"/>
              <w:rPr>
                <w:spacing w:val="0"/>
                <w:lang w:eastAsia="en-US"/>
              </w:rPr>
            </w:pPr>
            <w:r>
              <w:rPr>
                <w:spacing w:val="0"/>
                <w:lang w:eastAsia="en-US"/>
              </w:rPr>
              <w:t>Meziroční růst spotřebitelských cen ve 2. čtvrtletí mírně zpomalil.</w:t>
            </w:r>
          </w:p>
        </w:tc>
        <w:tc>
          <w:tcPr>
            <w:tcW w:w="224" w:type="dxa"/>
          </w:tcPr>
          <w:p w14:paraId="0AFA97E1" w14:textId="77777777" w:rsidR="00295E96" w:rsidRDefault="00295E96" w:rsidP="003F1624">
            <w:pPr>
              <w:pStyle w:val="Textpoznpodarou1"/>
              <w:jc w:val="both"/>
              <w:rPr>
                <w:highlight w:val="yellow"/>
                <w:lang w:eastAsia="en-US"/>
              </w:rPr>
            </w:pPr>
          </w:p>
        </w:tc>
        <w:tc>
          <w:tcPr>
            <w:tcW w:w="7610" w:type="dxa"/>
            <w:hideMark/>
          </w:tcPr>
          <w:p w14:paraId="4AA13AD3" w14:textId="77777777" w:rsidR="00295E96" w:rsidRDefault="00295E96" w:rsidP="003F1624">
            <w:pPr>
              <w:rPr>
                <w:lang w:eastAsia="en-US"/>
              </w:rPr>
            </w:pPr>
            <w:r>
              <w:rPr>
                <w:lang w:eastAsia="en-US"/>
              </w:rPr>
              <w:t>Celkový meziroční nárůst spotřebitelských cen za 1. pololetí činil 3,4 %. Meziroční dynamika indexu spotřebitelských cen ve 2. čtvrtletí mírně zvolnila a dosáhla 3,1 %. Na meziročním srovnání se projevoval zejména silný lednový meziměsíční přírůstek (1,5 %). Následně meziměsíční dynamika zvolnila, ale meziroční nárůsty se držely nad 3% úrovní. V březnu i dubnu došlo k mírnému meziměsíčnímu poklesu, ale květen i červen přinesly zrychlení. Ve směru meziročního růstu cen ve 2. čtvrtletí nejvíce působily potraviny a nealkoholické nápoje a dále bydlení a energie. Výrazně posílil příspěvek alkoholických nápojů a tabáku (v květnu a červnu došlo k jejich prudkému meziměsíčnímu i meziročnímu zvýšení). Naopak ve směru poklesu působily ceny dopravy.</w:t>
            </w:r>
          </w:p>
        </w:tc>
      </w:tr>
      <w:tr w:rsidR="00295E96" w14:paraId="17E4A025" w14:textId="77777777" w:rsidTr="003F1624">
        <w:trPr>
          <w:trHeight w:val="145"/>
        </w:trPr>
        <w:tc>
          <w:tcPr>
            <w:tcW w:w="1805" w:type="dxa"/>
            <w:hideMark/>
          </w:tcPr>
          <w:p w14:paraId="7B8569AC" w14:textId="77777777" w:rsidR="00295E96" w:rsidRDefault="00295E96" w:rsidP="003F1624">
            <w:pPr>
              <w:pStyle w:val="Marginlie"/>
              <w:rPr>
                <w:spacing w:val="0"/>
                <w:lang w:eastAsia="en-US"/>
              </w:rPr>
            </w:pPr>
            <w:r>
              <w:rPr>
                <w:spacing w:val="0"/>
                <w:lang w:eastAsia="en-US"/>
              </w:rPr>
              <w:t>Nejvíce k růstu přispívaly potraviny a nealkoholické nápoje.</w:t>
            </w:r>
          </w:p>
        </w:tc>
        <w:tc>
          <w:tcPr>
            <w:tcW w:w="224" w:type="dxa"/>
          </w:tcPr>
          <w:p w14:paraId="4833F3DB" w14:textId="77777777" w:rsidR="00295E96" w:rsidRDefault="00295E96" w:rsidP="003F1624">
            <w:pPr>
              <w:pStyle w:val="Textpoznpodarou1"/>
              <w:jc w:val="both"/>
              <w:rPr>
                <w:highlight w:val="yellow"/>
                <w:lang w:eastAsia="en-US"/>
              </w:rPr>
            </w:pPr>
          </w:p>
        </w:tc>
        <w:tc>
          <w:tcPr>
            <w:tcW w:w="7610" w:type="dxa"/>
            <w:hideMark/>
          </w:tcPr>
          <w:p w14:paraId="0C1EE284" w14:textId="77777777" w:rsidR="00295E96" w:rsidRDefault="00295E96" w:rsidP="003F1624">
            <w:pPr>
              <w:rPr>
                <w:lang w:eastAsia="en-US"/>
              </w:rPr>
            </w:pPr>
            <w:r>
              <w:rPr>
                <w:lang w:eastAsia="en-US"/>
              </w:rPr>
              <w:t>Potraviny a nealkoholické nápoje ve 2. čtvrtletí ovlivňovaly růst celkového indexu nejvíce. Meziroční přírůstek jejich cen oproti 1. kvartálu dále zrychlil na 6,5 %. Rostly ceny většiny druhů potravin s výjimkou olejů a tuků (–2,8 %). Nejvyššího přírůstku dosáhly ceny ovoce (25,8 %), kde tempo zrychlilo. Velmi silný zůstal přírůstek cen masa (10,8 %) a také ostatních potravinářských výrobků (10,5 %). Výrazně se zvyšovaly i ceny zeleniny (6,5 %), cukru, marmelády, medu, čokolády a cukrovinek (5,4 %). Zrychlila meziroční dynamika cen pekárenských výrobků a obilovin (3,2 %) i mléka, sýrů a vajec (2,2 %).</w:t>
            </w:r>
          </w:p>
        </w:tc>
      </w:tr>
      <w:tr w:rsidR="00295E96" w14:paraId="02A9DD46" w14:textId="77777777" w:rsidTr="003F1624">
        <w:trPr>
          <w:trHeight w:val="145"/>
        </w:trPr>
        <w:tc>
          <w:tcPr>
            <w:tcW w:w="1805" w:type="dxa"/>
            <w:hideMark/>
          </w:tcPr>
          <w:p w14:paraId="38E07C24" w14:textId="77777777" w:rsidR="00295E96" w:rsidRDefault="00295E96" w:rsidP="003F1624">
            <w:pPr>
              <w:pStyle w:val="Marginlie"/>
              <w:rPr>
                <w:spacing w:val="0"/>
                <w:lang w:eastAsia="en-US"/>
              </w:rPr>
            </w:pPr>
            <w:r>
              <w:rPr>
                <w:spacing w:val="0"/>
                <w:lang w:eastAsia="en-US"/>
              </w:rPr>
              <w:t>Růst cen bydlení a energií zvolnil.</w:t>
            </w:r>
          </w:p>
        </w:tc>
        <w:tc>
          <w:tcPr>
            <w:tcW w:w="224" w:type="dxa"/>
          </w:tcPr>
          <w:p w14:paraId="17073C9C" w14:textId="77777777" w:rsidR="00295E96" w:rsidRDefault="00295E96" w:rsidP="003F1624">
            <w:pPr>
              <w:pStyle w:val="Textpoznpodarou1"/>
              <w:jc w:val="both"/>
              <w:rPr>
                <w:highlight w:val="yellow"/>
                <w:lang w:eastAsia="en-US"/>
              </w:rPr>
            </w:pPr>
          </w:p>
        </w:tc>
        <w:tc>
          <w:tcPr>
            <w:tcW w:w="7610" w:type="dxa"/>
            <w:hideMark/>
          </w:tcPr>
          <w:p w14:paraId="0BACE3BF" w14:textId="77777777" w:rsidR="00295E96" w:rsidRDefault="00295E96" w:rsidP="003F1624">
            <w:pPr>
              <w:rPr>
                <w:lang w:eastAsia="en-US"/>
              </w:rPr>
            </w:pPr>
            <w:r>
              <w:rPr>
                <w:lang w:eastAsia="en-US"/>
              </w:rPr>
              <w:t>Bydlení a energie ve 2. čtvrtletí sestoupily z pozice položky nejvíce přispívající k meziročnímu růstu spotřebitelských cen. Meziročně se ceny bydlení a energií zvýšily o 3,2 %, což je nejméně od 2. čtvrtletí 2018. Zpomalení bylo patrné napříč celým oddílem spotřebitelského koše. Zvolnilo tak tempo růstu nájemného z bytu (3,7 %) i imputovaného nájemného (2,6 %). Důležitým faktorem bylo i zpomalení u cen elektrické a tepelné energie, plynu a ostatních paliv (3,7 %). Ceny běžné údržby (3,3 %) a ostatních služeb souvisejících s bydlením (4,3 %) také rostly pomaleji než v předchozím kvartálu.</w:t>
            </w:r>
          </w:p>
        </w:tc>
      </w:tr>
      <w:tr w:rsidR="00295E96" w14:paraId="377663FE" w14:textId="77777777" w:rsidTr="003F1624">
        <w:trPr>
          <w:trHeight w:val="145"/>
        </w:trPr>
        <w:tc>
          <w:tcPr>
            <w:tcW w:w="1805" w:type="dxa"/>
            <w:hideMark/>
          </w:tcPr>
          <w:p w14:paraId="499A7376" w14:textId="77777777" w:rsidR="00295E96" w:rsidRDefault="00295E96" w:rsidP="003F1624">
            <w:pPr>
              <w:pStyle w:val="Marginlie"/>
              <w:rPr>
                <w:spacing w:val="0"/>
                <w:lang w:eastAsia="en-US"/>
              </w:rPr>
            </w:pPr>
            <w:r>
              <w:rPr>
                <w:spacing w:val="0"/>
                <w:lang w:eastAsia="en-US"/>
              </w:rPr>
              <w:t>Poměrně silně k růstu spotřebitelských cen přispívaly i alkoholické nápoje a tabák.</w:t>
            </w:r>
          </w:p>
        </w:tc>
        <w:tc>
          <w:tcPr>
            <w:tcW w:w="224" w:type="dxa"/>
          </w:tcPr>
          <w:p w14:paraId="454C5614" w14:textId="77777777" w:rsidR="00295E96" w:rsidRDefault="00295E96" w:rsidP="003F1624">
            <w:pPr>
              <w:pStyle w:val="Textpoznpodarou1"/>
              <w:jc w:val="both"/>
              <w:rPr>
                <w:highlight w:val="yellow"/>
                <w:lang w:eastAsia="en-US"/>
              </w:rPr>
            </w:pPr>
          </w:p>
        </w:tc>
        <w:tc>
          <w:tcPr>
            <w:tcW w:w="7610" w:type="dxa"/>
            <w:hideMark/>
          </w:tcPr>
          <w:p w14:paraId="1C8F1070" w14:textId="77777777" w:rsidR="00295E96" w:rsidRDefault="00295E96" w:rsidP="003F1624">
            <w:pPr>
              <w:rPr>
                <w:lang w:eastAsia="en-US"/>
              </w:rPr>
            </w:pPr>
            <w:r>
              <w:rPr>
                <w:lang w:eastAsia="en-US"/>
              </w:rPr>
              <w:t>Výrazně do vývoje spotřebitelských cen promluvily rovněž ceny alkoholických nápojů a tabáku. Ty se ve 2. čtvrtletí meziročně zvýšily o 6,6 %. Poměrně silného růstu dosahoval tento oddíl již v 1. kvartálu (3,5 %), důvodem bylo zvýšení spotřební daně. To ovlivňuje alkoholické nápoje i tabák. Zatímco alkohol zdražoval hned od počátku roku (4,5 %), na vývoji u tabáku se projevovalo předzásobení výrobky se staršími kolky (2,6 %). Tento efekt ale vyprchal a od května došlo k prudkému navýšení cen tabáku (7,5 % za celé 2. čtvrtletí). Mírné zrychlení proběhlo také u alkoholických nápojů (5,5 %).</w:t>
            </w:r>
          </w:p>
        </w:tc>
      </w:tr>
      <w:tr w:rsidR="00295E96" w14:paraId="4698EA54" w14:textId="77777777" w:rsidTr="003F1624">
        <w:trPr>
          <w:trHeight w:val="145"/>
        </w:trPr>
        <w:tc>
          <w:tcPr>
            <w:tcW w:w="1805" w:type="dxa"/>
            <w:hideMark/>
          </w:tcPr>
          <w:p w14:paraId="53E6CFCE" w14:textId="77777777" w:rsidR="00295E96" w:rsidRDefault="00295E96" w:rsidP="003F1624">
            <w:pPr>
              <w:pStyle w:val="Marginlie"/>
              <w:rPr>
                <w:spacing w:val="0"/>
                <w:lang w:eastAsia="en-US"/>
              </w:rPr>
            </w:pPr>
            <w:r>
              <w:rPr>
                <w:spacing w:val="0"/>
                <w:lang w:eastAsia="en-US"/>
              </w:rPr>
              <w:t>Ve směru poklesu působily ceny dopravy.</w:t>
            </w:r>
          </w:p>
        </w:tc>
        <w:tc>
          <w:tcPr>
            <w:tcW w:w="224" w:type="dxa"/>
          </w:tcPr>
          <w:p w14:paraId="58BEE515" w14:textId="77777777" w:rsidR="00295E96" w:rsidRDefault="00295E96" w:rsidP="003F1624">
            <w:pPr>
              <w:pStyle w:val="Textpoznpodarou1"/>
              <w:jc w:val="both"/>
              <w:rPr>
                <w:highlight w:val="yellow"/>
                <w:lang w:eastAsia="en-US"/>
              </w:rPr>
            </w:pPr>
          </w:p>
        </w:tc>
        <w:tc>
          <w:tcPr>
            <w:tcW w:w="7610" w:type="dxa"/>
            <w:hideMark/>
          </w:tcPr>
          <w:p w14:paraId="2E6728E7" w14:textId="77777777" w:rsidR="00295E96" w:rsidRDefault="00295E96" w:rsidP="003F1624">
            <w:pPr>
              <w:rPr>
                <w:lang w:eastAsia="en-US"/>
              </w:rPr>
            </w:pPr>
            <w:r>
              <w:rPr>
                <w:lang w:eastAsia="en-US"/>
              </w:rPr>
              <w:t xml:space="preserve">Z dalších oddílů, které měly významnější vliv na růst spotřebitelských cen, lze zmínit ceny stravování a ubytování, jež ve 2. čtvrtletí vzrostly o 5,1 %. Poměrně vysokého </w:t>
            </w:r>
            <w:r>
              <w:rPr>
                <w:lang w:eastAsia="en-US"/>
              </w:rPr>
              <w:lastRenderedPageBreak/>
              <w:t>meziročního tempa zde ceny dosahují již od konce roku 2016 a od počátku letošního roku došlo k dalšímu posílení. Výrazněji se ale zvyšovaly ceny stravování (5,5 %), tempo u cen ubytování ve 2. čtvrtletí výrazně zvolnilo (2,5 %). K růstu spotřebitelských cen přispívala i rekreace a kultura (nárůst o 2,0 %). Byly za tím především dovolené s komplexními službami (5,1 %), které výrazně zdražily na počátku roku. Oproti 1. kvartálu zrychlil růst cen bytového vybavení a zařízení domácnosti (3,3 %). Výrazně protiinflačně působily ceny dopravy (–3,4 %). Důvodem byl propad cen provozu osobních dopravních prostředků o 11,1 % (pozůstatek březnového propadu cen ropy na historicky nízké hodnoty). Naopak ceny nákupu automobilů, motocyklů a jízdních kol vzrostly o 3,1 %. Ceny dopravních služeb se zvýšily o 2,0 %.</w:t>
            </w:r>
          </w:p>
        </w:tc>
      </w:tr>
      <w:tr w:rsidR="00295E96" w14:paraId="73B66E6A" w14:textId="77777777" w:rsidTr="003F1624">
        <w:trPr>
          <w:trHeight w:val="170"/>
        </w:trPr>
        <w:tc>
          <w:tcPr>
            <w:tcW w:w="1805" w:type="dxa"/>
            <w:vMerge w:val="restart"/>
          </w:tcPr>
          <w:p w14:paraId="73626C22" w14:textId="77777777" w:rsidR="00295E96" w:rsidRDefault="00295E96" w:rsidP="003F1624">
            <w:pPr>
              <w:pStyle w:val="Marginlie"/>
              <w:rPr>
                <w:spacing w:val="0"/>
                <w:lang w:eastAsia="en-US"/>
              </w:rPr>
            </w:pPr>
          </w:p>
        </w:tc>
        <w:tc>
          <w:tcPr>
            <w:tcW w:w="224" w:type="dxa"/>
            <w:vMerge w:val="restart"/>
          </w:tcPr>
          <w:p w14:paraId="21DB4977" w14:textId="77777777" w:rsidR="00295E96" w:rsidRDefault="00295E96" w:rsidP="003F1624">
            <w:pPr>
              <w:pStyle w:val="Textpoznpodarou1"/>
              <w:jc w:val="both"/>
              <w:rPr>
                <w:highlight w:val="yellow"/>
                <w:lang w:eastAsia="en-US"/>
              </w:rPr>
            </w:pPr>
          </w:p>
        </w:tc>
        <w:tc>
          <w:tcPr>
            <w:tcW w:w="7610" w:type="dxa"/>
            <w:hideMark/>
          </w:tcPr>
          <w:p w14:paraId="749E3078" w14:textId="77777777" w:rsidR="00295E96" w:rsidRDefault="00295E96" w:rsidP="003F1624">
            <w:pPr>
              <w:spacing w:after="0"/>
              <w:rPr>
                <w:b/>
                <w:szCs w:val="20"/>
                <w:lang w:eastAsia="en-US"/>
              </w:rPr>
            </w:pPr>
            <w:r>
              <w:rPr>
                <w:rFonts w:cs="Arial"/>
                <w:b/>
                <w:bCs/>
                <w:color w:val="000000"/>
                <w:sz w:val="18"/>
                <w:szCs w:val="18"/>
                <w:lang w:eastAsia="en-US"/>
              </w:rPr>
              <w:t>Graf č. 9  Ceny ve vybraných oddílech indexu spotřebitelských cen</w:t>
            </w:r>
            <w:r>
              <w:rPr>
                <w:rFonts w:cs="Arial"/>
                <w:b/>
                <w:color w:val="000000"/>
                <w:sz w:val="18"/>
                <w:szCs w:val="18"/>
                <w:lang w:eastAsia="en-US"/>
              </w:rPr>
              <w:t xml:space="preserve"> </w:t>
            </w:r>
            <w:r>
              <w:rPr>
                <w:rFonts w:cs="Arial"/>
                <w:color w:val="000000"/>
                <w:sz w:val="18"/>
                <w:szCs w:val="18"/>
                <w:lang w:eastAsia="en-US"/>
              </w:rPr>
              <w:t>(meziročně v %)</w:t>
            </w:r>
          </w:p>
        </w:tc>
      </w:tr>
      <w:tr w:rsidR="00295E96" w14:paraId="59FDE074" w14:textId="77777777" w:rsidTr="003F1624">
        <w:trPr>
          <w:trHeight w:val="170"/>
        </w:trPr>
        <w:tc>
          <w:tcPr>
            <w:tcW w:w="0" w:type="auto"/>
            <w:vMerge/>
            <w:vAlign w:val="center"/>
            <w:hideMark/>
          </w:tcPr>
          <w:p w14:paraId="38B6DE68" w14:textId="77777777" w:rsidR="00295E96" w:rsidRDefault="00295E96" w:rsidP="003F1624">
            <w:pPr>
              <w:spacing w:after="0" w:line="240" w:lineRule="auto"/>
              <w:jc w:val="left"/>
              <w:rPr>
                <w:sz w:val="16"/>
                <w:szCs w:val="16"/>
                <w:lang w:eastAsia="en-US"/>
              </w:rPr>
            </w:pPr>
          </w:p>
        </w:tc>
        <w:tc>
          <w:tcPr>
            <w:tcW w:w="0" w:type="auto"/>
            <w:vMerge/>
            <w:vAlign w:val="center"/>
            <w:hideMark/>
          </w:tcPr>
          <w:p w14:paraId="5A7F0609" w14:textId="77777777" w:rsidR="00295E96" w:rsidRDefault="00295E96" w:rsidP="003F1624">
            <w:pPr>
              <w:spacing w:after="0" w:line="240" w:lineRule="auto"/>
              <w:jc w:val="left"/>
              <w:rPr>
                <w:rFonts w:eastAsia="Calibri"/>
                <w:szCs w:val="20"/>
                <w:highlight w:val="yellow"/>
                <w:lang w:eastAsia="en-US"/>
              </w:rPr>
            </w:pPr>
          </w:p>
        </w:tc>
        <w:tc>
          <w:tcPr>
            <w:tcW w:w="7610" w:type="dxa"/>
            <w:tcMar>
              <w:top w:w="0" w:type="dxa"/>
              <w:left w:w="70" w:type="dxa"/>
              <w:bottom w:w="0" w:type="dxa"/>
              <w:right w:w="70" w:type="dxa"/>
            </w:tcMar>
            <w:hideMark/>
          </w:tcPr>
          <w:p w14:paraId="56176155" w14:textId="77777777" w:rsidR="00295E96" w:rsidRDefault="00295E96" w:rsidP="003F1624">
            <w:pPr>
              <w:spacing w:after="0"/>
              <w:rPr>
                <w:lang w:eastAsia="en-US"/>
              </w:rPr>
            </w:pPr>
            <w:r>
              <w:rPr>
                <w:noProof/>
              </w:rPr>
              <w:drawing>
                <wp:inline distT="0" distB="0" distL="0" distR="0" wp14:anchorId="277E42B3" wp14:editId="31D18E11">
                  <wp:extent cx="4737100" cy="3441700"/>
                  <wp:effectExtent l="0" t="0" r="6350" b="6350"/>
                  <wp:docPr id="27" name="Graf 2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295E96" w14:paraId="328F1485" w14:textId="77777777" w:rsidTr="003F1624">
        <w:trPr>
          <w:trHeight w:val="170"/>
        </w:trPr>
        <w:tc>
          <w:tcPr>
            <w:tcW w:w="0" w:type="auto"/>
            <w:vMerge/>
            <w:vAlign w:val="center"/>
            <w:hideMark/>
          </w:tcPr>
          <w:p w14:paraId="7B98B587" w14:textId="77777777" w:rsidR="00295E96" w:rsidRDefault="00295E96" w:rsidP="003F1624">
            <w:pPr>
              <w:spacing w:after="0" w:line="240" w:lineRule="auto"/>
              <w:jc w:val="left"/>
              <w:rPr>
                <w:sz w:val="16"/>
                <w:szCs w:val="16"/>
                <w:lang w:eastAsia="en-US"/>
              </w:rPr>
            </w:pPr>
          </w:p>
        </w:tc>
        <w:tc>
          <w:tcPr>
            <w:tcW w:w="0" w:type="auto"/>
            <w:vMerge/>
            <w:vAlign w:val="center"/>
            <w:hideMark/>
          </w:tcPr>
          <w:p w14:paraId="2C78F1C2" w14:textId="77777777" w:rsidR="00295E96" w:rsidRDefault="00295E96" w:rsidP="003F1624">
            <w:pPr>
              <w:spacing w:after="0" w:line="240" w:lineRule="auto"/>
              <w:jc w:val="left"/>
              <w:rPr>
                <w:rFonts w:eastAsia="Calibri"/>
                <w:szCs w:val="20"/>
                <w:highlight w:val="yellow"/>
                <w:lang w:eastAsia="en-US"/>
              </w:rPr>
            </w:pPr>
          </w:p>
        </w:tc>
        <w:tc>
          <w:tcPr>
            <w:tcW w:w="7610" w:type="dxa"/>
            <w:hideMark/>
          </w:tcPr>
          <w:p w14:paraId="36DF60BD" w14:textId="77777777" w:rsidR="00295E96" w:rsidRDefault="00295E96" w:rsidP="003F1624">
            <w:pPr>
              <w:rPr>
                <w:sz w:val="14"/>
                <w:szCs w:val="14"/>
                <w:lang w:eastAsia="en-US"/>
              </w:rPr>
            </w:pPr>
            <w:r>
              <w:rPr>
                <w:sz w:val="14"/>
                <w:szCs w:val="14"/>
                <w:lang w:eastAsia="en-US"/>
              </w:rPr>
              <w:t>Zdroj: ČSÚ</w:t>
            </w:r>
          </w:p>
        </w:tc>
      </w:tr>
      <w:tr w:rsidR="00295E96" w14:paraId="0A5F07AF" w14:textId="77777777" w:rsidTr="003F1624">
        <w:trPr>
          <w:trHeight w:val="145"/>
        </w:trPr>
        <w:tc>
          <w:tcPr>
            <w:tcW w:w="1805" w:type="dxa"/>
            <w:hideMark/>
          </w:tcPr>
          <w:p w14:paraId="3612EE56" w14:textId="77777777" w:rsidR="00295E96" w:rsidRDefault="00295E96" w:rsidP="003F1624">
            <w:pPr>
              <w:pStyle w:val="Marginlie"/>
              <w:rPr>
                <w:spacing w:val="0"/>
                <w:lang w:eastAsia="en-US"/>
              </w:rPr>
            </w:pPr>
            <w:r>
              <w:rPr>
                <w:spacing w:val="0"/>
                <w:lang w:eastAsia="en-US"/>
              </w:rPr>
              <w:t>Zejména ceny dopravy ve 2. čtvrtletí tlumily meziroční růst spotřebitelských cen.</w:t>
            </w:r>
          </w:p>
        </w:tc>
        <w:tc>
          <w:tcPr>
            <w:tcW w:w="224" w:type="dxa"/>
          </w:tcPr>
          <w:p w14:paraId="0F4E1FAE" w14:textId="77777777" w:rsidR="00295E96" w:rsidRDefault="00295E96" w:rsidP="003F1624">
            <w:pPr>
              <w:pStyle w:val="Textpoznpodarou1"/>
              <w:jc w:val="both"/>
              <w:rPr>
                <w:lang w:eastAsia="en-US"/>
              </w:rPr>
            </w:pPr>
          </w:p>
        </w:tc>
        <w:tc>
          <w:tcPr>
            <w:tcW w:w="7610" w:type="dxa"/>
            <w:hideMark/>
          </w:tcPr>
          <w:p w14:paraId="4321FFCC" w14:textId="77777777" w:rsidR="00295E96" w:rsidRDefault="00295E96" w:rsidP="003F1624">
            <w:pPr>
              <w:rPr>
                <w:lang w:eastAsia="en-US"/>
              </w:rPr>
            </w:pPr>
            <w:r>
              <w:rPr>
                <w:lang w:eastAsia="en-US"/>
              </w:rPr>
              <w:t>Meziroční růst spotřebitelských cen v EU</w:t>
            </w:r>
            <w:r>
              <w:rPr>
                <w:rStyle w:val="Znakapoznpodarou"/>
                <w:lang w:eastAsia="en-US"/>
              </w:rPr>
              <w:footnoteReference w:id="33"/>
            </w:r>
            <w:r>
              <w:rPr>
                <w:lang w:eastAsia="en-US"/>
              </w:rPr>
              <w:t xml:space="preserve"> ve 2. čtvrtletí oproti 1. kvartálu výrazně zpomalil a dosáhl 0,6 %. Zatímco v 1. čtvrtletí celkový přírůstek cen v EU činil 1,5 % a ceny meziročně rostly ve všech zemích, ve 2. čtvrtletí meziročně rostly ceny jen ve 13 státech. Zpomalení tempa oproti 1. čtvrtletí se týkalo všech zemí Unie. Důvodem byl hlavně propad cen dopravy v návaznosti na rekordní pokles cen ropy. Meziročně se ale ve 2. čtvrtletí celkově snižovaly i ceny bydlení a energií. Nejvíce ve 2. čtvrtletí ceny vzrostly v Polsku (3,4 %), Česku (3,3 %) a Maďarsku (2,5 %). Výraznějšího navýšení dosáhly spotřebitelské ceny také v Rumunsku (2,1 %) a na Slovensku (2,0 %). Šlo o skupinu zemí, které se zbytku Evropy cenovou dynamikou vzdálily. Společný jim byl zejména vysoký růst cen potravin a nealkoholických nápojů, ale také alkoholických nápojů a tabáku nebo bydlení a energií. Největší meziroční pokles cen byl ve 2. čtvrtletí zaznamenán na Kypru (–1,6 %), v Estonsku (–1,4 %) a ve Slovinsku a Řecku (shodně –1,2 %).</w:t>
            </w:r>
          </w:p>
        </w:tc>
      </w:tr>
      <w:tr w:rsidR="00295E96" w14:paraId="73E1AD4A" w14:textId="77777777" w:rsidTr="003F1624">
        <w:trPr>
          <w:trHeight w:val="145"/>
        </w:trPr>
        <w:tc>
          <w:tcPr>
            <w:tcW w:w="1805" w:type="dxa"/>
            <w:hideMark/>
          </w:tcPr>
          <w:p w14:paraId="7AB67E7E" w14:textId="77777777" w:rsidR="00295E96" w:rsidRDefault="00295E96" w:rsidP="003F1624">
            <w:pPr>
              <w:pStyle w:val="Marginlie"/>
              <w:rPr>
                <w:spacing w:val="0"/>
                <w:lang w:eastAsia="en-US"/>
              </w:rPr>
            </w:pPr>
            <w:r>
              <w:rPr>
                <w:spacing w:val="0"/>
                <w:lang w:eastAsia="en-US"/>
              </w:rPr>
              <w:t>Ceny bytů i ve 2. čtvrtletí rostly výraznými tempy.</w:t>
            </w:r>
          </w:p>
        </w:tc>
        <w:tc>
          <w:tcPr>
            <w:tcW w:w="224" w:type="dxa"/>
          </w:tcPr>
          <w:p w14:paraId="461F9146" w14:textId="77777777" w:rsidR="00295E96" w:rsidRDefault="00295E96" w:rsidP="003F1624">
            <w:pPr>
              <w:pStyle w:val="Textpoznpodarou1"/>
              <w:jc w:val="both"/>
              <w:rPr>
                <w:lang w:eastAsia="en-US"/>
              </w:rPr>
            </w:pPr>
          </w:p>
        </w:tc>
        <w:tc>
          <w:tcPr>
            <w:tcW w:w="7610" w:type="dxa"/>
            <w:hideMark/>
          </w:tcPr>
          <w:p w14:paraId="4414FAAE" w14:textId="52EFBB8E" w:rsidR="00295E96" w:rsidRDefault="00835FF1" w:rsidP="003F1624">
            <w:pPr>
              <w:rPr>
                <w:lang w:eastAsia="en-US"/>
              </w:rPr>
            </w:pPr>
            <w:r>
              <w:t xml:space="preserve">Ekonomická krize nepřinesla do vývoje nabídkových cen bytů žádný zlom. Oproti předchozímu čtvrtletí se ceny zvýšily o 1,6 %. Meziroční přírůstek nabídkových cen bytů v ČR ve 2. čtvrtletí dosáhl 7,1 %. Přitom se udržovalo velmi vysoké meziroční tempo u bytů mimo Prahu (9,7 %). Nabídkové ceny bytů v Praze meziročně vzrostly </w:t>
            </w:r>
            <w:r>
              <w:lastRenderedPageBreak/>
              <w:t>o 5,3 %, což je nejvíce od 1. čtvrtletí 2019. Realizované ceny starších bytů si také držely poměrně značné tempo. Oproti 1. čtvrtletí tak narostly o 2,6 %. Meziroční přírůstek v celé ČR byl opět více než desetinový (10,2 %) a stál za ním hlavně vývoj mimo Prahu (10,8 %). Realizované ceny starších bytů v Praze ve 2. čtvrtletí meziročně narostly o 8,0 % a tempo mírně zrychlilo oproti předchozím třem kvartálům. Nový dech nabrala dynamika realizovaných cen nových bytů v Praze. Po mírném zvolnění ve 2. pololetí 2019 se letos meziroční přírůstky opět pohybují okolo 10 %. Ve 2. čtvrtletí navýšení dosáhlo 9,5 %.</w:t>
            </w:r>
          </w:p>
        </w:tc>
      </w:tr>
      <w:tr w:rsidR="00295E96" w14:paraId="7AFE8ABF" w14:textId="77777777" w:rsidTr="003F1624">
        <w:trPr>
          <w:trHeight w:val="170"/>
        </w:trPr>
        <w:tc>
          <w:tcPr>
            <w:tcW w:w="1805" w:type="dxa"/>
            <w:vMerge w:val="restart"/>
          </w:tcPr>
          <w:p w14:paraId="33C1E60C" w14:textId="77777777" w:rsidR="00295E96" w:rsidRDefault="00295E96" w:rsidP="003F1624">
            <w:pPr>
              <w:pStyle w:val="Marginlie"/>
              <w:rPr>
                <w:spacing w:val="0"/>
                <w:lang w:eastAsia="en-US"/>
              </w:rPr>
            </w:pPr>
          </w:p>
        </w:tc>
        <w:tc>
          <w:tcPr>
            <w:tcW w:w="224" w:type="dxa"/>
            <w:vMerge w:val="restart"/>
          </w:tcPr>
          <w:p w14:paraId="30A31F12" w14:textId="77777777" w:rsidR="00295E96" w:rsidRDefault="00295E96" w:rsidP="003F1624">
            <w:pPr>
              <w:pStyle w:val="Textpoznpodarou1"/>
              <w:jc w:val="both"/>
              <w:rPr>
                <w:lang w:eastAsia="en-US"/>
              </w:rPr>
            </w:pPr>
          </w:p>
        </w:tc>
        <w:tc>
          <w:tcPr>
            <w:tcW w:w="7610" w:type="dxa"/>
            <w:hideMark/>
          </w:tcPr>
          <w:p w14:paraId="7CEBBEAA" w14:textId="77777777" w:rsidR="00295E96" w:rsidRDefault="00295E96" w:rsidP="003F1624">
            <w:pPr>
              <w:spacing w:after="0"/>
              <w:rPr>
                <w:lang w:eastAsia="en-US"/>
              </w:rPr>
            </w:pPr>
            <w:r>
              <w:rPr>
                <w:b/>
                <w:sz w:val="18"/>
                <w:szCs w:val="18"/>
                <w:lang w:eastAsia="en-US"/>
              </w:rPr>
              <w:t xml:space="preserve">Graf č. 10  Ceny nemovitostí </w:t>
            </w:r>
            <w:r>
              <w:rPr>
                <w:sz w:val="18"/>
                <w:szCs w:val="18"/>
                <w:lang w:eastAsia="en-US"/>
              </w:rPr>
              <w:t>(meziroční změna, v %)</w:t>
            </w:r>
          </w:p>
        </w:tc>
      </w:tr>
      <w:tr w:rsidR="00295E96" w14:paraId="25629FC4" w14:textId="77777777" w:rsidTr="003F1624">
        <w:trPr>
          <w:trHeight w:val="170"/>
        </w:trPr>
        <w:tc>
          <w:tcPr>
            <w:tcW w:w="0" w:type="auto"/>
            <w:vMerge/>
            <w:vAlign w:val="center"/>
            <w:hideMark/>
          </w:tcPr>
          <w:p w14:paraId="121DBF7F" w14:textId="77777777" w:rsidR="00295E96" w:rsidRDefault="00295E96" w:rsidP="003F1624">
            <w:pPr>
              <w:spacing w:after="0" w:line="240" w:lineRule="auto"/>
              <w:jc w:val="left"/>
              <w:rPr>
                <w:sz w:val="16"/>
                <w:szCs w:val="16"/>
                <w:lang w:eastAsia="en-US"/>
              </w:rPr>
            </w:pPr>
          </w:p>
        </w:tc>
        <w:tc>
          <w:tcPr>
            <w:tcW w:w="0" w:type="auto"/>
            <w:vMerge/>
            <w:vAlign w:val="center"/>
            <w:hideMark/>
          </w:tcPr>
          <w:p w14:paraId="1A48133A" w14:textId="77777777" w:rsidR="00295E96" w:rsidRDefault="00295E96" w:rsidP="003F1624">
            <w:pPr>
              <w:spacing w:after="0" w:line="240" w:lineRule="auto"/>
              <w:jc w:val="left"/>
              <w:rPr>
                <w:rFonts w:eastAsia="Calibri"/>
                <w:szCs w:val="20"/>
                <w:lang w:eastAsia="en-US"/>
              </w:rPr>
            </w:pPr>
          </w:p>
        </w:tc>
        <w:tc>
          <w:tcPr>
            <w:tcW w:w="7610" w:type="dxa"/>
            <w:tcMar>
              <w:top w:w="0" w:type="dxa"/>
              <w:left w:w="70" w:type="dxa"/>
              <w:bottom w:w="0" w:type="dxa"/>
              <w:right w:w="70" w:type="dxa"/>
            </w:tcMar>
            <w:hideMark/>
          </w:tcPr>
          <w:p w14:paraId="5A16525D" w14:textId="77777777" w:rsidR="00295E96" w:rsidRDefault="00295E96" w:rsidP="003F1624">
            <w:pPr>
              <w:rPr>
                <w:lang w:eastAsia="en-US"/>
              </w:rPr>
            </w:pPr>
            <w:r>
              <w:rPr>
                <w:noProof/>
              </w:rPr>
              <w:drawing>
                <wp:inline distT="0" distB="0" distL="0" distR="0" wp14:anchorId="4F43EF20" wp14:editId="7C398D5E">
                  <wp:extent cx="4737100" cy="3556000"/>
                  <wp:effectExtent l="0" t="0" r="6350" b="6350"/>
                  <wp:docPr id="25" name="Graf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295E96" w14:paraId="44FC7E1A" w14:textId="77777777" w:rsidTr="003F1624">
        <w:trPr>
          <w:trHeight w:val="170"/>
        </w:trPr>
        <w:tc>
          <w:tcPr>
            <w:tcW w:w="0" w:type="auto"/>
            <w:vMerge/>
            <w:vAlign w:val="center"/>
            <w:hideMark/>
          </w:tcPr>
          <w:p w14:paraId="5397DDD8" w14:textId="77777777" w:rsidR="00295E96" w:rsidRDefault="00295E96" w:rsidP="003F1624">
            <w:pPr>
              <w:spacing w:after="0" w:line="240" w:lineRule="auto"/>
              <w:jc w:val="left"/>
              <w:rPr>
                <w:sz w:val="16"/>
                <w:szCs w:val="16"/>
                <w:lang w:eastAsia="en-US"/>
              </w:rPr>
            </w:pPr>
          </w:p>
        </w:tc>
        <w:tc>
          <w:tcPr>
            <w:tcW w:w="0" w:type="auto"/>
            <w:vMerge/>
            <w:vAlign w:val="center"/>
            <w:hideMark/>
          </w:tcPr>
          <w:p w14:paraId="042697CA" w14:textId="77777777" w:rsidR="00295E96" w:rsidRDefault="00295E96" w:rsidP="003F1624">
            <w:pPr>
              <w:spacing w:after="0" w:line="240" w:lineRule="auto"/>
              <w:jc w:val="left"/>
              <w:rPr>
                <w:rFonts w:eastAsia="Calibri"/>
                <w:szCs w:val="20"/>
                <w:lang w:eastAsia="en-US"/>
              </w:rPr>
            </w:pPr>
          </w:p>
        </w:tc>
        <w:tc>
          <w:tcPr>
            <w:tcW w:w="7610" w:type="dxa"/>
            <w:hideMark/>
          </w:tcPr>
          <w:p w14:paraId="5799DE92" w14:textId="77777777" w:rsidR="00295E96" w:rsidRDefault="00295E96" w:rsidP="003F1624">
            <w:pPr>
              <w:rPr>
                <w:lang w:eastAsia="en-US"/>
              </w:rPr>
            </w:pPr>
            <w:r>
              <w:rPr>
                <w:sz w:val="14"/>
                <w:szCs w:val="14"/>
                <w:lang w:eastAsia="en-US"/>
              </w:rPr>
              <w:t>Zdroj: ČSÚ</w:t>
            </w:r>
          </w:p>
        </w:tc>
      </w:tr>
      <w:tr w:rsidR="00295E96" w14:paraId="3B020773" w14:textId="77777777" w:rsidTr="003F1624">
        <w:trPr>
          <w:trHeight w:val="145"/>
        </w:trPr>
        <w:tc>
          <w:tcPr>
            <w:tcW w:w="1805" w:type="dxa"/>
            <w:hideMark/>
          </w:tcPr>
          <w:p w14:paraId="257E76FA" w14:textId="77777777" w:rsidR="00295E96" w:rsidRDefault="00295E96" w:rsidP="003F1624">
            <w:pPr>
              <w:pStyle w:val="Marginlie"/>
              <w:rPr>
                <w:spacing w:val="0"/>
                <w:lang w:eastAsia="en-US"/>
              </w:rPr>
            </w:pPr>
            <w:r>
              <w:rPr>
                <w:spacing w:val="0"/>
                <w:lang w:eastAsia="en-US"/>
              </w:rPr>
              <w:t>Ceny průmyslových výrobců ve 2. čtvrtletí klesly, zejména kvůli propadu cen koksu a rafinovaných ropných výrobků.</w:t>
            </w:r>
          </w:p>
        </w:tc>
        <w:tc>
          <w:tcPr>
            <w:tcW w:w="224" w:type="dxa"/>
          </w:tcPr>
          <w:p w14:paraId="7FA70BE4" w14:textId="77777777" w:rsidR="00295E96" w:rsidRDefault="00295E96" w:rsidP="003F1624">
            <w:pPr>
              <w:pStyle w:val="Textpoznpodarou1"/>
              <w:jc w:val="both"/>
              <w:rPr>
                <w:lang w:eastAsia="en-US"/>
              </w:rPr>
            </w:pPr>
          </w:p>
        </w:tc>
        <w:tc>
          <w:tcPr>
            <w:tcW w:w="7610" w:type="dxa"/>
            <w:hideMark/>
          </w:tcPr>
          <w:p w14:paraId="46801713" w14:textId="77777777" w:rsidR="00295E96" w:rsidRDefault="00295E96" w:rsidP="003F1624">
            <w:pPr>
              <w:rPr>
                <w:lang w:eastAsia="en-US"/>
              </w:rPr>
            </w:pPr>
            <w:r>
              <w:rPr>
                <w:lang w:eastAsia="en-US"/>
              </w:rPr>
              <w:t>Ceny průmyslových výrobců ve 2. čtvrtletí klesly o 0,6 %. V 1. čtvrtletí ještě ceny rostly o 1,4 %. Obrat v dynamice byl patrný již v březnu. Důvodem byl zejména vývoj u výrobků a služeb zpracovatelského průmyslu. U nich došlo k propadu o 2,3 %, především kvůli koksu a rafinovaným ropným výrobkům</w:t>
            </w:r>
            <w:r>
              <w:rPr>
                <w:rStyle w:val="Znakapoznpodarou"/>
                <w:lang w:eastAsia="en-US"/>
              </w:rPr>
              <w:footnoteReference w:id="34"/>
            </w:r>
            <w:r>
              <w:rPr>
                <w:lang w:eastAsia="en-US"/>
              </w:rPr>
              <w:t>. V návaznosti na ceny ropy klesaly i ceny chemických látek a výrobků (–14,6 %). Ve směru poklesu působily i obecné kovy a kovodělné výrobky (–1,3 %) a dřevo, papír a tisk (–2,1 %). Naopak k růstu přispívaly ceny potravinářských výrobků, nápojů a tabáku (3,0 %). Zde ale v průběhu čtvrtletí dynamika postupně zvolňovala. Zejména mzdový růst ještě tlačil vzhůru ceny nábytku a ostatních výrobků zpracovatelského průmyslu (4,8 %, hlavně opravy, údržba a instalace strojů a zařízení). Výrazně se zvýšily ceny počítačů, elektronických a optických přístrojů (3,7 %). K poměrně silnému přírůstku došlo rovněž u dopravních prostředků (3,5 %). Zrychlil růst cen strojů a zařízení (2,6 %) a elektrických zařízení (1,7 %).</w:t>
            </w:r>
          </w:p>
        </w:tc>
      </w:tr>
      <w:tr w:rsidR="00295E96" w14:paraId="5A824DD1" w14:textId="77777777" w:rsidTr="003F1624">
        <w:trPr>
          <w:trHeight w:val="145"/>
        </w:trPr>
        <w:tc>
          <w:tcPr>
            <w:tcW w:w="1805" w:type="dxa"/>
            <w:hideMark/>
          </w:tcPr>
          <w:p w14:paraId="57E48E8F" w14:textId="77777777" w:rsidR="00295E96" w:rsidRDefault="00295E96" w:rsidP="003F1624">
            <w:pPr>
              <w:pStyle w:val="Marginlie"/>
              <w:rPr>
                <w:spacing w:val="0"/>
                <w:lang w:eastAsia="en-US"/>
              </w:rPr>
            </w:pPr>
            <w:r>
              <w:rPr>
                <w:spacing w:val="0"/>
                <w:lang w:eastAsia="en-US"/>
              </w:rPr>
              <w:t>Pokračoval pokles cen těžby a dobývání.</w:t>
            </w:r>
          </w:p>
        </w:tc>
        <w:tc>
          <w:tcPr>
            <w:tcW w:w="224" w:type="dxa"/>
          </w:tcPr>
          <w:p w14:paraId="763DDE3C" w14:textId="77777777" w:rsidR="00295E96" w:rsidRDefault="00295E96" w:rsidP="003F1624">
            <w:pPr>
              <w:pStyle w:val="Textpoznpodarou1"/>
              <w:jc w:val="both"/>
              <w:rPr>
                <w:lang w:eastAsia="en-US"/>
              </w:rPr>
            </w:pPr>
          </w:p>
        </w:tc>
        <w:tc>
          <w:tcPr>
            <w:tcW w:w="7610" w:type="dxa"/>
            <w:hideMark/>
          </w:tcPr>
          <w:p w14:paraId="3E839F47" w14:textId="77777777" w:rsidR="00295E96" w:rsidRDefault="00295E96" w:rsidP="003F1624">
            <w:pPr>
              <w:rPr>
                <w:lang w:eastAsia="en-US"/>
              </w:rPr>
            </w:pPr>
            <w:r>
              <w:rPr>
                <w:lang w:eastAsia="en-US"/>
              </w:rPr>
              <w:t xml:space="preserve">Od začátku roku trvající pokles se prohloubil v případě těžby a dobývání (–3,5 %). Propadaly se ceny ropy a zemního plynu a pokračoval pokles u černého a hnědého uhlí a lignitu. Naopak na vysoké úrovni se drží meziroční růst cen elektřiny, plynu, páry </w:t>
            </w:r>
            <w:r>
              <w:rPr>
                <w:lang w:eastAsia="en-US"/>
              </w:rPr>
              <w:lastRenderedPageBreak/>
              <w:t>a klimatizovaného vzduchu (8,2 %). Růst zrychlil u zásobování vodou a služeb souvisejících s odpadními vodami (6,1 %).</w:t>
            </w:r>
          </w:p>
        </w:tc>
      </w:tr>
      <w:tr w:rsidR="00295E96" w14:paraId="108051E7" w14:textId="77777777" w:rsidTr="003F1624">
        <w:trPr>
          <w:trHeight w:val="170"/>
        </w:trPr>
        <w:tc>
          <w:tcPr>
            <w:tcW w:w="1805" w:type="dxa"/>
            <w:vMerge w:val="restart"/>
          </w:tcPr>
          <w:p w14:paraId="53F041C3" w14:textId="77777777" w:rsidR="00295E96" w:rsidRDefault="00295E96" w:rsidP="003F1624">
            <w:pPr>
              <w:pStyle w:val="Marginlie"/>
              <w:rPr>
                <w:spacing w:val="0"/>
                <w:lang w:eastAsia="en-US"/>
              </w:rPr>
            </w:pPr>
          </w:p>
        </w:tc>
        <w:tc>
          <w:tcPr>
            <w:tcW w:w="224" w:type="dxa"/>
            <w:vMerge w:val="restart"/>
          </w:tcPr>
          <w:p w14:paraId="4317B2D3" w14:textId="77777777" w:rsidR="00295E96" w:rsidRDefault="00295E96" w:rsidP="003F1624">
            <w:pPr>
              <w:pStyle w:val="Textpoznpodarou1"/>
              <w:jc w:val="both"/>
              <w:rPr>
                <w:highlight w:val="yellow"/>
                <w:lang w:eastAsia="en-US"/>
              </w:rPr>
            </w:pPr>
          </w:p>
        </w:tc>
        <w:tc>
          <w:tcPr>
            <w:tcW w:w="7610" w:type="dxa"/>
            <w:hideMark/>
          </w:tcPr>
          <w:p w14:paraId="7F343273" w14:textId="77777777" w:rsidR="00295E96" w:rsidRDefault="00295E96" w:rsidP="003F1624">
            <w:pPr>
              <w:spacing w:after="0"/>
              <w:rPr>
                <w:b/>
                <w:szCs w:val="20"/>
                <w:lang w:eastAsia="en-US"/>
              </w:rPr>
            </w:pPr>
            <w:r>
              <w:rPr>
                <w:b/>
                <w:sz w:val="18"/>
                <w:szCs w:val="18"/>
                <w:lang w:eastAsia="en-US"/>
              </w:rPr>
              <w:t xml:space="preserve">Graf č. 11  Ceny hlavních skupin průmyslových výrobců </w:t>
            </w:r>
            <w:r>
              <w:rPr>
                <w:sz w:val="18"/>
                <w:szCs w:val="18"/>
                <w:lang w:eastAsia="en-US"/>
              </w:rPr>
              <w:t>(meziroční změna, v %, podle klasifikace CPA)</w:t>
            </w:r>
          </w:p>
        </w:tc>
      </w:tr>
      <w:tr w:rsidR="00295E96" w14:paraId="19FA66EE" w14:textId="77777777" w:rsidTr="003F1624">
        <w:trPr>
          <w:trHeight w:val="170"/>
        </w:trPr>
        <w:tc>
          <w:tcPr>
            <w:tcW w:w="0" w:type="auto"/>
            <w:vMerge/>
            <w:vAlign w:val="center"/>
            <w:hideMark/>
          </w:tcPr>
          <w:p w14:paraId="25D2C297" w14:textId="77777777" w:rsidR="00295E96" w:rsidRDefault="00295E96" w:rsidP="003F1624">
            <w:pPr>
              <w:spacing w:after="0" w:line="240" w:lineRule="auto"/>
              <w:jc w:val="left"/>
              <w:rPr>
                <w:sz w:val="16"/>
                <w:szCs w:val="16"/>
                <w:lang w:eastAsia="en-US"/>
              </w:rPr>
            </w:pPr>
          </w:p>
        </w:tc>
        <w:tc>
          <w:tcPr>
            <w:tcW w:w="0" w:type="auto"/>
            <w:vMerge/>
            <w:vAlign w:val="center"/>
            <w:hideMark/>
          </w:tcPr>
          <w:p w14:paraId="217FF320" w14:textId="77777777" w:rsidR="00295E96" w:rsidRDefault="00295E96" w:rsidP="003F1624">
            <w:pPr>
              <w:spacing w:after="0" w:line="240" w:lineRule="auto"/>
              <w:jc w:val="left"/>
              <w:rPr>
                <w:rFonts w:eastAsia="Calibri"/>
                <w:szCs w:val="20"/>
                <w:highlight w:val="yellow"/>
                <w:lang w:eastAsia="en-US"/>
              </w:rPr>
            </w:pPr>
          </w:p>
        </w:tc>
        <w:tc>
          <w:tcPr>
            <w:tcW w:w="7610" w:type="dxa"/>
            <w:tcMar>
              <w:top w:w="0" w:type="dxa"/>
              <w:left w:w="70" w:type="dxa"/>
              <w:bottom w:w="0" w:type="dxa"/>
              <w:right w:w="70" w:type="dxa"/>
            </w:tcMar>
            <w:hideMark/>
          </w:tcPr>
          <w:p w14:paraId="449EC50D" w14:textId="77777777" w:rsidR="00295E96" w:rsidRDefault="00295E96" w:rsidP="003F1624">
            <w:pPr>
              <w:spacing w:after="0"/>
              <w:rPr>
                <w:lang w:eastAsia="en-US"/>
              </w:rPr>
            </w:pPr>
            <w:r>
              <w:rPr>
                <w:noProof/>
              </w:rPr>
              <w:drawing>
                <wp:inline distT="0" distB="0" distL="0" distR="0" wp14:anchorId="46F13AD2" wp14:editId="2F6A64E1">
                  <wp:extent cx="4737100" cy="3435350"/>
                  <wp:effectExtent l="0" t="0" r="6350" b="0"/>
                  <wp:docPr id="23" name="Graf 2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295E96" w14:paraId="47E8CA62" w14:textId="77777777" w:rsidTr="003F1624">
        <w:trPr>
          <w:trHeight w:val="170"/>
        </w:trPr>
        <w:tc>
          <w:tcPr>
            <w:tcW w:w="0" w:type="auto"/>
            <w:vMerge/>
            <w:vAlign w:val="center"/>
            <w:hideMark/>
          </w:tcPr>
          <w:p w14:paraId="364B7ED2" w14:textId="77777777" w:rsidR="00295E96" w:rsidRDefault="00295E96" w:rsidP="003F1624">
            <w:pPr>
              <w:spacing w:after="0" w:line="240" w:lineRule="auto"/>
              <w:jc w:val="left"/>
              <w:rPr>
                <w:sz w:val="16"/>
                <w:szCs w:val="16"/>
                <w:lang w:eastAsia="en-US"/>
              </w:rPr>
            </w:pPr>
          </w:p>
        </w:tc>
        <w:tc>
          <w:tcPr>
            <w:tcW w:w="0" w:type="auto"/>
            <w:vMerge/>
            <w:vAlign w:val="center"/>
            <w:hideMark/>
          </w:tcPr>
          <w:p w14:paraId="094D0746" w14:textId="77777777" w:rsidR="00295E96" w:rsidRDefault="00295E96" w:rsidP="003F1624">
            <w:pPr>
              <w:spacing w:after="0" w:line="240" w:lineRule="auto"/>
              <w:jc w:val="left"/>
              <w:rPr>
                <w:rFonts w:eastAsia="Calibri"/>
                <w:szCs w:val="20"/>
                <w:highlight w:val="yellow"/>
                <w:lang w:eastAsia="en-US"/>
              </w:rPr>
            </w:pPr>
          </w:p>
        </w:tc>
        <w:tc>
          <w:tcPr>
            <w:tcW w:w="7610" w:type="dxa"/>
            <w:hideMark/>
          </w:tcPr>
          <w:p w14:paraId="6B1CB8C2" w14:textId="77777777" w:rsidR="00295E96" w:rsidRDefault="00295E96" w:rsidP="003F1624">
            <w:pPr>
              <w:rPr>
                <w:lang w:eastAsia="en-US"/>
              </w:rPr>
            </w:pPr>
            <w:r>
              <w:rPr>
                <w:sz w:val="14"/>
                <w:szCs w:val="14"/>
                <w:lang w:eastAsia="en-US"/>
              </w:rPr>
              <w:t>Zdroj: ČSÚ</w:t>
            </w:r>
          </w:p>
        </w:tc>
      </w:tr>
      <w:tr w:rsidR="00295E96" w14:paraId="5FDD50B7" w14:textId="77777777" w:rsidTr="003F1624">
        <w:trPr>
          <w:trHeight w:val="145"/>
        </w:trPr>
        <w:tc>
          <w:tcPr>
            <w:tcW w:w="1805" w:type="dxa"/>
            <w:hideMark/>
          </w:tcPr>
          <w:p w14:paraId="48A8FE9F" w14:textId="77777777" w:rsidR="00295E96" w:rsidRDefault="00295E96" w:rsidP="003F1624">
            <w:pPr>
              <w:pStyle w:val="Marginlie"/>
              <w:rPr>
                <w:spacing w:val="0"/>
                <w:lang w:eastAsia="en-US"/>
              </w:rPr>
            </w:pPr>
            <w:r>
              <w:rPr>
                <w:spacing w:val="0"/>
                <w:lang w:eastAsia="en-US"/>
              </w:rPr>
              <w:t>Ceny průmyslových výrobců v EU ve 2. čtvrtletí výrazně klesaly.</w:t>
            </w:r>
          </w:p>
        </w:tc>
        <w:tc>
          <w:tcPr>
            <w:tcW w:w="224" w:type="dxa"/>
          </w:tcPr>
          <w:p w14:paraId="163CFE9E" w14:textId="77777777" w:rsidR="00295E96" w:rsidRDefault="00295E96" w:rsidP="003F1624">
            <w:pPr>
              <w:pStyle w:val="Textpoznpodarou1"/>
              <w:jc w:val="both"/>
              <w:rPr>
                <w:lang w:eastAsia="en-US"/>
              </w:rPr>
            </w:pPr>
          </w:p>
        </w:tc>
        <w:tc>
          <w:tcPr>
            <w:tcW w:w="7610" w:type="dxa"/>
            <w:hideMark/>
          </w:tcPr>
          <w:p w14:paraId="3D00B99B" w14:textId="77777777" w:rsidR="00295E96" w:rsidRDefault="00295E96" w:rsidP="003F1624">
            <w:pPr>
              <w:rPr>
                <w:lang w:eastAsia="en-US"/>
              </w:rPr>
            </w:pPr>
            <w:r>
              <w:rPr>
                <w:lang w:eastAsia="en-US"/>
              </w:rPr>
              <w:t>Ceny průmyslových výrobců v EU v 1. i 2. čtvrtletí 2020 klesaly. Ve 2. kvartálu ale došlo k výraznému prohloubení meziročního propadu na 4,1 %. Důvodem byl podobně jako v ČR silný propad cen ropy, který měl globální dopad. Ve 2. čtvrtletí v Unii pokračoval výrazný propad cen těžby a dobývání (–13,2 %, zejména kvůli těžbě ropy), ale prohloubil se i pokles cen ve zpracovatelském průmyslu (–2,8 %). O 9,1 % se meziročně snížily ceny elektřiny, plynu, páry a klimatizovaného vzduchu. Ceny průmyslových výrobců se ve 2. čtvrtletí meziročně zvýšily jen na Maltě (1,4 %), ve Slovinsku (0,3 %) a na Slovensku (0,1 %). Nejhlubší pokles byl naopak v Litvě (–9,6 %), Španělsku (–7,7 %) a Belgii (–7,5 %).</w:t>
            </w:r>
          </w:p>
        </w:tc>
      </w:tr>
      <w:tr w:rsidR="00295E96" w14:paraId="51A048FD" w14:textId="77777777" w:rsidTr="003F1624">
        <w:trPr>
          <w:trHeight w:val="145"/>
        </w:trPr>
        <w:tc>
          <w:tcPr>
            <w:tcW w:w="1805" w:type="dxa"/>
            <w:hideMark/>
          </w:tcPr>
          <w:p w14:paraId="486E5B6A" w14:textId="77777777" w:rsidR="00295E96" w:rsidRDefault="00295E96" w:rsidP="003F1624">
            <w:pPr>
              <w:pStyle w:val="Marginlie"/>
              <w:rPr>
                <w:spacing w:val="0"/>
                <w:lang w:eastAsia="en-US"/>
              </w:rPr>
            </w:pPr>
            <w:r>
              <w:rPr>
                <w:spacing w:val="0"/>
                <w:lang w:eastAsia="en-US"/>
              </w:rPr>
              <w:t>Růst cen tržních služeb ve 2. čtvrtletí zvolnil.</w:t>
            </w:r>
          </w:p>
        </w:tc>
        <w:tc>
          <w:tcPr>
            <w:tcW w:w="224" w:type="dxa"/>
          </w:tcPr>
          <w:p w14:paraId="4CB5D0AB" w14:textId="77777777" w:rsidR="00295E96" w:rsidRDefault="00295E96" w:rsidP="003F1624">
            <w:pPr>
              <w:pStyle w:val="Textpoznpodarou1"/>
              <w:jc w:val="both"/>
              <w:rPr>
                <w:lang w:eastAsia="en-US"/>
              </w:rPr>
            </w:pPr>
          </w:p>
        </w:tc>
        <w:tc>
          <w:tcPr>
            <w:tcW w:w="7610" w:type="dxa"/>
            <w:hideMark/>
          </w:tcPr>
          <w:p w14:paraId="7612FDD2" w14:textId="77777777" w:rsidR="00295E96" w:rsidRDefault="00295E96" w:rsidP="003F1624">
            <w:pPr>
              <w:rPr>
                <w:lang w:eastAsia="en-US"/>
              </w:rPr>
            </w:pPr>
            <w:r>
              <w:rPr>
                <w:lang w:eastAsia="en-US"/>
              </w:rPr>
              <w:t>Meziroční růst cen tržních služeb ve 2. čtvrtletí zpomalil na 2,1 %. Zvolnění meziroční dynamiky bylo patrné napříč všemi obory. Nejvíce k celkovému růstu cen tržních služeb přispívalo skladování a podpůrné služby v dopravě (meziroční přírůstek 5,0 %). Dále to byly služby v oblasti programování a poradenství a související služby (3,1 %) a služby v oblasti nemovitostí (2,9 %, jeden z mála oborů, kde cenový růst mírně zrychlil). K celkové dynamice přispívala také pozemní a potrubní doprava (1,4 %), u které je mírný růst vyvažován velkou vahou odvětví v ekonomice. Ceny pojištění, zajištění a penzijního financování vzrostly o 3,1 %. Výraznější vliv měly také služby v oblasti zaměstnání, kde trval silný meziroční růst (7,2 %), i když mírnější než v předchozím kvartálu. Zpomalování růstu cen služeb lze spojit jednak s mírnějším růstem mezd, které mají na cenotvorbu velký vliv, souvislost ale má i propad poptávky. Ten pravděpodobně stál za výraznou redukcí tempa růstu cen reklamních služeb a průzkumu trhu (0,7 %).</w:t>
            </w:r>
          </w:p>
        </w:tc>
      </w:tr>
      <w:tr w:rsidR="00295E96" w14:paraId="12CA7EE8" w14:textId="77777777" w:rsidTr="003F1624">
        <w:trPr>
          <w:trHeight w:val="145"/>
        </w:trPr>
        <w:tc>
          <w:tcPr>
            <w:tcW w:w="1805" w:type="dxa"/>
            <w:hideMark/>
          </w:tcPr>
          <w:p w14:paraId="0D1CFABD" w14:textId="77777777" w:rsidR="00295E96" w:rsidRDefault="00295E96" w:rsidP="003F1624">
            <w:pPr>
              <w:pStyle w:val="Marginlie"/>
              <w:rPr>
                <w:spacing w:val="0"/>
                <w:lang w:eastAsia="en-US"/>
              </w:rPr>
            </w:pPr>
            <w:r>
              <w:rPr>
                <w:spacing w:val="0"/>
                <w:lang w:eastAsia="en-US"/>
              </w:rPr>
              <w:t>Ceny zemědělské výroby se snížily. Klesaly ceny rostlinné i živočišné výroby.</w:t>
            </w:r>
          </w:p>
        </w:tc>
        <w:tc>
          <w:tcPr>
            <w:tcW w:w="224" w:type="dxa"/>
          </w:tcPr>
          <w:p w14:paraId="2BCBDC8F" w14:textId="77777777" w:rsidR="00295E96" w:rsidRDefault="00295E96" w:rsidP="003F1624">
            <w:pPr>
              <w:pStyle w:val="Textpoznpodarou1"/>
              <w:jc w:val="both"/>
              <w:rPr>
                <w:lang w:eastAsia="en-US"/>
              </w:rPr>
            </w:pPr>
          </w:p>
        </w:tc>
        <w:tc>
          <w:tcPr>
            <w:tcW w:w="7610" w:type="dxa"/>
            <w:hideMark/>
          </w:tcPr>
          <w:p w14:paraId="46D920C2" w14:textId="77777777" w:rsidR="00295E96" w:rsidRDefault="00295E96" w:rsidP="003F1624">
            <w:pPr>
              <w:rPr>
                <w:spacing w:val="-2"/>
                <w:lang w:eastAsia="en-US"/>
              </w:rPr>
            </w:pPr>
            <w:r>
              <w:rPr>
                <w:spacing w:val="-2"/>
                <w:lang w:eastAsia="en-US"/>
              </w:rPr>
              <w:t xml:space="preserve">Ceny zemědělské výroby (včetně ryb) ve 2. čtvrtletí meziročně klesly o 3,2 %. Snížily se ceny rostlinné i živočišné výroby. U rostlinné výroby došlo ke zmírnění propadu na </w:t>
            </w:r>
            <w:r>
              <w:rPr>
                <w:spacing w:val="-2"/>
                <w:lang w:eastAsia="en-US"/>
              </w:rPr>
              <w:br/>
              <w:t xml:space="preserve">–5,6 %. Pokles pokračoval u cen obilovin (–7,5 %), zejména váhově významné pšenice </w:t>
            </w:r>
            <w:r>
              <w:rPr>
                <w:spacing w:val="-2"/>
                <w:lang w:eastAsia="en-US"/>
              </w:rPr>
              <w:lastRenderedPageBreak/>
              <w:t>(–7,3 %). Snižovaly se ale i ceny u dalších obilovin (žito –11,4 %, ječmen –8,4 %). Důvod lze vidět zejména ve vysoké srovnávací základně loňského roku. Ceny průmyslových plodin klesaly o 2,6 %, hlavně pod vlivem olejnin (–2,7 %), kde se ale rozcházel vývoj cen semen řepky olejné (růst o 5,7 %) a máku (propad o 34,2 %). Propadaly se i ceny brambor (–19,3 %), ale vzhledem k prudkému nárůstu v minulém roce (74,7 % ve 2. čtvrtletí 2019) zůstávají jejich ceny stále na vysoké úrovni (30,4 % nad průměrem roku 2015). Meziročně prudce narostly i ceny ovoce (38,7 %), zejména jablek (79,7 %). Ceny živočišné výroby klesly o 0,6 %. Výrazně totiž zmírnil růst cen hospodářských zvířat, zejména prasat a selat (11,2 %). V případě ostatních hospodářských zvířat ceny klesaly (skot –5,9 %, drůbež –1,5 %). Klesaly ceny mléka (–3,8 %) a naopak rostly ceny vajec (4,9 %).</w:t>
            </w:r>
          </w:p>
        </w:tc>
      </w:tr>
      <w:tr w:rsidR="00295E96" w14:paraId="1E549C85" w14:textId="77777777" w:rsidTr="003F1624">
        <w:trPr>
          <w:trHeight w:val="145"/>
        </w:trPr>
        <w:tc>
          <w:tcPr>
            <w:tcW w:w="1805" w:type="dxa"/>
            <w:hideMark/>
          </w:tcPr>
          <w:p w14:paraId="7D73483E" w14:textId="77777777" w:rsidR="00295E96" w:rsidRDefault="00295E96" w:rsidP="003F1624">
            <w:pPr>
              <w:pStyle w:val="Marginlie"/>
              <w:rPr>
                <w:spacing w:val="0"/>
                <w:lang w:eastAsia="en-US"/>
              </w:rPr>
            </w:pPr>
            <w:r>
              <w:rPr>
                <w:spacing w:val="0"/>
                <w:lang w:eastAsia="en-US"/>
              </w:rPr>
              <w:lastRenderedPageBreak/>
              <w:t>Oslabení koruny vůči euru i dolaru tlačilo vzhůru ceny dovozu i vývozu.</w:t>
            </w:r>
          </w:p>
        </w:tc>
        <w:tc>
          <w:tcPr>
            <w:tcW w:w="224" w:type="dxa"/>
          </w:tcPr>
          <w:p w14:paraId="4AA77B0B" w14:textId="77777777" w:rsidR="00295E96" w:rsidRDefault="00295E96" w:rsidP="003F1624">
            <w:pPr>
              <w:pStyle w:val="Textpoznpodarou1"/>
              <w:jc w:val="both"/>
              <w:rPr>
                <w:lang w:eastAsia="en-US"/>
              </w:rPr>
            </w:pPr>
          </w:p>
        </w:tc>
        <w:tc>
          <w:tcPr>
            <w:tcW w:w="7610" w:type="dxa"/>
            <w:hideMark/>
          </w:tcPr>
          <w:p w14:paraId="16282D0A" w14:textId="77777777" w:rsidR="00295E96" w:rsidRDefault="00295E96" w:rsidP="003F1624">
            <w:pPr>
              <w:rPr>
                <w:lang w:eastAsia="en-US"/>
              </w:rPr>
            </w:pPr>
            <w:r>
              <w:rPr>
                <w:lang w:eastAsia="en-US"/>
              </w:rPr>
              <w:t>Ceny exportu ve 2. čtvrtletí meziročně vzrostly o 2,6 %. Po dvou čtvrtletích meziročních propadů tak byla dynamika opět kladná. Hlavní podíl na tom mělo prudké oslabení směnného kurzu koruny vůči euru i dolaru. Vliv oslabení byl klíčový, protože po očištění o kurzové vlivy by ceny vývozu meziročně klesly o 1,4 %. Růst cen vývozu ve 2. čtvrtletí podporovaly ceny potravin a živých zvířat (meziroční přírůstek 5,4 %), nápojů a tabáku (8,0 %), polotovarů</w:t>
            </w:r>
            <w:r>
              <w:rPr>
                <w:rStyle w:val="Znakapoznpodarou"/>
                <w:lang w:eastAsia="en-US"/>
              </w:rPr>
              <w:footnoteReference w:id="35"/>
            </w:r>
            <w:r>
              <w:rPr>
                <w:lang w:eastAsia="en-US"/>
              </w:rPr>
              <w:t xml:space="preserve"> (1,6 %), strojů a dopravních prostředků (4,9 %) a průmyslového spotřebního zboží (5,7 %). Naopak výrazně se prohloubil meziroční propad cen vývozu minerálních paliv (–26,5 %) a klesaly i ceny ostatních surovin</w:t>
            </w:r>
            <w:r>
              <w:rPr>
                <w:rStyle w:val="Znakapoznpodarou"/>
                <w:lang w:eastAsia="en-US"/>
              </w:rPr>
              <w:footnoteReference w:id="36"/>
            </w:r>
            <w:r>
              <w:rPr>
                <w:lang w:eastAsia="en-US"/>
              </w:rPr>
              <w:t xml:space="preserve"> (–8,5 %). Snížení cen se nevyhnulo ani chemikáliím a příbuzným výrobkům (–1,4 %).</w:t>
            </w:r>
          </w:p>
        </w:tc>
      </w:tr>
      <w:tr w:rsidR="00295E96" w14:paraId="44D23371" w14:textId="77777777" w:rsidTr="003F1624">
        <w:trPr>
          <w:trHeight w:val="145"/>
        </w:trPr>
        <w:tc>
          <w:tcPr>
            <w:tcW w:w="1805" w:type="dxa"/>
            <w:hideMark/>
          </w:tcPr>
          <w:p w14:paraId="2F056386" w14:textId="77777777" w:rsidR="00295E96" w:rsidRDefault="00295E96" w:rsidP="003F1624">
            <w:pPr>
              <w:pStyle w:val="Marginlie"/>
              <w:rPr>
                <w:spacing w:val="0"/>
                <w:lang w:eastAsia="en-US"/>
              </w:rPr>
            </w:pPr>
            <w:r>
              <w:rPr>
                <w:spacing w:val="0"/>
                <w:lang w:eastAsia="en-US"/>
              </w:rPr>
              <w:t>Zejména kvůli cenám ropy klesly ceny dovozu.</w:t>
            </w:r>
          </w:p>
        </w:tc>
        <w:tc>
          <w:tcPr>
            <w:tcW w:w="224" w:type="dxa"/>
          </w:tcPr>
          <w:p w14:paraId="7CC7D0E9" w14:textId="77777777" w:rsidR="00295E96" w:rsidRDefault="00295E96" w:rsidP="003F1624">
            <w:pPr>
              <w:pStyle w:val="Textpoznpodarou1"/>
              <w:jc w:val="both"/>
              <w:rPr>
                <w:lang w:eastAsia="en-US"/>
              </w:rPr>
            </w:pPr>
          </w:p>
        </w:tc>
        <w:tc>
          <w:tcPr>
            <w:tcW w:w="7610" w:type="dxa"/>
            <w:hideMark/>
          </w:tcPr>
          <w:p w14:paraId="18A6748E" w14:textId="77777777" w:rsidR="00295E96" w:rsidRDefault="00295E96" w:rsidP="003F1624">
            <w:pPr>
              <w:rPr>
                <w:lang w:eastAsia="en-US"/>
              </w:rPr>
            </w:pPr>
            <w:r>
              <w:rPr>
                <w:lang w:eastAsia="en-US"/>
              </w:rPr>
              <w:t xml:space="preserve">Ceny dovozu ve 2. čtvrtletí meziročně klesly o 0,5 %. I zde ale velké oslabení koruny tlumilo propad cen (po očištění o kurzové vlivy pokles činil 4,4 %). Klesaly zejména ceny minerálních paliv (–40,1 %), dále chemikálií a příbuzných výrobků (–2,1 %) a ostatních surovin (–1,4 %). Mírně poklesly ceny dovozu nápojů a tabáku (–0,8 %). Naopak výrazné navýšení ve 2. čtvrtletí proběhlo u cen potravin a živých zvířat (6,9 %), strojů a dopravních prostředků (4,9 %) a průmyslového spotřebního zboží (3,7 %). Velký rozdíl mezi tempy růstu cen vývozu a dovozu také vedl ke </w:t>
            </w:r>
            <w:r w:rsidRPr="0085334C">
              <w:rPr>
                <w:lang w:eastAsia="en-US"/>
              </w:rPr>
              <w:t>zvýšení směnných relací ve 2. čtvrtletí na 103,1 %.</w:t>
            </w:r>
            <w:r>
              <w:rPr>
                <w:lang w:eastAsia="en-US"/>
              </w:rPr>
              <w:t xml:space="preserve"> Kladné byly směnné relace obchodu s minerálními palivy (122,7 %), nápoji a tabákem (108,9 %), průmyslovým spotřebním zbožím (101,9 %), polotovary (101,4 %) a chemikáliemi a příbuznými výrobky (100,7 %). Záporných směnných relací dosahoval obchod s ostatními surovinami (92,8 %) a potravinami a živými zvířaty (98,6 %).</w:t>
            </w:r>
          </w:p>
        </w:tc>
      </w:tr>
      <w:bookmarkEnd w:id="18"/>
    </w:tbl>
    <w:p w14:paraId="4F0C574F" w14:textId="77777777" w:rsidR="00295E96" w:rsidRDefault="00295E96" w:rsidP="00295E96">
      <w:pPr>
        <w:spacing w:after="0" w:line="240" w:lineRule="auto"/>
        <w:jc w:val="left"/>
        <w:rPr>
          <w:b/>
          <w:sz w:val="2"/>
          <w:szCs w:val="2"/>
          <w:highlight w:val="yellow"/>
        </w:rPr>
      </w:pPr>
    </w:p>
    <w:p w14:paraId="14635A3A" w14:textId="77777777" w:rsidR="00A96422" w:rsidRDefault="00A96422" w:rsidP="00A96422">
      <w:pPr>
        <w:pStyle w:val="Nadpis11"/>
        <w:sectPr w:rsidR="00A96422" w:rsidSect="00A03B10">
          <w:headerReference w:type="even" r:id="rId20"/>
          <w:headerReference w:type="default" r:id="rId21"/>
          <w:footerReference w:type="even" r:id="rId22"/>
          <w:footerReference w:type="default" r:id="rId23"/>
          <w:pgSz w:w="11906" w:h="16838" w:code="9"/>
          <w:pgMar w:top="1134" w:right="1134" w:bottom="1418" w:left="1134" w:header="680" w:footer="737" w:gutter="0"/>
          <w:cols w:space="708"/>
          <w:docGrid w:linePitch="360"/>
        </w:sectPr>
      </w:pPr>
    </w:p>
    <w:p w14:paraId="02953643" w14:textId="77777777" w:rsidR="006769C6" w:rsidRDefault="006769C6" w:rsidP="006769C6">
      <w:pPr>
        <w:pStyle w:val="Nadpis11"/>
      </w:pPr>
      <w:bookmarkStart w:id="21" w:name="_Toc19090679"/>
      <w:bookmarkStart w:id="22" w:name="_Toc50712130"/>
      <w:bookmarkEnd w:id="19"/>
      <w:r w:rsidRPr="00B43216">
        <w:lastRenderedPageBreak/>
        <w:t>6. Trh práce</w:t>
      </w:r>
      <w:bookmarkEnd w:id="21"/>
      <w:bookmarkEnd w:id="22"/>
    </w:p>
    <w:tbl>
      <w:tblPr>
        <w:tblW w:w="9664" w:type="dxa"/>
        <w:tblInd w:w="-30" w:type="dxa"/>
        <w:tblCellMar>
          <w:left w:w="0" w:type="dxa"/>
          <w:right w:w="0" w:type="dxa"/>
        </w:tblCellMar>
        <w:tblLook w:val="00A0" w:firstRow="1" w:lastRow="0" w:firstColumn="1" w:lastColumn="0" w:noHBand="0" w:noVBand="0"/>
      </w:tblPr>
      <w:tblGrid>
        <w:gridCol w:w="1792"/>
        <w:gridCol w:w="216"/>
        <w:gridCol w:w="7656"/>
      </w:tblGrid>
      <w:tr w:rsidR="006769C6" w:rsidRPr="006237E6" w14:paraId="70BE8969" w14:textId="77777777" w:rsidTr="0026300B">
        <w:trPr>
          <w:trHeight w:val="155"/>
        </w:trPr>
        <w:tc>
          <w:tcPr>
            <w:tcW w:w="1792" w:type="dxa"/>
            <w:vMerge w:val="restart"/>
            <w:shd w:val="clear" w:color="auto" w:fill="auto"/>
            <w:tcMar>
              <w:left w:w="0" w:type="dxa"/>
            </w:tcMar>
          </w:tcPr>
          <w:p w14:paraId="314F5CB7" w14:textId="77777777" w:rsidR="006769C6" w:rsidRPr="00CA5850" w:rsidRDefault="006769C6" w:rsidP="0026300B">
            <w:pPr>
              <w:pStyle w:val="Marginlie"/>
              <w:rPr>
                <w:spacing w:val="-4"/>
              </w:rPr>
            </w:pPr>
            <w:r>
              <w:rPr>
                <w:spacing w:val="-4"/>
              </w:rPr>
              <w:t>Bezprostřední dopady vnějšího šoku na pracovní trh byly značně diferencované. Nejvíce se promítly poklesem celkové ekonomické aktivity.</w:t>
            </w:r>
          </w:p>
        </w:tc>
        <w:tc>
          <w:tcPr>
            <w:tcW w:w="216" w:type="dxa"/>
            <w:vMerge w:val="restart"/>
            <w:shd w:val="clear" w:color="auto" w:fill="auto"/>
            <w:tcMar>
              <w:left w:w="0" w:type="dxa"/>
            </w:tcMar>
          </w:tcPr>
          <w:p w14:paraId="4CA4B10C" w14:textId="77777777" w:rsidR="006769C6" w:rsidRPr="003B1401" w:rsidRDefault="006769C6" w:rsidP="0026300B">
            <w:pPr>
              <w:pStyle w:val="Textpoznpodarou"/>
              <w:jc w:val="both"/>
              <w:rPr>
                <w:spacing w:val="-4"/>
              </w:rPr>
            </w:pPr>
          </w:p>
        </w:tc>
        <w:tc>
          <w:tcPr>
            <w:tcW w:w="7656" w:type="dxa"/>
            <w:shd w:val="clear" w:color="auto" w:fill="auto"/>
            <w:tcMar>
              <w:left w:w="0" w:type="dxa"/>
            </w:tcMar>
          </w:tcPr>
          <w:p w14:paraId="6528FEA9" w14:textId="77777777" w:rsidR="006769C6" w:rsidRPr="0048230E" w:rsidRDefault="006769C6" w:rsidP="0026300B">
            <w:pPr>
              <w:spacing w:after="200"/>
              <w:rPr>
                <w:rFonts w:cs="Arial"/>
                <w:bCs/>
                <w:color w:val="000000"/>
                <w:spacing w:val="-4"/>
                <w:szCs w:val="20"/>
              </w:rPr>
            </w:pPr>
            <w:r w:rsidRPr="0048230E">
              <w:rPr>
                <w:rFonts w:cs="Arial"/>
                <w:bCs/>
                <w:color w:val="000000"/>
                <w:spacing w:val="-4"/>
                <w:szCs w:val="20"/>
              </w:rPr>
              <w:t xml:space="preserve">Přestože tuzemský trh práce tradičně reaguje na ekonomické šoky s jistým zpožděním, stačily se již </w:t>
            </w:r>
            <w:r w:rsidRPr="0048230E">
              <w:rPr>
                <w:spacing w:val="-4"/>
              </w:rPr>
              <w:t>protipandemické restrikce</w:t>
            </w:r>
            <w:r w:rsidRPr="0048230E">
              <w:rPr>
                <w:rFonts w:cs="Arial"/>
                <w:bCs/>
                <w:color w:val="000000"/>
                <w:spacing w:val="-4"/>
                <w:szCs w:val="20"/>
              </w:rPr>
              <w:t xml:space="preserve"> citelně projevit. Více než dvouměsíční období nouzového stavu zasáhlo do celé první poloviny 2.</w:t>
            </w:r>
            <w:r>
              <w:rPr>
                <w:rFonts w:cs="Arial"/>
                <w:bCs/>
                <w:color w:val="000000"/>
                <w:spacing w:val="-4"/>
                <w:szCs w:val="20"/>
              </w:rPr>
              <w:t> čtvrtlet</w:t>
            </w:r>
            <w:r w:rsidRPr="0048230E">
              <w:rPr>
                <w:rFonts w:cs="Arial"/>
                <w:bCs/>
                <w:color w:val="000000"/>
                <w:spacing w:val="-4"/>
                <w:szCs w:val="20"/>
              </w:rPr>
              <w:t xml:space="preserve">í 2020 </w:t>
            </w:r>
            <w:r>
              <w:rPr>
                <w:rFonts w:cs="Arial"/>
                <w:bCs/>
                <w:color w:val="000000"/>
                <w:spacing w:val="-4"/>
                <w:szCs w:val="20"/>
              </w:rPr>
              <w:t>a </w:t>
            </w:r>
            <w:r w:rsidRPr="0048230E">
              <w:rPr>
                <w:rFonts w:cs="Arial"/>
                <w:bCs/>
                <w:color w:val="000000"/>
                <w:spacing w:val="-4"/>
                <w:szCs w:val="20"/>
              </w:rPr>
              <w:t>i</w:t>
            </w:r>
            <w:r>
              <w:rPr>
                <w:rFonts w:cs="Arial"/>
                <w:bCs/>
                <w:color w:val="000000"/>
                <w:spacing w:val="-4"/>
                <w:szCs w:val="20"/>
              </w:rPr>
              <w:t> </w:t>
            </w:r>
            <w:r w:rsidRPr="0048230E">
              <w:rPr>
                <w:rFonts w:cs="Arial"/>
                <w:bCs/>
                <w:color w:val="000000"/>
                <w:spacing w:val="-4"/>
                <w:szCs w:val="20"/>
              </w:rPr>
              <w:t>v dalších týdnech probíhal návrat k normálu jen velmi pozvolna. Dosud sledované dopady tohoto šoku na pracovní trh byly značně diferencované (např</w:t>
            </w:r>
            <w:r>
              <w:rPr>
                <w:rFonts w:cs="Arial"/>
                <w:bCs/>
                <w:color w:val="000000"/>
                <w:spacing w:val="-4"/>
                <w:szCs w:val="20"/>
              </w:rPr>
              <w:t>íklad</w:t>
            </w:r>
            <w:r w:rsidRPr="0048230E">
              <w:rPr>
                <w:rFonts w:cs="Arial"/>
                <w:bCs/>
                <w:color w:val="000000"/>
                <w:spacing w:val="-4"/>
                <w:szCs w:val="20"/>
              </w:rPr>
              <w:t xml:space="preserve"> z pohledu odvětví či postavení osob </w:t>
            </w:r>
            <w:r>
              <w:rPr>
                <w:rFonts w:cs="Arial"/>
                <w:bCs/>
                <w:color w:val="000000"/>
                <w:spacing w:val="-4"/>
                <w:szCs w:val="20"/>
              </w:rPr>
              <w:t>v </w:t>
            </w:r>
            <w:r w:rsidRPr="0048230E">
              <w:rPr>
                <w:rFonts w:cs="Arial"/>
                <w:bCs/>
                <w:color w:val="000000"/>
                <w:spacing w:val="-4"/>
                <w:szCs w:val="20"/>
              </w:rPr>
              <w:t>zaměstnání). Rozličnou intenzitu zasažení podtrhují i</w:t>
            </w:r>
            <w:r>
              <w:rPr>
                <w:rFonts w:cs="Arial"/>
                <w:bCs/>
                <w:color w:val="000000"/>
                <w:spacing w:val="-4"/>
                <w:szCs w:val="20"/>
              </w:rPr>
              <w:t> </w:t>
            </w:r>
            <w:r w:rsidRPr="0048230E">
              <w:rPr>
                <w:rFonts w:cs="Arial"/>
                <w:bCs/>
                <w:color w:val="000000"/>
                <w:spacing w:val="-4"/>
                <w:szCs w:val="20"/>
              </w:rPr>
              <w:t>výpovědi domácnost</w:t>
            </w:r>
            <w:r>
              <w:rPr>
                <w:rFonts w:cs="Arial"/>
                <w:bCs/>
                <w:color w:val="000000"/>
                <w:spacing w:val="-4"/>
                <w:szCs w:val="20"/>
              </w:rPr>
              <w:t>í</w:t>
            </w:r>
            <w:r w:rsidRPr="0048230E">
              <w:rPr>
                <w:rFonts w:cs="Arial"/>
                <w:bCs/>
                <w:color w:val="000000"/>
                <w:spacing w:val="-4"/>
                <w:szCs w:val="20"/>
              </w:rPr>
              <w:t xml:space="preserve"> (pociťování </w:t>
            </w:r>
            <w:r w:rsidRPr="0048230E">
              <w:rPr>
                <w:rFonts w:cs="Arial"/>
                <w:bCs/>
                <w:color w:val="000000"/>
                <w:spacing w:val="-5"/>
                <w:szCs w:val="20"/>
              </w:rPr>
              <w:t>negativních dopadů ve svém zaměstnání i</w:t>
            </w:r>
            <w:r>
              <w:rPr>
                <w:rFonts w:cs="Arial"/>
                <w:bCs/>
                <w:color w:val="000000"/>
                <w:spacing w:val="-5"/>
                <w:szCs w:val="20"/>
              </w:rPr>
              <w:t> </w:t>
            </w:r>
            <w:r w:rsidRPr="0048230E">
              <w:rPr>
                <w:rFonts w:cs="Arial"/>
                <w:bCs/>
                <w:color w:val="000000"/>
                <w:spacing w:val="-5"/>
                <w:szCs w:val="20"/>
              </w:rPr>
              <w:t>obavy z růstu nezaměstnanosti). Nejviditelnějším</w:t>
            </w:r>
            <w:r w:rsidRPr="0048230E">
              <w:rPr>
                <w:rFonts w:cs="Arial"/>
                <w:bCs/>
                <w:color w:val="000000"/>
                <w:spacing w:val="-4"/>
                <w:szCs w:val="20"/>
              </w:rPr>
              <w:t xml:space="preserve"> projevem nastupující hospodářské recese byl ve 2.</w:t>
            </w:r>
            <w:r>
              <w:rPr>
                <w:rFonts w:cs="Arial"/>
                <w:bCs/>
                <w:color w:val="000000"/>
                <w:spacing w:val="-4"/>
                <w:szCs w:val="20"/>
              </w:rPr>
              <w:t> čtvrtlet</w:t>
            </w:r>
            <w:r w:rsidRPr="0048230E">
              <w:rPr>
                <w:rFonts w:cs="Arial"/>
                <w:bCs/>
                <w:color w:val="000000"/>
                <w:spacing w:val="-4"/>
                <w:szCs w:val="20"/>
              </w:rPr>
              <w:t>í významný pokles ekonomické aktivity vyjádřený jak nižším poč</w:t>
            </w:r>
            <w:r>
              <w:rPr>
                <w:rFonts w:cs="Arial"/>
                <w:bCs/>
                <w:color w:val="000000"/>
                <w:spacing w:val="-4"/>
                <w:szCs w:val="20"/>
              </w:rPr>
              <w:t>tem</w:t>
            </w:r>
            <w:r w:rsidRPr="0048230E">
              <w:rPr>
                <w:rFonts w:cs="Arial"/>
                <w:bCs/>
                <w:color w:val="000000"/>
                <w:spacing w:val="-4"/>
                <w:szCs w:val="20"/>
              </w:rPr>
              <w:t xml:space="preserve"> zaměstnaných, tak i</w:t>
            </w:r>
            <w:r>
              <w:rPr>
                <w:rFonts w:cs="Arial"/>
                <w:bCs/>
                <w:color w:val="000000"/>
                <w:spacing w:val="-4"/>
                <w:szCs w:val="20"/>
              </w:rPr>
              <w:t> </w:t>
            </w:r>
            <w:r w:rsidRPr="0048230E">
              <w:rPr>
                <w:rFonts w:cs="Arial"/>
                <w:bCs/>
                <w:color w:val="000000"/>
                <w:spacing w:val="-4"/>
                <w:szCs w:val="20"/>
              </w:rPr>
              <w:t>hlubší redukcí odpracovaných hodin. Naopak dosud jen mírný růst nezaměstnanosti souvisel se stabilizačními vládními programy (Antivirus, ošetřovné) a</w:t>
            </w:r>
            <w:r>
              <w:rPr>
                <w:rFonts w:cs="Arial"/>
                <w:bCs/>
                <w:color w:val="000000"/>
                <w:spacing w:val="-4"/>
                <w:szCs w:val="20"/>
              </w:rPr>
              <w:t> </w:t>
            </w:r>
            <w:r w:rsidRPr="0048230E">
              <w:rPr>
                <w:rFonts w:cs="Arial"/>
                <w:bCs/>
                <w:color w:val="000000"/>
                <w:spacing w:val="-4"/>
                <w:szCs w:val="20"/>
              </w:rPr>
              <w:t>s tím, že část lidí, kteří o</w:t>
            </w:r>
            <w:r>
              <w:rPr>
                <w:rFonts w:cs="Arial"/>
                <w:bCs/>
                <w:color w:val="000000"/>
                <w:spacing w:val="-4"/>
                <w:szCs w:val="20"/>
              </w:rPr>
              <w:t> </w:t>
            </w:r>
            <w:r w:rsidRPr="0048230E">
              <w:rPr>
                <w:rFonts w:cs="Arial"/>
                <w:bCs/>
                <w:color w:val="000000"/>
                <w:spacing w:val="-4"/>
                <w:szCs w:val="20"/>
              </w:rPr>
              <w:t>práci přišli, se z pracovního trhu stáhla (zahraniční pracovníci, ekonomicky neaktivní). Zhoršená ekonomická situace podniků se projevila zastavením růstu průměrných mezd ve většině tržních odvětví a kontrastovala s dosud stabilizovaným vývojem v odvětvích s dominancí státu.</w:t>
            </w:r>
          </w:p>
        </w:tc>
      </w:tr>
      <w:tr w:rsidR="006769C6" w:rsidRPr="006237E6" w14:paraId="797B90AF" w14:textId="77777777" w:rsidTr="0026300B">
        <w:trPr>
          <w:trHeight w:val="155"/>
        </w:trPr>
        <w:tc>
          <w:tcPr>
            <w:tcW w:w="1792" w:type="dxa"/>
            <w:vMerge w:val="restart"/>
            <w:shd w:val="clear" w:color="auto" w:fill="auto"/>
            <w:tcMar>
              <w:left w:w="0" w:type="dxa"/>
            </w:tcMar>
          </w:tcPr>
          <w:p w14:paraId="58AA7030" w14:textId="77777777" w:rsidR="006769C6" w:rsidRDefault="006769C6" w:rsidP="0026300B">
            <w:pPr>
              <w:pStyle w:val="Marginlie"/>
              <w:rPr>
                <w:spacing w:val="-4"/>
              </w:rPr>
            </w:pPr>
            <w:r>
              <w:rPr>
                <w:spacing w:val="-4"/>
              </w:rPr>
              <w:t>Celkový počet zaměstnaných se po stagnaci na počátku roku během 2. čtvrtletí snížil o</w:t>
            </w:r>
            <w:r>
              <w:t> </w:t>
            </w:r>
            <w:r>
              <w:rPr>
                <w:spacing w:val="-4"/>
              </w:rPr>
              <w:t>významných 1,4 %.</w:t>
            </w:r>
          </w:p>
          <w:p w14:paraId="1D9EC2C6" w14:textId="77777777" w:rsidR="006769C6" w:rsidRDefault="006769C6" w:rsidP="0026300B">
            <w:pPr>
              <w:pStyle w:val="Marginlie"/>
              <w:rPr>
                <w:spacing w:val="-4"/>
              </w:rPr>
            </w:pPr>
          </w:p>
          <w:p w14:paraId="6EA2D788" w14:textId="77777777" w:rsidR="006769C6" w:rsidRDefault="006769C6" w:rsidP="0026300B">
            <w:pPr>
              <w:pStyle w:val="Marginlie"/>
              <w:rPr>
                <w:spacing w:val="-4"/>
              </w:rPr>
            </w:pPr>
          </w:p>
          <w:p w14:paraId="78335FAF" w14:textId="77777777" w:rsidR="006769C6" w:rsidRDefault="006769C6" w:rsidP="0026300B">
            <w:pPr>
              <w:pStyle w:val="Marginlie"/>
              <w:rPr>
                <w:spacing w:val="-4"/>
              </w:rPr>
            </w:pPr>
          </w:p>
          <w:p w14:paraId="65EAB056" w14:textId="77777777" w:rsidR="006769C6" w:rsidRDefault="006769C6" w:rsidP="0026300B">
            <w:pPr>
              <w:pStyle w:val="Marginlie"/>
              <w:rPr>
                <w:spacing w:val="-4"/>
              </w:rPr>
            </w:pPr>
          </w:p>
          <w:p w14:paraId="777BC581" w14:textId="77777777" w:rsidR="006769C6" w:rsidRDefault="006769C6" w:rsidP="0026300B">
            <w:pPr>
              <w:pStyle w:val="Marginlie"/>
              <w:rPr>
                <w:spacing w:val="-4"/>
              </w:rPr>
            </w:pPr>
          </w:p>
          <w:p w14:paraId="6254E624" w14:textId="77777777" w:rsidR="006769C6" w:rsidRDefault="006769C6" w:rsidP="0026300B">
            <w:pPr>
              <w:pStyle w:val="Marginlie"/>
              <w:rPr>
                <w:spacing w:val="-4"/>
              </w:rPr>
            </w:pPr>
          </w:p>
          <w:p w14:paraId="6E0DCBB7" w14:textId="77777777" w:rsidR="006769C6" w:rsidRPr="00CA5850" w:rsidRDefault="006769C6" w:rsidP="0026300B">
            <w:pPr>
              <w:pStyle w:val="Marginlie"/>
              <w:rPr>
                <w:spacing w:val="-4"/>
              </w:rPr>
            </w:pPr>
            <w:r>
              <w:rPr>
                <w:spacing w:val="-4"/>
              </w:rPr>
              <w:t>K meziročnímu poklesu zaměstnanosti přispěli hlavně zaměstnanci. K silnější redukci míst došlo ve zpracovatelském průmyslu a v odvětvích služeb souvisejících s cestovním ruchem.</w:t>
            </w:r>
          </w:p>
        </w:tc>
        <w:tc>
          <w:tcPr>
            <w:tcW w:w="216" w:type="dxa"/>
            <w:vMerge w:val="restart"/>
            <w:shd w:val="clear" w:color="auto" w:fill="auto"/>
            <w:tcMar>
              <w:left w:w="0" w:type="dxa"/>
            </w:tcMar>
          </w:tcPr>
          <w:p w14:paraId="224D271D" w14:textId="77777777" w:rsidR="006769C6" w:rsidRPr="003B1401" w:rsidRDefault="006769C6" w:rsidP="0026300B">
            <w:pPr>
              <w:pStyle w:val="Textpoznpodarou"/>
              <w:jc w:val="both"/>
              <w:rPr>
                <w:spacing w:val="-4"/>
              </w:rPr>
            </w:pPr>
          </w:p>
        </w:tc>
        <w:tc>
          <w:tcPr>
            <w:tcW w:w="7656" w:type="dxa"/>
            <w:shd w:val="clear" w:color="auto" w:fill="auto"/>
            <w:tcMar>
              <w:left w:w="0" w:type="dxa"/>
            </w:tcMar>
          </w:tcPr>
          <w:p w14:paraId="04E2524A" w14:textId="77777777" w:rsidR="006769C6" w:rsidRPr="0046007D" w:rsidRDefault="006769C6" w:rsidP="0026300B">
            <w:pPr>
              <w:spacing w:after="200"/>
              <w:rPr>
                <w:rFonts w:cs="Arial"/>
                <w:bCs/>
                <w:color w:val="000000"/>
                <w:spacing w:val="-4"/>
                <w:szCs w:val="20"/>
              </w:rPr>
            </w:pPr>
            <w:r w:rsidRPr="0046007D">
              <w:rPr>
                <w:rFonts w:cs="Arial"/>
                <w:bCs/>
                <w:color w:val="000000"/>
                <w:spacing w:val="-4"/>
                <w:szCs w:val="20"/>
              </w:rPr>
              <w:t>Zatímco v 1.</w:t>
            </w:r>
            <w:r>
              <w:rPr>
                <w:rFonts w:cs="Arial"/>
                <w:bCs/>
                <w:color w:val="000000"/>
                <w:spacing w:val="-4"/>
                <w:szCs w:val="20"/>
              </w:rPr>
              <w:t> čtvrtlet</w:t>
            </w:r>
            <w:r w:rsidRPr="0046007D">
              <w:rPr>
                <w:rFonts w:cs="Arial"/>
                <w:bCs/>
                <w:color w:val="000000"/>
                <w:spacing w:val="-4"/>
                <w:szCs w:val="20"/>
              </w:rPr>
              <w:t>í 2020, podobně jako po celý loňský rok, celková zaměstnanost</w:t>
            </w:r>
            <w:r w:rsidRPr="0046007D">
              <w:rPr>
                <w:spacing w:val="-4"/>
                <w:vertAlign w:val="superscript"/>
              </w:rPr>
              <w:footnoteReference w:id="37"/>
            </w:r>
            <w:r w:rsidRPr="0046007D">
              <w:rPr>
                <w:rFonts w:cs="Arial"/>
                <w:bCs/>
                <w:color w:val="000000"/>
                <w:spacing w:val="-4"/>
                <w:szCs w:val="20"/>
              </w:rPr>
              <w:t xml:space="preserve"> v mezikvartálním vyjádření stagnovala, ve 2.</w:t>
            </w:r>
            <w:r>
              <w:rPr>
                <w:rFonts w:cs="Arial"/>
                <w:bCs/>
                <w:color w:val="000000"/>
                <w:spacing w:val="-4"/>
                <w:szCs w:val="20"/>
              </w:rPr>
              <w:t> čtvrtlet</w:t>
            </w:r>
            <w:r w:rsidRPr="0046007D">
              <w:rPr>
                <w:rFonts w:cs="Arial"/>
                <w:bCs/>
                <w:color w:val="000000"/>
                <w:spacing w:val="-4"/>
                <w:szCs w:val="20"/>
              </w:rPr>
              <w:t>í se již</w:t>
            </w:r>
            <w:r>
              <w:rPr>
                <w:rFonts w:cs="Arial"/>
                <w:bCs/>
                <w:color w:val="000000"/>
                <w:spacing w:val="-4"/>
                <w:szCs w:val="20"/>
              </w:rPr>
              <w:t xml:space="preserve"> propadla o rekordních 1,4 %</w:t>
            </w:r>
            <w:r w:rsidRPr="0046007D">
              <w:rPr>
                <w:rFonts w:cs="Arial"/>
                <w:bCs/>
                <w:color w:val="000000"/>
                <w:spacing w:val="-4"/>
                <w:szCs w:val="20"/>
              </w:rPr>
              <w:t>. V předchozích obdobích recese byl úbytek pracovních míst pozvolnější, měl však rovněž dlouhodobější charakter</w:t>
            </w:r>
            <w:r w:rsidRPr="0046007D">
              <w:rPr>
                <w:spacing w:val="-4"/>
                <w:vertAlign w:val="superscript"/>
              </w:rPr>
              <w:footnoteReference w:id="38"/>
            </w:r>
            <w:r w:rsidRPr="0046007D">
              <w:rPr>
                <w:rFonts w:cs="Arial"/>
                <w:bCs/>
                <w:color w:val="000000"/>
                <w:spacing w:val="-4"/>
                <w:szCs w:val="20"/>
              </w:rPr>
              <w:t>. Meziročně se zaměstnanost snížila</w:t>
            </w:r>
            <w:r>
              <w:rPr>
                <w:rFonts w:cs="Arial"/>
                <w:bCs/>
                <w:color w:val="000000"/>
                <w:spacing w:val="-4"/>
                <w:szCs w:val="20"/>
              </w:rPr>
              <w:t xml:space="preserve"> o 1,9 % (nejvíce po 1. čtvrtletí 2010)</w:t>
            </w:r>
            <w:r w:rsidRPr="0046007D">
              <w:rPr>
                <w:rFonts w:cs="Arial"/>
                <w:bCs/>
                <w:color w:val="000000"/>
                <w:spacing w:val="-4"/>
                <w:szCs w:val="20"/>
              </w:rPr>
              <w:t>, j</w:t>
            </w:r>
            <w:r>
              <w:rPr>
                <w:rFonts w:cs="Arial"/>
                <w:bCs/>
                <w:color w:val="000000"/>
                <w:spacing w:val="-4"/>
                <w:szCs w:val="20"/>
              </w:rPr>
              <w:t>e však</w:t>
            </w:r>
            <w:r w:rsidRPr="0046007D">
              <w:rPr>
                <w:rFonts w:cs="Arial"/>
                <w:bCs/>
                <w:color w:val="000000"/>
                <w:spacing w:val="-4"/>
                <w:szCs w:val="20"/>
              </w:rPr>
              <w:t xml:space="preserve"> třeba vzít v potaz, že loni dosáhl p</w:t>
            </w:r>
            <w:r>
              <w:rPr>
                <w:rFonts w:cs="Arial"/>
                <w:bCs/>
                <w:color w:val="000000"/>
                <w:spacing w:val="-4"/>
                <w:szCs w:val="20"/>
              </w:rPr>
              <w:t>očet pracujících rekordní výše</w:t>
            </w:r>
            <w:r w:rsidRPr="0046007D">
              <w:rPr>
                <w:rFonts w:cs="Arial"/>
                <w:bCs/>
                <w:color w:val="000000"/>
                <w:spacing w:val="-4"/>
                <w:szCs w:val="20"/>
              </w:rPr>
              <w:t xml:space="preserve"> v historii samostatné ČR (5,44 mil.). K tomuto poklesu přispěli </w:t>
            </w:r>
            <w:r>
              <w:rPr>
                <w:rFonts w:cs="Arial"/>
                <w:bCs/>
                <w:color w:val="000000"/>
                <w:spacing w:val="-4"/>
                <w:szCs w:val="20"/>
              </w:rPr>
              <w:t>takřka výhradně zaměstnanci,</w:t>
            </w:r>
            <w:r w:rsidRPr="0046007D">
              <w:rPr>
                <w:rFonts w:cs="Arial"/>
                <w:bCs/>
                <w:color w:val="000000"/>
                <w:spacing w:val="-4"/>
                <w:szCs w:val="20"/>
              </w:rPr>
              <w:t xml:space="preserve"> </w:t>
            </w:r>
            <w:r>
              <w:rPr>
                <w:rFonts w:cs="Arial"/>
                <w:bCs/>
                <w:color w:val="000000"/>
                <w:spacing w:val="-4"/>
                <w:szCs w:val="20"/>
              </w:rPr>
              <w:t xml:space="preserve">neboť </w:t>
            </w:r>
            <w:r w:rsidRPr="0046007D">
              <w:rPr>
                <w:rFonts w:cs="Arial"/>
                <w:bCs/>
                <w:color w:val="000000"/>
                <w:spacing w:val="-4"/>
                <w:szCs w:val="20"/>
              </w:rPr>
              <w:t>počty sebeza</w:t>
            </w:r>
            <w:r>
              <w:rPr>
                <w:rFonts w:cs="Arial"/>
                <w:bCs/>
                <w:color w:val="000000"/>
                <w:spacing w:val="-4"/>
                <w:szCs w:val="20"/>
              </w:rPr>
              <w:t>městnaných se snižovaly mírněji (</w:t>
            </w:r>
            <w:r w:rsidRPr="001D4D94">
              <w:rPr>
                <w:rFonts w:cs="Arial"/>
                <w:bCs/>
                <w:color w:val="000000"/>
                <w:spacing w:val="-4"/>
                <w:szCs w:val="20"/>
              </w:rPr>
              <w:t>–</w:t>
            </w:r>
            <w:r>
              <w:rPr>
                <w:rFonts w:cs="Arial"/>
                <w:bCs/>
                <w:color w:val="000000"/>
                <w:spacing w:val="-4"/>
                <w:szCs w:val="20"/>
              </w:rPr>
              <w:t>1,5 %)</w:t>
            </w:r>
            <w:r w:rsidRPr="0046007D">
              <w:rPr>
                <w:spacing w:val="-4"/>
                <w:vertAlign w:val="superscript"/>
              </w:rPr>
              <w:footnoteReference w:id="39"/>
            </w:r>
            <w:r w:rsidRPr="0046007D">
              <w:rPr>
                <w:rFonts w:cs="Arial"/>
                <w:bCs/>
                <w:color w:val="000000"/>
                <w:spacing w:val="-4"/>
                <w:szCs w:val="20"/>
              </w:rPr>
              <w:t xml:space="preserve">. </w:t>
            </w:r>
            <w:r>
              <w:rPr>
                <w:rFonts w:cs="Arial"/>
                <w:bCs/>
                <w:color w:val="000000"/>
                <w:spacing w:val="-4"/>
                <w:szCs w:val="20"/>
              </w:rPr>
              <w:t>To lze vnímat vcelku příznivě</w:t>
            </w:r>
            <w:r w:rsidRPr="0046007D">
              <w:rPr>
                <w:rFonts w:cs="Arial"/>
                <w:bCs/>
                <w:color w:val="000000"/>
                <w:spacing w:val="-4"/>
                <w:szCs w:val="20"/>
              </w:rPr>
              <w:t>, neboť</w:t>
            </w:r>
            <w:r>
              <w:rPr>
                <w:rFonts w:cs="Arial"/>
                <w:bCs/>
                <w:color w:val="000000"/>
                <w:spacing w:val="-4"/>
                <w:szCs w:val="20"/>
              </w:rPr>
              <w:t xml:space="preserve"> 60</w:t>
            </w:r>
            <w:r w:rsidRPr="00AE0F8A">
              <w:rPr>
                <w:rFonts w:cs="Arial"/>
                <w:bCs/>
                <w:color w:val="000000"/>
                <w:spacing w:val="-2"/>
                <w:szCs w:val="20"/>
              </w:rPr>
              <w:t> </w:t>
            </w:r>
            <w:r w:rsidRPr="0046007D">
              <w:rPr>
                <w:rFonts w:cs="Arial"/>
                <w:bCs/>
                <w:color w:val="000000"/>
                <w:spacing w:val="-4"/>
                <w:szCs w:val="20"/>
              </w:rPr>
              <w:t xml:space="preserve">% </w:t>
            </w:r>
            <w:r>
              <w:rPr>
                <w:rFonts w:cs="Arial"/>
                <w:bCs/>
                <w:color w:val="000000"/>
                <w:spacing w:val="-4"/>
                <w:szCs w:val="20"/>
              </w:rPr>
              <w:t>podnikatelů (bez zaměstnanců)</w:t>
            </w:r>
            <w:r w:rsidRPr="0046007D">
              <w:rPr>
                <w:rFonts w:cs="Arial"/>
                <w:bCs/>
                <w:color w:val="000000"/>
                <w:spacing w:val="-4"/>
                <w:szCs w:val="20"/>
              </w:rPr>
              <w:t xml:space="preserve"> v rámci šetření VŠPS uvedlo, že poc</w:t>
            </w:r>
            <w:r>
              <w:rPr>
                <w:rFonts w:cs="Arial"/>
                <w:bCs/>
                <w:color w:val="000000"/>
                <w:spacing w:val="-4"/>
                <w:szCs w:val="20"/>
              </w:rPr>
              <w:t>í</w:t>
            </w:r>
            <w:r w:rsidRPr="0046007D">
              <w:rPr>
                <w:rFonts w:cs="Arial"/>
                <w:bCs/>
                <w:color w:val="000000"/>
                <w:spacing w:val="-4"/>
                <w:szCs w:val="20"/>
              </w:rPr>
              <w:t>tili</w:t>
            </w:r>
            <w:r>
              <w:rPr>
                <w:rFonts w:cs="Arial"/>
                <w:bCs/>
                <w:color w:val="000000"/>
                <w:spacing w:val="-4"/>
                <w:szCs w:val="20"/>
              </w:rPr>
              <w:t xml:space="preserve"> ve 2.</w:t>
            </w:r>
            <w:r w:rsidRPr="0046007D">
              <w:rPr>
                <w:rFonts w:cs="Arial"/>
                <w:bCs/>
                <w:color w:val="000000"/>
                <w:spacing w:val="-4"/>
                <w:szCs w:val="20"/>
              </w:rPr>
              <w:t> čtvrtletí negativní dopady ve svém podnikání (finanční problémy, snížení tržeb, objemu práce či zakázek)</w:t>
            </w:r>
            <w:r w:rsidRPr="0046007D">
              <w:rPr>
                <w:spacing w:val="-4"/>
                <w:vertAlign w:val="superscript"/>
              </w:rPr>
              <w:footnoteReference w:id="40"/>
            </w:r>
            <w:r w:rsidRPr="0046007D">
              <w:rPr>
                <w:rFonts w:cs="Arial"/>
                <w:bCs/>
                <w:color w:val="000000"/>
                <w:spacing w:val="-4"/>
                <w:szCs w:val="20"/>
              </w:rPr>
              <w:t>. Bezmála tři čtvrtiny z takto zasažených zároveň považ</w:t>
            </w:r>
            <w:r>
              <w:rPr>
                <w:rFonts w:cs="Arial"/>
                <w:bCs/>
                <w:color w:val="000000"/>
                <w:spacing w:val="-4"/>
                <w:szCs w:val="20"/>
              </w:rPr>
              <w:t>ovaly dopady za spíše dočasné a</w:t>
            </w:r>
            <w:r w:rsidRPr="0046007D">
              <w:rPr>
                <w:rFonts w:cs="Arial"/>
                <w:bCs/>
                <w:color w:val="000000"/>
                <w:spacing w:val="-4"/>
                <w:szCs w:val="20"/>
              </w:rPr>
              <w:t> překonatelné (např. s pomocí vládních programů). Z p</w:t>
            </w:r>
            <w:r>
              <w:rPr>
                <w:rFonts w:cs="Arial"/>
                <w:bCs/>
                <w:color w:val="000000"/>
                <w:spacing w:val="-4"/>
                <w:szCs w:val="20"/>
              </w:rPr>
              <w:t>ohledu hlavních odvětví přispěl</w:t>
            </w:r>
            <w:r w:rsidRPr="0046007D">
              <w:rPr>
                <w:rFonts w:cs="Arial"/>
                <w:bCs/>
                <w:color w:val="000000"/>
                <w:spacing w:val="-4"/>
                <w:szCs w:val="20"/>
              </w:rPr>
              <w:t xml:space="preserve"> ve 2.</w:t>
            </w:r>
            <w:r>
              <w:rPr>
                <w:rFonts w:cs="Arial"/>
                <w:bCs/>
                <w:color w:val="000000"/>
                <w:spacing w:val="-4"/>
                <w:szCs w:val="20"/>
              </w:rPr>
              <w:t> čtvrtlet</w:t>
            </w:r>
            <w:r w:rsidRPr="0046007D">
              <w:rPr>
                <w:rFonts w:cs="Arial"/>
                <w:bCs/>
                <w:color w:val="000000"/>
                <w:spacing w:val="-4"/>
                <w:szCs w:val="20"/>
              </w:rPr>
              <w:t>í k </w:t>
            </w:r>
            <w:r>
              <w:rPr>
                <w:rFonts w:cs="Arial"/>
                <w:bCs/>
                <w:color w:val="000000"/>
                <w:spacing w:val="-4"/>
                <w:szCs w:val="20"/>
              </w:rPr>
              <w:t>nižší</w:t>
            </w:r>
            <w:r w:rsidRPr="0046007D">
              <w:rPr>
                <w:rFonts w:cs="Arial"/>
                <w:bCs/>
                <w:color w:val="000000"/>
                <w:spacing w:val="-4"/>
                <w:szCs w:val="20"/>
              </w:rPr>
              <w:t xml:space="preserve"> zaměstnanosti v celé ekonomice nejvíce</w:t>
            </w:r>
            <w:r>
              <w:rPr>
                <w:rFonts w:cs="Arial"/>
                <w:bCs/>
                <w:color w:val="000000"/>
                <w:spacing w:val="-4"/>
                <w:szCs w:val="20"/>
              </w:rPr>
              <w:t xml:space="preserve"> zpracovatelský průmysl</w:t>
            </w:r>
            <w:r w:rsidRPr="0046007D">
              <w:rPr>
                <w:rFonts w:cs="Arial"/>
                <w:bCs/>
                <w:color w:val="000000"/>
                <w:spacing w:val="-4"/>
                <w:szCs w:val="20"/>
              </w:rPr>
              <w:t xml:space="preserve">, kde </w:t>
            </w:r>
            <w:r>
              <w:rPr>
                <w:rFonts w:cs="Arial"/>
                <w:bCs/>
                <w:color w:val="000000"/>
                <w:spacing w:val="-4"/>
                <w:szCs w:val="20"/>
              </w:rPr>
              <w:t xml:space="preserve">i vlivem „ochlazení“ u agenturní zaměstnanosti </w:t>
            </w:r>
            <w:r w:rsidRPr="0046007D">
              <w:rPr>
                <w:rFonts w:cs="Arial"/>
                <w:bCs/>
                <w:color w:val="000000"/>
                <w:spacing w:val="-4"/>
                <w:szCs w:val="20"/>
              </w:rPr>
              <w:t>ubylo</w:t>
            </w:r>
            <w:r>
              <w:rPr>
                <w:rFonts w:cs="Arial"/>
                <w:bCs/>
                <w:color w:val="000000"/>
                <w:spacing w:val="-4"/>
                <w:szCs w:val="20"/>
              </w:rPr>
              <w:t xml:space="preserve"> meziročně 51 tis. </w:t>
            </w:r>
            <w:r w:rsidRPr="0046007D">
              <w:rPr>
                <w:rFonts w:cs="Arial"/>
                <w:bCs/>
                <w:color w:val="000000"/>
                <w:spacing w:val="-4"/>
                <w:szCs w:val="20"/>
              </w:rPr>
              <w:t>míst</w:t>
            </w:r>
            <w:r>
              <w:rPr>
                <w:rFonts w:cs="Arial"/>
                <w:bCs/>
                <w:color w:val="000000"/>
                <w:spacing w:val="-4"/>
                <w:szCs w:val="20"/>
              </w:rPr>
              <w:t xml:space="preserve"> (3,5 %)</w:t>
            </w:r>
            <w:r w:rsidRPr="0046007D">
              <w:rPr>
                <w:rFonts w:cs="Arial"/>
                <w:bCs/>
                <w:color w:val="000000"/>
                <w:spacing w:val="-4"/>
                <w:szCs w:val="20"/>
              </w:rPr>
              <w:t xml:space="preserve">. </w:t>
            </w:r>
            <w:r>
              <w:rPr>
                <w:rFonts w:cs="Arial"/>
                <w:bCs/>
                <w:color w:val="000000"/>
                <w:spacing w:val="-4"/>
                <w:szCs w:val="20"/>
              </w:rPr>
              <w:t>V sektoru služeb činil pokles 43 tis., byl ale velmi nerovnoměrně rozložen. Vlivem citelného dopadu restrikcí v oblasti cestovního ruchu se snížil počet pracujících v</w:t>
            </w:r>
            <w:r w:rsidRPr="0046007D">
              <w:rPr>
                <w:rFonts w:cs="Arial"/>
                <w:bCs/>
                <w:color w:val="000000"/>
                <w:spacing w:val="-4"/>
                <w:szCs w:val="20"/>
              </w:rPr>
              <w:t> uskupení obchod, doprava, ubytování, stravování a</w:t>
            </w:r>
            <w:r>
              <w:rPr>
                <w:rFonts w:cs="Arial"/>
                <w:bCs/>
                <w:color w:val="000000"/>
                <w:spacing w:val="-4"/>
                <w:szCs w:val="20"/>
              </w:rPr>
              <w:t> </w:t>
            </w:r>
            <w:r w:rsidRPr="0046007D">
              <w:rPr>
                <w:rFonts w:cs="Arial"/>
                <w:bCs/>
                <w:color w:val="000000"/>
                <w:spacing w:val="-4"/>
                <w:szCs w:val="20"/>
              </w:rPr>
              <w:t>pohostinství</w:t>
            </w:r>
            <w:r>
              <w:rPr>
                <w:rFonts w:cs="Arial"/>
                <w:bCs/>
                <w:color w:val="000000"/>
                <w:spacing w:val="-4"/>
                <w:szCs w:val="20"/>
              </w:rPr>
              <w:t xml:space="preserve"> o 40 tis., resp. 3,2 %). Nejhlubší relativní úbytek míst měly p</w:t>
            </w:r>
            <w:r w:rsidRPr="00206786">
              <w:rPr>
                <w:rFonts w:cs="Arial"/>
                <w:bCs/>
                <w:color w:val="000000"/>
                <w:spacing w:val="-4"/>
                <w:szCs w:val="20"/>
              </w:rPr>
              <w:t>rofesní, vědecké, technické a</w:t>
            </w:r>
            <w:r>
              <w:rPr>
                <w:rFonts w:cs="Arial"/>
                <w:bCs/>
                <w:color w:val="000000"/>
                <w:spacing w:val="-4"/>
                <w:szCs w:val="20"/>
              </w:rPr>
              <w:t> </w:t>
            </w:r>
            <w:r w:rsidRPr="00206786">
              <w:rPr>
                <w:rFonts w:cs="Arial"/>
                <w:bCs/>
                <w:color w:val="000000"/>
                <w:spacing w:val="-4"/>
                <w:szCs w:val="20"/>
              </w:rPr>
              <w:t>administrativní činnosti</w:t>
            </w:r>
            <w:r>
              <w:rPr>
                <w:rFonts w:cs="Arial"/>
                <w:bCs/>
                <w:color w:val="000000"/>
                <w:spacing w:val="-4"/>
                <w:szCs w:val="20"/>
              </w:rPr>
              <w:t xml:space="preserve"> (</w:t>
            </w:r>
            <w:r w:rsidRPr="001D4D94">
              <w:rPr>
                <w:rFonts w:cs="Arial"/>
                <w:bCs/>
                <w:color w:val="000000"/>
                <w:spacing w:val="-4"/>
                <w:szCs w:val="20"/>
              </w:rPr>
              <w:t>–</w:t>
            </w:r>
            <w:r>
              <w:rPr>
                <w:rFonts w:cs="Arial"/>
                <w:bCs/>
                <w:color w:val="000000"/>
                <w:spacing w:val="-4"/>
                <w:szCs w:val="20"/>
              </w:rPr>
              <w:t>4,4 %). S tím kontrastoval dlouhodobě ustálený růst zaměstnanosti v </w:t>
            </w:r>
            <w:r w:rsidRPr="0046007D">
              <w:rPr>
                <w:rFonts w:cs="Arial"/>
                <w:bCs/>
                <w:color w:val="000000"/>
                <w:spacing w:val="-4"/>
                <w:szCs w:val="20"/>
              </w:rPr>
              <w:t>informační</w:t>
            </w:r>
            <w:r>
              <w:rPr>
                <w:rFonts w:cs="Arial"/>
                <w:bCs/>
                <w:color w:val="000000"/>
                <w:spacing w:val="-4"/>
                <w:szCs w:val="20"/>
              </w:rPr>
              <w:t>ch a </w:t>
            </w:r>
            <w:r w:rsidRPr="0046007D">
              <w:rPr>
                <w:rFonts w:cs="Arial"/>
                <w:bCs/>
                <w:color w:val="000000"/>
                <w:spacing w:val="-4"/>
                <w:szCs w:val="20"/>
              </w:rPr>
              <w:t>komunikační</w:t>
            </w:r>
            <w:r>
              <w:rPr>
                <w:rFonts w:cs="Arial"/>
                <w:bCs/>
                <w:color w:val="000000"/>
                <w:spacing w:val="-4"/>
                <w:szCs w:val="20"/>
              </w:rPr>
              <w:t>ch činnostech</w:t>
            </w:r>
            <w:r w:rsidRPr="0046007D">
              <w:rPr>
                <w:rFonts w:cs="Arial"/>
                <w:bCs/>
                <w:color w:val="000000"/>
                <w:spacing w:val="-4"/>
                <w:szCs w:val="20"/>
              </w:rPr>
              <w:t xml:space="preserve"> </w:t>
            </w:r>
            <w:r>
              <w:rPr>
                <w:rFonts w:cs="Arial"/>
                <w:bCs/>
                <w:color w:val="000000"/>
                <w:spacing w:val="-4"/>
                <w:szCs w:val="20"/>
              </w:rPr>
              <w:t>(+3,4 %</w:t>
            </w:r>
            <w:r w:rsidRPr="0046007D">
              <w:rPr>
                <w:rFonts w:cs="Arial"/>
                <w:bCs/>
                <w:color w:val="000000"/>
                <w:spacing w:val="-4"/>
                <w:szCs w:val="20"/>
              </w:rPr>
              <w:t>)</w:t>
            </w:r>
            <w:r>
              <w:rPr>
                <w:rFonts w:cs="Arial"/>
                <w:bCs/>
                <w:color w:val="000000"/>
                <w:spacing w:val="-4"/>
                <w:szCs w:val="20"/>
              </w:rPr>
              <w:t xml:space="preserve"> a též v </w:t>
            </w:r>
            <w:r w:rsidRPr="0046007D">
              <w:rPr>
                <w:rFonts w:cs="Arial"/>
                <w:bCs/>
                <w:color w:val="000000"/>
                <w:spacing w:val="-4"/>
                <w:szCs w:val="20"/>
              </w:rPr>
              <w:t>odvětví</w:t>
            </w:r>
            <w:r>
              <w:rPr>
                <w:rFonts w:cs="Arial"/>
                <w:bCs/>
                <w:color w:val="000000"/>
                <w:spacing w:val="-4"/>
                <w:szCs w:val="20"/>
              </w:rPr>
              <w:t>ch</w:t>
            </w:r>
            <w:r w:rsidRPr="0046007D">
              <w:rPr>
                <w:rFonts w:cs="Arial"/>
                <w:bCs/>
                <w:color w:val="000000"/>
                <w:spacing w:val="-4"/>
                <w:szCs w:val="20"/>
              </w:rPr>
              <w:t xml:space="preserve"> s dominancí státu</w:t>
            </w:r>
            <w:r>
              <w:rPr>
                <w:rFonts w:cs="Arial"/>
                <w:bCs/>
                <w:color w:val="000000"/>
                <w:spacing w:val="-4"/>
                <w:szCs w:val="20"/>
              </w:rPr>
              <w:t xml:space="preserve"> (+1,6 </w:t>
            </w:r>
            <w:r w:rsidRPr="0046007D">
              <w:rPr>
                <w:rFonts w:cs="Arial"/>
                <w:bCs/>
                <w:color w:val="000000"/>
                <w:spacing w:val="-4"/>
                <w:szCs w:val="20"/>
              </w:rPr>
              <w:t>%)</w:t>
            </w:r>
            <w:r>
              <w:rPr>
                <w:rFonts w:cs="Arial"/>
                <w:bCs/>
                <w:color w:val="000000"/>
                <w:spacing w:val="-4"/>
                <w:szCs w:val="20"/>
              </w:rPr>
              <w:t>, kde se projevilo posilování ve vzdělávání, mj. i vlivem vyššího počtu žáků v základním školství.</w:t>
            </w:r>
          </w:p>
        </w:tc>
      </w:tr>
      <w:tr w:rsidR="006769C6" w:rsidRPr="006237E6" w14:paraId="09E6A29F" w14:textId="77777777" w:rsidTr="0026300B">
        <w:trPr>
          <w:trHeight w:val="155"/>
        </w:trPr>
        <w:tc>
          <w:tcPr>
            <w:tcW w:w="1792" w:type="dxa"/>
            <w:vMerge w:val="restart"/>
            <w:shd w:val="clear" w:color="auto" w:fill="auto"/>
            <w:tcMar>
              <w:left w:w="0" w:type="dxa"/>
            </w:tcMar>
          </w:tcPr>
          <w:p w14:paraId="146A856F" w14:textId="77777777" w:rsidR="006769C6" w:rsidRPr="00CA5850" w:rsidRDefault="006769C6" w:rsidP="0026300B">
            <w:pPr>
              <w:pStyle w:val="Marginlie"/>
              <w:rPr>
                <w:spacing w:val="-4"/>
              </w:rPr>
            </w:pPr>
            <w:r>
              <w:rPr>
                <w:spacing w:val="-4"/>
              </w:rPr>
              <w:t>Počet odpracovaných hodin zaměstnanci se v červnu vrátil k normálu. Očekávání vývoje zaměstnanosti zůstávala negativní, zejména v průmyslu a většině odvětví tržních služeb.</w:t>
            </w:r>
          </w:p>
        </w:tc>
        <w:tc>
          <w:tcPr>
            <w:tcW w:w="216" w:type="dxa"/>
            <w:vMerge w:val="restart"/>
            <w:shd w:val="clear" w:color="auto" w:fill="auto"/>
            <w:tcMar>
              <w:left w:w="0" w:type="dxa"/>
            </w:tcMar>
          </w:tcPr>
          <w:p w14:paraId="558DB08A"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37BA8755" w14:textId="77777777" w:rsidR="006769C6" w:rsidRPr="00CF5115" w:rsidRDefault="006769C6" w:rsidP="0026300B">
            <w:pPr>
              <w:spacing w:after="200"/>
              <w:rPr>
                <w:spacing w:val="-5"/>
              </w:rPr>
            </w:pPr>
            <w:r w:rsidRPr="001C6ADD">
              <w:rPr>
                <w:spacing w:val="-5"/>
              </w:rPr>
              <w:t>Vliv protipandemických restrikcí je plasticky vyjádřen pokl</w:t>
            </w:r>
            <w:r>
              <w:rPr>
                <w:spacing w:val="-5"/>
              </w:rPr>
              <w:t>esem odpracovaných hodin v</w:t>
            </w:r>
            <w:r w:rsidRPr="001C6ADD">
              <w:rPr>
                <w:spacing w:val="-5"/>
              </w:rPr>
              <w:t> </w:t>
            </w:r>
            <w:r>
              <w:rPr>
                <w:spacing w:val="-5"/>
              </w:rPr>
              <w:t>ekonom</w:t>
            </w:r>
            <w:r w:rsidRPr="001C6ADD">
              <w:rPr>
                <w:spacing w:val="-5"/>
              </w:rPr>
              <w:t>ice. Ten činil dle údajů VŠPS v březnu meziročně 10</w:t>
            </w:r>
            <w:r>
              <w:rPr>
                <w:spacing w:val="-5"/>
              </w:rPr>
              <w:t> %</w:t>
            </w:r>
            <w:r w:rsidRPr="001C6ADD">
              <w:rPr>
                <w:spacing w:val="-5"/>
              </w:rPr>
              <w:t>, v dubnu se prohloubil na dosud nevídaných 22</w:t>
            </w:r>
            <w:r>
              <w:rPr>
                <w:spacing w:val="-5"/>
              </w:rPr>
              <w:t> %</w:t>
            </w:r>
            <w:r w:rsidRPr="001C6ADD">
              <w:rPr>
                <w:spacing w:val="-5"/>
              </w:rPr>
              <w:t xml:space="preserve"> (u</w:t>
            </w:r>
            <w:r>
              <w:rPr>
                <w:spacing w:val="-5"/>
              </w:rPr>
              <w:t> podnikatelů</w:t>
            </w:r>
            <w:r w:rsidRPr="001C6ADD">
              <w:rPr>
                <w:spacing w:val="-5"/>
              </w:rPr>
              <w:t xml:space="preserve"> na 31</w:t>
            </w:r>
            <w:r>
              <w:rPr>
                <w:spacing w:val="-5"/>
              </w:rPr>
              <w:t> %</w:t>
            </w:r>
            <w:r w:rsidRPr="001C6ADD">
              <w:rPr>
                <w:spacing w:val="-5"/>
              </w:rPr>
              <w:t>). V květnu se pokles zmírnil (na 8 %) a</w:t>
            </w:r>
            <w:r>
              <w:rPr>
                <w:spacing w:val="-5"/>
              </w:rPr>
              <w:t> </w:t>
            </w:r>
            <w:r w:rsidRPr="001C6ADD">
              <w:rPr>
                <w:spacing w:val="-5"/>
              </w:rPr>
              <w:t>červen již avizoval návrat k tempům z přelomu let 2019 a 2020 (</w:t>
            </w:r>
            <w:r w:rsidRPr="001C6ADD">
              <w:rPr>
                <w:rFonts w:cs="Arial"/>
                <w:bCs/>
                <w:color w:val="000000"/>
                <w:spacing w:val="-5"/>
                <w:szCs w:val="20"/>
              </w:rPr>
              <w:t>–</w:t>
            </w:r>
            <w:r w:rsidRPr="001C6ADD">
              <w:rPr>
                <w:spacing w:val="-5"/>
              </w:rPr>
              <w:t>2</w:t>
            </w:r>
            <w:r>
              <w:rPr>
                <w:spacing w:val="-5"/>
              </w:rPr>
              <w:t> %</w:t>
            </w:r>
            <w:r w:rsidRPr="001C6ADD">
              <w:rPr>
                <w:spacing w:val="-5"/>
              </w:rPr>
              <w:t>), což však plně neplatilo pro drobné podnikatele (</w:t>
            </w:r>
            <w:r w:rsidRPr="001C6ADD">
              <w:rPr>
                <w:rFonts w:cs="Arial"/>
                <w:bCs/>
                <w:color w:val="000000"/>
                <w:spacing w:val="-5"/>
                <w:szCs w:val="20"/>
              </w:rPr>
              <w:t>–</w:t>
            </w:r>
            <w:r w:rsidRPr="001C6ADD">
              <w:rPr>
                <w:spacing w:val="-5"/>
              </w:rPr>
              <w:t>6</w:t>
            </w:r>
            <w:r>
              <w:rPr>
                <w:spacing w:val="-5"/>
              </w:rPr>
              <w:t> %</w:t>
            </w:r>
            <w:r w:rsidRPr="001C6ADD">
              <w:rPr>
                <w:spacing w:val="-5"/>
              </w:rPr>
              <w:t>), u</w:t>
            </w:r>
            <w:r>
              <w:rPr>
                <w:spacing w:val="-5"/>
              </w:rPr>
              <w:t> </w:t>
            </w:r>
            <w:r w:rsidRPr="001C6ADD">
              <w:rPr>
                <w:spacing w:val="-5"/>
              </w:rPr>
              <w:t>nichž</w:t>
            </w:r>
            <w:r>
              <w:rPr>
                <w:spacing w:val="-5"/>
              </w:rPr>
              <w:t xml:space="preserve"> se </w:t>
            </w:r>
            <w:r w:rsidRPr="001C6ADD">
              <w:rPr>
                <w:spacing w:val="-5"/>
              </w:rPr>
              <w:t>více projevoval vliv oslabené poptávky. Očekávání podniků v</w:t>
            </w:r>
            <w:r>
              <w:rPr>
                <w:spacing w:val="-5"/>
              </w:rPr>
              <w:t> oblasti zaměstnanosti zůstala</w:t>
            </w:r>
            <w:r w:rsidRPr="001C6ADD">
              <w:rPr>
                <w:spacing w:val="-5"/>
              </w:rPr>
              <w:t xml:space="preserve"> </w:t>
            </w:r>
            <w:r>
              <w:rPr>
                <w:spacing w:val="-5"/>
              </w:rPr>
              <w:t xml:space="preserve">ve většině odvětví negativní. </w:t>
            </w:r>
            <w:r w:rsidRPr="001C6ADD">
              <w:rPr>
                <w:spacing w:val="-6"/>
              </w:rPr>
              <w:t>To platilo pro tržní služby (</w:t>
            </w:r>
            <w:r>
              <w:rPr>
                <w:spacing w:val="-6"/>
              </w:rPr>
              <w:t>mimo obchod), kde byl v srpnu</w:t>
            </w:r>
            <w:r w:rsidRPr="001C6ADD">
              <w:rPr>
                <w:spacing w:val="-6"/>
              </w:rPr>
              <w:t xml:space="preserve"> 2020 podíl podniků očekávajících</w:t>
            </w:r>
            <w:r w:rsidRPr="001C6ADD">
              <w:rPr>
                <w:spacing w:val="-5"/>
              </w:rPr>
              <w:t xml:space="preserve"> </w:t>
            </w:r>
            <w:r>
              <w:rPr>
                <w:spacing w:val="-5"/>
              </w:rPr>
              <w:t>v příštích třech měsících růst zaměstnanosti o 33 p. b. niž</w:t>
            </w:r>
            <w:r w:rsidRPr="001C6ADD">
              <w:rPr>
                <w:spacing w:val="-5"/>
              </w:rPr>
              <w:t xml:space="preserve">ší než </w:t>
            </w:r>
            <w:r>
              <w:rPr>
                <w:spacing w:val="-5"/>
              </w:rPr>
              <w:t>podíl podniků plánujících</w:t>
            </w:r>
            <w:r w:rsidRPr="001C6ADD">
              <w:rPr>
                <w:spacing w:val="-5"/>
              </w:rPr>
              <w:t xml:space="preserve"> </w:t>
            </w:r>
            <w:r>
              <w:rPr>
                <w:spacing w:val="-5"/>
              </w:rPr>
              <w:t xml:space="preserve">redukovat </w:t>
            </w:r>
            <w:r>
              <w:rPr>
                <w:spacing w:val="-5"/>
              </w:rPr>
              <w:lastRenderedPageBreak/>
              <w:t>stavy</w:t>
            </w:r>
            <w:r w:rsidRPr="001C6ADD">
              <w:rPr>
                <w:spacing w:val="-5"/>
              </w:rPr>
              <w:t xml:space="preserve">. </w:t>
            </w:r>
            <w:r>
              <w:rPr>
                <w:spacing w:val="-5"/>
              </w:rPr>
              <w:t>Rovněž v </w:t>
            </w:r>
            <w:r w:rsidRPr="001C6ADD">
              <w:rPr>
                <w:spacing w:val="-5"/>
              </w:rPr>
              <w:t xml:space="preserve">průmyslu </w:t>
            </w:r>
            <w:r>
              <w:rPr>
                <w:spacing w:val="-5"/>
              </w:rPr>
              <w:t>zůstalo toto saldo i přes slábnoucí pesimismus</w:t>
            </w:r>
            <w:r w:rsidRPr="001C6ADD">
              <w:rPr>
                <w:spacing w:val="-5"/>
              </w:rPr>
              <w:t xml:space="preserve"> </w:t>
            </w:r>
            <w:r>
              <w:rPr>
                <w:spacing w:val="-5"/>
              </w:rPr>
              <w:t xml:space="preserve">zřetelně </w:t>
            </w:r>
            <w:r w:rsidRPr="001C6ADD">
              <w:rPr>
                <w:spacing w:val="-5"/>
              </w:rPr>
              <w:t>negativní</w:t>
            </w:r>
            <w:r>
              <w:rPr>
                <w:spacing w:val="-5"/>
              </w:rPr>
              <w:br/>
            </w:r>
            <w:r w:rsidRPr="001C6ADD">
              <w:rPr>
                <w:spacing w:val="-5"/>
              </w:rPr>
              <w:t>(</w:t>
            </w:r>
            <w:r w:rsidRPr="001C6ADD">
              <w:rPr>
                <w:rFonts w:cs="Arial"/>
                <w:bCs/>
                <w:color w:val="000000"/>
                <w:spacing w:val="-5"/>
                <w:szCs w:val="20"/>
              </w:rPr>
              <w:t>–</w:t>
            </w:r>
            <w:r>
              <w:rPr>
                <w:spacing w:val="-5"/>
              </w:rPr>
              <w:t>12 p. b.). L</w:t>
            </w:r>
            <w:r w:rsidRPr="001C6ADD">
              <w:rPr>
                <w:spacing w:val="-5"/>
              </w:rPr>
              <w:t>épe na tom byly podniky v</w:t>
            </w:r>
            <w:r>
              <w:rPr>
                <w:spacing w:val="-5"/>
              </w:rPr>
              <w:t> obchodu (</w:t>
            </w:r>
            <w:r w:rsidRPr="001C6ADD">
              <w:rPr>
                <w:rFonts w:cs="Arial"/>
                <w:bCs/>
                <w:color w:val="000000"/>
                <w:spacing w:val="-5"/>
                <w:szCs w:val="20"/>
              </w:rPr>
              <w:t>–</w:t>
            </w:r>
            <w:r>
              <w:rPr>
                <w:spacing w:val="-5"/>
              </w:rPr>
              <w:t>5 p. b.) a hlavně ve stavebnictví (</w:t>
            </w:r>
            <w:r>
              <w:rPr>
                <w:rFonts w:cs="Arial"/>
                <w:bCs/>
                <w:color w:val="000000"/>
                <w:spacing w:val="-5"/>
                <w:szCs w:val="20"/>
              </w:rPr>
              <w:t>+2</w:t>
            </w:r>
            <w:r>
              <w:rPr>
                <w:spacing w:val="-5"/>
              </w:rPr>
              <w:t> p. b.), kde vysoký podíl podniků změny v zaměstnanosti neočekával (87 %). Stále kolem 40 % stavebních podniků považovalo i v letním období nedostatek pracovníků za bariéru růstu.</w:t>
            </w:r>
          </w:p>
        </w:tc>
      </w:tr>
      <w:tr w:rsidR="006769C6" w:rsidRPr="006237E6" w14:paraId="233C5638" w14:textId="77777777" w:rsidTr="0026300B">
        <w:trPr>
          <w:trHeight w:val="155"/>
        </w:trPr>
        <w:tc>
          <w:tcPr>
            <w:tcW w:w="1792" w:type="dxa"/>
            <w:vMerge w:val="restart"/>
            <w:shd w:val="clear" w:color="auto" w:fill="auto"/>
            <w:tcMar>
              <w:left w:w="0" w:type="dxa"/>
            </w:tcMar>
          </w:tcPr>
          <w:p w14:paraId="6FF95FF6" w14:textId="77777777" w:rsidR="006769C6" w:rsidRPr="00CA5850" w:rsidRDefault="006769C6" w:rsidP="0026300B">
            <w:pPr>
              <w:pStyle w:val="Marginlie"/>
              <w:rPr>
                <w:spacing w:val="-4"/>
              </w:rPr>
            </w:pPr>
            <w:r>
              <w:rPr>
                <w:spacing w:val="-4"/>
              </w:rPr>
              <w:lastRenderedPageBreak/>
              <w:t>Nárůst počtu ekonomicky neaktivních razantně zrychlil.</w:t>
            </w:r>
          </w:p>
        </w:tc>
        <w:tc>
          <w:tcPr>
            <w:tcW w:w="216" w:type="dxa"/>
            <w:vMerge w:val="restart"/>
            <w:shd w:val="clear" w:color="auto" w:fill="auto"/>
            <w:tcMar>
              <w:left w:w="0" w:type="dxa"/>
            </w:tcMar>
          </w:tcPr>
          <w:p w14:paraId="4CE35508"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4841E6B4" w14:textId="77777777" w:rsidR="006769C6" w:rsidRPr="00241E62" w:rsidRDefault="006769C6" w:rsidP="0026300B">
            <w:pPr>
              <w:spacing w:after="220"/>
              <w:rPr>
                <w:rFonts w:cs="Arial"/>
                <w:bCs/>
                <w:color w:val="000000"/>
                <w:szCs w:val="20"/>
              </w:rPr>
            </w:pPr>
            <w:r w:rsidRPr="00241E62">
              <w:rPr>
                <w:rFonts w:cs="Arial"/>
                <w:bCs/>
                <w:color w:val="000000"/>
                <w:szCs w:val="20"/>
              </w:rPr>
              <w:t>Změny na trhu práce v 1.</w:t>
            </w:r>
            <w:r>
              <w:rPr>
                <w:rFonts w:cs="Arial"/>
                <w:bCs/>
                <w:color w:val="000000"/>
                <w:szCs w:val="20"/>
              </w:rPr>
              <w:t> pololet</w:t>
            </w:r>
            <w:r w:rsidRPr="00241E62">
              <w:rPr>
                <w:rFonts w:cs="Arial"/>
                <w:bCs/>
                <w:color w:val="000000"/>
                <w:szCs w:val="20"/>
              </w:rPr>
              <w:t>í se spíše</w:t>
            </w:r>
            <w:r>
              <w:rPr>
                <w:rFonts w:cs="Arial"/>
                <w:bCs/>
                <w:color w:val="000000"/>
                <w:szCs w:val="20"/>
              </w:rPr>
              <w:t xml:space="preserve"> než v nezaměstnanosti odrazily v posílení ekonomicky neaktivních. Byť se počet neaktivních zvyšoval i po většinu loňského roku, k významnému zrychlení meziročního tempa došlo až letos. Na počátku roku činil nárůst 59 tis. osob, ve 2. čtvrtletí již 86 tis. (nejvíce v historii ČR). K rekordnímu růstu přispěli hlavně muži ve věku 60 a více let (+25 tis.) a ženy do 30 let (+33 tis.). Pro tyto skupiny je typické mj. častější využívání zkrácených úvazků a práce na dobu určitou.</w:t>
            </w:r>
          </w:p>
        </w:tc>
      </w:tr>
      <w:tr w:rsidR="006769C6" w:rsidRPr="009F2A8A" w14:paraId="2E42C1B3" w14:textId="77777777" w:rsidTr="0026300B">
        <w:trPr>
          <w:trHeight w:val="155"/>
        </w:trPr>
        <w:tc>
          <w:tcPr>
            <w:tcW w:w="1792" w:type="dxa"/>
            <w:vMerge w:val="restart"/>
            <w:shd w:val="clear" w:color="auto" w:fill="auto"/>
            <w:tcMar>
              <w:left w:w="0" w:type="dxa"/>
            </w:tcMar>
          </w:tcPr>
          <w:p w14:paraId="5CC4591D" w14:textId="77777777" w:rsidR="006769C6" w:rsidRPr="00B43216" w:rsidRDefault="006769C6" w:rsidP="0026300B">
            <w:pPr>
              <w:pStyle w:val="Marginlie"/>
              <w:rPr>
                <w:spacing w:val="-4"/>
              </w:rPr>
            </w:pPr>
          </w:p>
        </w:tc>
        <w:tc>
          <w:tcPr>
            <w:tcW w:w="216" w:type="dxa"/>
            <w:vMerge w:val="restart"/>
            <w:shd w:val="clear" w:color="auto" w:fill="auto"/>
            <w:tcMar>
              <w:left w:w="0" w:type="dxa"/>
            </w:tcMar>
          </w:tcPr>
          <w:p w14:paraId="739BA545"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35202BF2" w14:textId="77777777" w:rsidR="006769C6" w:rsidRPr="00CA5850" w:rsidRDefault="006769C6" w:rsidP="0026300B">
            <w:pPr>
              <w:spacing w:after="0"/>
              <w:rPr>
                <w:spacing w:val="-2"/>
              </w:rPr>
            </w:pPr>
            <w:r w:rsidRPr="0068569E">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6769C6" w:rsidRPr="00B43216" w14:paraId="04D995C6" w14:textId="77777777" w:rsidTr="0026300B">
        <w:tblPrEx>
          <w:tblCellMar>
            <w:left w:w="70" w:type="dxa"/>
            <w:right w:w="70" w:type="dxa"/>
          </w:tblCellMar>
        </w:tblPrEx>
        <w:trPr>
          <w:trHeight w:val="155"/>
        </w:trPr>
        <w:tc>
          <w:tcPr>
            <w:tcW w:w="1792" w:type="dxa"/>
            <w:vMerge/>
            <w:shd w:val="clear" w:color="auto" w:fill="auto"/>
          </w:tcPr>
          <w:p w14:paraId="520DC140" w14:textId="77777777" w:rsidR="006769C6" w:rsidRPr="00B43216" w:rsidRDefault="006769C6" w:rsidP="0026300B">
            <w:pPr>
              <w:pStyle w:val="Marginlie"/>
              <w:rPr>
                <w:spacing w:val="-4"/>
              </w:rPr>
            </w:pPr>
          </w:p>
        </w:tc>
        <w:tc>
          <w:tcPr>
            <w:tcW w:w="216" w:type="dxa"/>
            <w:vMerge/>
            <w:shd w:val="clear" w:color="auto" w:fill="auto"/>
          </w:tcPr>
          <w:p w14:paraId="74BB8A31" w14:textId="77777777" w:rsidR="006769C6" w:rsidRPr="00B43216" w:rsidRDefault="006769C6" w:rsidP="0026300B">
            <w:pPr>
              <w:pStyle w:val="Textpoznpodarou"/>
              <w:jc w:val="both"/>
              <w:rPr>
                <w:spacing w:val="-4"/>
              </w:rPr>
            </w:pPr>
          </w:p>
        </w:tc>
        <w:tc>
          <w:tcPr>
            <w:tcW w:w="7656" w:type="dxa"/>
            <w:shd w:val="clear" w:color="auto" w:fill="auto"/>
          </w:tcPr>
          <w:p w14:paraId="59B160C0" w14:textId="77777777" w:rsidR="006769C6" w:rsidRPr="00B43216" w:rsidRDefault="006769C6" w:rsidP="0026300B">
            <w:pPr>
              <w:spacing w:after="0"/>
              <w:rPr>
                <w:spacing w:val="-4"/>
              </w:rPr>
            </w:pPr>
            <w:r>
              <w:rPr>
                <w:noProof/>
              </w:rPr>
              <w:drawing>
                <wp:inline distT="0" distB="0" distL="0" distR="0" wp14:anchorId="3B10EF45" wp14:editId="13B810B9">
                  <wp:extent cx="4741598" cy="3608781"/>
                  <wp:effectExtent l="0" t="0" r="190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769C6" w:rsidRPr="00485ED5" w14:paraId="4A2C5BB6" w14:textId="77777777" w:rsidTr="0026300B">
        <w:trPr>
          <w:trHeight w:val="671"/>
        </w:trPr>
        <w:tc>
          <w:tcPr>
            <w:tcW w:w="1792" w:type="dxa"/>
            <w:vMerge/>
            <w:shd w:val="clear" w:color="auto" w:fill="auto"/>
            <w:tcMar>
              <w:left w:w="0" w:type="dxa"/>
            </w:tcMar>
          </w:tcPr>
          <w:p w14:paraId="2A536F40" w14:textId="77777777" w:rsidR="006769C6" w:rsidRPr="00B43216" w:rsidRDefault="006769C6" w:rsidP="0026300B">
            <w:pPr>
              <w:pStyle w:val="Marginlie"/>
              <w:rPr>
                <w:spacing w:val="-4"/>
              </w:rPr>
            </w:pPr>
          </w:p>
        </w:tc>
        <w:tc>
          <w:tcPr>
            <w:tcW w:w="216" w:type="dxa"/>
            <w:vMerge/>
            <w:shd w:val="clear" w:color="auto" w:fill="auto"/>
            <w:tcMar>
              <w:left w:w="0" w:type="dxa"/>
            </w:tcMar>
          </w:tcPr>
          <w:p w14:paraId="5DDFA511"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67CC6D91" w14:textId="77777777" w:rsidR="006769C6" w:rsidRDefault="006769C6" w:rsidP="0026300B">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28943F33" w14:textId="77777777" w:rsidR="006769C6" w:rsidRDefault="006769C6" w:rsidP="0026300B">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poslednímu měsíci daného čtvrtletí.</w:t>
            </w:r>
          </w:p>
          <w:p w14:paraId="5A49541A" w14:textId="77777777" w:rsidR="006769C6" w:rsidRPr="00485ED5" w:rsidRDefault="006769C6" w:rsidP="0026300B">
            <w:pPr>
              <w:spacing w:after="220" w:line="240" w:lineRule="auto"/>
              <w:rPr>
                <w:rFonts w:cs="Arial"/>
                <w:color w:val="0D0D0D" w:themeColor="text1" w:themeTint="F2"/>
                <w:spacing w:val="-2"/>
                <w:sz w:val="14"/>
                <w:szCs w:val="14"/>
              </w:rPr>
            </w:pPr>
            <w:r w:rsidRPr="00862F17">
              <w:rPr>
                <w:rFonts w:cs="Arial"/>
                <w:sz w:val="14"/>
                <w:szCs w:val="14"/>
              </w:rPr>
              <w:t>Zdroj: ČSÚ (národní účty</w:t>
            </w:r>
            <w:r>
              <w:rPr>
                <w:rFonts w:cs="Arial"/>
                <w:sz w:val="14"/>
                <w:szCs w:val="14"/>
              </w:rPr>
              <w:t>, konjunkturální průzkumy)</w:t>
            </w:r>
          </w:p>
        </w:tc>
      </w:tr>
      <w:tr w:rsidR="006769C6" w:rsidRPr="00B43216" w14:paraId="31A0AB18" w14:textId="77777777" w:rsidTr="0026300B">
        <w:trPr>
          <w:trHeight w:val="145"/>
        </w:trPr>
        <w:tc>
          <w:tcPr>
            <w:tcW w:w="1792" w:type="dxa"/>
            <w:shd w:val="clear" w:color="auto" w:fill="auto"/>
            <w:tcMar>
              <w:left w:w="0" w:type="dxa"/>
            </w:tcMar>
          </w:tcPr>
          <w:p w14:paraId="22C72F09" w14:textId="77777777" w:rsidR="006769C6" w:rsidRDefault="006769C6" w:rsidP="0026300B">
            <w:pPr>
              <w:pStyle w:val="Marginlie"/>
            </w:pPr>
            <w:r>
              <w:t>Obecná míra nezaměstnanosti se navýšila jen mírně, silnějším tempem rostla u</w:t>
            </w:r>
            <w:r>
              <w:rPr>
                <w:spacing w:val="-4"/>
              </w:rPr>
              <w:t> </w:t>
            </w:r>
            <w:r>
              <w:t>mužů.</w:t>
            </w:r>
          </w:p>
          <w:p w14:paraId="4E641E8C" w14:textId="77777777" w:rsidR="006769C6" w:rsidRDefault="006769C6" w:rsidP="0026300B">
            <w:pPr>
              <w:pStyle w:val="Marginlie"/>
            </w:pPr>
          </w:p>
          <w:p w14:paraId="71F4B620" w14:textId="77777777" w:rsidR="006769C6" w:rsidRDefault="006769C6" w:rsidP="0026300B">
            <w:pPr>
              <w:pStyle w:val="Marginlie"/>
            </w:pPr>
          </w:p>
          <w:p w14:paraId="53FBDE96" w14:textId="77777777" w:rsidR="006769C6" w:rsidRDefault="006769C6" w:rsidP="0026300B">
            <w:pPr>
              <w:pStyle w:val="Marginlie"/>
            </w:pPr>
          </w:p>
          <w:p w14:paraId="00970F2A" w14:textId="77777777" w:rsidR="006769C6" w:rsidRDefault="006769C6" w:rsidP="0026300B">
            <w:pPr>
              <w:pStyle w:val="Marginlie"/>
            </w:pPr>
            <w:r>
              <w:t>Očekávání domácností ohledně růstu nezaměstnanosti prudce vzrostla.</w:t>
            </w:r>
          </w:p>
        </w:tc>
        <w:tc>
          <w:tcPr>
            <w:tcW w:w="216" w:type="dxa"/>
            <w:shd w:val="clear" w:color="auto" w:fill="auto"/>
            <w:tcMar>
              <w:left w:w="0" w:type="dxa"/>
            </w:tcMar>
          </w:tcPr>
          <w:p w14:paraId="3E2D7C99"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7211D837" w14:textId="77777777" w:rsidR="006769C6" w:rsidRPr="008E2C43" w:rsidRDefault="006769C6" w:rsidP="006769C6">
            <w:pPr>
              <w:spacing w:after="0"/>
              <w:rPr>
                <w:spacing w:val="-4"/>
              </w:rPr>
            </w:pPr>
            <w:r w:rsidRPr="008E2C43">
              <w:rPr>
                <w:spacing w:val="-4"/>
              </w:rPr>
              <w:t>Během 2.</w:t>
            </w:r>
            <w:r>
              <w:rPr>
                <w:spacing w:val="-4"/>
              </w:rPr>
              <w:t> čtvrtlet</w:t>
            </w:r>
            <w:r w:rsidRPr="008E2C43">
              <w:rPr>
                <w:spacing w:val="-4"/>
              </w:rPr>
              <w:t>í obecná míra nezaměstnanosti</w:t>
            </w:r>
            <w:r w:rsidRPr="008E2C43">
              <w:rPr>
                <w:rStyle w:val="Znakapoznpodarou"/>
                <w:color w:val="0D0D0D" w:themeColor="text1" w:themeTint="F2"/>
                <w:spacing w:val="-4"/>
              </w:rPr>
              <w:footnoteReference w:id="41"/>
            </w:r>
            <w:r w:rsidRPr="008E2C43">
              <w:rPr>
                <w:spacing w:val="-4"/>
              </w:rPr>
              <w:t xml:space="preserve"> mír</w:t>
            </w:r>
            <w:r>
              <w:rPr>
                <w:spacing w:val="-4"/>
              </w:rPr>
              <w:t>ně vzrostla. V červnu čítala 2,7 %</w:t>
            </w:r>
            <w:r w:rsidRPr="008E2C43">
              <w:rPr>
                <w:spacing w:val="-4"/>
              </w:rPr>
              <w:t>, přičemž rozd</w:t>
            </w:r>
            <w:r>
              <w:rPr>
                <w:spacing w:val="-4"/>
              </w:rPr>
              <w:t>íl mezi pohlavími (0,3 p. b.) byl</w:t>
            </w:r>
            <w:r w:rsidRPr="008E2C43">
              <w:rPr>
                <w:spacing w:val="-4"/>
              </w:rPr>
              <w:t xml:space="preserve"> </w:t>
            </w:r>
            <w:r>
              <w:rPr>
                <w:spacing w:val="-4"/>
              </w:rPr>
              <w:t>jedním z nejmenších</w:t>
            </w:r>
            <w:r w:rsidRPr="008E2C43">
              <w:rPr>
                <w:spacing w:val="-4"/>
              </w:rPr>
              <w:t xml:space="preserve"> v</w:t>
            </w:r>
            <w:r>
              <w:rPr>
                <w:spacing w:val="-4"/>
              </w:rPr>
              <w:t>e sledované řadě od roku 1993</w:t>
            </w:r>
            <w:r w:rsidRPr="008E2C43">
              <w:rPr>
                <w:spacing w:val="-4"/>
              </w:rPr>
              <w:t xml:space="preserve">. Od počátku letošního roku </w:t>
            </w:r>
            <w:r>
              <w:rPr>
                <w:spacing w:val="-4"/>
              </w:rPr>
              <w:t xml:space="preserve">se nezaměstnanost u mužů navýšila o 0,8 p. b., u žen o 0,6 p. b. To může být na první pohled překvapivé, neboť recese v první fázi více zasáhla odvětví služeb s převahou zaměstnanosti žen. Nástup nezaměstnanosti žen byl tlumen možností čerpání </w:t>
            </w:r>
            <w:r w:rsidRPr="00AA7D75">
              <w:rPr>
                <w:spacing w:val="-4"/>
              </w:rPr>
              <w:t>ošetřovného</w:t>
            </w:r>
            <w:r w:rsidRPr="008E2C43">
              <w:rPr>
                <w:rStyle w:val="Znakapoznpodarou"/>
                <w:color w:val="0D0D0D" w:themeColor="text1" w:themeTint="F2"/>
                <w:spacing w:val="-4"/>
              </w:rPr>
              <w:footnoteReference w:id="42"/>
            </w:r>
            <w:r w:rsidRPr="00AA7D75">
              <w:rPr>
                <w:spacing w:val="-4"/>
              </w:rPr>
              <w:t xml:space="preserve"> z</w:t>
            </w:r>
            <w:r>
              <w:rPr>
                <w:spacing w:val="-4"/>
              </w:rPr>
              <w:t> </w:t>
            </w:r>
            <w:r w:rsidRPr="00AA7D75">
              <w:rPr>
                <w:spacing w:val="-4"/>
              </w:rPr>
              <w:t>důvodu uzavření škol a</w:t>
            </w:r>
            <w:r>
              <w:rPr>
                <w:spacing w:val="-4"/>
              </w:rPr>
              <w:t> </w:t>
            </w:r>
            <w:r w:rsidRPr="00AA7D75">
              <w:rPr>
                <w:spacing w:val="-4"/>
              </w:rPr>
              <w:t>jiných zařízení.</w:t>
            </w:r>
            <w:r>
              <w:rPr>
                <w:spacing w:val="-4"/>
              </w:rPr>
              <w:t xml:space="preserve"> Pozitivní </w:t>
            </w:r>
            <w:r w:rsidRPr="00474787">
              <w:rPr>
                <w:spacing w:val="-4"/>
              </w:rPr>
              <w:t xml:space="preserve">bylo, že práci stále nacházeli </w:t>
            </w:r>
            <w:r>
              <w:rPr>
                <w:spacing w:val="-4"/>
              </w:rPr>
              <w:t>i </w:t>
            </w:r>
            <w:r w:rsidRPr="00474787">
              <w:rPr>
                <w:spacing w:val="-4"/>
              </w:rPr>
              <w:t>dlouhodobě nezaměstnaní. Jejich podíl na všech nezaměstnaných</w:t>
            </w:r>
            <w:r>
              <w:rPr>
                <w:spacing w:val="-4"/>
              </w:rPr>
              <w:t xml:space="preserve"> se přiblížil 20 % (nejnižší hladina od poloviny 90. let). Mezi domácnostmi však prudce vzrostlo saldo očekávání růstu nezaměstnanosti v ekonomice (v</w:t>
            </w:r>
            <w:r w:rsidRPr="008E2C43">
              <w:rPr>
                <w:spacing w:val="-4"/>
              </w:rPr>
              <w:t> </w:t>
            </w:r>
            <w:r>
              <w:rPr>
                <w:spacing w:val="-4"/>
              </w:rPr>
              <w:t>nejbližších dvanácti měsících) a ve 2. čtvrtletí se dostalo na úroveň naposledy patrnou v roce 2012</w:t>
            </w:r>
            <w:r w:rsidRPr="008E2C43">
              <w:rPr>
                <w:rStyle w:val="Znakapoznpodarou"/>
                <w:color w:val="0D0D0D" w:themeColor="text1" w:themeTint="F2"/>
                <w:spacing w:val="-4"/>
              </w:rPr>
              <w:footnoteReference w:id="43"/>
            </w:r>
            <w:r>
              <w:rPr>
                <w:spacing w:val="-4"/>
              </w:rPr>
              <w:t>.</w:t>
            </w:r>
          </w:p>
        </w:tc>
      </w:tr>
      <w:tr w:rsidR="006769C6" w:rsidRPr="00B43216" w14:paraId="418B8167" w14:textId="77777777" w:rsidTr="0026300B">
        <w:trPr>
          <w:trHeight w:val="145"/>
        </w:trPr>
        <w:tc>
          <w:tcPr>
            <w:tcW w:w="1792" w:type="dxa"/>
            <w:shd w:val="clear" w:color="auto" w:fill="auto"/>
            <w:tcMar>
              <w:left w:w="0" w:type="dxa"/>
            </w:tcMar>
          </w:tcPr>
          <w:p w14:paraId="7BD08DF5" w14:textId="77777777" w:rsidR="006769C6" w:rsidRDefault="006769C6" w:rsidP="0026300B">
            <w:pPr>
              <w:pStyle w:val="Marginlie"/>
            </w:pPr>
            <w:r>
              <w:lastRenderedPageBreak/>
              <w:t>Počet registrovaných volných pracovních míst jen mírně fluktuoval. K většímu navýšení došlo v Praze a středních Čechách.</w:t>
            </w:r>
          </w:p>
        </w:tc>
        <w:tc>
          <w:tcPr>
            <w:tcW w:w="216" w:type="dxa"/>
            <w:shd w:val="clear" w:color="auto" w:fill="auto"/>
            <w:tcMar>
              <w:left w:w="0" w:type="dxa"/>
            </w:tcMar>
          </w:tcPr>
          <w:p w14:paraId="0AE2F2D5"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3F8A8E8D" w14:textId="77777777" w:rsidR="006769C6" w:rsidRPr="006237E6" w:rsidRDefault="006769C6" w:rsidP="0026300B">
            <w:pPr>
              <w:spacing w:after="200"/>
              <w:rPr>
                <w:spacing w:val="-3"/>
              </w:rPr>
            </w:pPr>
            <w:r>
              <w:rPr>
                <w:spacing w:val="-4"/>
              </w:rPr>
              <w:t xml:space="preserve">Počet volných pracovních míst v nabídce úřadů práce nedoznal během 1. pololetí významnějších změn. Na konci června se rovnal 334 tis. a meziročně klesl o 3,5 % (u míst vyžadujících vyšší než základní vzdělání ale </w:t>
            </w:r>
            <w:r>
              <w:rPr>
                <w:rFonts w:cs="Arial"/>
                <w:bCs/>
                <w:color w:val="000000"/>
                <w:spacing w:val="-4"/>
                <w:szCs w:val="20"/>
              </w:rPr>
              <w:t>o </w:t>
            </w:r>
            <w:r>
              <w:rPr>
                <w:spacing w:val="-4"/>
              </w:rPr>
              <w:t>15 %). Více než třetina míst byla neobsazena déle než rok. Celková nabídka míst klesla ve zpracovatelském průmyslu (v obsluze strojů a zařízení), v obchodě či administrativních i podpůrných činnostech. Vlivem ztížené mobility zahraničních pracovníků vzrostl počet neobsazených pozic v primárním sektoru. K růstu celkové nabídky míst došlo v Praze (+15 %) a středních Čechách (+12 %), z drtivé části se jednalo o  nízkokvalifikované manuální pozice (pro lidi se základním vzděláním).</w:t>
            </w:r>
          </w:p>
        </w:tc>
      </w:tr>
      <w:tr w:rsidR="006769C6" w:rsidRPr="00B43216" w14:paraId="0B5358A5" w14:textId="77777777" w:rsidTr="0026300B">
        <w:trPr>
          <w:trHeight w:val="145"/>
        </w:trPr>
        <w:tc>
          <w:tcPr>
            <w:tcW w:w="1792" w:type="dxa"/>
            <w:shd w:val="clear" w:color="auto" w:fill="auto"/>
            <w:tcMar>
              <w:left w:w="0" w:type="dxa"/>
            </w:tcMar>
          </w:tcPr>
          <w:p w14:paraId="1FF01F84" w14:textId="77777777" w:rsidR="006769C6" w:rsidRDefault="006769C6" w:rsidP="0026300B">
            <w:pPr>
              <w:pStyle w:val="Marginlie"/>
            </w:pPr>
            <w:r>
              <w:t>Celková míra nezaměstnanosti se za 1. pololetí ve většině států EU zvýšila jen mírně. Svižněji posílila u lidí do 25 let.</w:t>
            </w:r>
          </w:p>
        </w:tc>
        <w:tc>
          <w:tcPr>
            <w:tcW w:w="216" w:type="dxa"/>
            <w:shd w:val="clear" w:color="auto" w:fill="auto"/>
            <w:tcMar>
              <w:left w:w="0" w:type="dxa"/>
            </w:tcMar>
          </w:tcPr>
          <w:p w14:paraId="59F5CF49"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461E1689" w14:textId="77777777" w:rsidR="006769C6" w:rsidRDefault="006769C6" w:rsidP="0026300B">
            <w:pPr>
              <w:spacing w:after="160"/>
              <w:rPr>
                <w:spacing w:val="-4"/>
              </w:rPr>
            </w:pPr>
            <w:r>
              <w:rPr>
                <w:spacing w:val="-4"/>
              </w:rPr>
              <w:t>Mírnou reakci trhu práce na ekonomický šok lze zatím sledovat ve většině zemí EU</w:t>
            </w:r>
            <w:r w:rsidRPr="004E68B1">
              <w:rPr>
                <w:rStyle w:val="Znakapoznpodarou"/>
                <w:color w:val="0D0D0D" w:themeColor="text1" w:themeTint="F2"/>
                <w:spacing w:val="-4"/>
              </w:rPr>
              <w:footnoteReference w:id="44"/>
            </w:r>
            <w:r>
              <w:rPr>
                <w:spacing w:val="-4"/>
              </w:rPr>
              <w:t>. Během 1. pololetí stoupla míra nezaměstnanosti</w:t>
            </w:r>
            <w:r w:rsidRPr="004E68B1">
              <w:rPr>
                <w:rStyle w:val="Znakapoznpodarou"/>
                <w:color w:val="0D0D0D" w:themeColor="text1" w:themeTint="F2"/>
                <w:spacing w:val="-4"/>
              </w:rPr>
              <w:footnoteReference w:id="45"/>
            </w:r>
            <w:r>
              <w:rPr>
                <w:spacing w:val="-4"/>
              </w:rPr>
              <w:t xml:space="preserve"> o 0,6 p. b. (bez významných rozdílů mezi muži a ženami), v červnu činila 7,1 %. Poklesu se vyhnuly jen tři státy (Irsko, Francie, Itálie), naopak růst v pásmu 2,5 až 3,5 p. b. registrovaly Estonsko, Lotyšsko, Litva, Švédsko a Chorvatsko. Není bez zajímavosti, že v pobaltských státech došlo ve 2. čtvrtletí ve srovnání s ostatními členy EU také k nejnižšímu poklesu HDP. Častější zaměstnanost v postižených odvětvích služeb i vyšší zastoupení flexibilnějších úvazků vedly k tomu, že nezaměstnanost mladých (do 25 let) se v 1. pololetí v EU zvyšovala svižněji (u žen +3,0 p. b., u mužů +1,4 p. b.). Ta nejvíce vzrostla v Estonsku (+14 p. b.) a Španělsku (+10 p. b.), kde dosahovala mezi členy Unie maxima (42 %)</w:t>
            </w:r>
            <w:r w:rsidRPr="004E68B1">
              <w:rPr>
                <w:rStyle w:val="Znakapoznpodarou"/>
                <w:color w:val="0D0D0D" w:themeColor="text1" w:themeTint="F2"/>
                <w:spacing w:val="-4"/>
              </w:rPr>
              <w:footnoteReference w:id="46"/>
            </w:r>
            <w:r>
              <w:rPr>
                <w:spacing w:val="-4"/>
              </w:rPr>
              <w:t>. Větší posun (o více než 7 p. b.) zaznamenaly i Švédsko, Lucembursko, Chorvatsko a Portugalsko. V Česku činil posun necelé 4 p. b., nezaměstnanost u nás tak stále patřila i v této věkové skupině k nejnižším v celé EU (ČR 8,6 %, Německo 5,7 %, EU 16,9 %).</w:t>
            </w:r>
          </w:p>
        </w:tc>
      </w:tr>
      <w:tr w:rsidR="006769C6" w:rsidRPr="00B43216" w14:paraId="63EEE3BD" w14:textId="77777777" w:rsidTr="0026300B">
        <w:trPr>
          <w:trHeight w:val="155"/>
        </w:trPr>
        <w:tc>
          <w:tcPr>
            <w:tcW w:w="1792" w:type="dxa"/>
            <w:vMerge w:val="restart"/>
            <w:shd w:val="clear" w:color="auto" w:fill="auto"/>
            <w:tcMar>
              <w:left w:w="0" w:type="dxa"/>
            </w:tcMar>
          </w:tcPr>
          <w:p w14:paraId="177C6160" w14:textId="77777777" w:rsidR="006769C6" w:rsidRPr="00B43216" w:rsidRDefault="006769C6" w:rsidP="0026300B">
            <w:pPr>
              <w:pStyle w:val="Marginlie"/>
              <w:rPr>
                <w:spacing w:val="-4"/>
              </w:rPr>
            </w:pPr>
          </w:p>
        </w:tc>
        <w:tc>
          <w:tcPr>
            <w:tcW w:w="216" w:type="dxa"/>
            <w:vMerge w:val="restart"/>
            <w:shd w:val="clear" w:color="auto" w:fill="auto"/>
            <w:tcMar>
              <w:left w:w="0" w:type="dxa"/>
            </w:tcMar>
          </w:tcPr>
          <w:p w14:paraId="19B05287"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1C5AD6CB" w14:textId="77777777" w:rsidR="006769C6" w:rsidRPr="009F2A8A" w:rsidRDefault="006769C6" w:rsidP="0026300B">
            <w:pPr>
              <w:spacing w:after="0"/>
              <w:rPr>
                <w:b/>
                <w:spacing w:val="-2"/>
              </w:rPr>
            </w:pPr>
            <w:r w:rsidRPr="009F2A8A">
              <w:rPr>
                <w:b/>
                <w:spacing w:val="-2"/>
              </w:rPr>
              <w:t xml:space="preserve">Graf č. 14  </w:t>
            </w:r>
            <w:r w:rsidRPr="009F2A8A">
              <w:rPr>
                <w:rFonts w:cs="Arial"/>
                <w:b/>
                <w:spacing w:val="-2"/>
              </w:rPr>
              <w:t xml:space="preserve">Obecná míra nezaměstnanosti </w:t>
            </w:r>
            <w:r w:rsidRPr="009F2A8A">
              <w:rPr>
                <w:rFonts w:cs="Arial"/>
                <w:bCs/>
                <w:spacing w:val="-2"/>
              </w:rPr>
              <w:t>(v</w:t>
            </w:r>
            <w:r>
              <w:rPr>
                <w:rFonts w:cs="Arial"/>
                <w:bCs/>
                <w:spacing w:val="-2"/>
              </w:rPr>
              <w:t> %</w:t>
            </w:r>
            <w:r w:rsidRPr="009F2A8A">
              <w:rPr>
                <w:rFonts w:cs="Arial"/>
                <w:bCs/>
                <w:spacing w:val="-2"/>
              </w:rPr>
              <w:t>)</w:t>
            </w:r>
            <w:r w:rsidRPr="009F2A8A">
              <w:rPr>
                <w:rFonts w:cs="Arial"/>
                <w:b/>
                <w:spacing w:val="-2"/>
              </w:rPr>
              <w:t>, podíl dlouhodobě nezaměstnaných</w:t>
            </w:r>
            <w:r>
              <w:rPr>
                <w:rFonts w:cs="Arial"/>
                <w:b/>
                <w:spacing w:val="-2"/>
              </w:rPr>
              <w:t xml:space="preserve"> </w:t>
            </w:r>
            <w:r w:rsidRPr="009F2A8A">
              <w:rPr>
                <w:rFonts w:cs="Arial"/>
                <w:b/>
                <w:spacing w:val="-2"/>
              </w:rPr>
              <w:t>a</w:t>
            </w:r>
            <w:r>
              <w:rPr>
                <w:rFonts w:cs="Arial"/>
                <w:b/>
                <w:spacing w:val="-2"/>
              </w:rPr>
              <w:t> </w:t>
            </w:r>
            <w:r w:rsidRPr="009F2A8A">
              <w:rPr>
                <w:rFonts w:cs="Arial"/>
                <w:b/>
                <w:spacing w:val="-2"/>
              </w:rPr>
              <w:t>osob ve věku 50 a</w:t>
            </w:r>
            <w:r>
              <w:rPr>
                <w:rFonts w:cs="Arial"/>
                <w:b/>
                <w:spacing w:val="-2"/>
              </w:rPr>
              <w:t> více let mezi nezaměstnanými</w:t>
            </w:r>
            <w:r w:rsidRPr="009F2A8A">
              <w:rPr>
                <w:rFonts w:cs="Arial"/>
                <w:b/>
                <w:spacing w:val="-2"/>
              </w:rPr>
              <w:t xml:space="preserve"> </w:t>
            </w:r>
            <w:r w:rsidRPr="009F2A8A">
              <w:rPr>
                <w:rFonts w:cs="Arial"/>
                <w:bCs/>
                <w:spacing w:val="-2"/>
              </w:rPr>
              <w:t>(v</w:t>
            </w:r>
            <w:r>
              <w:rPr>
                <w:rFonts w:cs="Arial"/>
                <w:bCs/>
                <w:spacing w:val="-2"/>
              </w:rPr>
              <w:t> %</w:t>
            </w:r>
            <w:r w:rsidRPr="009F2A8A">
              <w:rPr>
                <w:rFonts w:cs="Arial"/>
                <w:bCs/>
                <w:spacing w:val="-2"/>
              </w:rPr>
              <w:t>)</w:t>
            </w:r>
            <w:r>
              <w:rPr>
                <w:rFonts w:cs="Arial"/>
                <w:b/>
                <w:spacing w:val="-2"/>
              </w:rPr>
              <w:t>,</w:t>
            </w:r>
            <w:r w:rsidRPr="009F2A8A">
              <w:rPr>
                <w:rFonts w:cs="Arial"/>
                <w:b/>
                <w:spacing w:val="-2"/>
              </w:rPr>
              <w:t xml:space="preserve"> ekonomicky neaktivní chtějící pracovat </w:t>
            </w:r>
            <w:r w:rsidRPr="009F2A8A">
              <w:rPr>
                <w:rFonts w:cs="Arial"/>
                <w:bCs/>
                <w:spacing w:val="-2"/>
              </w:rPr>
              <w:t>(v</w:t>
            </w:r>
            <w:r>
              <w:rPr>
                <w:rFonts w:cs="Arial"/>
                <w:bCs/>
                <w:spacing w:val="-2"/>
              </w:rPr>
              <w:t> tis.</w:t>
            </w:r>
            <w:r w:rsidRPr="009F2A8A">
              <w:rPr>
                <w:rFonts w:cs="Arial"/>
                <w:bCs/>
                <w:spacing w:val="-2"/>
              </w:rPr>
              <w:t>)</w:t>
            </w:r>
            <w:r>
              <w:rPr>
                <w:rFonts w:cs="Arial"/>
                <w:bCs/>
                <w:spacing w:val="-2"/>
              </w:rPr>
              <w:t xml:space="preserve">* </w:t>
            </w:r>
            <w:r>
              <w:rPr>
                <w:rFonts w:cs="Arial"/>
                <w:b/>
                <w:bCs/>
                <w:spacing w:val="-2"/>
              </w:rPr>
              <w:t>a očekávání</w:t>
            </w:r>
            <w:r w:rsidRPr="00391FF5">
              <w:rPr>
                <w:rFonts w:cs="Arial"/>
                <w:b/>
                <w:bCs/>
                <w:spacing w:val="-2"/>
              </w:rPr>
              <w:t xml:space="preserve"> nezaměstnanosti</w:t>
            </w:r>
            <w:r>
              <w:rPr>
                <w:rFonts w:cs="Arial"/>
                <w:b/>
                <w:bCs/>
                <w:spacing w:val="-2"/>
              </w:rPr>
              <w:t xml:space="preserve"> u domácností</w:t>
            </w:r>
            <w:r>
              <w:rPr>
                <w:rFonts w:cs="Arial"/>
                <w:bCs/>
                <w:spacing w:val="-2"/>
              </w:rPr>
              <w:t xml:space="preserve"> (v %)**</w:t>
            </w:r>
          </w:p>
        </w:tc>
      </w:tr>
      <w:tr w:rsidR="006769C6" w:rsidRPr="00B43216" w14:paraId="2DA20A56" w14:textId="77777777" w:rsidTr="0026300B">
        <w:tblPrEx>
          <w:tblCellMar>
            <w:left w:w="70" w:type="dxa"/>
            <w:right w:w="70" w:type="dxa"/>
          </w:tblCellMar>
        </w:tblPrEx>
        <w:trPr>
          <w:trHeight w:val="155"/>
        </w:trPr>
        <w:tc>
          <w:tcPr>
            <w:tcW w:w="1792" w:type="dxa"/>
            <w:vMerge/>
            <w:shd w:val="clear" w:color="auto" w:fill="auto"/>
          </w:tcPr>
          <w:p w14:paraId="5EA3BA20" w14:textId="77777777" w:rsidR="006769C6" w:rsidRPr="00B43216" w:rsidRDefault="006769C6" w:rsidP="0026300B">
            <w:pPr>
              <w:pStyle w:val="Marginlie"/>
              <w:rPr>
                <w:spacing w:val="-4"/>
              </w:rPr>
            </w:pPr>
          </w:p>
        </w:tc>
        <w:tc>
          <w:tcPr>
            <w:tcW w:w="216" w:type="dxa"/>
            <w:vMerge/>
            <w:shd w:val="clear" w:color="auto" w:fill="auto"/>
          </w:tcPr>
          <w:p w14:paraId="4A28501D" w14:textId="77777777" w:rsidR="006769C6" w:rsidRPr="00B43216" w:rsidRDefault="006769C6" w:rsidP="0026300B">
            <w:pPr>
              <w:pStyle w:val="Textpoznpodarou"/>
              <w:jc w:val="both"/>
              <w:rPr>
                <w:spacing w:val="-4"/>
              </w:rPr>
            </w:pPr>
          </w:p>
        </w:tc>
        <w:tc>
          <w:tcPr>
            <w:tcW w:w="7656" w:type="dxa"/>
            <w:shd w:val="clear" w:color="auto" w:fill="auto"/>
          </w:tcPr>
          <w:p w14:paraId="0796575C" w14:textId="77777777" w:rsidR="006769C6" w:rsidRPr="00B43216" w:rsidRDefault="006769C6" w:rsidP="0026300B">
            <w:pPr>
              <w:spacing w:after="0"/>
              <w:rPr>
                <w:spacing w:val="-4"/>
              </w:rPr>
            </w:pPr>
            <w:r>
              <w:rPr>
                <w:noProof/>
              </w:rPr>
              <w:drawing>
                <wp:inline distT="0" distB="0" distL="0" distR="0" wp14:anchorId="176636D7" wp14:editId="4752A155">
                  <wp:extent cx="4715510" cy="3104865"/>
                  <wp:effectExtent l="0" t="0" r="8890" b="635"/>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769C6" w:rsidRPr="00B43216" w14:paraId="57F9527D" w14:textId="77777777" w:rsidTr="0026300B">
        <w:trPr>
          <w:trHeight w:val="671"/>
        </w:trPr>
        <w:tc>
          <w:tcPr>
            <w:tcW w:w="1792" w:type="dxa"/>
            <w:vMerge/>
            <w:shd w:val="clear" w:color="auto" w:fill="auto"/>
            <w:tcMar>
              <w:left w:w="0" w:type="dxa"/>
            </w:tcMar>
          </w:tcPr>
          <w:p w14:paraId="3C735BA3" w14:textId="77777777" w:rsidR="006769C6" w:rsidRPr="00B43216" w:rsidRDefault="006769C6" w:rsidP="0026300B">
            <w:pPr>
              <w:pStyle w:val="Marginlie"/>
              <w:rPr>
                <w:spacing w:val="-4"/>
              </w:rPr>
            </w:pPr>
          </w:p>
        </w:tc>
        <w:tc>
          <w:tcPr>
            <w:tcW w:w="216" w:type="dxa"/>
            <w:vMerge/>
            <w:shd w:val="clear" w:color="auto" w:fill="auto"/>
            <w:tcMar>
              <w:left w:w="0" w:type="dxa"/>
            </w:tcMar>
          </w:tcPr>
          <w:p w14:paraId="308F4040"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02A0AE65" w14:textId="77777777" w:rsidR="006769C6" w:rsidRPr="004E68B1" w:rsidRDefault="006769C6" w:rsidP="0026300B">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694F15AE" w14:textId="77777777" w:rsidR="006769C6" w:rsidRDefault="006769C6" w:rsidP="0026300B">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19FFAEE0" w14:textId="77777777" w:rsidR="006769C6" w:rsidRDefault="006769C6" w:rsidP="0026300B">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Údaje se vztahují k poslednímu měsíci daného čtvrtletí.</w:t>
            </w:r>
          </w:p>
          <w:p w14:paraId="00E478C2" w14:textId="77777777" w:rsidR="006769C6" w:rsidRPr="00485ED5" w:rsidRDefault="006769C6" w:rsidP="0026300B">
            <w:pPr>
              <w:spacing w:after="12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6769C6" w:rsidRPr="00191C35" w14:paraId="522BC0B7" w14:textId="77777777" w:rsidTr="0026300B">
        <w:trPr>
          <w:trHeight w:val="145"/>
        </w:trPr>
        <w:tc>
          <w:tcPr>
            <w:tcW w:w="1792" w:type="dxa"/>
            <w:shd w:val="clear" w:color="auto" w:fill="auto"/>
            <w:tcMar>
              <w:left w:w="0" w:type="dxa"/>
            </w:tcMar>
          </w:tcPr>
          <w:p w14:paraId="12DE5F1B" w14:textId="77777777" w:rsidR="006769C6" w:rsidRDefault="006769C6" w:rsidP="0026300B">
            <w:pPr>
              <w:pStyle w:val="Marginlie"/>
            </w:pPr>
            <w:r>
              <w:t xml:space="preserve">Již během 1. čtvrtletí došlo v EU </w:t>
            </w:r>
            <w:r>
              <w:lastRenderedPageBreak/>
              <w:t>k významnějšímu nárůstu tzv. skryté nezaměstnanosti.</w:t>
            </w:r>
          </w:p>
        </w:tc>
        <w:tc>
          <w:tcPr>
            <w:tcW w:w="216" w:type="dxa"/>
            <w:shd w:val="clear" w:color="auto" w:fill="auto"/>
            <w:tcMar>
              <w:left w:w="0" w:type="dxa"/>
            </w:tcMar>
          </w:tcPr>
          <w:p w14:paraId="77F337A4"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48AA8E8E" w14:textId="77777777" w:rsidR="006769C6" w:rsidRPr="003B6B9D" w:rsidRDefault="006769C6" w:rsidP="0026300B">
            <w:pPr>
              <w:spacing w:after="200"/>
              <w:rPr>
                <w:spacing w:val="-4"/>
              </w:rPr>
            </w:pPr>
            <w:r>
              <w:rPr>
                <w:spacing w:val="-4"/>
              </w:rPr>
              <w:t xml:space="preserve">Rozdíly mezi státy EU v dosavadních dopadech šoku na pracovní trh byly ovlivněny rychlostí i intenzitou přijatých protipandemických opatření, odvětvovou skladbou ekonomiky </w:t>
            </w:r>
            <w:r>
              <w:rPr>
                <w:spacing w:val="-4"/>
              </w:rPr>
              <w:lastRenderedPageBreak/>
              <w:t>i rozsahem vládních stabilizačních opatření cílených na zaměstnavatele i drobné podnikatele. Již data za 1. čtvrtletí naznačují, že nejvýznamnějším tokem na unijním pracovním trhu byl přesun zaměstnaných mezi ekonomicky neaktivní</w:t>
            </w:r>
            <w:r w:rsidRPr="004E68B1">
              <w:rPr>
                <w:rStyle w:val="Znakapoznpodarou"/>
                <w:color w:val="0D0D0D" w:themeColor="text1" w:themeTint="F2"/>
                <w:spacing w:val="-4"/>
              </w:rPr>
              <w:footnoteReference w:id="47"/>
            </w:r>
            <w:r>
              <w:rPr>
                <w:spacing w:val="-4"/>
              </w:rPr>
              <w:t>. Část těchto neaktivních lze přitom považovat za skryté nezaměstnané</w:t>
            </w:r>
            <w:r w:rsidRPr="004E68B1">
              <w:rPr>
                <w:rStyle w:val="Znakapoznpodarou"/>
                <w:color w:val="0D0D0D" w:themeColor="text1" w:themeTint="F2"/>
                <w:spacing w:val="-4"/>
              </w:rPr>
              <w:footnoteReference w:id="48"/>
            </w:r>
            <w:r>
              <w:rPr>
                <w:spacing w:val="-4"/>
              </w:rPr>
              <w:t>. Jejich poměr k celkovému počtu ekonomicky aktivních se proti 4. čtvrtletí 2019 navýšil ze 6,8 % na 7,4 % a v některých státech dosahoval i ve srovnání s „klasickou“ nezaměstnaností vysokých hodnot (Itálie 14,7 %, Finsko 10,6 %), v Česku však málo významných 0,9 %.</w:t>
            </w:r>
          </w:p>
        </w:tc>
      </w:tr>
      <w:tr w:rsidR="006769C6" w:rsidRPr="00191C35" w14:paraId="545A7664" w14:textId="77777777" w:rsidTr="0026300B">
        <w:trPr>
          <w:trHeight w:val="145"/>
        </w:trPr>
        <w:tc>
          <w:tcPr>
            <w:tcW w:w="1792" w:type="dxa"/>
            <w:shd w:val="clear" w:color="auto" w:fill="auto"/>
            <w:tcMar>
              <w:left w:w="0" w:type="dxa"/>
            </w:tcMar>
          </w:tcPr>
          <w:p w14:paraId="738D123B" w14:textId="77777777" w:rsidR="006769C6" w:rsidRDefault="006769C6" w:rsidP="0026300B">
            <w:pPr>
              <w:pStyle w:val="Marginlie"/>
            </w:pPr>
            <w:r>
              <w:lastRenderedPageBreak/>
              <w:t>Výše průměrných mezd mezičtvrtletně klesla o 3,1 % a zčásti odrážela hlubší propad počtu odpracovaných hodin.</w:t>
            </w:r>
          </w:p>
          <w:p w14:paraId="060154E7" w14:textId="77777777" w:rsidR="006769C6" w:rsidRDefault="006769C6" w:rsidP="0026300B">
            <w:pPr>
              <w:pStyle w:val="Marginlie"/>
            </w:pPr>
          </w:p>
          <w:p w14:paraId="7C22D1F2" w14:textId="77777777" w:rsidR="006769C6" w:rsidRDefault="006769C6" w:rsidP="0026300B">
            <w:pPr>
              <w:pStyle w:val="Marginlie"/>
            </w:pPr>
          </w:p>
          <w:p w14:paraId="5EDD1B50" w14:textId="77777777" w:rsidR="006769C6" w:rsidRDefault="006769C6" w:rsidP="0026300B">
            <w:pPr>
              <w:pStyle w:val="Marginlie"/>
            </w:pPr>
          </w:p>
          <w:p w14:paraId="636DA334" w14:textId="77777777" w:rsidR="006769C6" w:rsidRDefault="006769C6" w:rsidP="0026300B">
            <w:pPr>
              <w:pStyle w:val="Marginlie"/>
            </w:pPr>
          </w:p>
          <w:p w14:paraId="001AE540" w14:textId="77777777" w:rsidR="006769C6" w:rsidRDefault="006769C6" w:rsidP="0026300B">
            <w:pPr>
              <w:pStyle w:val="Marginlie"/>
            </w:pPr>
            <w:r>
              <w:t>V meziročním vyjádření mírný růst mezd přetrval. Nadále působily faktory bránící rychlému útlumu mzdové dynamiky.</w:t>
            </w:r>
          </w:p>
        </w:tc>
        <w:tc>
          <w:tcPr>
            <w:tcW w:w="216" w:type="dxa"/>
            <w:shd w:val="clear" w:color="auto" w:fill="auto"/>
            <w:tcMar>
              <w:left w:w="0" w:type="dxa"/>
            </w:tcMar>
          </w:tcPr>
          <w:p w14:paraId="22D9762F" w14:textId="77777777" w:rsidR="006769C6" w:rsidRPr="00B43216" w:rsidRDefault="006769C6" w:rsidP="0026300B">
            <w:pPr>
              <w:pStyle w:val="Textpoznpodarou"/>
              <w:spacing w:after="200"/>
              <w:jc w:val="both"/>
              <w:rPr>
                <w:spacing w:val="-4"/>
              </w:rPr>
            </w:pPr>
          </w:p>
        </w:tc>
        <w:tc>
          <w:tcPr>
            <w:tcW w:w="7656" w:type="dxa"/>
            <w:shd w:val="clear" w:color="auto" w:fill="auto"/>
            <w:tcMar>
              <w:left w:w="0" w:type="dxa"/>
            </w:tcMar>
          </w:tcPr>
          <w:p w14:paraId="0B97A9D1" w14:textId="77777777" w:rsidR="006769C6" w:rsidRPr="00FE5237" w:rsidRDefault="006769C6" w:rsidP="0026300B">
            <w:pPr>
              <w:spacing w:after="200"/>
              <w:rPr>
                <w:spacing w:val="-4"/>
              </w:rPr>
            </w:pPr>
            <w:r w:rsidRPr="00FE5237">
              <w:rPr>
                <w:spacing w:val="-4"/>
              </w:rPr>
              <w:t>Omezení činnosti i dočasné uzavření části provozoven hlavně v oblasti tržních služeb či zpracovatelského průmyslu (z důvodu karanténních opatření i dlouhodobějšího poklesu poptávky) se musely projevit i ve mzdové oblasti. Ve 2. čtvrtletí se výše průměrných mezd (po sezónním očištění) oproti předchozímu kvartálu snížila o rekordní 3,1 % (v 1. čtvrtletí ještě rostla o 1,1 %). V meziročním srovnání se mzdový růst takřka zastavil (+0,5 %), nižší dynamiku zaznamenal ve 20leté srovnatelné řadě jen během roku 2013, kdy byla ale tempa uměle rozkolísaná</w:t>
            </w:r>
            <w:r w:rsidRPr="00FE5237">
              <w:rPr>
                <w:rStyle w:val="Znakapoznpodarou"/>
                <w:color w:val="0D0D0D" w:themeColor="text1" w:themeTint="F2"/>
                <w:spacing w:val="-4"/>
              </w:rPr>
              <w:footnoteReference w:id="49"/>
            </w:r>
            <w:r w:rsidRPr="00FE5237">
              <w:rPr>
                <w:spacing w:val="-4"/>
              </w:rPr>
              <w:t>. Slabší mzdová tempa zčásti odrážela prudší pokles průměrných odpracovaných hodin</w:t>
            </w:r>
            <w:r w:rsidRPr="00FE5237">
              <w:rPr>
                <w:rStyle w:val="Znakapoznpodarou"/>
                <w:color w:val="0D0D0D" w:themeColor="text1" w:themeTint="F2"/>
                <w:spacing w:val="-4"/>
              </w:rPr>
              <w:footnoteReference w:id="50"/>
            </w:r>
            <w:r w:rsidRPr="00FE5237">
              <w:rPr>
                <w:spacing w:val="-4"/>
              </w:rPr>
              <w:t>. Proti hlubší redukci výše výdělků působily administrativní vlivy (navýšení minimální mzdy i pásem zaručených mezd) i napjatý stav na pracovním trhu na počátku roku (vyznačující se mj. nedostatkem pracovní síly), jenž v některých odvětvích zčásti přetrvával i v letním období. Roli sehrála i rigidita mezd (uzavírání dlouhodobějších vnitropodnikových dohod o růstu mezd či tarifní systém v rozpočtové sféře). Nelze vyloučit, že zhoršená ekonomická situace podniků se letos mohla výrazněji projevit také v redukci v oblasti nemzdových zaměstnaneckých benefitů.</w:t>
            </w:r>
          </w:p>
        </w:tc>
      </w:tr>
      <w:tr w:rsidR="006769C6" w:rsidRPr="00F32B6E" w14:paraId="2BDB38D4" w14:textId="77777777" w:rsidTr="0026300B">
        <w:trPr>
          <w:trHeight w:val="145"/>
        </w:trPr>
        <w:tc>
          <w:tcPr>
            <w:tcW w:w="1792" w:type="dxa"/>
            <w:shd w:val="clear" w:color="auto" w:fill="auto"/>
            <w:tcMar>
              <w:left w:w="0" w:type="dxa"/>
            </w:tcMar>
          </w:tcPr>
          <w:p w14:paraId="2D7CAE66" w14:textId="77777777" w:rsidR="006769C6" w:rsidRPr="00F32B6E" w:rsidRDefault="006769C6" w:rsidP="0026300B">
            <w:pPr>
              <w:pStyle w:val="Marginlie"/>
            </w:pPr>
          </w:p>
        </w:tc>
        <w:tc>
          <w:tcPr>
            <w:tcW w:w="216" w:type="dxa"/>
            <w:shd w:val="clear" w:color="auto" w:fill="auto"/>
            <w:tcMar>
              <w:left w:w="0" w:type="dxa"/>
            </w:tcMar>
          </w:tcPr>
          <w:p w14:paraId="233B5141" w14:textId="77777777" w:rsidR="006769C6" w:rsidRPr="003E01D3" w:rsidRDefault="006769C6" w:rsidP="0026300B">
            <w:pPr>
              <w:pStyle w:val="Textpoznpodarou"/>
              <w:jc w:val="both"/>
              <w:rPr>
                <w:spacing w:val="-4"/>
              </w:rPr>
            </w:pPr>
          </w:p>
        </w:tc>
        <w:tc>
          <w:tcPr>
            <w:tcW w:w="7656" w:type="dxa"/>
            <w:shd w:val="clear" w:color="auto" w:fill="auto"/>
            <w:tcMar>
              <w:left w:w="0" w:type="dxa"/>
            </w:tcMar>
          </w:tcPr>
          <w:p w14:paraId="35A8E80E" w14:textId="77777777" w:rsidR="006769C6" w:rsidRPr="003E01D3" w:rsidRDefault="006769C6" w:rsidP="0026300B">
            <w:pPr>
              <w:spacing w:after="0"/>
              <w:rPr>
                <w:spacing w:val="-4"/>
              </w:rPr>
            </w:pPr>
            <w:r w:rsidRPr="003E01D3">
              <w:rPr>
                <w:b/>
                <w:spacing w:val="-4"/>
              </w:rPr>
              <w:t>Graf č. 15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6769C6" w:rsidRPr="00F32B6E" w14:paraId="758D36DA" w14:textId="77777777" w:rsidTr="0026300B">
        <w:tblPrEx>
          <w:tblCellMar>
            <w:left w:w="70" w:type="dxa"/>
            <w:right w:w="70" w:type="dxa"/>
          </w:tblCellMar>
        </w:tblPrEx>
        <w:trPr>
          <w:trHeight w:val="145"/>
        </w:trPr>
        <w:tc>
          <w:tcPr>
            <w:tcW w:w="1792" w:type="dxa"/>
            <w:shd w:val="clear" w:color="auto" w:fill="auto"/>
          </w:tcPr>
          <w:p w14:paraId="141FEB65" w14:textId="77777777" w:rsidR="006769C6" w:rsidRPr="00F32B6E" w:rsidRDefault="006769C6" w:rsidP="0026300B">
            <w:pPr>
              <w:pStyle w:val="Marginlie"/>
              <w:spacing w:after="200"/>
            </w:pPr>
          </w:p>
        </w:tc>
        <w:tc>
          <w:tcPr>
            <w:tcW w:w="216" w:type="dxa"/>
            <w:shd w:val="clear" w:color="auto" w:fill="auto"/>
          </w:tcPr>
          <w:p w14:paraId="27963505" w14:textId="77777777" w:rsidR="006769C6" w:rsidRPr="003E01D3" w:rsidRDefault="006769C6" w:rsidP="0026300B">
            <w:pPr>
              <w:pStyle w:val="Textpoznpodarou"/>
              <w:spacing w:after="200"/>
              <w:jc w:val="both"/>
              <w:rPr>
                <w:spacing w:val="-4"/>
              </w:rPr>
            </w:pPr>
          </w:p>
        </w:tc>
        <w:tc>
          <w:tcPr>
            <w:tcW w:w="7656" w:type="dxa"/>
            <w:shd w:val="clear" w:color="auto" w:fill="auto"/>
          </w:tcPr>
          <w:p w14:paraId="487CC48D" w14:textId="77777777" w:rsidR="006769C6" w:rsidRPr="003E01D3" w:rsidRDefault="006769C6" w:rsidP="0026300B">
            <w:pPr>
              <w:spacing w:after="0"/>
              <w:rPr>
                <w:spacing w:val="-4"/>
              </w:rPr>
            </w:pPr>
            <w:r>
              <w:rPr>
                <w:noProof/>
              </w:rPr>
              <w:drawing>
                <wp:inline distT="0" distB="0" distL="0" distR="0" wp14:anchorId="480421CE" wp14:editId="6191B333">
                  <wp:extent cx="4759960" cy="3254991"/>
                  <wp:effectExtent l="0" t="0" r="2540" b="3175"/>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769C6" w:rsidRPr="003E01D3" w14:paraId="5CA4157E" w14:textId="77777777" w:rsidTr="0026300B">
        <w:trPr>
          <w:trHeight w:val="145"/>
        </w:trPr>
        <w:tc>
          <w:tcPr>
            <w:tcW w:w="1792" w:type="dxa"/>
            <w:shd w:val="clear" w:color="auto" w:fill="auto"/>
            <w:tcMar>
              <w:left w:w="0" w:type="dxa"/>
            </w:tcMar>
          </w:tcPr>
          <w:p w14:paraId="457E3D09" w14:textId="77777777" w:rsidR="006769C6" w:rsidRPr="00F32B6E" w:rsidRDefault="006769C6" w:rsidP="0026300B">
            <w:pPr>
              <w:pStyle w:val="Marginlie"/>
              <w:spacing w:after="200"/>
            </w:pPr>
          </w:p>
        </w:tc>
        <w:tc>
          <w:tcPr>
            <w:tcW w:w="216" w:type="dxa"/>
            <w:shd w:val="clear" w:color="auto" w:fill="auto"/>
            <w:tcMar>
              <w:left w:w="0" w:type="dxa"/>
            </w:tcMar>
          </w:tcPr>
          <w:p w14:paraId="16F85538" w14:textId="77777777" w:rsidR="006769C6" w:rsidRPr="003E01D3" w:rsidRDefault="006769C6" w:rsidP="0026300B">
            <w:pPr>
              <w:pStyle w:val="Textpoznpodarou"/>
              <w:spacing w:after="200"/>
              <w:jc w:val="both"/>
              <w:rPr>
                <w:spacing w:val="-4"/>
              </w:rPr>
            </w:pPr>
          </w:p>
        </w:tc>
        <w:tc>
          <w:tcPr>
            <w:tcW w:w="7656" w:type="dxa"/>
            <w:shd w:val="clear" w:color="auto" w:fill="auto"/>
            <w:tcMar>
              <w:left w:w="0" w:type="dxa"/>
            </w:tcMar>
          </w:tcPr>
          <w:p w14:paraId="4FE9FBBE" w14:textId="77777777" w:rsidR="006769C6" w:rsidRDefault="006769C6" w:rsidP="0026300B">
            <w:pPr>
              <w:spacing w:after="0"/>
              <w:rPr>
                <w:spacing w:val="-4"/>
                <w:sz w:val="14"/>
                <w:szCs w:val="14"/>
              </w:rPr>
            </w:pPr>
            <w:r w:rsidRPr="003E01D3">
              <w:rPr>
                <w:spacing w:val="-4"/>
                <w:sz w:val="14"/>
                <w:szCs w:val="14"/>
              </w:rPr>
              <w:t>*</w:t>
            </w:r>
            <w:r>
              <w:rPr>
                <w:spacing w:val="-4"/>
                <w:sz w:val="14"/>
                <w:szCs w:val="14"/>
              </w:rPr>
              <w:t>Zahrnuje odvětví: Veř. správa, obrana, soc.</w:t>
            </w:r>
            <w:r w:rsidRPr="003E01D3">
              <w:rPr>
                <w:spacing w:val="-4"/>
                <w:sz w:val="14"/>
                <w:szCs w:val="14"/>
              </w:rPr>
              <w:t xml:space="preserve"> zabezpečení; Vzdělávání; Zdravotní a </w:t>
            </w:r>
            <w:r>
              <w:rPr>
                <w:spacing w:val="-4"/>
                <w:sz w:val="14"/>
                <w:szCs w:val="14"/>
              </w:rPr>
              <w:t>soc.</w:t>
            </w:r>
            <w:r w:rsidRPr="003E01D3">
              <w:rPr>
                <w:spacing w:val="-4"/>
                <w:sz w:val="14"/>
                <w:szCs w:val="14"/>
              </w:rPr>
              <w:t xml:space="preserve"> péče; Kulturní, zábavní a rekreační činnost</w:t>
            </w:r>
            <w:r>
              <w:rPr>
                <w:spacing w:val="-4"/>
                <w:sz w:val="14"/>
                <w:szCs w:val="14"/>
              </w:rPr>
              <w:t>i.</w:t>
            </w:r>
          </w:p>
          <w:p w14:paraId="5E6B7CEA" w14:textId="77777777" w:rsidR="006769C6" w:rsidRPr="003E01D3" w:rsidRDefault="006769C6" w:rsidP="0026300B">
            <w:pPr>
              <w:spacing w:after="0"/>
              <w:rPr>
                <w:spacing w:val="-4"/>
                <w:sz w:val="14"/>
                <w:szCs w:val="14"/>
              </w:rPr>
            </w:pPr>
            <w:r>
              <w:rPr>
                <w:spacing w:val="-4"/>
                <w:sz w:val="14"/>
                <w:szCs w:val="14"/>
              </w:rPr>
              <w:t>Z</w:t>
            </w:r>
            <w:r w:rsidRPr="003E01D3">
              <w:rPr>
                <w:spacing w:val="-4"/>
                <w:sz w:val="14"/>
                <w:szCs w:val="14"/>
              </w:rPr>
              <w:t>droj: ČSÚ</w:t>
            </w:r>
          </w:p>
        </w:tc>
      </w:tr>
      <w:tr w:rsidR="006769C6" w:rsidRPr="003E01D3" w14:paraId="4CD881E3" w14:textId="77777777" w:rsidTr="0026300B">
        <w:trPr>
          <w:trHeight w:val="145"/>
        </w:trPr>
        <w:tc>
          <w:tcPr>
            <w:tcW w:w="1792" w:type="dxa"/>
            <w:shd w:val="clear" w:color="auto" w:fill="auto"/>
            <w:tcMar>
              <w:left w:w="0" w:type="dxa"/>
            </w:tcMar>
          </w:tcPr>
          <w:p w14:paraId="1DD95F9D" w14:textId="77777777" w:rsidR="006769C6" w:rsidRDefault="006769C6" w:rsidP="0026300B">
            <w:pPr>
              <w:pStyle w:val="Marginlie"/>
            </w:pPr>
            <w:r>
              <w:lastRenderedPageBreak/>
              <w:t>Mzdový vývoj na úrovni odvětví byl ve 2. čtvrtletí velmi diferencovaný.</w:t>
            </w:r>
          </w:p>
          <w:p w14:paraId="3735BF89" w14:textId="77777777" w:rsidR="006769C6" w:rsidRDefault="006769C6" w:rsidP="0026300B">
            <w:pPr>
              <w:pStyle w:val="Marginlie"/>
            </w:pPr>
          </w:p>
          <w:p w14:paraId="2401B8C6" w14:textId="77777777" w:rsidR="006769C6" w:rsidRDefault="006769C6" w:rsidP="0026300B">
            <w:pPr>
              <w:pStyle w:val="Marginlie"/>
            </w:pPr>
          </w:p>
          <w:p w14:paraId="711A3AC6" w14:textId="77777777" w:rsidR="006769C6" w:rsidRDefault="006769C6" w:rsidP="0026300B">
            <w:pPr>
              <w:pStyle w:val="Marginlie"/>
            </w:pPr>
          </w:p>
          <w:p w14:paraId="164DBCA3" w14:textId="77777777" w:rsidR="006769C6" w:rsidRDefault="006769C6" w:rsidP="0026300B">
            <w:pPr>
              <w:pStyle w:val="Marginlie"/>
            </w:pPr>
          </w:p>
          <w:p w14:paraId="3F4A72AF" w14:textId="77777777" w:rsidR="006769C6" w:rsidRDefault="006769C6" w:rsidP="0026300B">
            <w:pPr>
              <w:pStyle w:val="Marginlie"/>
            </w:pPr>
          </w:p>
          <w:p w14:paraId="261E89A1" w14:textId="77777777" w:rsidR="006769C6" w:rsidRDefault="006769C6" w:rsidP="0026300B">
            <w:pPr>
              <w:pStyle w:val="Marginlie"/>
            </w:pPr>
          </w:p>
          <w:p w14:paraId="7C92A819" w14:textId="77777777" w:rsidR="006769C6" w:rsidRDefault="006769C6" w:rsidP="0026300B">
            <w:pPr>
              <w:pStyle w:val="Marginlie"/>
            </w:pPr>
          </w:p>
          <w:p w14:paraId="2147B348" w14:textId="77777777" w:rsidR="006769C6" w:rsidRPr="00F32B6E" w:rsidRDefault="006769C6" w:rsidP="0026300B">
            <w:pPr>
              <w:pStyle w:val="Marginlie"/>
              <w:spacing w:after="200"/>
            </w:pPr>
            <w:r>
              <w:t>Restriktivní opatření dopadla nejvíce na ubytování, stravování a pohostinství, kde objem vyplacených mezd propadl o čtvrtinu. V administrativních a podpůrných činnostech klesl o osminu a ve zpracovatelském průmyslu o desetinu.</w:t>
            </w:r>
          </w:p>
        </w:tc>
        <w:tc>
          <w:tcPr>
            <w:tcW w:w="216" w:type="dxa"/>
            <w:shd w:val="clear" w:color="auto" w:fill="auto"/>
            <w:tcMar>
              <w:left w:w="0" w:type="dxa"/>
            </w:tcMar>
          </w:tcPr>
          <w:p w14:paraId="56B58FB8"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0E577963" w14:textId="77777777" w:rsidR="006769C6" w:rsidRPr="0045716A" w:rsidRDefault="006769C6" w:rsidP="0026300B">
            <w:pPr>
              <w:spacing w:after="200"/>
              <w:rPr>
                <w:spacing w:val="-2"/>
                <w:szCs w:val="20"/>
              </w:rPr>
            </w:pPr>
            <w:r>
              <w:rPr>
                <w:spacing w:val="-2"/>
                <w:szCs w:val="20"/>
              </w:rPr>
              <w:t>Výrazně nerovnoměrný prvotní dopad protipandemických opatření i odlišná pružnost různých segmentů pracovního trhu (např. vazba objemu výdělků na počet odpracovaných hodin) se promítly ve značně diferencovaném vývoji mezd na úrovni jednotlivých odvětví ve 2. čtvrtletí 2020. Není překvapivé, že průměrné mzdy klesly meziročně nejvíce v silně zasaženém odvětví ubytování, stravování a pohostinství (</w:t>
            </w:r>
            <w:r w:rsidRPr="001C6ADD">
              <w:rPr>
                <w:rFonts w:cs="Arial"/>
                <w:bCs/>
                <w:color w:val="000000"/>
                <w:spacing w:val="-5"/>
                <w:szCs w:val="20"/>
              </w:rPr>
              <w:t>–</w:t>
            </w:r>
            <w:r>
              <w:rPr>
                <w:spacing w:val="-2"/>
                <w:szCs w:val="20"/>
              </w:rPr>
              <w:t>11,8 %). Tento vývoj byl navíc umocněn ještě hlubší redukcí evidenčního počtu zaměstnanců, objem vyplacených mezd zde tak propadl o čtvrtinu. O bezmála 6 % klesla průměrná mzda v činnostech v oblasti nemovitostí. Projevily se zde jak vyšší mzdová základna loňského roku, tak i svižný letošní růst zaměstnanosti (i tak se ale jednalo o nejmenší odvětvovou sekci služeb – z pohledu počtu zaměstnanců). K silně zasaženým odvětvím patřila i doprava a skladování, kde byl pokles mezd (</w:t>
            </w:r>
            <w:r w:rsidRPr="001C6ADD">
              <w:rPr>
                <w:rFonts w:cs="Arial"/>
                <w:bCs/>
                <w:color w:val="000000"/>
                <w:spacing w:val="-5"/>
                <w:szCs w:val="20"/>
              </w:rPr>
              <w:t>–</w:t>
            </w:r>
            <w:r>
              <w:rPr>
                <w:spacing w:val="-2"/>
                <w:szCs w:val="20"/>
              </w:rPr>
              <w:t>1,7 %) zastíněn hlubší redukcí zaměstnaneckých míst (</w:t>
            </w:r>
            <w:r w:rsidRPr="001C6ADD">
              <w:rPr>
                <w:rFonts w:cs="Arial"/>
                <w:bCs/>
                <w:color w:val="000000"/>
                <w:spacing w:val="-5"/>
                <w:szCs w:val="20"/>
              </w:rPr>
              <w:t>–</w:t>
            </w:r>
            <w:r>
              <w:rPr>
                <w:spacing w:val="-2"/>
                <w:szCs w:val="20"/>
              </w:rPr>
              <w:t>4,2 %). Lehký útlum (především u zaměstnanosti) naznačoval v tomto odvětví již loňský rok, a to ve vazbě na oslabení výkonů průmyslu i navazující poptávky v nákladní dopravě. V obchodě byl oproti předešlému odvětví pokles u mezd i zaměstnanosti zhruba jen poloviční. Situace zde ale byla patrně velmi rozdílná v závislosti na velikosti podniku. Nepříznivý vývoj se projevil v odvětví ostatní činnosti služeb (zahrnující např. kadeřnictví), celkový objem vyplacených mezd se snížil o více než 8 %. Ten byl zejména vlivem úbytku pracovníků nižší o 6,5 % také v kulturních, zábavních a rekreačních činnostech</w:t>
            </w:r>
            <w:r w:rsidRPr="004E68B1">
              <w:rPr>
                <w:rStyle w:val="Znakapoznpodarou"/>
                <w:color w:val="0D0D0D" w:themeColor="text1" w:themeTint="F2"/>
                <w:spacing w:val="-4"/>
              </w:rPr>
              <w:footnoteReference w:id="51"/>
            </w:r>
            <w:r>
              <w:rPr>
                <w:spacing w:val="-2"/>
                <w:szCs w:val="20"/>
              </w:rPr>
              <w:t>. K více zasaženým odvětvím je třeba počítat i administrativní a podpůrné činnosti, které jsou v pojetí podnikových statistik tvořeny zejména agenturními pracovníky. K růstu průměrné mzdy (+4,2 %) zde vedle navýšení minimální mzdy patrně přispělo i propuštění nízko kvalifikovaných pracovníků</w:t>
            </w:r>
            <w:r w:rsidRPr="004E68B1">
              <w:rPr>
                <w:rStyle w:val="Znakapoznpodarou"/>
                <w:color w:val="0D0D0D" w:themeColor="text1" w:themeTint="F2"/>
                <w:spacing w:val="-4"/>
              </w:rPr>
              <w:footnoteReference w:id="52"/>
            </w:r>
            <w:r>
              <w:rPr>
                <w:spacing w:val="-2"/>
                <w:szCs w:val="20"/>
              </w:rPr>
              <w:t>. Tento vývoj úzce souvisel se situací ve zpracovatelském průmyslu. Několikatýdenní přerušení výroby především v podnicích automobilového průmyslu vyústilo ve 2. čtvrtletí v citelný meziroční pokles zaměstnanci odpracovaných hodin (</w:t>
            </w:r>
            <w:r w:rsidRPr="001C6ADD">
              <w:rPr>
                <w:rFonts w:cs="Arial"/>
                <w:bCs/>
                <w:color w:val="000000"/>
                <w:spacing w:val="-5"/>
                <w:szCs w:val="20"/>
              </w:rPr>
              <w:t>–</w:t>
            </w:r>
            <w:r>
              <w:rPr>
                <w:spacing w:val="-2"/>
                <w:szCs w:val="20"/>
              </w:rPr>
              <w:t>13,6 %). Objem vyplacených mezd propadl o desetinu, na čemž se rovnoměrně podílely úbytek pracovních míst i nižší průměrná mzda.</w:t>
            </w:r>
          </w:p>
        </w:tc>
      </w:tr>
      <w:tr w:rsidR="006769C6" w:rsidRPr="003E01D3" w14:paraId="4779B2ED" w14:textId="77777777" w:rsidTr="0026300B">
        <w:trPr>
          <w:trHeight w:val="145"/>
        </w:trPr>
        <w:tc>
          <w:tcPr>
            <w:tcW w:w="1792" w:type="dxa"/>
            <w:shd w:val="clear" w:color="auto" w:fill="auto"/>
            <w:tcMar>
              <w:left w:w="0" w:type="dxa"/>
            </w:tcMar>
          </w:tcPr>
          <w:p w14:paraId="28FBC0C6" w14:textId="77777777" w:rsidR="006769C6" w:rsidRPr="00F32B6E" w:rsidRDefault="006769C6" w:rsidP="0026300B">
            <w:pPr>
              <w:pStyle w:val="Marginlie"/>
              <w:spacing w:after="200"/>
            </w:pPr>
            <w:r>
              <w:t>Svižný růst průměrných mezd si udržely energetika, informační a komunikační činnosti a veřejné služby.</w:t>
            </w:r>
          </w:p>
        </w:tc>
        <w:tc>
          <w:tcPr>
            <w:tcW w:w="216" w:type="dxa"/>
            <w:shd w:val="clear" w:color="auto" w:fill="auto"/>
            <w:tcMar>
              <w:left w:w="0" w:type="dxa"/>
            </w:tcMar>
          </w:tcPr>
          <w:p w14:paraId="5D1F4791"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14096523" w14:textId="77777777" w:rsidR="006769C6" w:rsidRPr="00890FC7" w:rsidRDefault="006769C6" w:rsidP="0026300B">
            <w:pPr>
              <w:spacing w:after="200"/>
              <w:rPr>
                <w:spacing w:val="-4"/>
                <w:szCs w:val="20"/>
              </w:rPr>
            </w:pPr>
            <w:r w:rsidRPr="00890FC7">
              <w:rPr>
                <w:spacing w:val="-4"/>
                <w:szCs w:val="20"/>
              </w:rPr>
              <w:t>Stavebnictví nebylo zpočátku nastupující recesí významně zasaženo, zaměstnanost i průměrné výdělky zde ve 2. čtvrtletí stagnovaly. Dařilo se také energetice, kde jako v jediném z hlavních odvětví meziroční růst mezd ve srovnání s tempem ze stejného období loňského roku nezvolnil (+5,3 %). Výše průměrné hrubé měsíční mzdy se zde přiblížila hranici 50 tis. korun, meziročně vzrostla ze všech odvětví nejvíce (o 2 471 korun). O 3,5 % si polepšili i zaměstnanci informačních a komunikačních činností, jejich výdělky byly již 3,5krát vyšší než u pracovníků v odvětví ubytování, stravování a pohostinství. V peněžnictví a pojišťovnictví se letos mzdový růst zastavil</w:t>
            </w:r>
            <w:r>
              <w:rPr>
                <w:spacing w:val="-4"/>
                <w:szCs w:val="20"/>
              </w:rPr>
              <w:t xml:space="preserve"> </w:t>
            </w:r>
            <w:r w:rsidRPr="00890FC7">
              <w:rPr>
                <w:spacing w:val="-4"/>
                <w:szCs w:val="20"/>
              </w:rPr>
              <w:t>(</w:t>
            </w:r>
            <w:r w:rsidRPr="00890FC7">
              <w:rPr>
                <w:rFonts w:cs="Arial"/>
                <w:bCs/>
                <w:color w:val="000000"/>
                <w:spacing w:val="-4"/>
                <w:szCs w:val="20"/>
              </w:rPr>
              <w:t>–</w:t>
            </w:r>
            <w:r w:rsidRPr="00890FC7">
              <w:rPr>
                <w:spacing w:val="-4"/>
                <w:szCs w:val="20"/>
              </w:rPr>
              <w:t>0,6 %). Vedle poklesu ziskovosti finančního sektoru se projevil i vliv vysoké loňské základny, kdy tempo průměrných mezd překročilo 8 %. Ve službách s dominancí veřejného sektoru mzdový růst lehce překročil 5 % a dosažená úroveň mzdy ve 2. čtvrtletí převyšovala hladinu v celé ekonomice (34 271 korun) o desetinu. Mzdové tempo bylo ovlivněno také mimořádným navýšením odměn za přesčasovou práci v některých vytížených oborech (zdravotnictví).</w:t>
            </w:r>
          </w:p>
        </w:tc>
      </w:tr>
      <w:tr w:rsidR="006769C6" w:rsidRPr="003E01D3" w14:paraId="71DBEC57" w14:textId="77777777" w:rsidTr="0026300B">
        <w:trPr>
          <w:trHeight w:val="145"/>
        </w:trPr>
        <w:tc>
          <w:tcPr>
            <w:tcW w:w="1792" w:type="dxa"/>
            <w:shd w:val="clear" w:color="auto" w:fill="auto"/>
            <w:tcMar>
              <w:left w:w="0" w:type="dxa"/>
            </w:tcMar>
          </w:tcPr>
          <w:p w14:paraId="22D20551" w14:textId="77777777" w:rsidR="006769C6" w:rsidRDefault="006769C6" w:rsidP="0026300B">
            <w:pPr>
              <w:pStyle w:val="Marginlie"/>
            </w:pPr>
            <w:r>
              <w:t>Celková mzdová diferenciace se ve 2. čtvrtletí znatelně prohloubila.</w:t>
            </w:r>
          </w:p>
        </w:tc>
        <w:tc>
          <w:tcPr>
            <w:tcW w:w="216" w:type="dxa"/>
            <w:shd w:val="clear" w:color="auto" w:fill="auto"/>
            <w:tcMar>
              <w:left w:w="0" w:type="dxa"/>
            </w:tcMar>
          </w:tcPr>
          <w:p w14:paraId="6E22B862"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45087E23" w14:textId="77777777" w:rsidR="006769C6" w:rsidRDefault="006769C6" w:rsidP="0026300B">
            <w:pPr>
              <w:spacing w:after="200"/>
              <w:rPr>
                <w:spacing w:val="-2"/>
                <w:szCs w:val="20"/>
              </w:rPr>
            </w:pPr>
            <w:r>
              <w:rPr>
                <w:spacing w:val="-2"/>
                <w:szCs w:val="20"/>
              </w:rPr>
              <w:t>Výše uvedený vývoj vedl k prohloubení mzdové diferenciace. Zatímco nejnižší mzdový decil ve 2. čtvrtletí meziročně klesl o 1,7 %, hodnota nejvyššího decilu vzrostla o 2,2 %. Mzdový medián zaznamenal první pokles od konce roku 2012 (</w:t>
            </w:r>
            <w:r w:rsidRPr="001C6ADD">
              <w:rPr>
                <w:rFonts w:cs="Arial"/>
                <w:bCs/>
                <w:color w:val="000000"/>
                <w:spacing w:val="-5"/>
                <w:szCs w:val="20"/>
              </w:rPr>
              <w:t>–</w:t>
            </w:r>
            <w:r>
              <w:rPr>
                <w:spacing w:val="-2"/>
                <w:szCs w:val="20"/>
              </w:rPr>
              <w:t>0,2 %). Rychleji se snižoval u mužů (</w:t>
            </w:r>
            <w:r w:rsidRPr="001C6ADD">
              <w:rPr>
                <w:rFonts w:cs="Arial"/>
                <w:bCs/>
                <w:color w:val="000000"/>
                <w:spacing w:val="-5"/>
                <w:szCs w:val="20"/>
              </w:rPr>
              <w:t>–</w:t>
            </w:r>
            <w:r>
              <w:rPr>
                <w:rFonts w:cs="Arial"/>
                <w:bCs/>
                <w:color w:val="000000"/>
                <w:spacing w:val="-5"/>
                <w:szCs w:val="20"/>
              </w:rPr>
              <w:t>1,0 %), i tak ale převyšovaly dosažené mediánové výdělky mužů ty ženské o 16 % (resp. necelých 5 tis. korun).</w:t>
            </w:r>
          </w:p>
        </w:tc>
      </w:tr>
      <w:tr w:rsidR="006769C6" w:rsidRPr="003E01D3" w14:paraId="1447C24F" w14:textId="77777777" w:rsidTr="0026300B">
        <w:trPr>
          <w:trHeight w:val="145"/>
        </w:trPr>
        <w:tc>
          <w:tcPr>
            <w:tcW w:w="1792" w:type="dxa"/>
            <w:shd w:val="clear" w:color="auto" w:fill="auto"/>
            <w:tcMar>
              <w:left w:w="0" w:type="dxa"/>
            </w:tcMar>
          </w:tcPr>
          <w:p w14:paraId="1D06A777" w14:textId="77777777" w:rsidR="006769C6" w:rsidRDefault="006769C6" w:rsidP="0026300B">
            <w:pPr>
              <w:pStyle w:val="Marginlie"/>
            </w:pPr>
            <w:r>
              <w:t>Reálná mzda se po více než šesti letech snížila.</w:t>
            </w:r>
          </w:p>
        </w:tc>
        <w:tc>
          <w:tcPr>
            <w:tcW w:w="216" w:type="dxa"/>
            <w:shd w:val="clear" w:color="auto" w:fill="auto"/>
            <w:tcMar>
              <w:left w:w="0" w:type="dxa"/>
            </w:tcMar>
          </w:tcPr>
          <w:p w14:paraId="23533C66"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4B40E96C" w14:textId="77777777" w:rsidR="006769C6" w:rsidRDefault="006769C6" w:rsidP="0026300B">
            <w:pPr>
              <w:spacing w:after="0"/>
              <w:rPr>
                <w:spacing w:val="-2"/>
                <w:szCs w:val="20"/>
              </w:rPr>
            </w:pPr>
            <w:r>
              <w:rPr>
                <w:spacing w:val="-2"/>
                <w:szCs w:val="20"/>
              </w:rPr>
              <w:t>Slábnoucí dynamika nominálních mezd během první poloviny roku 2020 kontrastovala s neochabujícím svižným růstovým tempem spotřebitelských cen. Průměrná mzda se ve 2. čtvrtletí reálně snížila o 2,5 %. Více než šest let trvající růst kupní síly zaměstnaneckých výdělků byl tak přerušen.</w:t>
            </w:r>
          </w:p>
        </w:tc>
      </w:tr>
    </w:tbl>
    <w:p w14:paraId="1FF5FDA9" w14:textId="77777777" w:rsidR="006769C6" w:rsidRPr="009D0218" w:rsidRDefault="006769C6" w:rsidP="006769C6">
      <w:pPr>
        <w:spacing w:after="0"/>
        <w:rPr>
          <w:b/>
          <w:color w:val="0D0D0D" w:themeColor="text1" w:themeTint="F2"/>
          <w:sz w:val="2"/>
          <w:szCs w:val="2"/>
        </w:rPr>
      </w:pPr>
    </w:p>
    <w:p w14:paraId="0D388C93" w14:textId="77777777" w:rsidR="00AB75C5" w:rsidRDefault="00AB75C5" w:rsidP="00AB75C5">
      <w:pPr>
        <w:pStyle w:val="Nadpis11"/>
      </w:pPr>
      <w:bookmarkStart w:id="23" w:name="_Toc50712131"/>
      <w:r>
        <w:lastRenderedPageBreak/>
        <w:t>7. Měnové podmínky</w:t>
      </w:r>
      <w:bookmarkEnd w:id="23"/>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AB75C5" w14:paraId="1819077F" w14:textId="77777777" w:rsidTr="00AB75C5">
        <w:trPr>
          <w:trHeight w:val="145"/>
        </w:trPr>
        <w:tc>
          <w:tcPr>
            <w:tcW w:w="1802" w:type="dxa"/>
          </w:tcPr>
          <w:p w14:paraId="4D75A5DD" w14:textId="77777777" w:rsidR="00AB75C5" w:rsidRDefault="00AB75C5">
            <w:pPr>
              <w:pStyle w:val="Marginlie"/>
              <w:rPr>
                <w:lang w:eastAsia="en-US"/>
              </w:rPr>
            </w:pPr>
            <w:r>
              <w:rPr>
                <w:lang w:eastAsia="en-US"/>
              </w:rPr>
              <w:t>Ve 2. čtvrtletí byly opět sníženy základní měnověpolitické úrokové sazby.</w:t>
            </w:r>
          </w:p>
          <w:p w14:paraId="3568ED8C" w14:textId="77777777" w:rsidR="00AB75C5" w:rsidRDefault="00AB75C5">
            <w:pPr>
              <w:pStyle w:val="Marginlie"/>
              <w:rPr>
                <w:lang w:eastAsia="en-US"/>
              </w:rPr>
            </w:pPr>
          </w:p>
          <w:p w14:paraId="156DDAAB" w14:textId="77777777" w:rsidR="00AB75C5" w:rsidRDefault="00AB75C5">
            <w:pPr>
              <w:pStyle w:val="Marginlie"/>
              <w:rPr>
                <w:lang w:eastAsia="en-US"/>
              </w:rPr>
            </w:pPr>
          </w:p>
          <w:p w14:paraId="326A9E8D" w14:textId="77777777" w:rsidR="00AB75C5" w:rsidRDefault="00AB75C5">
            <w:pPr>
              <w:pStyle w:val="Marginlie"/>
              <w:rPr>
                <w:lang w:eastAsia="en-US"/>
              </w:rPr>
            </w:pPr>
          </w:p>
          <w:p w14:paraId="3F514530" w14:textId="77777777" w:rsidR="00AB75C5" w:rsidRDefault="00AB75C5">
            <w:pPr>
              <w:pStyle w:val="Marginlie"/>
              <w:rPr>
                <w:lang w:eastAsia="en-US"/>
              </w:rPr>
            </w:pPr>
          </w:p>
          <w:p w14:paraId="2BD82498" w14:textId="77777777" w:rsidR="00AB75C5" w:rsidRDefault="00AB75C5">
            <w:pPr>
              <w:pStyle w:val="Marginlie"/>
              <w:rPr>
                <w:lang w:eastAsia="en-US"/>
              </w:rPr>
            </w:pPr>
            <w:r>
              <w:rPr>
                <w:lang w:eastAsia="en-US"/>
              </w:rPr>
              <w:t>Po březnovém oslabení kurz koruny vůči euru i dolaru opět posiloval.</w:t>
            </w:r>
          </w:p>
        </w:tc>
        <w:tc>
          <w:tcPr>
            <w:tcW w:w="229" w:type="dxa"/>
          </w:tcPr>
          <w:p w14:paraId="1E00B31D" w14:textId="77777777" w:rsidR="00AB75C5" w:rsidRDefault="00AB75C5">
            <w:pPr>
              <w:pStyle w:val="Textpoznpodarou"/>
              <w:jc w:val="both"/>
              <w:rPr>
                <w:spacing w:val="-4"/>
                <w:lang w:eastAsia="en-US"/>
              </w:rPr>
            </w:pPr>
          </w:p>
        </w:tc>
        <w:tc>
          <w:tcPr>
            <w:tcW w:w="7610" w:type="dxa"/>
            <w:hideMark/>
          </w:tcPr>
          <w:p w14:paraId="1BE4157C" w14:textId="77777777" w:rsidR="00AB75C5" w:rsidRDefault="00AB75C5">
            <w:pPr>
              <w:rPr>
                <w:spacing w:val="-2"/>
                <w:lang w:eastAsia="en-US"/>
              </w:rPr>
            </w:pPr>
            <w:r>
              <w:rPr>
                <w:spacing w:val="-2"/>
                <w:lang w:eastAsia="en-US"/>
              </w:rPr>
              <w:t>Nastavení základních měnověpolitických sazeb se v průběhu 1. pololetí výrazně měnilo spolu s vývojem ekonomické situace. Na počátku roku došlo vzhledem k sílícím inflačním tlakům k navýšení repo sazby ze 2 % na 2,25 %</w:t>
            </w:r>
            <w:r>
              <w:rPr>
                <w:rStyle w:val="Znakapoznpodarou"/>
                <w:spacing w:val="-2"/>
                <w:lang w:eastAsia="en-US"/>
              </w:rPr>
              <w:footnoteReference w:id="53"/>
            </w:r>
            <w:r>
              <w:rPr>
                <w:spacing w:val="-2"/>
                <w:lang w:eastAsia="en-US"/>
              </w:rPr>
              <w:t>. Tato úroveň se ale udržela krátce. V březnu byla sazba redukována na 1 % a v květnu dále na 0,25 %, nejnižší hodnotu od října 2017. Diskontní sazba byla ke konci června na technické nule (0,05 %) a lombardní sazba dosahovala 1 %. Kurz koruny vůči euru i dolaru se po výrazném březnovém oslabení udržoval na vyšší úrovni v průběhu celého dubna a velké části května. Kurz koruny vůči euru se po většinu tohoto období držel nad 27 CZK/EUR. Od 20. května až do 2. června kurz postupně opět posílil na 26,65 koruny. Blízko této úrovně pak setrval až do konce měsíce. Velmi podobný byl vývoj v případě dolaru. Kurz se během dubna i května často držel nad 25 CZK/USD. V období od 20. května do 5. června koruna opět posílila až na 23,47 CZK/USD a do konce června pak mírně oslabovala směrem k 24 korunám za dolar. Výrazné oslabení koruny vůči ostatním měnám znamenalo posílení inflačních tlaků ze zahraničí.</w:t>
            </w:r>
          </w:p>
        </w:tc>
      </w:tr>
      <w:tr w:rsidR="00AB75C5" w14:paraId="31B062B2" w14:textId="77777777" w:rsidTr="00AB75C5">
        <w:trPr>
          <w:trHeight w:val="145"/>
        </w:trPr>
        <w:tc>
          <w:tcPr>
            <w:tcW w:w="1802" w:type="dxa"/>
            <w:hideMark/>
          </w:tcPr>
          <w:p w14:paraId="134157A0" w14:textId="77777777" w:rsidR="00AB75C5" w:rsidRDefault="00AB75C5">
            <w:pPr>
              <w:pStyle w:val="Marginlie"/>
              <w:rPr>
                <w:lang w:eastAsia="en-US"/>
              </w:rPr>
            </w:pPr>
            <w:r>
              <w:rPr>
                <w:lang w:eastAsia="en-US"/>
              </w:rPr>
              <w:t>Prudce klesly mezibankovní úrokové sazby a rovněž výnosy vládních dluhopisů.</w:t>
            </w:r>
          </w:p>
        </w:tc>
        <w:tc>
          <w:tcPr>
            <w:tcW w:w="229" w:type="dxa"/>
          </w:tcPr>
          <w:p w14:paraId="4CCB4959" w14:textId="77777777" w:rsidR="00AB75C5" w:rsidRDefault="00AB75C5">
            <w:pPr>
              <w:pStyle w:val="Textpoznpodarou"/>
              <w:jc w:val="both"/>
              <w:rPr>
                <w:spacing w:val="-4"/>
                <w:lang w:eastAsia="en-US"/>
              </w:rPr>
            </w:pPr>
          </w:p>
        </w:tc>
        <w:tc>
          <w:tcPr>
            <w:tcW w:w="7610" w:type="dxa"/>
            <w:hideMark/>
          </w:tcPr>
          <w:p w14:paraId="2DC9CC53" w14:textId="77777777" w:rsidR="00AB75C5" w:rsidRDefault="00AB75C5">
            <w:pPr>
              <w:rPr>
                <w:spacing w:val="-1"/>
                <w:lang w:eastAsia="en-US"/>
              </w:rPr>
            </w:pPr>
            <w:r>
              <w:rPr>
                <w:spacing w:val="-1"/>
                <w:lang w:eastAsia="en-US"/>
              </w:rPr>
              <w:t>Změny měnověpolitických sazeb vedly k rychlému poklesu mezibankovních úrokových sazeb. Tříměsíční PRIBOR tak ke konci března dosahoval 2 % a na konci června to bylo 0,34 %. Snižovaly se rovněž úrokové sazby na vládních dluhopisech, a to u všech druhů splatnosti. Od konce března do konce června tak u dluhopisů se splatností do 2 let kleslo průměrné úročení z 1,27 % na 0,08 %, u splatnosti do 5 let to bylo z 1,23 % na 0,52 % a v případě dluhopisů s dlouhodobou splatností se sazba posunula z 1,28 % na 0,86 %. Podobně se vyvíjely i sazby na vládních dluhopisech vydaných eurozónou. Krátkodobé i střednědobé splatnosti ke konci června měly úrokovou sazbu zápornou (–0,36 % u krátkodobých, –0,04 % u střednědobých). Průměrné úročení dlouhodobých dluhopisů v eurozóně dosahovalo ke konci června 0,35 %.</w:t>
            </w:r>
          </w:p>
        </w:tc>
      </w:tr>
      <w:tr w:rsidR="00AB75C5" w14:paraId="157BC0D5" w14:textId="77777777" w:rsidTr="00AB75C5">
        <w:trPr>
          <w:trHeight w:val="145"/>
        </w:trPr>
        <w:tc>
          <w:tcPr>
            <w:tcW w:w="1802" w:type="dxa"/>
            <w:hideMark/>
          </w:tcPr>
          <w:p w14:paraId="56C718A2" w14:textId="77777777" w:rsidR="00AB75C5" w:rsidRDefault="00AB75C5">
            <w:pPr>
              <w:pStyle w:val="Marginlie"/>
              <w:rPr>
                <w:lang w:eastAsia="en-US"/>
              </w:rPr>
            </w:pPr>
            <w:r>
              <w:rPr>
                <w:lang w:eastAsia="en-US"/>
              </w:rPr>
              <w:t>Na nové podmínky reagovaly i úrokové sazby na klientských účtech. Pokles úročení vkladů s dohodnutou splatností byl spojen i s přelivem finančních prostředků na netermínované vklady.</w:t>
            </w:r>
          </w:p>
        </w:tc>
        <w:tc>
          <w:tcPr>
            <w:tcW w:w="229" w:type="dxa"/>
          </w:tcPr>
          <w:p w14:paraId="2F08F41E" w14:textId="77777777" w:rsidR="00AB75C5" w:rsidRDefault="00AB75C5">
            <w:pPr>
              <w:pStyle w:val="Textpoznpodarou"/>
              <w:jc w:val="both"/>
              <w:rPr>
                <w:spacing w:val="-4"/>
                <w:lang w:eastAsia="en-US"/>
              </w:rPr>
            </w:pPr>
          </w:p>
        </w:tc>
        <w:tc>
          <w:tcPr>
            <w:tcW w:w="7610" w:type="dxa"/>
            <w:hideMark/>
          </w:tcPr>
          <w:p w14:paraId="0589E0A5" w14:textId="77777777" w:rsidR="00AB75C5" w:rsidRDefault="00AB75C5">
            <w:pPr>
              <w:rPr>
                <w:spacing w:val="-3"/>
                <w:lang w:eastAsia="en-US"/>
              </w:rPr>
            </w:pPr>
            <w:r>
              <w:rPr>
                <w:spacing w:val="-3"/>
                <w:lang w:eastAsia="en-US"/>
              </w:rPr>
              <w:t>Velmi rychle na novou situaci reagovaly i úrokové sazby na některých druzích vkladů. Ke konci letošního června činila průměrná úroková sazba na běžných účtech domácností 0,03 % (oproti březnu se snížila o 0,01 p. b.). Úročení běžných účtů domácností na téměř nulové úrovni zůstává již více než čtyři roky a nijak nereagovalo na předchozí zvýšení měnověpolitických sazeb. Prudce se propadlo úročení vkladů s dohodnutou splatností. Celkový průměr poklesl od konce března (1,43 %) na 0,6 %. Pokles zasáhl všechny druhy splatnosti, nejvíce ale splatnost do 1 roku včetně (pokles mezi březnem a červnem z 1,38 % na 0,37 %) a nad 1 rok do 2 let (z 2,07 % na 1,53 %). Sazby na běžných účtech poklesly i nefinančním podnikům (z 0,16 % na 0,04 %). Propad úrokových sazeb na vkladech s dohodnutou splatností pro nefinanční podniky byl ještě silnější než u domácností (z 1,36 % v březnu na 0,16 % v červnu). Nepřekvapilo tak, že celkový objem termínovaných vkladů byl ke konci června meziročně nižší o 1,3 %, zatímco netermínované vklady posílily o 13,3 % (nejvíce od září 2017).</w:t>
            </w:r>
          </w:p>
        </w:tc>
      </w:tr>
      <w:tr w:rsidR="00AB75C5" w14:paraId="0B5FBA11" w14:textId="77777777" w:rsidTr="00AB75C5">
        <w:trPr>
          <w:trHeight w:val="145"/>
        </w:trPr>
        <w:tc>
          <w:tcPr>
            <w:tcW w:w="1802" w:type="dxa"/>
            <w:hideMark/>
          </w:tcPr>
          <w:p w14:paraId="47A16945" w14:textId="77777777" w:rsidR="00AB75C5" w:rsidRDefault="00AB75C5">
            <w:pPr>
              <w:pStyle w:val="Marginlie"/>
              <w:rPr>
                <w:lang w:eastAsia="en-US"/>
              </w:rPr>
            </w:pPr>
            <w:r>
              <w:rPr>
                <w:lang w:eastAsia="en-US"/>
              </w:rPr>
              <w:t>Spotřební možnosti byly ve 2. čtvrtletí omezeny, což se podepsalo i na vývoji objemu poskytnutých úvěrů na spotřebu.</w:t>
            </w:r>
          </w:p>
        </w:tc>
        <w:tc>
          <w:tcPr>
            <w:tcW w:w="229" w:type="dxa"/>
          </w:tcPr>
          <w:p w14:paraId="16505742" w14:textId="77777777" w:rsidR="00AB75C5" w:rsidRDefault="00AB75C5">
            <w:pPr>
              <w:pStyle w:val="Textpoznpodarou"/>
              <w:jc w:val="both"/>
              <w:rPr>
                <w:spacing w:val="-4"/>
                <w:lang w:eastAsia="en-US"/>
              </w:rPr>
            </w:pPr>
          </w:p>
        </w:tc>
        <w:tc>
          <w:tcPr>
            <w:tcW w:w="7610" w:type="dxa"/>
            <w:hideMark/>
          </w:tcPr>
          <w:p w14:paraId="233034A1" w14:textId="77777777" w:rsidR="00AB75C5" w:rsidRDefault="00AB75C5">
            <w:pPr>
              <w:rPr>
                <w:lang w:eastAsia="en-US"/>
              </w:rPr>
            </w:pPr>
            <w:r>
              <w:rPr>
                <w:lang w:eastAsia="en-US"/>
              </w:rPr>
              <w:t xml:space="preserve">Domácnostem se ve 2. čtvrtletí také zlevnil přístup k úvěrovému financování. Průměrná úroková sazba úvěrů na spotřebu se mezi březnem a červnem snížila o 0,26 p. b. na 7,89 % a poprvé se tak dostala pod 8% hranici. Snížilo se i průměrné úročení úvěrů na bydlení (–0,13 p. b. na 2,42 % ke konci června). Nejvýraznější byl pokles u fixace sazby do 1 roku, ale snížení proběhlo i v případě fixace nad 1 rok do 5 let a nad 5 let do 10 let. Pouze úvěry s fixací nad 10 let ve 2. čtvrtletí zdražovaly. Probíhající omezení se ve 2. čtvrtletí projevila výrazným zpomalením meziročního tempa růstu objemu úvěrů na spotřebu. Zatímco v předchozím půlroce dosahovalo tempo 9 %, ke konci června byl objem poskytnutých úvěrů meziročně vyšší o 6,3 %. Co se týče úvěrů na bydlení, zde </w:t>
            </w:r>
            <w:r>
              <w:rPr>
                <w:lang w:eastAsia="en-US"/>
              </w:rPr>
              <w:lastRenderedPageBreak/>
              <w:t>k útlumu nedošlo. Objem poskytnutých hypotečních úvěrů se meziročně zvýšil o 7,9 %, tempo tak mírně zrychlilo.</w:t>
            </w:r>
          </w:p>
        </w:tc>
      </w:tr>
      <w:tr w:rsidR="00AB75C5" w14:paraId="48784E8D" w14:textId="77777777" w:rsidTr="00AB75C5">
        <w:trPr>
          <w:trHeight w:val="145"/>
        </w:trPr>
        <w:tc>
          <w:tcPr>
            <w:tcW w:w="1802" w:type="dxa"/>
            <w:hideMark/>
          </w:tcPr>
          <w:p w14:paraId="7271CCC7" w14:textId="77777777" w:rsidR="00AB75C5" w:rsidRDefault="00AB75C5">
            <w:pPr>
              <w:pStyle w:val="Marginlie"/>
              <w:rPr>
                <w:lang w:eastAsia="en-US"/>
              </w:rPr>
            </w:pPr>
            <w:r>
              <w:rPr>
                <w:lang w:eastAsia="en-US"/>
              </w:rPr>
              <w:lastRenderedPageBreak/>
              <w:t>Přístup k úvěrům se nefinančním podnikům zlevnil. Nejisté prostředí ale vedlo i ke zmírnění úvěrové dynamiky.</w:t>
            </w:r>
          </w:p>
        </w:tc>
        <w:tc>
          <w:tcPr>
            <w:tcW w:w="229" w:type="dxa"/>
          </w:tcPr>
          <w:p w14:paraId="12C9EDC0" w14:textId="77777777" w:rsidR="00AB75C5" w:rsidRDefault="00AB75C5">
            <w:pPr>
              <w:pStyle w:val="Textpoznpodarou"/>
              <w:jc w:val="both"/>
              <w:rPr>
                <w:spacing w:val="-4"/>
                <w:lang w:eastAsia="en-US"/>
              </w:rPr>
            </w:pPr>
          </w:p>
        </w:tc>
        <w:tc>
          <w:tcPr>
            <w:tcW w:w="7610" w:type="dxa"/>
            <w:hideMark/>
          </w:tcPr>
          <w:p w14:paraId="67B2912D" w14:textId="77777777" w:rsidR="00AB75C5" w:rsidRDefault="00AB75C5">
            <w:pPr>
              <w:rPr>
                <w:lang w:eastAsia="en-US"/>
              </w:rPr>
            </w:pPr>
            <w:r>
              <w:rPr>
                <w:lang w:eastAsia="en-US"/>
              </w:rPr>
              <w:t>Úrokové sazby úvěrů pro nefinanční podniky od března do června plošně klesaly. Nejvíce u úvěrů nad 30 milionů korun (–1,03 p. b. na 2,07 %). Úvěry s objemem mezi 7,5 až 30 miliony vykázaly pokles průměrné sazby o 0,89 p. b. na 2,54 %. Nejméně se snižovalo úročení u půjček do 7,5 milionu korun (–0,67 p. b. na 3,78 %). Meziroční růst celkového objemu úvěrů a pohledávek nefinančních podniků ve 2. čtvrtletí zpomalil. Ve srovnání s koncem června 2019 došlo k poklesu objemu korunových úvěrů a pohledávek o 2,8 %. Objem úvěrů v cizí měně se naopak meziročně zvýšil o 21,7 %. Růst objemu poskytnutých úvěrů zpomalil ve zpracovatelském průmyslu (3,5 %), ve stavebnictví (4,8 %) a ve velkoobchodě a maloobchodě, opravách a údržbě motorových vozidel (1,2 %). Velmi silně naopak rostl objem půjček činnostem v oblasti nemovitostí (12,3 %; velmi výrazný přírůstek 10,3 % byl zaznamenán už v 1. kvartálu). Část přírůstku ve zpracovatelském průmyslu nebo peněžnictví a pojišťovnictví ale souvisí i s březnovým oslabením koruny, které se promítlo do přepočtené hodnoty úvěrů v cizí měně. Už v březnu dosáhl vysokého meziročního přírůstku také objem půjček v ubytování, stravování a pohostinství (10,2 %) a ke konci června meziroční nárůst dosáhl 12,5 %. Velmi výrazně se během 2. čtvrtletí navyšoval objem půjček pro veřejnou správu a obranu, povinné sociální zabezpečení, vzdělávání, zdravotní a sociální péči (hodnota na konci června byla meziročně o 16,9 % vyšší). Objem úvěrů byl ke konci června meziročně nižší u informačních a komunikačních činností (–6,9 %), v peněžnictví a pojišťovnictví (–2,0 %) a série poklesů pokračovala také u těžby a dobývání (–0,9 %).</w:t>
            </w:r>
          </w:p>
        </w:tc>
      </w:tr>
      <w:tr w:rsidR="00AB75C5" w14:paraId="28E44416" w14:textId="77777777" w:rsidTr="00AB75C5">
        <w:trPr>
          <w:trHeight w:val="304"/>
        </w:trPr>
        <w:tc>
          <w:tcPr>
            <w:tcW w:w="1802" w:type="dxa"/>
            <w:vMerge w:val="restart"/>
          </w:tcPr>
          <w:p w14:paraId="4A6A63F1" w14:textId="77777777" w:rsidR="00AB75C5" w:rsidRDefault="00AB75C5">
            <w:pPr>
              <w:pStyle w:val="Marginlie"/>
              <w:rPr>
                <w:lang w:eastAsia="en-US"/>
              </w:rPr>
            </w:pPr>
          </w:p>
        </w:tc>
        <w:tc>
          <w:tcPr>
            <w:tcW w:w="229" w:type="dxa"/>
            <w:vMerge w:val="restart"/>
          </w:tcPr>
          <w:p w14:paraId="6E8903E4" w14:textId="77777777" w:rsidR="00AB75C5" w:rsidRDefault="00AB75C5">
            <w:pPr>
              <w:pStyle w:val="Textpoznpodarou"/>
              <w:jc w:val="both"/>
              <w:rPr>
                <w:spacing w:val="-4"/>
                <w:lang w:eastAsia="en-US"/>
              </w:rPr>
            </w:pPr>
          </w:p>
        </w:tc>
        <w:tc>
          <w:tcPr>
            <w:tcW w:w="7610" w:type="dxa"/>
            <w:hideMark/>
          </w:tcPr>
          <w:p w14:paraId="19673EE3" w14:textId="77777777" w:rsidR="00AB75C5" w:rsidRDefault="00AB75C5">
            <w:pPr>
              <w:spacing w:after="0"/>
              <w:rPr>
                <w:lang w:eastAsia="en-US"/>
              </w:rPr>
            </w:pPr>
            <w:r>
              <w:rPr>
                <w:rFonts w:cs="Arial"/>
                <w:b/>
                <w:bCs/>
                <w:color w:val="000000"/>
                <w:sz w:val="18"/>
                <w:szCs w:val="18"/>
                <w:lang w:eastAsia="en-US"/>
              </w:rPr>
              <w:t xml:space="preserve">Graf č. 15  </w:t>
            </w:r>
            <w:r>
              <w:rPr>
                <w:b/>
                <w:spacing w:val="-4"/>
                <w:sz w:val="18"/>
                <w:szCs w:val="18"/>
                <w:lang w:eastAsia="en-US"/>
              </w:rPr>
              <w:t xml:space="preserve">Tržní úrokové sazby </w:t>
            </w:r>
            <w:r>
              <w:rPr>
                <w:bCs/>
                <w:spacing w:val="-4"/>
                <w:sz w:val="18"/>
                <w:szCs w:val="18"/>
                <w:lang w:eastAsia="en-US"/>
              </w:rPr>
              <w:t>(v %)</w:t>
            </w:r>
          </w:p>
        </w:tc>
      </w:tr>
      <w:tr w:rsidR="00AB75C5" w14:paraId="45BBD3B6" w14:textId="77777777" w:rsidTr="00AB75C5">
        <w:trPr>
          <w:trHeight w:val="170"/>
        </w:trPr>
        <w:tc>
          <w:tcPr>
            <w:tcW w:w="0" w:type="auto"/>
            <w:vMerge/>
            <w:vAlign w:val="center"/>
            <w:hideMark/>
          </w:tcPr>
          <w:p w14:paraId="5814CD9E" w14:textId="77777777" w:rsidR="00AB75C5" w:rsidRDefault="00AB75C5">
            <w:pPr>
              <w:spacing w:after="0" w:line="240" w:lineRule="auto"/>
              <w:jc w:val="left"/>
              <w:rPr>
                <w:spacing w:val="-2"/>
                <w:sz w:val="16"/>
                <w:szCs w:val="16"/>
                <w:lang w:eastAsia="en-US"/>
              </w:rPr>
            </w:pPr>
          </w:p>
        </w:tc>
        <w:tc>
          <w:tcPr>
            <w:tcW w:w="0" w:type="auto"/>
            <w:vMerge/>
            <w:vAlign w:val="center"/>
            <w:hideMark/>
          </w:tcPr>
          <w:p w14:paraId="31210722" w14:textId="77777777" w:rsidR="00AB75C5" w:rsidRDefault="00AB75C5">
            <w:pPr>
              <w:spacing w:after="0" w:line="240" w:lineRule="auto"/>
              <w:jc w:val="left"/>
              <w:rPr>
                <w:rFonts w:eastAsia="Calibri"/>
                <w:spacing w:val="-4"/>
                <w:szCs w:val="20"/>
                <w:lang w:eastAsia="en-US"/>
              </w:rPr>
            </w:pPr>
          </w:p>
        </w:tc>
        <w:tc>
          <w:tcPr>
            <w:tcW w:w="7610" w:type="dxa"/>
            <w:tcMar>
              <w:top w:w="0" w:type="dxa"/>
              <w:left w:w="70" w:type="dxa"/>
              <w:bottom w:w="0" w:type="dxa"/>
              <w:right w:w="70" w:type="dxa"/>
            </w:tcMar>
            <w:hideMark/>
          </w:tcPr>
          <w:p w14:paraId="5B1B69EF" w14:textId="1FBAEAC6" w:rsidR="00AB75C5" w:rsidRDefault="00AB75C5">
            <w:pPr>
              <w:spacing w:after="0"/>
              <w:rPr>
                <w:sz w:val="14"/>
                <w:szCs w:val="14"/>
                <w:lang w:eastAsia="en-US"/>
              </w:rPr>
            </w:pPr>
            <w:r>
              <w:rPr>
                <w:noProof/>
              </w:rPr>
              <w:drawing>
                <wp:inline distT="0" distB="0" distL="0" distR="0" wp14:anchorId="26184C6C" wp14:editId="61CA0F54">
                  <wp:extent cx="4737100" cy="3556000"/>
                  <wp:effectExtent l="0" t="0" r="6350" b="6350"/>
                  <wp:docPr id="29" name="Graf 2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B75C5" w14:paraId="3F63AC6A" w14:textId="77777777" w:rsidTr="00AB75C5">
        <w:trPr>
          <w:trHeight w:val="170"/>
        </w:trPr>
        <w:tc>
          <w:tcPr>
            <w:tcW w:w="0" w:type="auto"/>
            <w:vMerge/>
            <w:vAlign w:val="center"/>
            <w:hideMark/>
          </w:tcPr>
          <w:p w14:paraId="51B5B772" w14:textId="77777777" w:rsidR="00AB75C5" w:rsidRDefault="00AB75C5">
            <w:pPr>
              <w:spacing w:after="0" w:line="240" w:lineRule="auto"/>
              <w:jc w:val="left"/>
              <w:rPr>
                <w:spacing w:val="-2"/>
                <w:sz w:val="16"/>
                <w:szCs w:val="16"/>
                <w:lang w:eastAsia="en-US"/>
              </w:rPr>
            </w:pPr>
          </w:p>
        </w:tc>
        <w:tc>
          <w:tcPr>
            <w:tcW w:w="0" w:type="auto"/>
            <w:vMerge/>
            <w:vAlign w:val="center"/>
            <w:hideMark/>
          </w:tcPr>
          <w:p w14:paraId="434B7172" w14:textId="77777777" w:rsidR="00AB75C5" w:rsidRDefault="00AB75C5">
            <w:pPr>
              <w:spacing w:after="0" w:line="240" w:lineRule="auto"/>
              <w:jc w:val="left"/>
              <w:rPr>
                <w:rFonts w:eastAsia="Calibri"/>
                <w:spacing w:val="-4"/>
                <w:szCs w:val="20"/>
                <w:lang w:eastAsia="en-US"/>
              </w:rPr>
            </w:pPr>
          </w:p>
        </w:tc>
        <w:tc>
          <w:tcPr>
            <w:tcW w:w="7610" w:type="dxa"/>
            <w:hideMark/>
          </w:tcPr>
          <w:p w14:paraId="404C04DF" w14:textId="77777777" w:rsidR="00AB75C5" w:rsidRDefault="00AB75C5">
            <w:pPr>
              <w:spacing w:after="0"/>
              <w:rPr>
                <w:sz w:val="14"/>
                <w:szCs w:val="14"/>
                <w:lang w:eastAsia="en-US"/>
              </w:rPr>
            </w:pPr>
            <w:r>
              <w:rPr>
                <w:sz w:val="14"/>
                <w:szCs w:val="14"/>
                <w:lang w:eastAsia="en-US"/>
              </w:rPr>
              <w:t>Zdroj: ČNB</w:t>
            </w:r>
          </w:p>
        </w:tc>
      </w:tr>
    </w:tbl>
    <w:p w14:paraId="6DDA2A55" w14:textId="77777777" w:rsidR="00AB75C5" w:rsidRDefault="00AB75C5" w:rsidP="00AB75C5">
      <w:pPr>
        <w:pStyle w:val="Nadpis11"/>
        <w:rPr>
          <w:b w:val="0"/>
          <w:sz w:val="2"/>
          <w:szCs w:val="2"/>
          <w:highlight w:val="yellow"/>
        </w:rPr>
      </w:pPr>
    </w:p>
    <w:p w14:paraId="6596F830" w14:textId="77777777" w:rsidR="00AB75C5" w:rsidRDefault="00AB75C5" w:rsidP="00AB75C5">
      <w:pPr>
        <w:spacing w:after="0" w:line="240" w:lineRule="auto"/>
        <w:jc w:val="left"/>
        <w:rPr>
          <w:b/>
          <w:sz w:val="2"/>
          <w:szCs w:val="2"/>
          <w:highlight w:val="yellow"/>
        </w:rPr>
      </w:pPr>
    </w:p>
    <w:p w14:paraId="19B26E4B" w14:textId="6E15F7C5" w:rsidR="000D4DC0" w:rsidRDefault="000D4DC0" w:rsidP="000D4DC0">
      <w:pPr>
        <w:pStyle w:val="Nadpis11"/>
      </w:pPr>
      <w:bookmarkStart w:id="24" w:name="_Toc26865023"/>
      <w:bookmarkStart w:id="25" w:name="_Toc50712132"/>
      <w:r w:rsidRPr="009110F7">
        <w:lastRenderedPageBreak/>
        <w:t>8</w:t>
      </w:r>
      <w:r>
        <w:t>. </w:t>
      </w:r>
      <w:r w:rsidRPr="009110F7">
        <w:t>Státní rozpočet</w:t>
      </w:r>
      <w:bookmarkEnd w:id="25"/>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E42054" w:rsidRPr="003C07E6" w14:paraId="0219A5DA" w14:textId="77777777" w:rsidTr="00061BD1">
        <w:trPr>
          <w:trHeight w:val="145"/>
        </w:trPr>
        <w:tc>
          <w:tcPr>
            <w:tcW w:w="1732" w:type="dxa"/>
            <w:shd w:val="clear" w:color="auto" w:fill="auto"/>
            <w:tcMar>
              <w:left w:w="0" w:type="dxa"/>
            </w:tcMar>
          </w:tcPr>
          <w:p w14:paraId="2BA02236" w14:textId="77777777" w:rsidR="00E42054" w:rsidRDefault="00E42054" w:rsidP="00061BD1">
            <w:pPr>
              <w:pStyle w:val="Marginlie"/>
            </w:pPr>
            <w:r>
              <w:t>Hospodaření státního rozpočtu se ve 2. čtvrtletí propadlo k nejhlubšímu deficitu v novodobé historii.</w:t>
            </w:r>
          </w:p>
        </w:tc>
        <w:tc>
          <w:tcPr>
            <w:tcW w:w="217" w:type="dxa"/>
            <w:shd w:val="clear" w:color="auto" w:fill="auto"/>
            <w:tcMar>
              <w:left w:w="0" w:type="dxa"/>
            </w:tcMar>
          </w:tcPr>
          <w:p w14:paraId="394D2F49" w14:textId="77777777" w:rsidR="00E42054" w:rsidRDefault="00E42054" w:rsidP="00061BD1">
            <w:pPr>
              <w:pStyle w:val="Textpoznpodarou"/>
              <w:jc w:val="both"/>
              <w:rPr>
                <w:spacing w:val="-4"/>
              </w:rPr>
            </w:pPr>
          </w:p>
        </w:tc>
        <w:tc>
          <w:tcPr>
            <w:tcW w:w="7720" w:type="dxa"/>
            <w:shd w:val="clear" w:color="auto" w:fill="auto"/>
            <w:tcMar>
              <w:left w:w="0" w:type="dxa"/>
            </w:tcMar>
          </w:tcPr>
          <w:p w14:paraId="611BC9CD" w14:textId="77777777" w:rsidR="00E42054" w:rsidRPr="00333835" w:rsidRDefault="00E42054" w:rsidP="00061BD1">
            <w:pPr>
              <w:spacing w:after="200"/>
              <w:rPr>
                <w:spacing w:val="-2"/>
              </w:rPr>
            </w:pPr>
            <w:r w:rsidRPr="00333835">
              <w:rPr>
                <w:spacing w:val="-2"/>
              </w:rPr>
              <w:t>Za 1.</w:t>
            </w:r>
            <w:r>
              <w:rPr>
                <w:spacing w:val="-2"/>
              </w:rPr>
              <w:t> pololet</w:t>
            </w:r>
            <w:r w:rsidRPr="00333835">
              <w:rPr>
                <w:spacing w:val="-2"/>
              </w:rPr>
              <w:t>í 2020 dosáhl státní rozpočet (SR)</w:t>
            </w:r>
            <w:r w:rsidRPr="00333835">
              <w:rPr>
                <w:rStyle w:val="Znakapoznpodarou"/>
                <w:spacing w:val="-2"/>
              </w:rPr>
              <w:footnoteReference w:id="54"/>
            </w:r>
            <w:r>
              <w:rPr>
                <w:spacing w:val="-2"/>
              </w:rPr>
              <w:t xml:space="preserve"> výrazného schodku 195,2 mld.</w:t>
            </w:r>
            <w:r w:rsidRPr="00333835">
              <w:rPr>
                <w:spacing w:val="-2"/>
              </w:rPr>
              <w:t xml:space="preserve"> korun</w:t>
            </w:r>
            <w:r>
              <w:rPr>
                <w:spacing w:val="-2"/>
              </w:rPr>
              <w:t>. Oproti dosud rekordní pololetní hodnotě z roku 2010, která již z velké části reflektovala dopady hluboké hospodářské recese, byl letošní deficit více než dvaapůlkrát vyšší. Přestože se SR potýkal s deficity ve všech dosavadních letošních měsících, k pololetnímu výsledku přispěl nejvíce květnový schodek (64 mld.). Během 2. čtvrtletí se již velmi citelně projevily dopady intenzivních protipandemických opatření, a to jak na příjmové, tak na výdajové straně rozpočtu. To přineslo nevyhnutelně i potřebu zásadní revize původně schváleného celoročního rozpočtového deficitu</w:t>
            </w:r>
            <w:r w:rsidRPr="00333835">
              <w:rPr>
                <w:rStyle w:val="Znakapoznpodarou"/>
                <w:spacing w:val="-2"/>
              </w:rPr>
              <w:footnoteReference w:id="55"/>
            </w:r>
            <w:r>
              <w:rPr>
                <w:spacing w:val="-2"/>
              </w:rPr>
              <w:t>.</w:t>
            </w:r>
          </w:p>
        </w:tc>
      </w:tr>
      <w:tr w:rsidR="00E42054" w:rsidRPr="003C07E6" w14:paraId="3E6FB4E5" w14:textId="77777777" w:rsidTr="00061BD1">
        <w:trPr>
          <w:trHeight w:val="145"/>
        </w:trPr>
        <w:tc>
          <w:tcPr>
            <w:tcW w:w="1732" w:type="dxa"/>
            <w:shd w:val="clear" w:color="auto" w:fill="auto"/>
            <w:tcMar>
              <w:left w:w="0" w:type="dxa"/>
            </w:tcMar>
          </w:tcPr>
          <w:p w14:paraId="2CFC50A6" w14:textId="77777777" w:rsidR="00E42054" w:rsidRDefault="00E42054" w:rsidP="00061BD1">
            <w:pPr>
              <w:pStyle w:val="Marginlie"/>
            </w:pPr>
            <w:r>
              <w:t>Útlum ekonomické aktivity spolu s opatřeními na posílení likvidity firem vyústily ve 12,6% pokles celostátního daňového inkasa.</w:t>
            </w:r>
          </w:p>
        </w:tc>
        <w:tc>
          <w:tcPr>
            <w:tcW w:w="217" w:type="dxa"/>
            <w:shd w:val="clear" w:color="auto" w:fill="auto"/>
            <w:tcMar>
              <w:left w:w="0" w:type="dxa"/>
            </w:tcMar>
          </w:tcPr>
          <w:p w14:paraId="66AEA97A" w14:textId="77777777" w:rsidR="00E42054" w:rsidRDefault="00E42054" w:rsidP="00061BD1">
            <w:pPr>
              <w:pStyle w:val="Textpoznpodarou"/>
              <w:jc w:val="both"/>
              <w:rPr>
                <w:spacing w:val="-4"/>
              </w:rPr>
            </w:pPr>
          </w:p>
        </w:tc>
        <w:tc>
          <w:tcPr>
            <w:tcW w:w="7720" w:type="dxa"/>
            <w:shd w:val="clear" w:color="auto" w:fill="auto"/>
            <w:tcMar>
              <w:left w:w="0" w:type="dxa"/>
            </w:tcMar>
          </w:tcPr>
          <w:p w14:paraId="55A88E80" w14:textId="77777777" w:rsidR="00E42054" w:rsidRPr="00333835" w:rsidRDefault="00E42054" w:rsidP="00061BD1">
            <w:pPr>
              <w:spacing w:after="200"/>
              <w:rPr>
                <w:spacing w:val="-2"/>
              </w:rPr>
            </w:pPr>
            <w:r>
              <w:rPr>
                <w:spacing w:val="-2"/>
              </w:rPr>
              <w:t>Celkové příjmy SR v 1. pololetí se meziročně snížily o 5,9 %, resp. 44 mld. korun. V rámci 1. pololetí šlo o první pokles od roku 2017, tehdy však byl ovlivněn propadem evropských dotací, jenž nastal při náběhu na nové programové období. Samotné daňové příjmy SR meziročně klesly naposledy v 1. pololetí 2012. Hloubku útlumu ekonomické aktivity v 1. letošním pololetí dokládá i meziroční propad celostátního daňového inkasa (na úrovni všech veřejných rozpočtů), jenž činil 12,6 %, resp. 65 mld. korun (bez pojistného na sociální zabezpečení). V 1. pololetí 2009 přitom inkaso kleslo „jen“ o 10,2 %. V letošním inkasu se ale významně promítla opatření na posílení likvidity firem postižených propadem tržeb</w:t>
            </w:r>
            <w:r w:rsidRPr="00333835">
              <w:rPr>
                <w:rStyle w:val="Znakapoznpodarou"/>
                <w:spacing w:val="-2"/>
              </w:rPr>
              <w:footnoteReference w:id="56"/>
            </w:r>
            <w:r>
              <w:rPr>
                <w:spacing w:val="-2"/>
              </w:rPr>
              <w:t>. Pokles celkových příjmů SR byl tlumen sílícím přílivem prostředků z rozpočtu EU.</w:t>
            </w:r>
          </w:p>
        </w:tc>
      </w:tr>
      <w:tr w:rsidR="00E42054" w:rsidRPr="003C07E6" w14:paraId="6BA6CECA" w14:textId="77777777" w:rsidTr="00061BD1">
        <w:trPr>
          <w:trHeight w:val="145"/>
        </w:trPr>
        <w:tc>
          <w:tcPr>
            <w:tcW w:w="1732" w:type="dxa"/>
            <w:shd w:val="clear" w:color="auto" w:fill="auto"/>
            <w:tcMar>
              <w:left w:w="0" w:type="dxa"/>
            </w:tcMar>
          </w:tcPr>
          <w:p w14:paraId="5E7B7A59" w14:textId="77777777" w:rsidR="00E42054" w:rsidRDefault="00E42054" w:rsidP="00061BD1">
            <w:pPr>
              <w:pStyle w:val="Marginlie"/>
            </w:pPr>
            <w:r>
              <w:t>Na celkovém daňovém inkasu se negativně podepsal hlavně citelný pokles výběru přímých daní.</w:t>
            </w:r>
          </w:p>
        </w:tc>
        <w:tc>
          <w:tcPr>
            <w:tcW w:w="217" w:type="dxa"/>
            <w:shd w:val="clear" w:color="auto" w:fill="auto"/>
            <w:tcMar>
              <w:left w:w="0" w:type="dxa"/>
            </w:tcMar>
          </w:tcPr>
          <w:p w14:paraId="42119B46" w14:textId="77777777" w:rsidR="00E42054" w:rsidRDefault="00E42054" w:rsidP="00061BD1">
            <w:pPr>
              <w:pStyle w:val="Textpoznpodarou"/>
              <w:jc w:val="both"/>
              <w:rPr>
                <w:spacing w:val="-4"/>
              </w:rPr>
            </w:pPr>
          </w:p>
        </w:tc>
        <w:tc>
          <w:tcPr>
            <w:tcW w:w="7720" w:type="dxa"/>
            <w:shd w:val="clear" w:color="auto" w:fill="auto"/>
            <w:tcMar>
              <w:left w:w="0" w:type="dxa"/>
            </w:tcMar>
          </w:tcPr>
          <w:p w14:paraId="387E9855" w14:textId="77777777" w:rsidR="00E42054" w:rsidRPr="00835DD5" w:rsidRDefault="00E42054" w:rsidP="00061BD1">
            <w:pPr>
              <w:spacing w:after="200"/>
              <w:rPr>
                <w:spacing w:val="-3"/>
              </w:rPr>
            </w:pPr>
            <w:r w:rsidRPr="00835DD5">
              <w:rPr>
                <w:spacing w:val="-3"/>
              </w:rPr>
              <w:t>K</w:t>
            </w:r>
            <w:r>
              <w:rPr>
                <w:spacing w:val="-3"/>
              </w:rPr>
              <w:t> </w:t>
            </w:r>
            <w:r w:rsidRPr="00835DD5">
              <w:rPr>
                <w:spacing w:val="-3"/>
              </w:rPr>
              <w:t>poklesu pololetních daňových příjmů SR nejvíce přispěl výběr korporátní daně, jenž byl meziročně o</w:t>
            </w:r>
            <w:r>
              <w:rPr>
                <w:spacing w:val="-3"/>
              </w:rPr>
              <w:t> </w:t>
            </w:r>
            <w:r w:rsidRPr="00835DD5">
              <w:rPr>
                <w:spacing w:val="-3"/>
              </w:rPr>
              <w:t>čtvrtinu nižší (v</w:t>
            </w:r>
            <w:r>
              <w:rPr>
                <w:spacing w:val="-3"/>
              </w:rPr>
              <w:t> </w:t>
            </w:r>
            <w:r w:rsidRPr="00835DD5">
              <w:rPr>
                <w:spacing w:val="-3"/>
              </w:rPr>
              <w:t>1.</w:t>
            </w:r>
            <w:r>
              <w:rPr>
                <w:spacing w:val="-3"/>
              </w:rPr>
              <w:t> čtvrtlet</w:t>
            </w:r>
            <w:r w:rsidRPr="00835DD5">
              <w:rPr>
                <w:spacing w:val="-3"/>
              </w:rPr>
              <w:t>í ještě vykazoval slabý růst o</w:t>
            </w:r>
            <w:r>
              <w:rPr>
                <w:spacing w:val="-3"/>
              </w:rPr>
              <w:t> </w:t>
            </w:r>
            <w:r w:rsidRPr="00835DD5">
              <w:rPr>
                <w:spacing w:val="-3"/>
              </w:rPr>
              <w:t>1,6</w:t>
            </w:r>
            <w:r>
              <w:rPr>
                <w:spacing w:val="-3"/>
              </w:rPr>
              <w:t> %</w:t>
            </w:r>
            <w:r w:rsidRPr="00835DD5">
              <w:rPr>
                <w:spacing w:val="-3"/>
              </w:rPr>
              <w:t>). Zásadní roli sehrála výše uvedená daňová opatření. O</w:t>
            </w:r>
            <w:r>
              <w:rPr>
                <w:spacing w:val="-3"/>
              </w:rPr>
              <w:t> </w:t>
            </w:r>
            <w:r w:rsidRPr="00835DD5">
              <w:rPr>
                <w:spacing w:val="-3"/>
              </w:rPr>
              <w:t>18,5</w:t>
            </w:r>
            <w:r>
              <w:rPr>
                <w:spacing w:val="-3"/>
              </w:rPr>
              <w:t> %</w:t>
            </w:r>
            <w:r w:rsidRPr="00835DD5">
              <w:rPr>
                <w:spacing w:val="-3"/>
              </w:rPr>
              <w:t xml:space="preserve"> se v 1.</w:t>
            </w:r>
            <w:r>
              <w:rPr>
                <w:spacing w:val="-3"/>
              </w:rPr>
              <w:t> pololet</w:t>
            </w:r>
            <w:r w:rsidRPr="00835DD5">
              <w:rPr>
                <w:spacing w:val="-3"/>
              </w:rPr>
              <w:t>í propadlo i</w:t>
            </w:r>
            <w:r>
              <w:rPr>
                <w:spacing w:val="-3"/>
              </w:rPr>
              <w:t> </w:t>
            </w:r>
            <w:r w:rsidRPr="00835DD5">
              <w:rPr>
                <w:spacing w:val="-3"/>
              </w:rPr>
              <w:t>inkaso daně z příjmu fyzických osob. Na jeho výši měly vliv vypla</w:t>
            </w:r>
            <w:r>
              <w:rPr>
                <w:spacing w:val="-3"/>
              </w:rPr>
              <w:t>cené kompenzační bonusy (zejména OSVČ </w:t>
            </w:r>
            <w:r w:rsidRPr="00835DD5">
              <w:rPr>
                <w:spacing w:val="-3"/>
              </w:rPr>
              <w:t>–</w:t>
            </w:r>
            <w:r>
              <w:rPr>
                <w:spacing w:val="-3"/>
              </w:rPr>
              <w:t xml:space="preserve"> ve výši</w:t>
            </w:r>
            <w:r w:rsidRPr="00835DD5">
              <w:rPr>
                <w:spacing w:val="-3"/>
              </w:rPr>
              <w:t xml:space="preserve"> 21</w:t>
            </w:r>
            <w:r>
              <w:rPr>
                <w:spacing w:val="-3"/>
              </w:rPr>
              <w:t> mld.</w:t>
            </w:r>
            <w:r w:rsidRPr="00835DD5">
              <w:rPr>
                <w:spacing w:val="-3"/>
              </w:rPr>
              <w:t xml:space="preserve"> korun), prodloužení termínů podání přiznání k dani u</w:t>
            </w:r>
            <w:r>
              <w:rPr>
                <w:spacing w:val="-3"/>
              </w:rPr>
              <w:t> </w:t>
            </w:r>
            <w:r w:rsidRPr="00835DD5">
              <w:rPr>
                <w:spacing w:val="-3"/>
              </w:rPr>
              <w:t>poplatníků, nárůst počtu lidí čerpající</w:t>
            </w:r>
            <w:r>
              <w:rPr>
                <w:spacing w:val="-3"/>
              </w:rPr>
              <w:t>ch</w:t>
            </w:r>
            <w:r w:rsidRPr="00835DD5">
              <w:rPr>
                <w:spacing w:val="-3"/>
              </w:rPr>
              <w:t xml:space="preserve"> ošetřovné i</w:t>
            </w:r>
            <w:r>
              <w:rPr>
                <w:spacing w:val="-3"/>
              </w:rPr>
              <w:t> </w:t>
            </w:r>
            <w:r w:rsidRPr="00835DD5">
              <w:rPr>
                <w:spacing w:val="-3"/>
              </w:rPr>
              <w:t xml:space="preserve">pokles objemu vyplacených mezd </w:t>
            </w:r>
            <w:r>
              <w:rPr>
                <w:spacing w:val="-3"/>
              </w:rPr>
              <w:t>v </w:t>
            </w:r>
            <w:r w:rsidRPr="00835DD5">
              <w:rPr>
                <w:spacing w:val="-3"/>
              </w:rPr>
              <w:t>ekonomice vlivem redukce zaměstnanosti i</w:t>
            </w:r>
            <w:r>
              <w:rPr>
                <w:spacing w:val="-3"/>
              </w:rPr>
              <w:t> </w:t>
            </w:r>
            <w:r w:rsidRPr="00835DD5">
              <w:rPr>
                <w:spacing w:val="-3"/>
              </w:rPr>
              <w:t>snížení růstového tempa průměrné mzdy.</w:t>
            </w:r>
          </w:p>
        </w:tc>
      </w:tr>
      <w:tr w:rsidR="00E42054" w:rsidRPr="003C07E6" w14:paraId="08993C0D" w14:textId="77777777" w:rsidTr="00061BD1">
        <w:trPr>
          <w:trHeight w:val="145"/>
        </w:trPr>
        <w:tc>
          <w:tcPr>
            <w:tcW w:w="1732" w:type="dxa"/>
            <w:shd w:val="clear" w:color="auto" w:fill="auto"/>
            <w:tcMar>
              <w:left w:w="0" w:type="dxa"/>
            </w:tcMar>
          </w:tcPr>
          <w:p w14:paraId="79581A62" w14:textId="77777777" w:rsidR="00E42054" w:rsidRDefault="00E42054" w:rsidP="00061BD1">
            <w:pPr>
              <w:pStyle w:val="Marginlie"/>
            </w:pPr>
            <w:r>
              <w:t>Nižší inkaso DPH reflektovalo hlubší březnový a dubnový pokles maloobchodních tržeb. V červnu se pokles inkasa téměř zastavil.</w:t>
            </w:r>
          </w:p>
        </w:tc>
        <w:tc>
          <w:tcPr>
            <w:tcW w:w="217" w:type="dxa"/>
            <w:shd w:val="clear" w:color="auto" w:fill="auto"/>
            <w:tcMar>
              <w:left w:w="0" w:type="dxa"/>
            </w:tcMar>
          </w:tcPr>
          <w:p w14:paraId="43F91D4F" w14:textId="77777777" w:rsidR="00E42054" w:rsidRDefault="00E42054" w:rsidP="00061BD1">
            <w:pPr>
              <w:pStyle w:val="Textpoznpodarou"/>
              <w:jc w:val="both"/>
              <w:rPr>
                <w:spacing w:val="-4"/>
              </w:rPr>
            </w:pPr>
          </w:p>
        </w:tc>
        <w:tc>
          <w:tcPr>
            <w:tcW w:w="7720" w:type="dxa"/>
            <w:shd w:val="clear" w:color="auto" w:fill="auto"/>
            <w:tcMar>
              <w:left w:w="0" w:type="dxa"/>
            </w:tcMar>
          </w:tcPr>
          <w:p w14:paraId="46E63558" w14:textId="77777777" w:rsidR="00E42054" w:rsidRDefault="00E42054" w:rsidP="00061BD1">
            <w:pPr>
              <w:spacing w:after="200"/>
              <w:rPr>
                <w:spacing w:val="-2"/>
              </w:rPr>
            </w:pPr>
            <w:r>
              <w:rPr>
                <w:spacing w:val="-2"/>
              </w:rPr>
              <w:t>Z </w:t>
            </w:r>
            <w:r>
              <w:rPr>
                <w:spacing w:val="-6"/>
              </w:rPr>
              <w:t>váhově dominantní daně – DPH – plynulo v 1. pololetí do SR meziročně o 6,1 % (resp. o 8,2 mld. korun) méně. Tento</w:t>
            </w:r>
            <w:r w:rsidRPr="00E8072D">
              <w:rPr>
                <w:spacing w:val="-2"/>
              </w:rPr>
              <w:t xml:space="preserve"> pokles reflektoval zejména útlum maloobchodních tržeb v</w:t>
            </w:r>
            <w:r>
              <w:rPr>
                <w:spacing w:val="-2"/>
              </w:rPr>
              <w:t> </w:t>
            </w:r>
            <w:r w:rsidRPr="00E8072D">
              <w:rPr>
                <w:spacing w:val="-2"/>
              </w:rPr>
              <w:t>březnu a</w:t>
            </w:r>
            <w:r>
              <w:rPr>
                <w:spacing w:val="-2"/>
              </w:rPr>
              <w:t> </w:t>
            </w:r>
            <w:r w:rsidRPr="00E8072D">
              <w:rPr>
                <w:spacing w:val="-2"/>
              </w:rPr>
              <w:t>v</w:t>
            </w:r>
            <w:r>
              <w:rPr>
                <w:spacing w:val="-2"/>
              </w:rPr>
              <w:t> </w:t>
            </w:r>
            <w:r w:rsidRPr="00E8072D">
              <w:rPr>
                <w:spacing w:val="-2"/>
              </w:rPr>
              <w:t>dubnu</w:t>
            </w:r>
            <w:r>
              <w:rPr>
                <w:spacing w:val="-2"/>
              </w:rPr>
              <w:t xml:space="preserve">, neboť během prvních dvou měsíců roku výběr daně rostl. Samotné červnové inkaso DPH již za loňskou úrovní významně </w:t>
            </w:r>
            <w:r w:rsidRPr="00163F98">
              <w:rPr>
                <w:spacing w:val="-2"/>
              </w:rPr>
              <w:t>nezaostávalo (</w:t>
            </w:r>
            <w:r w:rsidRPr="00163F98">
              <w:rPr>
                <w:spacing w:val="-6"/>
              </w:rPr>
              <w:t>–</w:t>
            </w:r>
            <w:r w:rsidRPr="00163F98">
              <w:rPr>
                <w:spacing w:val="-2"/>
              </w:rPr>
              <w:t>1,6</w:t>
            </w:r>
            <w:r>
              <w:rPr>
                <w:spacing w:val="-2"/>
              </w:rPr>
              <w:t> %</w:t>
            </w:r>
            <w:r w:rsidRPr="00163F98">
              <w:rPr>
                <w:spacing w:val="-2"/>
              </w:rPr>
              <w:t>). Pololetní</w:t>
            </w:r>
            <w:r>
              <w:rPr>
                <w:spacing w:val="-2"/>
              </w:rPr>
              <w:t xml:space="preserve"> inkaso bylo negativně ovlivněno také pozdržením části plateb (ve výši 5,8 mld. korun), menší vliv mělo i snížení sazby daně u některých položek</w:t>
            </w:r>
            <w:r w:rsidRPr="00333835">
              <w:rPr>
                <w:rStyle w:val="Znakapoznpodarou"/>
                <w:spacing w:val="-2"/>
              </w:rPr>
              <w:footnoteReference w:id="57"/>
            </w:r>
            <w:r>
              <w:rPr>
                <w:spacing w:val="-2"/>
              </w:rPr>
              <w:t xml:space="preserve">. </w:t>
            </w:r>
            <w:r>
              <w:rPr>
                <w:spacing w:val="-6"/>
              </w:rPr>
              <w:t>Opačně působily vyšší výdaje vládního sektoru.</w:t>
            </w:r>
          </w:p>
        </w:tc>
      </w:tr>
      <w:tr w:rsidR="00E42054" w:rsidRPr="003C07E6" w14:paraId="622DEF00" w14:textId="77777777" w:rsidTr="00061BD1">
        <w:trPr>
          <w:trHeight w:val="145"/>
        </w:trPr>
        <w:tc>
          <w:tcPr>
            <w:tcW w:w="1732" w:type="dxa"/>
            <w:shd w:val="clear" w:color="auto" w:fill="auto"/>
            <w:tcMar>
              <w:left w:w="0" w:type="dxa"/>
            </w:tcMar>
          </w:tcPr>
          <w:p w14:paraId="79A17258" w14:textId="77777777" w:rsidR="00E42054" w:rsidRDefault="00E42054" w:rsidP="00061BD1">
            <w:pPr>
              <w:pStyle w:val="Marginlie"/>
            </w:pPr>
            <w:r>
              <w:t>Nižší dopravní výkony se projevily v 10% poklesu inkasa daně z minerálních olejů. Omezení vztahů s nerezidenty působilo i na slabší výběr daně z piva či tabákových výrobků.</w:t>
            </w:r>
          </w:p>
        </w:tc>
        <w:tc>
          <w:tcPr>
            <w:tcW w:w="217" w:type="dxa"/>
            <w:shd w:val="clear" w:color="auto" w:fill="auto"/>
            <w:tcMar>
              <w:left w:w="0" w:type="dxa"/>
            </w:tcMar>
          </w:tcPr>
          <w:p w14:paraId="41AC9FF1" w14:textId="77777777" w:rsidR="00E42054" w:rsidRDefault="00E42054" w:rsidP="00061BD1">
            <w:pPr>
              <w:pStyle w:val="Textpoznpodarou"/>
              <w:jc w:val="both"/>
              <w:rPr>
                <w:spacing w:val="-4"/>
              </w:rPr>
            </w:pPr>
          </w:p>
        </w:tc>
        <w:tc>
          <w:tcPr>
            <w:tcW w:w="7720" w:type="dxa"/>
            <w:shd w:val="clear" w:color="auto" w:fill="auto"/>
            <w:tcMar>
              <w:left w:w="0" w:type="dxa"/>
            </w:tcMar>
          </w:tcPr>
          <w:p w14:paraId="1680B1B3" w14:textId="77777777" w:rsidR="00E42054" w:rsidRPr="00ED3827" w:rsidRDefault="00E42054" w:rsidP="00061BD1">
            <w:pPr>
              <w:spacing w:after="0"/>
              <w:rPr>
                <w:spacing w:val="-4"/>
              </w:rPr>
            </w:pPr>
            <w:r w:rsidRPr="00ED3827">
              <w:rPr>
                <w:spacing w:val="-4"/>
              </w:rPr>
              <w:t xml:space="preserve">Celkové inkaso SR </w:t>
            </w:r>
            <w:r w:rsidRPr="00ED3827">
              <w:rPr>
                <w:color w:val="0D0D0D" w:themeColor="text1" w:themeTint="F2"/>
                <w:spacing w:val="-4"/>
              </w:rPr>
              <w:t>ze spotřebních daní v 1.</w:t>
            </w:r>
            <w:r>
              <w:rPr>
                <w:color w:val="0D0D0D" w:themeColor="text1" w:themeTint="F2"/>
                <w:spacing w:val="-4"/>
              </w:rPr>
              <w:t> pololet</w:t>
            </w:r>
            <w:r w:rsidRPr="00ED3827">
              <w:rPr>
                <w:color w:val="0D0D0D" w:themeColor="text1" w:themeTint="F2"/>
                <w:spacing w:val="-4"/>
              </w:rPr>
              <w:t xml:space="preserve">í meziročně oslabilo </w:t>
            </w:r>
            <w:r w:rsidRPr="00ED3827">
              <w:rPr>
                <w:spacing w:val="-4"/>
              </w:rPr>
              <w:t>o 6,5 % (resp. téměř 5</w:t>
            </w:r>
            <w:r>
              <w:rPr>
                <w:spacing w:val="-4"/>
              </w:rPr>
              <w:t> mld.</w:t>
            </w:r>
            <w:r w:rsidRPr="00ED3827">
              <w:rPr>
                <w:spacing w:val="-4"/>
              </w:rPr>
              <w:t xml:space="preserve"> korun). Projevil se zejména výpadek inkasa daně z minerálních olejů (o</w:t>
            </w:r>
            <w:r>
              <w:rPr>
                <w:spacing w:val="-4"/>
              </w:rPr>
              <w:t> </w:t>
            </w:r>
            <w:r w:rsidRPr="00ED3827">
              <w:rPr>
                <w:spacing w:val="-4"/>
              </w:rPr>
              <w:t>10</w:t>
            </w:r>
            <w:r>
              <w:rPr>
                <w:spacing w:val="-4"/>
              </w:rPr>
              <w:t> %</w:t>
            </w:r>
            <w:r w:rsidRPr="00ED3827">
              <w:rPr>
                <w:spacing w:val="-4"/>
              </w:rPr>
              <w:t>)</w:t>
            </w:r>
            <w:r>
              <w:rPr>
                <w:spacing w:val="-4"/>
              </w:rPr>
              <w:t xml:space="preserve"> vlivem citelné</w:t>
            </w:r>
            <w:r w:rsidRPr="00ED3827">
              <w:rPr>
                <w:spacing w:val="-4"/>
              </w:rPr>
              <w:t xml:space="preserve"> redukce dopravních výkonů (v</w:t>
            </w:r>
            <w:r>
              <w:rPr>
                <w:spacing w:val="-4"/>
              </w:rPr>
              <w:t>č. </w:t>
            </w:r>
            <w:r w:rsidRPr="00ED3827">
              <w:rPr>
                <w:spacing w:val="-4"/>
              </w:rPr>
              <w:t>tranzitní dopravy). Z podrobnějších údajů ČSÚ o spotřebě ropných produktů vyplývá, že k největšímu útlumu došlo během dubna</w:t>
            </w:r>
            <w:r w:rsidRPr="00ED3827">
              <w:rPr>
                <w:rStyle w:val="Znakapoznpodarou"/>
                <w:spacing w:val="-4"/>
              </w:rPr>
              <w:footnoteReference w:id="58"/>
            </w:r>
            <w:r w:rsidRPr="00ED3827">
              <w:rPr>
                <w:spacing w:val="-4"/>
              </w:rPr>
              <w:t>. Protipandemická opatření se podepsala i</w:t>
            </w:r>
            <w:r>
              <w:rPr>
                <w:spacing w:val="-4"/>
              </w:rPr>
              <w:t> </w:t>
            </w:r>
            <w:r w:rsidRPr="00ED3827">
              <w:rPr>
                <w:spacing w:val="-4"/>
              </w:rPr>
              <w:t>na slabším výběru ostatních spotřebních daní, např. u</w:t>
            </w:r>
            <w:r>
              <w:rPr>
                <w:spacing w:val="-4"/>
              </w:rPr>
              <w:t> </w:t>
            </w:r>
            <w:r w:rsidRPr="00ED3827">
              <w:rPr>
                <w:spacing w:val="-4"/>
              </w:rPr>
              <w:t>piva (o</w:t>
            </w:r>
            <w:r>
              <w:rPr>
                <w:spacing w:val="-4"/>
              </w:rPr>
              <w:t> </w:t>
            </w:r>
            <w:r w:rsidRPr="00ED3827">
              <w:rPr>
                <w:spacing w:val="-4"/>
              </w:rPr>
              <w:t>8</w:t>
            </w:r>
            <w:r>
              <w:rPr>
                <w:spacing w:val="-4"/>
              </w:rPr>
              <w:t> %</w:t>
            </w:r>
            <w:r w:rsidRPr="00ED3827">
              <w:rPr>
                <w:spacing w:val="-4"/>
              </w:rPr>
              <w:t>), kde vyšší spotřeba lahvového piva nestačila kompenzovat nižší útlum točeného piva, či tabákových výrobků, kde výběr navzdory růstu sazby daně klesl o</w:t>
            </w:r>
            <w:r>
              <w:rPr>
                <w:spacing w:val="-4"/>
              </w:rPr>
              <w:t> </w:t>
            </w:r>
            <w:r w:rsidRPr="00ED3827">
              <w:rPr>
                <w:spacing w:val="-4"/>
              </w:rPr>
              <w:t>3</w:t>
            </w:r>
            <w:r>
              <w:rPr>
                <w:spacing w:val="-4"/>
              </w:rPr>
              <w:t> %</w:t>
            </w:r>
            <w:r w:rsidRPr="00ED3827">
              <w:rPr>
                <w:spacing w:val="-4"/>
              </w:rPr>
              <w:t xml:space="preserve"> (mj. i</w:t>
            </w:r>
            <w:r>
              <w:rPr>
                <w:spacing w:val="-4"/>
              </w:rPr>
              <w:t> </w:t>
            </w:r>
            <w:r w:rsidRPr="00ED3827">
              <w:rPr>
                <w:spacing w:val="-4"/>
              </w:rPr>
              <w:t>vlivem dočasného útlumu přeshraničních nákupů z Německa a</w:t>
            </w:r>
            <w:r>
              <w:rPr>
                <w:spacing w:val="-4"/>
              </w:rPr>
              <w:t> </w:t>
            </w:r>
            <w:r w:rsidRPr="00ED3827">
              <w:rPr>
                <w:spacing w:val="-4"/>
              </w:rPr>
              <w:t>Rakouska). Rozpočtová očekávání nenaplnil ani výběr daně z lihu, u</w:t>
            </w:r>
            <w:r>
              <w:rPr>
                <w:spacing w:val="-4"/>
              </w:rPr>
              <w:t> </w:t>
            </w:r>
            <w:r w:rsidRPr="00ED3827">
              <w:rPr>
                <w:spacing w:val="-4"/>
              </w:rPr>
              <w:t>níž byl efekt růstu sazby tlumen nižší spotřebou, a</w:t>
            </w:r>
            <w:r>
              <w:rPr>
                <w:spacing w:val="-4"/>
              </w:rPr>
              <w:t> </w:t>
            </w:r>
            <w:r w:rsidRPr="00ED3827">
              <w:rPr>
                <w:spacing w:val="-4"/>
              </w:rPr>
              <w:t xml:space="preserve">to </w:t>
            </w:r>
            <w:r>
              <w:rPr>
                <w:spacing w:val="-4"/>
              </w:rPr>
              <w:t>i </w:t>
            </w:r>
            <w:r w:rsidRPr="00ED3827">
              <w:rPr>
                <w:spacing w:val="-4"/>
              </w:rPr>
              <w:t xml:space="preserve">v důsledku </w:t>
            </w:r>
            <w:r>
              <w:rPr>
                <w:spacing w:val="-4"/>
              </w:rPr>
              <w:t xml:space="preserve">dramatického </w:t>
            </w:r>
            <w:r w:rsidRPr="00ED3827">
              <w:rPr>
                <w:spacing w:val="-4"/>
              </w:rPr>
              <w:t>propadu příjezdového cestovního ruchu v celém 2.</w:t>
            </w:r>
            <w:r>
              <w:rPr>
                <w:spacing w:val="-4"/>
              </w:rPr>
              <w:t> čtvrtlet</w:t>
            </w:r>
            <w:r w:rsidRPr="00ED3827">
              <w:rPr>
                <w:spacing w:val="-4"/>
              </w:rPr>
              <w:t>í.</w:t>
            </w:r>
          </w:p>
        </w:tc>
      </w:tr>
      <w:tr w:rsidR="00E42054" w:rsidRPr="00F704D2" w14:paraId="010BA271" w14:textId="77777777" w:rsidTr="00061BD1">
        <w:trPr>
          <w:trHeight w:val="170"/>
        </w:trPr>
        <w:tc>
          <w:tcPr>
            <w:tcW w:w="1732" w:type="dxa"/>
            <w:vMerge w:val="restart"/>
            <w:shd w:val="clear" w:color="auto" w:fill="auto"/>
            <w:tcMar>
              <w:left w:w="0" w:type="dxa"/>
            </w:tcMar>
          </w:tcPr>
          <w:p w14:paraId="1736BE13" w14:textId="77777777" w:rsidR="00E42054" w:rsidRDefault="00E42054" w:rsidP="00061BD1">
            <w:pPr>
              <w:pStyle w:val="Marginlie"/>
            </w:pPr>
          </w:p>
        </w:tc>
        <w:tc>
          <w:tcPr>
            <w:tcW w:w="217" w:type="dxa"/>
            <w:vMerge w:val="restart"/>
            <w:shd w:val="clear" w:color="auto" w:fill="auto"/>
            <w:tcMar>
              <w:left w:w="0" w:type="dxa"/>
            </w:tcMar>
          </w:tcPr>
          <w:p w14:paraId="2A26A809" w14:textId="77777777" w:rsidR="00E42054" w:rsidRDefault="00E42054" w:rsidP="00061BD1">
            <w:pPr>
              <w:pStyle w:val="Textpoznpodarou"/>
              <w:jc w:val="both"/>
              <w:rPr>
                <w:spacing w:val="-4"/>
              </w:rPr>
            </w:pPr>
          </w:p>
        </w:tc>
        <w:tc>
          <w:tcPr>
            <w:tcW w:w="7720" w:type="dxa"/>
            <w:shd w:val="clear" w:color="auto" w:fill="auto"/>
            <w:tcMar>
              <w:left w:w="0" w:type="dxa"/>
            </w:tcMar>
          </w:tcPr>
          <w:p w14:paraId="28091F89" w14:textId="77777777" w:rsidR="00E42054" w:rsidRPr="00B80CE9" w:rsidRDefault="00E42054" w:rsidP="00061BD1">
            <w:pPr>
              <w:spacing w:after="0" w:line="240" w:lineRule="auto"/>
              <w:rPr>
                <w:rFonts w:cs="Arial"/>
                <w:bCs/>
              </w:rPr>
            </w:pPr>
            <w:r w:rsidRPr="00B80CE9">
              <w:rPr>
                <w:rFonts w:cs="Arial"/>
                <w:b/>
                <w:bCs/>
                <w:color w:val="000000"/>
                <w:szCs w:val="20"/>
              </w:rPr>
              <w:t>Graf č. 16</w:t>
            </w:r>
            <w:r w:rsidRPr="00B80CE9">
              <w:rPr>
                <w:rFonts w:cs="Arial"/>
                <w:b/>
                <w:bCs/>
                <w:color w:val="000000"/>
                <w:sz w:val="18"/>
                <w:szCs w:val="18"/>
              </w:rPr>
              <w:t xml:space="preserve">  </w:t>
            </w:r>
            <w:r w:rsidRPr="00B80CE9">
              <w:rPr>
                <w:rFonts w:cs="Arial"/>
                <w:b/>
                <w:bCs/>
              </w:rPr>
              <w:t xml:space="preserve">Celostátní inkasa vybraných daňových příjmů </w:t>
            </w:r>
            <w:r w:rsidRPr="00B80CE9">
              <w:rPr>
                <w:rFonts w:cs="Arial"/>
                <w:bCs/>
              </w:rPr>
              <w:t>(</w:t>
            </w:r>
            <w:r w:rsidRPr="00B80CE9">
              <w:t>meziročně</w:t>
            </w:r>
            <w:r w:rsidRPr="00B80CE9">
              <w:rPr>
                <w:bCs/>
              </w:rPr>
              <w:t xml:space="preserve"> v %)</w:t>
            </w:r>
            <w:r w:rsidRPr="00B80CE9">
              <w:rPr>
                <w:bCs/>
              </w:rPr>
              <w:br/>
            </w:r>
            <w:r w:rsidRPr="00B80CE9">
              <w:rPr>
                <w:rFonts w:cs="Arial"/>
                <w:b/>
                <w:bCs/>
              </w:rPr>
              <w:t>a saldo státního rozpočtu</w:t>
            </w:r>
            <w:r w:rsidRPr="00B80CE9">
              <w:t xml:space="preserve"> </w:t>
            </w:r>
            <w:r>
              <w:rPr>
                <w:rFonts w:cs="Arial"/>
                <w:bCs/>
              </w:rPr>
              <w:t>(v mld. korun, pravá osa</w:t>
            </w:r>
            <w:r w:rsidRPr="00B80CE9">
              <w:rPr>
                <w:rFonts w:cs="Arial"/>
                <w:bCs/>
              </w:rPr>
              <w:t>)</w:t>
            </w:r>
            <w:r>
              <w:rPr>
                <w:rFonts w:cs="Arial"/>
                <w:bCs/>
              </w:rPr>
              <w:t xml:space="preserve"> </w:t>
            </w:r>
            <w:r>
              <w:rPr>
                <w:rFonts w:cs="Arial"/>
                <w:b/>
                <w:bCs/>
              </w:rPr>
              <w:t>v kumulaci za 1. pololetí</w:t>
            </w:r>
          </w:p>
        </w:tc>
      </w:tr>
      <w:tr w:rsidR="00E42054" w14:paraId="6D0FDC91" w14:textId="77777777" w:rsidTr="00061BD1">
        <w:tblPrEx>
          <w:tblCellMar>
            <w:left w:w="70" w:type="dxa"/>
            <w:right w:w="70" w:type="dxa"/>
          </w:tblCellMar>
        </w:tblPrEx>
        <w:trPr>
          <w:trHeight w:val="170"/>
        </w:trPr>
        <w:tc>
          <w:tcPr>
            <w:tcW w:w="1732" w:type="dxa"/>
            <w:vMerge/>
            <w:shd w:val="clear" w:color="auto" w:fill="auto"/>
          </w:tcPr>
          <w:p w14:paraId="36636A18" w14:textId="77777777" w:rsidR="00E42054" w:rsidRDefault="00E42054" w:rsidP="00061BD1">
            <w:pPr>
              <w:pStyle w:val="Marginlie"/>
            </w:pPr>
          </w:p>
        </w:tc>
        <w:tc>
          <w:tcPr>
            <w:tcW w:w="217" w:type="dxa"/>
            <w:vMerge/>
            <w:shd w:val="clear" w:color="auto" w:fill="auto"/>
          </w:tcPr>
          <w:p w14:paraId="1EE9F888" w14:textId="77777777" w:rsidR="00E42054" w:rsidRDefault="00E42054" w:rsidP="00061BD1">
            <w:pPr>
              <w:pStyle w:val="Textpoznpodarou"/>
              <w:jc w:val="both"/>
              <w:rPr>
                <w:spacing w:val="-4"/>
              </w:rPr>
            </w:pPr>
          </w:p>
        </w:tc>
        <w:tc>
          <w:tcPr>
            <w:tcW w:w="7720" w:type="dxa"/>
            <w:shd w:val="clear" w:color="auto" w:fill="auto"/>
          </w:tcPr>
          <w:p w14:paraId="10F0483C" w14:textId="77777777" w:rsidR="00E42054" w:rsidRPr="0067514E" w:rsidRDefault="00E42054" w:rsidP="00061BD1">
            <w:pPr>
              <w:spacing w:after="0"/>
              <w:rPr>
                <w:spacing w:val="-6"/>
              </w:rPr>
            </w:pPr>
            <w:r>
              <w:rPr>
                <w:noProof/>
              </w:rPr>
              <w:t xml:space="preserve"> </w:t>
            </w:r>
            <w:r>
              <w:rPr>
                <w:noProof/>
              </w:rPr>
              <w:drawing>
                <wp:inline distT="0" distB="0" distL="0" distR="0" wp14:anchorId="153F2948" wp14:editId="331F7D9B">
                  <wp:extent cx="4770051" cy="3572454"/>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42054" w:rsidRPr="007B3A78" w14:paraId="66A1B2DD" w14:textId="77777777" w:rsidTr="00061BD1">
        <w:trPr>
          <w:trHeight w:val="170"/>
        </w:trPr>
        <w:tc>
          <w:tcPr>
            <w:tcW w:w="1732" w:type="dxa"/>
            <w:vMerge/>
            <w:shd w:val="clear" w:color="auto" w:fill="auto"/>
            <w:tcMar>
              <w:left w:w="0" w:type="dxa"/>
            </w:tcMar>
          </w:tcPr>
          <w:p w14:paraId="148D9E6A" w14:textId="77777777" w:rsidR="00E42054" w:rsidRDefault="00E42054" w:rsidP="00061BD1">
            <w:pPr>
              <w:pStyle w:val="Marginlie"/>
            </w:pPr>
          </w:p>
        </w:tc>
        <w:tc>
          <w:tcPr>
            <w:tcW w:w="217" w:type="dxa"/>
            <w:vMerge/>
            <w:shd w:val="clear" w:color="auto" w:fill="auto"/>
            <w:tcMar>
              <w:left w:w="0" w:type="dxa"/>
            </w:tcMar>
          </w:tcPr>
          <w:p w14:paraId="1803062D" w14:textId="77777777" w:rsidR="00E42054" w:rsidRDefault="00E42054" w:rsidP="00061BD1">
            <w:pPr>
              <w:pStyle w:val="Textpoznpodarou"/>
              <w:jc w:val="both"/>
              <w:rPr>
                <w:spacing w:val="-4"/>
              </w:rPr>
            </w:pPr>
          </w:p>
        </w:tc>
        <w:tc>
          <w:tcPr>
            <w:tcW w:w="7720" w:type="dxa"/>
            <w:shd w:val="clear" w:color="auto" w:fill="auto"/>
            <w:tcMar>
              <w:left w:w="0" w:type="dxa"/>
            </w:tcMar>
          </w:tcPr>
          <w:p w14:paraId="4710B2A1" w14:textId="77777777" w:rsidR="00E42054" w:rsidRPr="003F7E63" w:rsidRDefault="00E42054" w:rsidP="00061BD1">
            <w:pPr>
              <w:spacing w:after="200" w:line="240" w:lineRule="auto"/>
              <w:jc w:val="left"/>
              <w:rPr>
                <w:spacing w:val="-6"/>
                <w:sz w:val="14"/>
                <w:szCs w:val="14"/>
              </w:rPr>
            </w:pPr>
            <w:r w:rsidRPr="00B80CE9">
              <w:rPr>
                <w:spacing w:val="-6"/>
                <w:sz w:val="14"/>
                <w:szCs w:val="14"/>
              </w:rPr>
              <w:t>*Saldo očištěné o</w:t>
            </w:r>
            <w:r>
              <w:rPr>
                <w:spacing w:val="-6"/>
                <w:sz w:val="14"/>
                <w:szCs w:val="14"/>
              </w:rPr>
              <w:t> prostředky na programy a </w:t>
            </w:r>
            <w:r w:rsidRPr="00B80CE9">
              <w:rPr>
                <w:spacing w:val="-6"/>
                <w:sz w:val="14"/>
                <w:szCs w:val="14"/>
              </w:rPr>
              <w:t>projekty z</w:t>
            </w:r>
            <w:r>
              <w:rPr>
                <w:spacing w:val="-6"/>
                <w:sz w:val="14"/>
                <w:szCs w:val="14"/>
              </w:rPr>
              <w:t> </w:t>
            </w:r>
            <w:r w:rsidRPr="00B80CE9">
              <w:rPr>
                <w:spacing w:val="-6"/>
                <w:sz w:val="14"/>
                <w:szCs w:val="14"/>
              </w:rPr>
              <w:t xml:space="preserve">rozpočtu EU </w:t>
            </w:r>
            <w:r>
              <w:rPr>
                <w:spacing w:val="-6"/>
                <w:sz w:val="14"/>
                <w:szCs w:val="14"/>
              </w:rPr>
              <w:t>(vč. finančních mechanismů)</w:t>
            </w:r>
            <w:r w:rsidRPr="00B80CE9">
              <w:rPr>
                <w:spacing w:val="-6"/>
                <w:sz w:val="14"/>
                <w:szCs w:val="14"/>
              </w:rPr>
              <w:t>, které byly předfinancovány ze</w:t>
            </w:r>
            <w:r>
              <w:rPr>
                <w:spacing w:val="-6"/>
                <w:sz w:val="14"/>
                <w:szCs w:val="14"/>
              </w:rPr>
              <w:t> </w:t>
            </w:r>
            <w:r w:rsidRPr="00B80CE9">
              <w:rPr>
                <w:spacing w:val="-6"/>
                <w:sz w:val="14"/>
                <w:szCs w:val="14"/>
              </w:rPr>
              <w:t>SR a</w:t>
            </w:r>
            <w:r>
              <w:rPr>
                <w:spacing w:val="-6"/>
                <w:sz w:val="14"/>
                <w:szCs w:val="14"/>
              </w:rPr>
              <w:t> </w:t>
            </w:r>
            <w:r w:rsidRPr="00B80CE9">
              <w:rPr>
                <w:spacing w:val="-6"/>
                <w:sz w:val="14"/>
                <w:szCs w:val="14"/>
              </w:rPr>
              <w:t>následně jsou proplácen</w:t>
            </w:r>
            <w:r>
              <w:rPr>
                <w:spacing w:val="-6"/>
                <w:sz w:val="14"/>
                <w:szCs w:val="14"/>
              </w:rPr>
              <w:t xml:space="preserve">y z rozpočtů EU a FM. Údaje jsou k dispozici počínaje rokem 2013.                                                 </w:t>
            </w:r>
            <w:r w:rsidRPr="0067514E">
              <w:rPr>
                <w:spacing w:val="-6"/>
                <w:sz w:val="14"/>
                <w:szCs w:val="14"/>
              </w:rPr>
              <w:t>Zdroj: MF ČR</w:t>
            </w:r>
          </w:p>
        </w:tc>
      </w:tr>
      <w:tr w:rsidR="00E42054" w:rsidRPr="008266F0" w14:paraId="53761BE1" w14:textId="77777777" w:rsidTr="00061BD1">
        <w:trPr>
          <w:trHeight w:val="145"/>
        </w:trPr>
        <w:tc>
          <w:tcPr>
            <w:tcW w:w="1732" w:type="dxa"/>
            <w:shd w:val="clear" w:color="auto" w:fill="auto"/>
            <w:tcMar>
              <w:left w:w="0" w:type="dxa"/>
            </w:tcMar>
          </w:tcPr>
          <w:p w14:paraId="6457A319" w14:textId="77777777" w:rsidR="00E42054" w:rsidRDefault="00E42054" w:rsidP="00061BD1">
            <w:pPr>
              <w:pStyle w:val="Marginlie"/>
            </w:pPr>
            <w:r>
              <w:t>Tempo růstu celkových výdajů SR akcelerovalo. Bylo taženo vyššími běžnými výdaji i investicemi.</w:t>
            </w:r>
          </w:p>
          <w:p w14:paraId="1118D59E" w14:textId="77777777" w:rsidR="00E42054" w:rsidRDefault="00E42054" w:rsidP="00061BD1">
            <w:pPr>
              <w:pStyle w:val="Marginlie"/>
            </w:pPr>
          </w:p>
          <w:p w14:paraId="00C7D895" w14:textId="77777777" w:rsidR="00E42054" w:rsidRDefault="00E42054" w:rsidP="00061BD1">
            <w:pPr>
              <w:pStyle w:val="Marginlie"/>
            </w:pPr>
          </w:p>
          <w:p w14:paraId="0DCC78DD" w14:textId="77777777" w:rsidR="00E42054" w:rsidRDefault="00E42054" w:rsidP="00061BD1">
            <w:pPr>
              <w:pStyle w:val="Marginlie"/>
            </w:pPr>
          </w:p>
          <w:p w14:paraId="78457A9E" w14:textId="77777777" w:rsidR="00E42054" w:rsidRPr="009740AC" w:rsidRDefault="00E42054" w:rsidP="00061BD1">
            <w:pPr>
              <w:pStyle w:val="Marginlie"/>
              <w:rPr>
                <w:spacing w:val="-4"/>
              </w:rPr>
            </w:pPr>
            <w:r w:rsidRPr="009740AC">
              <w:rPr>
                <w:spacing w:val="-4"/>
              </w:rPr>
              <w:t xml:space="preserve">Více než třetina růstu běžných výdajů souvisela s protipandemickými </w:t>
            </w:r>
            <w:r>
              <w:rPr>
                <w:spacing w:val="-4"/>
              </w:rPr>
              <w:t>opatřeními,…</w:t>
            </w:r>
          </w:p>
          <w:p w14:paraId="1C7DFDEB" w14:textId="77777777" w:rsidR="00E42054" w:rsidRDefault="00E42054" w:rsidP="00061BD1">
            <w:pPr>
              <w:pStyle w:val="Marginlie"/>
            </w:pPr>
          </w:p>
        </w:tc>
        <w:tc>
          <w:tcPr>
            <w:tcW w:w="217" w:type="dxa"/>
            <w:shd w:val="clear" w:color="auto" w:fill="auto"/>
            <w:tcMar>
              <w:left w:w="0" w:type="dxa"/>
            </w:tcMar>
          </w:tcPr>
          <w:p w14:paraId="2882DBA4" w14:textId="77777777" w:rsidR="00E42054" w:rsidRDefault="00E42054" w:rsidP="00061BD1">
            <w:pPr>
              <w:pStyle w:val="Textpoznpodarou"/>
              <w:jc w:val="both"/>
              <w:rPr>
                <w:spacing w:val="-4"/>
              </w:rPr>
            </w:pPr>
          </w:p>
        </w:tc>
        <w:tc>
          <w:tcPr>
            <w:tcW w:w="7720" w:type="dxa"/>
            <w:shd w:val="clear" w:color="auto" w:fill="auto"/>
            <w:tcMar>
              <w:left w:w="0" w:type="dxa"/>
            </w:tcMar>
          </w:tcPr>
          <w:p w14:paraId="3F30F00E" w14:textId="77777777" w:rsidR="00E42054" w:rsidRPr="00EA32C7" w:rsidRDefault="00E42054" w:rsidP="00061BD1">
            <w:pPr>
              <w:spacing w:after="220"/>
              <w:rPr>
                <w:spacing w:val="-4"/>
              </w:rPr>
            </w:pPr>
            <w:r w:rsidRPr="00EA32C7">
              <w:rPr>
                <w:spacing w:val="-4"/>
              </w:rPr>
              <w:t>Celkové výdaje SR v 1.</w:t>
            </w:r>
            <w:r>
              <w:rPr>
                <w:spacing w:val="-4"/>
              </w:rPr>
              <w:t> pololet</w:t>
            </w:r>
            <w:r w:rsidRPr="00EA32C7">
              <w:rPr>
                <w:spacing w:val="-4"/>
              </w:rPr>
              <w:t>í meziročně vzrostly o</w:t>
            </w:r>
            <w:r>
              <w:rPr>
                <w:spacing w:val="-4"/>
              </w:rPr>
              <w:t> </w:t>
            </w:r>
            <w:r w:rsidRPr="00EA32C7">
              <w:rPr>
                <w:spacing w:val="-4"/>
              </w:rPr>
              <w:t>17,0</w:t>
            </w:r>
            <w:r>
              <w:rPr>
                <w:spacing w:val="-4"/>
              </w:rPr>
              <w:t> %</w:t>
            </w:r>
            <w:r w:rsidRPr="00EA32C7">
              <w:rPr>
                <w:spacing w:val="-4"/>
              </w:rPr>
              <w:t>, resp. 130</w:t>
            </w:r>
            <w:r>
              <w:rPr>
                <w:spacing w:val="-4"/>
              </w:rPr>
              <w:t> mld.</w:t>
            </w:r>
            <w:r w:rsidRPr="00EA32C7">
              <w:rPr>
                <w:spacing w:val="-4"/>
              </w:rPr>
              <w:t xml:space="preserve"> korun (za</w:t>
            </w:r>
            <w:r>
              <w:rPr>
                <w:spacing w:val="-4"/>
              </w:rPr>
              <w:t xml:space="preserve"> </w:t>
            </w:r>
            <w:r w:rsidRPr="00EA32C7">
              <w:rPr>
                <w:spacing w:val="-4"/>
              </w:rPr>
              <w:t>1. čtvrtletí +13</w:t>
            </w:r>
            <w:r>
              <w:rPr>
                <w:spacing w:val="-4"/>
              </w:rPr>
              <w:t>,0 %</w:t>
            </w:r>
            <w:r w:rsidRPr="00EA32C7">
              <w:rPr>
                <w:spacing w:val="-4"/>
              </w:rPr>
              <w:t>). Přestože dvouciferný růst byl zaznamenán i</w:t>
            </w:r>
            <w:r>
              <w:rPr>
                <w:spacing w:val="-4"/>
              </w:rPr>
              <w:t> </w:t>
            </w:r>
            <w:r w:rsidRPr="00EA32C7">
              <w:rPr>
                <w:spacing w:val="-4"/>
              </w:rPr>
              <w:t xml:space="preserve">během let 2018 </w:t>
            </w:r>
            <w:r>
              <w:rPr>
                <w:spacing w:val="-4"/>
              </w:rPr>
              <w:t>a </w:t>
            </w:r>
            <w:r w:rsidRPr="00EA32C7">
              <w:rPr>
                <w:spacing w:val="-4"/>
              </w:rPr>
              <w:t>2019, patří letošní pololetní tempo v historii samostatné ČR k nejvyšším</w:t>
            </w:r>
            <w:r w:rsidRPr="00EA32C7">
              <w:rPr>
                <w:rStyle w:val="Znakapoznpodarou"/>
                <w:spacing w:val="-4"/>
              </w:rPr>
              <w:footnoteReference w:id="59"/>
            </w:r>
            <w:r w:rsidRPr="00EA32C7">
              <w:rPr>
                <w:spacing w:val="-4"/>
              </w:rPr>
              <w:t>. Proti původně schvá</w:t>
            </w:r>
            <w:r>
              <w:rPr>
                <w:spacing w:val="-4"/>
              </w:rPr>
              <w:t>lenému rozpočtu (z konce roku</w:t>
            </w:r>
            <w:r w:rsidRPr="00EA32C7">
              <w:rPr>
                <w:spacing w:val="-4"/>
              </w:rPr>
              <w:t xml:space="preserve"> 2019) bylo dosažené tempo více než čtyřnásobné. K růstu přispěly hlavně běžné výdaje (+15,5</w:t>
            </w:r>
            <w:r>
              <w:rPr>
                <w:spacing w:val="-4"/>
              </w:rPr>
              <w:t> %</w:t>
            </w:r>
            <w:r w:rsidRPr="00EA32C7">
              <w:rPr>
                <w:spacing w:val="-4"/>
              </w:rPr>
              <w:t>, +112</w:t>
            </w:r>
            <w:r>
              <w:rPr>
                <w:spacing w:val="-4"/>
              </w:rPr>
              <w:t> mld.</w:t>
            </w:r>
            <w:r w:rsidRPr="00EA32C7">
              <w:rPr>
                <w:spacing w:val="-4"/>
              </w:rPr>
              <w:t>), více než třetina z jejich přírůstku šla na vrub přímých výdajů ze SR spojených s protipandemickými opatřeními</w:t>
            </w:r>
            <w:r w:rsidRPr="00EA32C7">
              <w:rPr>
                <w:rStyle w:val="Znakapoznpodarou"/>
                <w:spacing w:val="-4"/>
              </w:rPr>
              <w:footnoteReference w:id="60"/>
            </w:r>
            <w:r w:rsidRPr="00EA32C7">
              <w:rPr>
                <w:spacing w:val="-4"/>
              </w:rPr>
              <w:t>. To se nejvíce projevilo v akceleraci neinvestičních transferů podnikatelským subjektům (+83 %, více než z poloviny tažen</w:t>
            </w:r>
            <w:r>
              <w:rPr>
                <w:spacing w:val="-4"/>
              </w:rPr>
              <w:t>o</w:t>
            </w:r>
            <w:r w:rsidRPr="00EA32C7">
              <w:rPr>
                <w:spacing w:val="-4"/>
              </w:rPr>
              <w:t xml:space="preserve"> náhradou části mezd zaměstnanců v rámci programu Antivirus), neinvestičních nákupů a</w:t>
            </w:r>
            <w:r>
              <w:rPr>
                <w:spacing w:val="-4"/>
              </w:rPr>
              <w:t> </w:t>
            </w:r>
            <w:r w:rsidRPr="00EA32C7">
              <w:rPr>
                <w:spacing w:val="-4"/>
              </w:rPr>
              <w:t>souvisejících výdajů (+27</w:t>
            </w:r>
            <w:r>
              <w:rPr>
                <w:spacing w:val="-4"/>
              </w:rPr>
              <w:t> %</w:t>
            </w:r>
            <w:r w:rsidRPr="00EA32C7">
              <w:rPr>
                <w:spacing w:val="-4"/>
              </w:rPr>
              <w:t>, téměř výhradně vlivem nákupů ochranných pomůcek a</w:t>
            </w:r>
            <w:r>
              <w:rPr>
                <w:spacing w:val="-4"/>
              </w:rPr>
              <w:t> </w:t>
            </w:r>
            <w:r w:rsidRPr="00EA32C7">
              <w:rPr>
                <w:spacing w:val="-4"/>
              </w:rPr>
              <w:t>materiálů) či běžných transferů příspěvkovým organizacím (+23</w:t>
            </w:r>
            <w:r>
              <w:rPr>
                <w:spacing w:val="-4"/>
              </w:rPr>
              <w:t> %</w:t>
            </w:r>
            <w:r w:rsidRPr="00EA32C7">
              <w:rPr>
                <w:spacing w:val="-4"/>
              </w:rPr>
              <w:t>, ze dvou třetin vlivem částečného oddlužení nemocnic a</w:t>
            </w:r>
            <w:r>
              <w:rPr>
                <w:spacing w:val="-4"/>
              </w:rPr>
              <w:t> </w:t>
            </w:r>
            <w:r w:rsidRPr="00EA32C7">
              <w:rPr>
                <w:spacing w:val="-4"/>
              </w:rPr>
              <w:t>posílení transferů v oblasti kultury).</w:t>
            </w:r>
          </w:p>
        </w:tc>
      </w:tr>
      <w:tr w:rsidR="00E42054" w:rsidRPr="008266F0" w14:paraId="75EDDBDD" w14:textId="77777777" w:rsidTr="00061BD1">
        <w:trPr>
          <w:trHeight w:val="145"/>
        </w:trPr>
        <w:tc>
          <w:tcPr>
            <w:tcW w:w="1732" w:type="dxa"/>
            <w:shd w:val="clear" w:color="auto" w:fill="auto"/>
            <w:tcMar>
              <w:left w:w="0" w:type="dxa"/>
            </w:tcMar>
          </w:tcPr>
          <w:p w14:paraId="75187BEC" w14:textId="77777777" w:rsidR="00E42054" w:rsidRDefault="00E42054" w:rsidP="00061BD1">
            <w:pPr>
              <w:pStyle w:val="Marginlie"/>
            </w:pPr>
            <w:r>
              <w:t>… obdobně ale přispělo i</w:t>
            </w:r>
            <w:r w:rsidRPr="009740AC">
              <w:rPr>
                <w:spacing w:val="-4"/>
              </w:rPr>
              <w:t> </w:t>
            </w:r>
            <w:r>
              <w:t>vyšší čerpání sociálních dávek, zejména nedůchodových.</w:t>
            </w:r>
          </w:p>
          <w:p w14:paraId="4757103C" w14:textId="77777777" w:rsidR="00E42054" w:rsidRDefault="00E42054" w:rsidP="00061BD1">
            <w:pPr>
              <w:pStyle w:val="Marginlie"/>
            </w:pPr>
          </w:p>
          <w:p w14:paraId="72169F3E" w14:textId="77777777" w:rsidR="00E42054" w:rsidRDefault="00E42054" w:rsidP="00061BD1">
            <w:pPr>
              <w:pStyle w:val="Marginlie"/>
            </w:pPr>
          </w:p>
          <w:p w14:paraId="68E7F85E" w14:textId="77777777" w:rsidR="00E42054" w:rsidRDefault="00E42054" w:rsidP="00061BD1">
            <w:pPr>
              <w:pStyle w:val="Marginlie"/>
            </w:pPr>
          </w:p>
          <w:p w14:paraId="26302F40" w14:textId="77777777" w:rsidR="00E42054" w:rsidRDefault="00E42054" w:rsidP="00061BD1">
            <w:pPr>
              <w:pStyle w:val="Marginlie"/>
            </w:pPr>
            <w:r>
              <w:t>Pokračoval svižný růst výdajů na platy ve vzdělávání i v sociální péči.</w:t>
            </w:r>
          </w:p>
          <w:p w14:paraId="219182D1" w14:textId="77777777" w:rsidR="00E42054" w:rsidRDefault="00E42054" w:rsidP="00061BD1">
            <w:pPr>
              <w:pStyle w:val="Marginlie"/>
            </w:pPr>
          </w:p>
          <w:p w14:paraId="66545A39" w14:textId="77777777" w:rsidR="00E42054" w:rsidRDefault="00E42054" w:rsidP="00061BD1">
            <w:pPr>
              <w:pStyle w:val="Marginlie"/>
            </w:pPr>
          </w:p>
          <w:p w14:paraId="4D1635CA" w14:textId="77777777" w:rsidR="00E42054" w:rsidRDefault="00E42054" w:rsidP="00061BD1">
            <w:pPr>
              <w:pStyle w:val="Marginlie"/>
            </w:pPr>
          </w:p>
          <w:p w14:paraId="681A749A" w14:textId="77777777" w:rsidR="00E42054" w:rsidRDefault="00E42054" w:rsidP="00061BD1">
            <w:pPr>
              <w:pStyle w:val="Marginlie"/>
            </w:pPr>
            <w:r>
              <w:lastRenderedPageBreak/>
              <w:t>Celková finanční situace domácností se zatím i</w:t>
            </w:r>
            <w:r w:rsidRPr="009740AC">
              <w:rPr>
                <w:spacing w:val="-4"/>
              </w:rPr>
              <w:t> </w:t>
            </w:r>
            <w:r>
              <w:t>díky mimořádným veřejným transferům výrazně nezhoršila.</w:t>
            </w:r>
          </w:p>
        </w:tc>
        <w:tc>
          <w:tcPr>
            <w:tcW w:w="217" w:type="dxa"/>
            <w:shd w:val="clear" w:color="auto" w:fill="auto"/>
            <w:tcMar>
              <w:left w:w="0" w:type="dxa"/>
            </w:tcMar>
          </w:tcPr>
          <w:p w14:paraId="59F81933" w14:textId="77777777" w:rsidR="00E42054" w:rsidRDefault="00E42054" w:rsidP="00061BD1">
            <w:pPr>
              <w:pStyle w:val="Textpoznpodarou"/>
              <w:jc w:val="both"/>
              <w:rPr>
                <w:spacing w:val="-4"/>
              </w:rPr>
            </w:pPr>
          </w:p>
        </w:tc>
        <w:tc>
          <w:tcPr>
            <w:tcW w:w="7720" w:type="dxa"/>
            <w:shd w:val="clear" w:color="auto" w:fill="auto"/>
            <w:tcMar>
              <w:left w:w="0" w:type="dxa"/>
            </w:tcMar>
          </w:tcPr>
          <w:p w14:paraId="1DEBB0E4" w14:textId="77777777" w:rsidR="00E42054" w:rsidRPr="00EA32C7" w:rsidRDefault="00E42054" w:rsidP="00061BD1">
            <w:pPr>
              <w:spacing w:after="220"/>
              <w:rPr>
                <w:spacing w:val="-4"/>
              </w:rPr>
            </w:pPr>
            <w:r w:rsidRPr="00EA32C7">
              <w:rPr>
                <w:spacing w:val="-4"/>
              </w:rPr>
              <w:t>Dominantním zdrojem růstu běžných výdajů SR však zůstala opatření stimulující příjmy, resp. spotřebu domácností (sociální dávky, platy v rozpočtové sféře). Běžné transfery územní</w:t>
            </w:r>
            <w:r>
              <w:rPr>
                <w:spacing w:val="-4"/>
              </w:rPr>
              <w:t>m</w:t>
            </w:r>
            <w:r w:rsidRPr="00EA32C7">
              <w:rPr>
                <w:spacing w:val="-4"/>
              </w:rPr>
              <w:t xml:space="preserve"> rozpočtům posílily meziročně o</w:t>
            </w:r>
            <w:r>
              <w:rPr>
                <w:spacing w:val="-4"/>
              </w:rPr>
              <w:t> </w:t>
            </w:r>
            <w:r w:rsidRPr="00EA32C7">
              <w:rPr>
                <w:spacing w:val="-4"/>
              </w:rPr>
              <w:t>sedminu (zejm. navýšením mzdových prostředků pracovníkům základních i</w:t>
            </w:r>
            <w:r>
              <w:rPr>
                <w:spacing w:val="-4"/>
              </w:rPr>
              <w:t> </w:t>
            </w:r>
            <w:r w:rsidRPr="00EA32C7">
              <w:rPr>
                <w:spacing w:val="-4"/>
              </w:rPr>
              <w:t>středních škol a</w:t>
            </w:r>
            <w:r>
              <w:rPr>
                <w:spacing w:val="-4"/>
              </w:rPr>
              <w:t> </w:t>
            </w:r>
            <w:r w:rsidRPr="00EA32C7">
              <w:rPr>
                <w:spacing w:val="-4"/>
              </w:rPr>
              <w:t>též v oblasti sociální pé</w:t>
            </w:r>
            <w:r>
              <w:rPr>
                <w:spacing w:val="-4"/>
              </w:rPr>
              <w:t>če). Skromněji rostly mzdové výdaje v ústředních orgánech státní správy</w:t>
            </w:r>
            <w:r w:rsidRPr="00EA32C7">
              <w:rPr>
                <w:spacing w:val="-4"/>
              </w:rPr>
              <w:t xml:space="preserve"> (+4,1</w:t>
            </w:r>
            <w:r>
              <w:rPr>
                <w:spacing w:val="-4"/>
              </w:rPr>
              <w:t> %</w:t>
            </w:r>
            <w:r w:rsidRPr="00EA32C7">
              <w:rPr>
                <w:spacing w:val="-4"/>
              </w:rPr>
              <w:t>, čtyřleté minimum). Přestože meziroční tempo výdajů na sociální dávky vzrostlo o</w:t>
            </w:r>
            <w:r>
              <w:rPr>
                <w:spacing w:val="-4"/>
              </w:rPr>
              <w:t> </w:t>
            </w:r>
            <w:r w:rsidRPr="00EA32C7">
              <w:rPr>
                <w:spacing w:val="-4"/>
              </w:rPr>
              <w:t>13,3</w:t>
            </w:r>
            <w:r>
              <w:rPr>
                <w:spacing w:val="-4"/>
              </w:rPr>
              <w:t> %</w:t>
            </w:r>
            <w:r w:rsidRPr="00EA32C7">
              <w:rPr>
                <w:spacing w:val="-4"/>
              </w:rPr>
              <w:t xml:space="preserve"> a</w:t>
            </w:r>
            <w:r>
              <w:rPr>
                <w:spacing w:val="-4"/>
              </w:rPr>
              <w:t> </w:t>
            </w:r>
            <w:r w:rsidRPr="00EA32C7">
              <w:rPr>
                <w:spacing w:val="-4"/>
              </w:rPr>
              <w:t>proti loňskému tempu zesílilo o</w:t>
            </w:r>
            <w:r>
              <w:rPr>
                <w:spacing w:val="-4"/>
              </w:rPr>
              <w:t> </w:t>
            </w:r>
            <w:r w:rsidRPr="00EA32C7">
              <w:rPr>
                <w:spacing w:val="-4"/>
              </w:rPr>
              <w:t>více než polovinu, podíl dávek na všech výdajích SR klesl již třetím rokem (na rekordních 37,9</w:t>
            </w:r>
            <w:r>
              <w:rPr>
                <w:spacing w:val="-4"/>
              </w:rPr>
              <w:t> %</w:t>
            </w:r>
            <w:r w:rsidRPr="00EA32C7">
              <w:rPr>
                <w:spacing w:val="-4"/>
              </w:rPr>
              <w:t>). Poprvé po roce 2014 byl růst sociálních transferů tažen primárně nedůchodovými dávkami, které meziročně vzrostly o</w:t>
            </w:r>
            <w:r>
              <w:rPr>
                <w:spacing w:val="-4"/>
              </w:rPr>
              <w:t> </w:t>
            </w:r>
            <w:r w:rsidRPr="00EA32C7">
              <w:rPr>
                <w:spacing w:val="-4"/>
              </w:rPr>
              <w:t>třetinu (na 86</w:t>
            </w:r>
            <w:r>
              <w:rPr>
                <w:spacing w:val="-4"/>
              </w:rPr>
              <w:t> mld.</w:t>
            </w:r>
            <w:r w:rsidRPr="00EA32C7">
              <w:rPr>
                <w:spacing w:val="-4"/>
              </w:rPr>
              <w:t xml:space="preserve"> korun). Vyplacené dávky nemocenského pojištění akcelerovaly (+10,2</w:t>
            </w:r>
            <w:r>
              <w:rPr>
                <w:spacing w:val="-4"/>
              </w:rPr>
              <w:t> mld.</w:t>
            </w:r>
            <w:r w:rsidRPr="00EA32C7">
              <w:rPr>
                <w:spacing w:val="-4"/>
              </w:rPr>
              <w:t>)</w:t>
            </w:r>
            <w:r w:rsidRPr="00EA32C7">
              <w:rPr>
                <w:rStyle w:val="Znakapoznpodarou"/>
                <w:spacing w:val="-4"/>
              </w:rPr>
              <w:footnoteReference w:id="61"/>
            </w:r>
            <w:r w:rsidRPr="00EA32C7">
              <w:rPr>
                <w:spacing w:val="-4"/>
              </w:rPr>
              <w:t>, za čímž ze dvou třetin stála výplata ošetřovného</w:t>
            </w:r>
            <w:r>
              <w:rPr>
                <w:spacing w:val="-4"/>
              </w:rPr>
              <w:t xml:space="preserve"> poskytovaného z důvodu uzavření škol a jiných zařízení</w:t>
            </w:r>
            <w:r w:rsidRPr="00EA32C7">
              <w:rPr>
                <w:spacing w:val="-4"/>
              </w:rPr>
              <w:t xml:space="preserve">. </w:t>
            </w:r>
            <w:r>
              <w:rPr>
                <w:spacing w:val="-4"/>
              </w:rPr>
              <w:t xml:space="preserve">Projevil se ale i nárůst </w:t>
            </w:r>
            <w:r>
              <w:rPr>
                <w:spacing w:val="-4"/>
              </w:rPr>
              <w:lastRenderedPageBreak/>
              <w:t xml:space="preserve">celkové nemocnosti (zčásti vlivem zrušení karenční doby), mírně vyšší bylo i čerpání peněžité pomoci v mateřství. </w:t>
            </w:r>
            <w:r w:rsidRPr="00EA32C7">
              <w:rPr>
                <w:spacing w:val="-4"/>
              </w:rPr>
              <w:t>Výdaje na státní sociální podporu posílily o</w:t>
            </w:r>
            <w:r>
              <w:rPr>
                <w:spacing w:val="-4"/>
              </w:rPr>
              <w:t> </w:t>
            </w:r>
            <w:r w:rsidRPr="00EA32C7">
              <w:rPr>
                <w:spacing w:val="-4"/>
              </w:rPr>
              <w:t>třetinu (+6,6</w:t>
            </w:r>
            <w:r>
              <w:rPr>
                <w:spacing w:val="-4"/>
              </w:rPr>
              <w:t> mld.</w:t>
            </w:r>
            <w:r w:rsidRPr="00EA32C7">
              <w:rPr>
                <w:spacing w:val="-4"/>
              </w:rPr>
              <w:t>), takřka výhradně vlivem zákonného navýšení rodičovského příspěvku. Došlo i</w:t>
            </w:r>
            <w:r>
              <w:rPr>
                <w:spacing w:val="-4"/>
              </w:rPr>
              <w:t> </w:t>
            </w:r>
            <w:r w:rsidRPr="00EA32C7">
              <w:rPr>
                <w:spacing w:val="-4"/>
              </w:rPr>
              <w:t>ke zrychlení dlouhodobě rostoucího příspěvku na péči (o pětinu, resp. 2,9</w:t>
            </w:r>
            <w:r>
              <w:rPr>
                <w:spacing w:val="-4"/>
              </w:rPr>
              <w:t> mld.</w:t>
            </w:r>
            <w:r w:rsidRPr="00EA32C7">
              <w:rPr>
                <w:spacing w:val="-4"/>
              </w:rPr>
              <w:t>). Druhým rokem v řadě vydal stát více na podporách v nezaměstnanosti. Byť stavy registrovaných uchazečů o</w:t>
            </w:r>
            <w:r>
              <w:rPr>
                <w:spacing w:val="-4"/>
              </w:rPr>
              <w:t> </w:t>
            </w:r>
            <w:r w:rsidRPr="00EA32C7">
              <w:rPr>
                <w:spacing w:val="-4"/>
              </w:rPr>
              <w:t>práci se zatím výrazněji nerozšířily</w:t>
            </w:r>
            <w:r w:rsidRPr="00EA32C7">
              <w:rPr>
                <w:rStyle w:val="Znakapoznpodarou"/>
                <w:spacing w:val="-4"/>
              </w:rPr>
              <w:footnoteReference w:id="62"/>
            </w:r>
            <w:r w:rsidRPr="00EA32C7">
              <w:rPr>
                <w:spacing w:val="-4"/>
              </w:rPr>
              <w:t>, objem vyplacených dávek vzrostl proti 1</w:t>
            </w:r>
            <w:r>
              <w:rPr>
                <w:spacing w:val="-4"/>
              </w:rPr>
              <w:t>. </w:t>
            </w:r>
            <w:r w:rsidRPr="00EA32C7">
              <w:rPr>
                <w:spacing w:val="-4"/>
              </w:rPr>
              <w:t>loňskému pololetí o</w:t>
            </w:r>
            <w:r>
              <w:rPr>
                <w:spacing w:val="-4"/>
              </w:rPr>
              <w:t> </w:t>
            </w:r>
            <w:r w:rsidRPr="00EA32C7">
              <w:rPr>
                <w:spacing w:val="-4"/>
              </w:rPr>
              <w:t>0,9</w:t>
            </w:r>
            <w:r>
              <w:rPr>
                <w:spacing w:val="-4"/>
              </w:rPr>
              <w:t> mld.</w:t>
            </w:r>
            <w:r w:rsidRPr="00EA32C7">
              <w:rPr>
                <w:spacing w:val="-4"/>
              </w:rPr>
              <w:t>, resp. o</w:t>
            </w:r>
            <w:r>
              <w:rPr>
                <w:spacing w:val="-4"/>
              </w:rPr>
              <w:t> </w:t>
            </w:r>
            <w:r w:rsidRPr="00EA32C7">
              <w:rPr>
                <w:spacing w:val="-4"/>
              </w:rPr>
              <w:t>pětinu (nejvíce po roce 2009)</w:t>
            </w:r>
            <w:r w:rsidRPr="00EA32C7">
              <w:rPr>
                <w:rStyle w:val="Znakapoznpodarou"/>
                <w:spacing w:val="-4"/>
              </w:rPr>
              <w:footnoteReference w:id="63"/>
            </w:r>
            <w:r w:rsidRPr="00EA32C7">
              <w:rPr>
                <w:spacing w:val="-4"/>
              </w:rPr>
              <w:t>. Na druh</w:t>
            </w:r>
            <w:r>
              <w:rPr>
                <w:spacing w:val="-4"/>
              </w:rPr>
              <w:t>é</w:t>
            </w:r>
            <w:r w:rsidRPr="00EA32C7">
              <w:rPr>
                <w:spacing w:val="-4"/>
              </w:rPr>
              <w:t xml:space="preserve"> stran</w:t>
            </w:r>
            <w:r>
              <w:rPr>
                <w:spacing w:val="-4"/>
              </w:rPr>
              <w:t>ě</w:t>
            </w:r>
            <w:r w:rsidRPr="00EA32C7">
              <w:rPr>
                <w:spacing w:val="-4"/>
              </w:rPr>
              <w:t xml:space="preserve"> celková finanční situace domácností </w:t>
            </w:r>
            <w:r>
              <w:rPr>
                <w:spacing w:val="-4"/>
              </w:rPr>
              <w:t xml:space="preserve">se </w:t>
            </w:r>
            <w:r w:rsidRPr="00EA32C7">
              <w:rPr>
                <w:spacing w:val="-4"/>
              </w:rPr>
              <w:t>i</w:t>
            </w:r>
            <w:r>
              <w:rPr>
                <w:spacing w:val="-4"/>
              </w:rPr>
              <w:t> </w:t>
            </w:r>
            <w:r w:rsidRPr="00EA32C7">
              <w:rPr>
                <w:spacing w:val="-4"/>
              </w:rPr>
              <w:t>díky mi</w:t>
            </w:r>
            <w:r>
              <w:rPr>
                <w:spacing w:val="-4"/>
              </w:rPr>
              <w:t xml:space="preserve">mořádným veřejným transferům </w:t>
            </w:r>
            <w:r w:rsidRPr="00EA32C7">
              <w:rPr>
                <w:spacing w:val="-4"/>
              </w:rPr>
              <w:t>během dosavadní části roku významně nezhoršila. Dokládá to i</w:t>
            </w:r>
            <w:r>
              <w:rPr>
                <w:spacing w:val="-4"/>
              </w:rPr>
              <w:t> </w:t>
            </w:r>
            <w:r w:rsidRPr="00EA32C7">
              <w:rPr>
                <w:spacing w:val="-4"/>
              </w:rPr>
              <w:t>šest let trvající meziroční pokles objemu vyplacených dávek hmotné nouze (v</w:t>
            </w:r>
            <w:r>
              <w:rPr>
                <w:spacing w:val="-4"/>
              </w:rPr>
              <w:t> </w:t>
            </w:r>
            <w:r w:rsidRPr="00EA32C7">
              <w:rPr>
                <w:spacing w:val="-4"/>
              </w:rPr>
              <w:t>úhrnu o</w:t>
            </w:r>
            <w:r>
              <w:rPr>
                <w:spacing w:val="-4"/>
              </w:rPr>
              <w:t> </w:t>
            </w:r>
            <w:r w:rsidRPr="00EA32C7">
              <w:rPr>
                <w:spacing w:val="-4"/>
              </w:rPr>
              <w:t>61</w:t>
            </w:r>
            <w:r>
              <w:rPr>
                <w:spacing w:val="-4"/>
              </w:rPr>
              <w:t> %</w:t>
            </w:r>
            <w:r w:rsidRPr="00EA32C7">
              <w:rPr>
                <w:spacing w:val="-4"/>
              </w:rPr>
              <w:t>, letos o</w:t>
            </w:r>
            <w:r>
              <w:rPr>
                <w:spacing w:val="-4"/>
              </w:rPr>
              <w:t> </w:t>
            </w:r>
            <w:r w:rsidRPr="00EA32C7">
              <w:rPr>
                <w:spacing w:val="-4"/>
              </w:rPr>
              <w:t>2</w:t>
            </w:r>
            <w:r>
              <w:rPr>
                <w:spacing w:val="-4"/>
              </w:rPr>
              <w:t> %</w:t>
            </w:r>
            <w:r w:rsidRPr="00EA32C7">
              <w:rPr>
                <w:spacing w:val="-4"/>
              </w:rPr>
              <w:t>)</w:t>
            </w:r>
            <w:r w:rsidRPr="00EA32C7">
              <w:rPr>
                <w:rStyle w:val="Znakapoznpodarou"/>
                <w:spacing w:val="-4"/>
              </w:rPr>
              <w:footnoteReference w:id="64"/>
            </w:r>
            <w:r>
              <w:rPr>
                <w:spacing w:val="-4"/>
              </w:rPr>
              <w:t xml:space="preserve"> či pokles vyplacených přídavků na děti.</w:t>
            </w:r>
          </w:p>
        </w:tc>
      </w:tr>
      <w:tr w:rsidR="00E42054" w:rsidRPr="008266F0" w14:paraId="7439CE0E" w14:textId="77777777" w:rsidTr="00061BD1">
        <w:trPr>
          <w:trHeight w:val="145"/>
        </w:trPr>
        <w:tc>
          <w:tcPr>
            <w:tcW w:w="1732" w:type="dxa"/>
            <w:shd w:val="clear" w:color="auto" w:fill="auto"/>
            <w:tcMar>
              <w:left w:w="0" w:type="dxa"/>
            </w:tcMar>
          </w:tcPr>
          <w:p w14:paraId="4118A09A" w14:textId="77777777" w:rsidR="00E42054" w:rsidRDefault="00E42054" w:rsidP="00061BD1">
            <w:pPr>
              <w:pStyle w:val="Marginlie"/>
            </w:pPr>
            <w:r>
              <w:lastRenderedPageBreak/>
              <w:t>Příjmy důchodového pojištění poprvé po roce 2013 klesly. Schodek důchodového účtu dosáhl šestiletého maxima.</w:t>
            </w:r>
          </w:p>
        </w:tc>
        <w:tc>
          <w:tcPr>
            <w:tcW w:w="217" w:type="dxa"/>
            <w:shd w:val="clear" w:color="auto" w:fill="auto"/>
            <w:tcMar>
              <w:left w:w="0" w:type="dxa"/>
            </w:tcMar>
          </w:tcPr>
          <w:p w14:paraId="68D5FC66" w14:textId="77777777" w:rsidR="00E42054" w:rsidRDefault="00E42054" w:rsidP="00061BD1">
            <w:pPr>
              <w:pStyle w:val="Textpoznpodarou"/>
              <w:jc w:val="both"/>
              <w:rPr>
                <w:spacing w:val="-4"/>
              </w:rPr>
            </w:pPr>
          </w:p>
        </w:tc>
        <w:tc>
          <w:tcPr>
            <w:tcW w:w="7720" w:type="dxa"/>
            <w:shd w:val="clear" w:color="auto" w:fill="auto"/>
            <w:tcMar>
              <w:left w:w="0" w:type="dxa"/>
            </w:tcMar>
          </w:tcPr>
          <w:p w14:paraId="7440C7B1" w14:textId="77777777" w:rsidR="00E42054" w:rsidRPr="00FD2E24" w:rsidRDefault="00E42054" w:rsidP="00061BD1">
            <w:pPr>
              <w:spacing w:after="220"/>
              <w:rPr>
                <w:rFonts w:cs="Arial"/>
                <w:color w:val="0D0D0D" w:themeColor="text1" w:themeTint="F2"/>
                <w:spacing w:val="-6"/>
              </w:rPr>
            </w:pPr>
            <w:r>
              <w:rPr>
                <w:spacing w:val="-6"/>
              </w:rPr>
              <w:t>Meziroční růst výdajů na důchody dosáhl v 1. pololetí 8,0 % a jen mírně zaostal za loňským tempem (8,8 %), jež ale bylo nejvyšší po roce 2009.</w:t>
            </w:r>
            <w:r w:rsidRPr="0067514E">
              <w:rPr>
                <w:rFonts w:cs="Arial"/>
                <w:color w:val="0D0D0D" w:themeColor="text1" w:themeTint="F2"/>
                <w:spacing w:val="-6"/>
              </w:rPr>
              <w:t xml:space="preserve"> Při stagnaci celkového počtu osob pobírajících důchod (včetně starobních důchodců) se plně projevil vliv zákonných úprav</w:t>
            </w:r>
            <w:r w:rsidRPr="0067514E">
              <w:rPr>
                <w:rStyle w:val="Znakapoznpodarou"/>
                <w:spacing w:val="-6"/>
              </w:rPr>
              <w:footnoteReference w:id="65"/>
            </w:r>
            <w:r w:rsidRPr="0067514E">
              <w:rPr>
                <w:rFonts w:cs="Arial"/>
                <w:color w:val="0D0D0D" w:themeColor="text1" w:themeTint="F2"/>
                <w:spacing w:val="-6"/>
              </w:rPr>
              <w:t>.</w:t>
            </w:r>
            <w:r>
              <w:rPr>
                <w:rFonts w:cs="Arial"/>
                <w:color w:val="0D0D0D" w:themeColor="text1" w:themeTint="F2"/>
                <w:spacing w:val="-6"/>
              </w:rPr>
              <w:t xml:space="preserve"> Příjmy důchodového pojištění poprvé po roce 2013 klesly (o 1,1 %). Projevila se tak nejen zhoršená situace na trhu práce (snížení zaměstnanosti i počtu odpracovaných hodin, zvolnění růstu průměrných mezd), ale i rozpočtová opatření na podporu drobných podnikatelů</w:t>
            </w:r>
            <w:r w:rsidRPr="0067514E">
              <w:rPr>
                <w:rStyle w:val="Znakapoznpodarou"/>
                <w:color w:val="0D0D0D" w:themeColor="text1" w:themeTint="F2"/>
                <w:spacing w:val="-6"/>
              </w:rPr>
              <w:footnoteReference w:id="66"/>
            </w:r>
            <w:r>
              <w:rPr>
                <w:rFonts w:cs="Arial"/>
                <w:color w:val="0D0D0D" w:themeColor="text1" w:themeTint="F2"/>
                <w:spacing w:val="-6"/>
              </w:rPr>
              <w:t xml:space="preserve">. </w:t>
            </w:r>
            <w:r w:rsidRPr="0067514E">
              <w:rPr>
                <w:rFonts w:cs="Arial"/>
                <w:color w:val="0D0D0D" w:themeColor="text1" w:themeTint="F2"/>
                <w:spacing w:val="-6"/>
              </w:rPr>
              <w:t>Saldo důchodového účtu</w:t>
            </w:r>
            <w:r w:rsidRPr="0067514E">
              <w:rPr>
                <w:rStyle w:val="Znakapoznpodarou"/>
                <w:color w:val="0D0D0D" w:themeColor="text1" w:themeTint="F2"/>
                <w:spacing w:val="-6"/>
              </w:rPr>
              <w:footnoteReference w:id="67"/>
            </w:r>
            <w:r>
              <w:rPr>
                <w:rFonts w:cs="Arial"/>
                <w:color w:val="0D0D0D" w:themeColor="text1" w:themeTint="F2"/>
                <w:spacing w:val="-6"/>
              </w:rPr>
              <w:t xml:space="preserve"> se tak po dvou přebytkových letech vrátilo k deficitu. Ten v 1. čtvrtletí čítal 12 mld. korun, což znamenalo nejhorší výsledek za posledních šest let.</w:t>
            </w:r>
          </w:p>
        </w:tc>
      </w:tr>
      <w:tr w:rsidR="00E42054" w:rsidRPr="008266F0" w14:paraId="297880EF" w14:textId="77777777" w:rsidTr="00061BD1">
        <w:trPr>
          <w:trHeight w:val="145"/>
        </w:trPr>
        <w:tc>
          <w:tcPr>
            <w:tcW w:w="1732" w:type="dxa"/>
            <w:shd w:val="clear" w:color="auto" w:fill="auto"/>
            <w:tcMar>
              <w:left w:w="0" w:type="dxa"/>
            </w:tcMar>
          </w:tcPr>
          <w:p w14:paraId="68A2D98F" w14:textId="77777777" w:rsidR="00E42054" w:rsidRDefault="00E42054" w:rsidP="00061BD1">
            <w:pPr>
              <w:pStyle w:val="Marginlie"/>
            </w:pPr>
            <w:r>
              <w:t>Růst investic ze SR dále zrychloval, především díky vyšším výdajům na dopravní infrastrukturu.</w:t>
            </w:r>
          </w:p>
          <w:p w14:paraId="4A812122" w14:textId="77777777" w:rsidR="00E42054" w:rsidRDefault="00E42054" w:rsidP="00061BD1">
            <w:pPr>
              <w:pStyle w:val="Marginlie"/>
            </w:pPr>
          </w:p>
          <w:p w14:paraId="56E0FB8D" w14:textId="77777777" w:rsidR="00E42054" w:rsidRDefault="00E42054" w:rsidP="00061BD1">
            <w:pPr>
              <w:pStyle w:val="Marginlie"/>
            </w:pPr>
          </w:p>
          <w:p w14:paraId="101F4723" w14:textId="77777777" w:rsidR="00E42054" w:rsidRDefault="00E42054" w:rsidP="00061BD1">
            <w:pPr>
              <w:pStyle w:val="Marginlie"/>
            </w:pPr>
          </w:p>
          <w:p w14:paraId="1AF8C74F" w14:textId="77777777" w:rsidR="00E42054" w:rsidRDefault="00E42054" w:rsidP="00061BD1">
            <w:pPr>
              <w:pStyle w:val="Marginlie"/>
            </w:pPr>
            <w:r>
              <w:t>Kladné saldo ČR vůči rozpočtu EU se meziročně zdvojnásobilo.</w:t>
            </w:r>
          </w:p>
        </w:tc>
        <w:tc>
          <w:tcPr>
            <w:tcW w:w="217" w:type="dxa"/>
            <w:shd w:val="clear" w:color="auto" w:fill="auto"/>
            <w:tcMar>
              <w:left w:w="0" w:type="dxa"/>
            </w:tcMar>
          </w:tcPr>
          <w:p w14:paraId="5502E103" w14:textId="77777777" w:rsidR="00E42054" w:rsidRDefault="00E42054" w:rsidP="00061BD1">
            <w:pPr>
              <w:pStyle w:val="Textpoznpodarou"/>
              <w:jc w:val="both"/>
              <w:rPr>
                <w:spacing w:val="-4"/>
              </w:rPr>
            </w:pPr>
          </w:p>
        </w:tc>
        <w:tc>
          <w:tcPr>
            <w:tcW w:w="7720" w:type="dxa"/>
            <w:shd w:val="clear" w:color="auto" w:fill="auto"/>
            <w:tcMar>
              <w:left w:w="0" w:type="dxa"/>
            </w:tcMar>
          </w:tcPr>
          <w:p w14:paraId="6A7F1C95" w14:textId="77777777" w:rsidR="00E42054" w:rsidRDefault="00E42054" w:rsidP="00061BD1">
            <w:pPr>
              <w:spacing w:after="220"/>
              <w:rPr>
                <w:spacing w:val="-6"/>
              </w:rPr>
            </w:pPr>
            <w:r>
              <w:rPr>
                <w:spacing w:val="-6"/>
              </w:rPr>
              <w:t xml:space="preserve">S blížícím se koncem současného programového období EU postupně v Česku zrychluje čerpání eurofondů. Celkové kapitálové výdaje SR čítaly v 1. pololetí 64,5 mld. korun, meziročně vzrostly o dvě pětiny, resp. 18,7 mld. korun. Na tomto růstu se podílely převážně investice z národních zdrojů (+13,7 mld.), což souviselo s vyššími výdaji na dopravní infrastrukturu. I tak stále tvořily v celkovém objemu investic převažující část prostředky na společné programy ČR a EU (35,5 mld.). </w:t>
            </w:r>
            <w:r w:rsidRPr="0067514E">
              <w:rPr>
                <w:spacing w:val="-6"/>
              </w:rPr>
              <w:t>Podíl investic na všec</w:t>
            </w:r>
            <w:r>
              <w:rPr>
                <w:spacing w:val="-6"/>
              </w:rPr>
              <w:t>h výdajích SR se zvyšoval třetím rokem v řadě a dosáhl 7,2 %, což bylo nejvíce za posledních pět let. Čistá pozice ČR vůči rozpočtu EU činila v 1. pololetí +50,1 mld. korun a meziročně se zdvojnásobila. Zasloužil se o to hlavně příliv prostředků ze strukturálních fondů (+21,7 mld.) i fondu soudržnosti (+5,1 mld.). Naopak tradičně plynule probíhaly přímé platby v zemědělství, jež letos tvořily zhruba čtvrtinu celkových příjmů z EU (z 82,1 mld.).</w:t>
            </w:r>
          </w:p>
        </w:tc>
      </w:tr>
      <w:tr w:rsidR="00E42054" w:rsidRPr="008266F0" w14:paraId="496CD9FC" w14:textId="77777777" w:rsidTr="00061BD1">
        <w:trPr>
          <w:trHeight w:val="145"/>
        </w:trPr>
        <w:tc>
          <w:tcPr>
            <w:tcW w:w="1732" w:type="dxa"/>
            <w:shd w:val="clear" w:color="auto" w:fill="auto"/>
            <w:tcMar>
              <w:left w:w="0" w:type="dxa"/>
            </w:tcMar>
          </w:tcPr>
          <w:p w14:paraId="0EF70D85" w14:textId="77777777" w:rsidR="00E42054" w:rsidRDefault="00E42054" w:rsidP="00061BD1">
            <w:pPr>
              <w:pStyle w:val="Marginlie"/>
            </w:pPr>
            <w:r>
              <w:t>Výše státního dluhu během 1. pololetí akcelerovala. Objem vydaných státních dluhopisů přesáhl půl bilionu korun.</w:t>
            </w:r>
          </w:p>
          <w:p w14:paraId="36CE5FBD" w14:textId="77777777" w:rsidR="00E42054" w:rsidRDefault="00E42054" w:rsidP="00061BD1">
            <w:pPr>
              <w:pStyle w:val="Marginlie"/>
            </w:pPr>
          </w:p>
          <w:p w14:paraId="263BA6E2" w14:textId="77777777" w:rsidR="00E42054" w:rsidRDefault="00E42054" w:rsidP="00061BD1">
            <w:pPr>
              <w:pStyle w:val="Marginlie"/>
            </w:pPr>
          </w:p>
          <w:p w14:paraId="597E020B" w14:textId="77777777" w:rsidR="00E42054" w:rsidRDefault="00E42054" w:rsidP="00061BD1">
            <w:pPr>
              <w:pStyle w:val="Marginlie"/>
            </w:pPr>
          </w:p>
          <w:p w14:paraId="522146F2" w14:textId="77777777" w:rsidR="00E42054" w:rsidRDefault="00E42054" w:rsidP="00061BD1">
            <w:pPr>
              <w:pStyle w:val="Marginlie"/>
            </w:pPr>
          </w:p>
          <w:p w14:paraId="61ABA1C8" w14:textId="77777777" w:rsidR="00E42054" w:rsidRDefault="00E42054" w:rsidP="00061BD1">
            <w:pPr>
              <w:pStyle w:val="Marginlie"/>
            </w:pPr>
            <w:r>
              <w:t>Mezi držiteli domácích dluhopisů posílila váha finančních institucí na úkor nerezidentů.</w:t>
            </w:r>
          </w:p>
        </w:tc>
        <w:tc>
          <w:tcPr>
            <w:tcW w:w="217" w:type="dxa"/>
            <w:shd w:val="clear" w:color="auto" w:fill="auto"/>
            <w:tcMar>
              <w:left w:w="0" w:type="dxa"/>
            </w:tcMar>
          </w:tcPr>
          <w:p w14:paraId="106A56C4" w14:textId="77777777" w:rsidR="00E42054" w:rsidRDefault="00E42054" w:rsidP="00061BD1">
            <w:pPr>
              <w:pStyle w:val="Textpoznpodarou"/>
              <w:jc w:val="both"/>
              <w:rPr>
                <w:spacing w:val="-4"/>
              </w:rPr>
            </w:pPr>
          </w:p>
        </w:tc>
        <w:tc>
          <w:tcPr>
            <w:tcW w:w="7720" w:type="dxa"/>
            <w:shd w:val="clear" w:color="auto" w:fill="auto"/>
            <w:tcMar>
              <w:left w:w="0" w:type="dxa"/>
            </w:tcMar>
          </w:tcPr>
          <w:p w14:paraId="5A8F6043" w14:textId="77777777" w:rsidR="00E42054" w:rsidRPr="008A2E3D" w:rsidRDefault="00E42054" w:rsidP="00061BD1">
            <w:pPr>
              <w:spacing w:after="0"/>
              <w:rPr>
                <w:rFonts w:cs="Arial"/>
                <w:color w:val="0D0D0D" w:themeColor="text1" w:themeTint="F2"/>
                <w:spacing w:val="-6"/>
              </w:rPr>
            </w:pPr>
            <w:r>
              <w:rPr>
                <w:spacing w:val="-6"/>
              </w:rPr>
              <w:t>Hodnota státního dluhu ve 2. čtvrtletí 2020 akcelerovala. Na jeho konci činila 2 157 mld. korun, mezičtvrtletní navýšení pak 384 mld. Dluh vzrostl meziročně o čtvrtinu a přiblížil se rekordnímu tempu ze 3. kvartálu krizového roku 2009. Ke krytí letošního mimořádného schodku SR, plánovaných splátek dluhu (soustředěných zejména do druhé půle roku 2020) i posílení likvidních rezerv byl během 1. pololetí vydán rekordní objem státních dluhopisů (533 mld. korun)</w:t>
            </w:r>
            <w:r w:rsidRPr="00EA32C7">
              <w:rPr>
                <w:rStyle w:val="Znakapoznpodarou"/>
                <w:spacing w:val="-4"/>
              </w:rPr>
              <w:footnoteReference w:id="68"/>
            </w:r>
            <w:r>
              <w:rPr>
                <w:spacing w:val="-6"/>
              </w:rPr>
              <w:t>. Podobně jako v předešlých letech se výpůjční aktivita omezila na domácí trh. Korunová hodnota vnějšího dluhu se tak dále snižovala (meziročně o 7 %).</w:t>
            </w:r>
            <w:r>
              <w:rPr>
                <w:rFonts w:cs="Arial"/>
                <w:color w:val="0D0D0D" w:themeColor="text1" w:themeTint="F2"/>
                <w:spacing w:val="-6"/>
              </w:rPr>
              <w:t xml:space="preserve"> Na konci června 2020 tvořil vnější dluh již méně než desetinu celkového státního dluhu (minimum za posledních šestnáct let). Klíčovým držitelem</w:t>
            </w:r>
            <w:r w:rsidRPr="006A5327">
              <w:rPr>
                <w:rFonts w:cs="Arial"/>
                <w:color w:val="0D0D0D" w:themeColor="text1" w:themeTint="F2"/>
                <w:spacing w:val="-6"/>
              </w:rPr>
              <w:t xml:space="preserve"> </w:t>
            </w:r>
            <w:r>
              <w:rPr>
                <w:rFonts w:cs="Arial"/>
                <w:color w:val="0D0D0D" w:themeColor="text1" w:themeTint="F2"/>
                <w:spacing w:val="-6"/>
              </w:rPr>
              <w:t xml:space="preserve">tuzemských </w:t>
            </w:r>
            <w:r w:rsidRPr="006A5327">
              <w:rPr>
                <w:rFonts w:cs="Arial"/>
                <w:color w:val="0D0D0D" w:themeColor="text1" w:themeTint="F2"/>
                <w:spacing w:val="-6"/>
              </w:rPr>
              <w:t>státních dluhopisů zůstávají finanční instituce s</w:t>
            </w:r>
            <w:r>
              <w:rPr>
                <w:rFonts w:cs="Arial"/>
                <w:color w:val="0D0D0D" w:themeColor="text1" w:themeTint="F2"/>
                <w:spacing w:val="-6"/>
              </w:rPr>
              <w:t> podílem 61 %, nerezidenti vlastnili 35 % dluhopisů. Ve 2. čtvrtletí 2020 pozice finančních institucí posílila a váha nerezidentů byla jedna z nejslabších od konce roku 2016 (kdy ještě probíhaly devizové intervence ČNB). Čisté výdaje SR na obsluhu státního dluhu</w:t>
            </w:r>
            <w:r w:rsidRPr="00EA32C7">
              <w:rPr>
                <w:rStyle w:val="Znakapoznpodarou"/>
                <w:spacing w:val="-4"/>
              </w:rPr>
              <w:footnoteReference w:id="69"/>
            </w:r>
            <w:r>
              <w:rPr>
                <w:rFonts w:cs="Arial"/>
                <w:color w:val="0D0D0D" w:themeColor="text1" w:themeTint="F2"/>
                <w:spacing w:val="-6"/>
              </w:rPr>
              <w:t xml:space="preserve"> čítaly v 1. pololetí 12,5</w:t>
            </w:r>
            <w:r>
              <w:rPr>
                <w:spacing w:val="-6"/>
              </w:rPr>
              <w:t> </w:t>
            </w:r>
            <w:r>
              <w:rPr>
                <w:rFonts w:cs="Arial"/>
                <w:color w:val="0D0D0D" w:themeColor="text1" w:themeTint="F2"/>
                <w:spacing w:val="-6"/>
              </w:rPr>
              <w:t>mld. korun a meziročně se o čtvrtinu snížily.</w:t>
            </w:r>
          </w:p>
        </w:tc>
      </w:tr>
      <w:tr w:rsidR="00E42054" w:rsidRPr="00F704D2" w14:paraId="4AA3CAA1" w14:textId="77777777" w:rsidTr="00061BD1">
        <w:trPr>
          <w:trHeight w:val="170"/>
        </w:trPr>
        <w:tc>
          <w:tcPr>
            <w:tcW w:w="1732" w:type="dxa"/>
            <w:vMerge w:val="restart"/>
            <w:shd w:val="clear" w:color="auto" w:fill="auto"/>
            <w:tcMar>
              <w:left w:w="0" w:type="dxa"/>
            </w:tcMar>
          </w:tcPr>
          <w:p w14:paraId="6FF364BF" w14:textId="77777777" w:rsidR="00E42054" w:rsidRDefault="00E42054" w:rsidP="00061BD1">
            <w:pPr>
              <w:pStyle w:val="Marginlie"/>
            </w:pPr>
          </w:p>
        </w:tc>
        <w:tc>
          <w:tcPr>
            <w:tcW w:w="217" w:type="dxa"/>
            <w:vMerge w:val="restart"/>
            <w:shd w:val="clear" w:color="auto" w:fill="auto"/>
            <w:tcMar>
              <w:left w:w="0" w:type="dxa"/>
            </w:tcMar>
          </w:tcPr>
          <w:p w14:paraId="676CE92C" w14:textId="77777777" w:rsidR="00E42054" w:rsidRDefault="00E42054" w:rsidP="00061BD1">
            <w:pPr>
              <w:pStyle w:val="Textpoznpodarou"/>
              <w:jc w:val="both"/>
              <w:rPr>
                <w:spacing w:val="-4"/>
              </w:rPr>
            </w:pPr>
          </w:p>
        </w:tc>
        <w:tc>
          <w:tcPr>
            <w:tcW w:w="7720" w:type="dxa"/>
            <w:shd w:val="clear" w:color="auto" w:fill="auto"/>
            <w:tcMar>
              <w:left w:w="0" w:type="dxa"/>
            </w:tcMar>
          </w:tcPr>
          <w:p w14:paraId="583A2B81" w14:textId="77777777" w:rsidR="00E42054" w:rsidRPr="0067514E" w:rsidRDefault="00E42054" w:rsidP="00061BD1">
            <w:pPr>
              <w:spacing w:after="40" w:line="240" w:lineRule="auto"/>
              <w:jc w:val="left"/>
              <w:rPr>
                <w:rFonts w:cs="Arial"/>
                <w:bCs/>
                <w:spacing w:val="-6"/>
              </w:rPr>
            </w:pPr>
            <w:r w:rsidRPr="0067514E">
              <w:rPr>
                <w:b/>
                <w:spacing w:val="-6"/>
              </w:rPr>
              <w:t xml:space="preserve">Graf č. 17  </w:t>
            </w:r>
            <w:r w:rsidRPr="0067514E">
              <w:rPr>
                <w:rFonts w:cs="Arial"/>
                <w:b/>
                <w:bCs/>
                <w:spacing w:val="-6"/>
              </w:rPr>
              <w:t>Vybrané výdaje státního rozpočtu</w:t>
            </w:r>
            <w:r>
              <w:rPr>
                <w:rFonts w:cs="Arial"/>
                <w:bCs/>
                <w:spacing w:val="-6"/>
              </w:rPr>
              <w:t xml:space="preserve"> </w:t>
            </w:r>
            <w:r>
              <w:rPr>
                <w:rFonts w:cs="Arial"/>
                <w:b/>
                <w:bCs/>
              </w:rPr>
              <w:t>v kumulaci za 1. pololetí</w:t>
            </w:r>
            <w:r>
              <w:rPr>
                <w:rFonts w:cs="Arial"/>
                <w:bCs/>
                <w:spacing w:val="-6"/>
              </w:rPr>
              <w:t xml:space="preserve"> (v mld. korun</w:t>
            </w:r>
            <w:r w:rsidRPr="0067514E">
              <w:rPr>
                <w:rFonts w:cs="Arial"/>
                <w:bCs/>
                <w:spacing w:val="-6"/>
              </w:rPr>
              <w:t>)</w:t>
            </w:r>
          </w:p>
        </w:tc>
      </w:tr>
      <w:tr w:rsidR="00E42054" w14:paraId="58902C85" w14:textId="77777777" w:rsidTr="00061BD1">
        <w:tblPrEx>
          <w:tblCellMar>
            <w:left w:w="70" w:type="dxa"/>
            <w:right w:w="70" w:type="dxa"/>
          </w:tblCellMar>
        </w:tblPrEx>
        <w:trPr>
          <w:trHeight w:val="170"/>
        </w:trPr>
        <w:tc>
          <w:tcPr>
            <w:tcW w:w="1732" w:type="dxa"/>
            <w:vMerge/>
            <w:shd w:val="clear" w:color="auto" w:fill="auto"/>
          </w:tcPr>
          <w:p w14:paraId="08A1695E" w14:textId="77777777" w:rsidR="00E42054" w:rsidRDefault="00E42054" w:rsidP="00061BD1">
            <w:pPr>
              <w:pStyle w:val="Marginlie"/>
            </w:pPr>
          </w:p>
        </w:tc>
        <w:tc>
          <w:tcPr>
            <w:tcW w:w="217" w:type="dxa"/>
            <w:vMerge/>
            <w:shd w:val="clear" w:color="auto" w:fill="auto"/>
          </w:tcPr>
          <w:p w14:paraId="3353FDB0" w14:textId="77777777" w:rsidR="00E42054" w:rsidRDefault="00E42054" w:rsidP="00061BD1">
            <w:pPr>
              <w:pStyle w:val="Textpoznpodarou"/>
              <w:jc w:val="both"/>
              <w:rPr>
                <w:spacing w:val="-4"/>
              </w:rPr>
            </w:pPr>
          </w:p>
        </w:tc>
        <w:tc>
          <w:tcPr>
            <w:tcW w:w="7720" w:type="dxa"/>
            <w:shd w:val="clear" w:color="auto" w:fill="auto"/>
          </w:tcPr>
          <w:p w14:paraId="383807CE" w14:textId="77777777" w:rsidR="00E42054" w:rsidRPr="0067514E" w:rsidRDefault="00E42054" w:rsidP="00061BD1">
            <w:pPr>
              <w:spacing w:after="0"/>
              <w:rPr>
                <w:spacing w:val="-6"/>
              </w:rPr>
            </w:pPr>
            <w:r>
              <w:rPr>
                <w:noProof/>
              </w:rPr>
              <w:drawing>
                <wp:inline distT="0" distB="0" distL="0" distR="0" wp14:anchorId="5A2283F7" wp14:editId="5BB59342">
                  <wp:extent cx="4797425" cy="3328416"/>
                  <wp:effectExtent l="0" t="0" r="3175" b="571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42054" w:rsidRPr="00343AC1" w14:paraId="5A295696" w14:textId="77777777" w:rsidTr="00061BD1">
        <w:trPr>
          <w:trHeight w:val="170"/>
        </w:trPr>
        <w:tc>
          <w:tcPr>
            <w:tcW w:w="1732" w:type="dxa"/>
            <w:vMerge/>
            <w:shd w:val="clear" w:color="auto" w:fill="auto"/>
            <w:tcMar>
              <w:left w:w="0" w:type="dxa"/>
            </w:tcMar>
          </w:tcPr>
          <w:p w14:paraId="2E08DD7C" w14:textId="77777777" w:rsidR="00E42054" w:rsidRDefault="00E42054" w:rsidP="00061BD1">
            <w:pPr>
              <w:pStyle w:val="Marginlie"/>
            </w:pPr>
          </w:p>
        </w:tc>
        <w:tc>
          <w:tcPr>
            <w:tcW w:w="217" w:type="dxa"/>
            <w:vMerge/>
            <w:shd w:val="clear" w:color="auto" w:fill="auto"/>
            <w:tcMar>
              <w:left w:w="0" w:type="dxa"/>
            </w:tcMar>
          </w:tcPr>
          <w:p w14:paraId="2525987E" w14:textId="77777777" w:rsidR="00E42054" w:rsidRDefault="00E42054" w:rsidP="00061BD1">
            <w:pPr>
              <w:pStyle w:val="Textpoznpodarou"/>
              <w:jc w:val="both"/>
              <w:rPr>
                <w:spacing w:val="-4"/>
              </w:rPr>
            </w:pPr>
          </w:p>
        </w:tc>
        <w:tc>
          <w:tcPr>
            <w:tcW w:w="7720" w:type="dxa"/>
            <w:shd w:val="clear" w:color="auto" w:fill="auto"/>
            <w:tcMar>
              <w:left w:w="0" w:type="dxa"/>
            </w:tcMar>
          </w:tcPr>
          <w:p w14:paraId="2E57E753" w14:textId="77777777" w:rsidR="00E42054" w:rsidRPr="0067514E" w:rsidRDefault="00E42054" w:rsidP="00061BD1">
            <w:pPr>
              <w:pStyle w:val="Textpoznpodarou"/>
              <w:rPr>
                <w:spacing w:val="-6"/>
                <w:sz w:val="14"/>
                <w:szCs w:val="14"/>
              </w:rPr>
            </w:pPr>
            <w:r w:rsidRPr="0067514E">
              <w:rPr>
                <w:spacing w:val="-6"/>
                <w:sz w:val="14"/>
                <w:szCs w:val="14"/>
              </w:rPr>
              <w:t>*Pokrýv</w:t>
            </w:r>
            <w:r>
              <w:rPr>
                <w:spacing w:val="-6"/>
                <w:sz w:val="14"/>
                <w:szCs w:val="14"/>
              </w:rPr>
              <w:t>ají</w:t>
            </w:r>
            <w:r w:rsidRPr="0067514E">
              <w:rPr>
                <w:spacing w:val="-6"/>
                <w:sz w:val="14"/>
                <w:szCs w:val="14"/>
              </w:rPr>
              <w:t xml:space="preserve"> výdaje na platy v ústředních </w:t>
            </w:r>
            <w:r w:rsidRPr="00C90475">
              <w:rPr>
                <w:spacing w:val="-6"/>
                <w:sz w:val="14"/>
                <w:szCs w:val="14"/>
              </w:rPr>
              <w:t>orgánech státní správy</w:t>
            </w:r>
            <w:r w:rsidRPr="0067514E">
              <w:rPr>
                <w:spacing w:val="-6"/>
                <w:sz w:val="14"/>
                <w:szCs w:val="14"/>
              </w:rPr>
              <w:t>. Nezahrnuj</w:t>
            </w:r>
            <w:r>
              <w:rPr>
                <w:spacing w:val="-6"/>
                <w:sz w:val="14"/>
                <w:szCs w:val="14"/>
              </w:rPr>
              <w:t>í</w:t>
            </w:r>
            <w:r w:rsidRPr="0067514E">
              <w:rPr>
                <w:spacing w:val="-6"/>
                <w:sz w:val="14"/>
                <w:szCs w:val="14"/>
              </w:rPr>
              <w:t xml:space="preserve"> např</w:t>
            </w:r>
            <w:r>
              <w:rPr>
                <w:spacing w:val="-6"/>
                <w:sz w:val="14"/>
                <w:szCs w:val="14"/>
              </w:rPr>
              <w:t xml:space="preserve">íklad </w:t>
            </w:r>
            <w:r w:rsidRPr="0067514E">
              <w:rPr>
                <w:spacing w:val="-6"/>
                <w:sz w:val="14"/>
                <w:szCs w:val="14"/>
              </w:rPr>
              <w:t>mzdové výdaje na regionální školství.</w:t>
            </w:r>
          </w:p>
          <w:p w14:paraId="7D5234EA" w14:textId="77777777" w:rsidR="00E42054" w:rsidRDefault="00E42054" w:rsidP="00061BD1">
            <w:pPr>
              <w:pStyle w:val="Textpoznpodarou"/>
              <w:rPr>
                <w:spacing w:val="-6"/>
                <w:sz w:val="14"/>
                <w:szCs w:val="14"/>
              </w:rPr>
            </w:pPr>
            <w:r w:rsidRPr="0067514E">
              <w:rPr>
                <w:spacing w:val="-6"/>
                <w:sz w:val="14"/>
                <w:szCs w:val="14"/>
              </w:rPr>
              <w:t>**Zahrnuje i dávky pěstounské péče.</w:t>
            </w:r>
          </w:p>
          <w:p w14:paraId="55C4E613" w14:textId="77777777" w:rsidR="00E42054" w:rsidRDefault="00E42054" w:rsidP="00061BD1">
            <w:pPr>
              <w:pStyle w:val="Textpoznpodarou"/>
              <w:rPr>
                <w:spacing w:val="-6"/>
                <w:sz w:val="14"/>
                <w:szCs w:val="14"/>
              </w:rPr>
            </w:pPr>
            <w:r w:rsidRPr="0067514E">
              <w:rPr>
                <w:spacing w:val="-6"/>
                <w:sz w:val="14"/>
                <w:szCs w:val="14"/>
              </w:rPr>
              <w:t>***Zahrnuj</w:t>
            </w:r>
            <w:r>
              <w:rPr>
                <w:spacing w:val="-6"/>
                <w:sz w:val="14"/>
                <w:szCs w:val="14"/>
              </w:rPr>
              <w:t>í</w:t>
            </w:r>
            <w:r w:rsidRPr="0067514E">
              <w:rPr>
                <w:spacing w:val="-6"/>
                <w:sz w:val="14"/>
                <w:szCs w:val="14"/>
              </w:rPr>
              <w:t xml:space="preserve"> dávky pomoci v hmotné nouzi, dávky osobám se zdravotním postižením, příspěvek na péči dle z</w:t>
            </w:r>
            <w:r>
              <w:rPr>
                <w:spacing w:val="-6"/>
                <w:sz w:val="14"/>
                <w:szCs w:val="14"/>
              </w:rPr>
              <w:t>ákona o sociálních službách.</w:t>
            </w:r>
          </w:p>
          <w:p w14:paraId="7DBB447C" w14:textId="77777777" w:rsidR="00E42054" w:rsidRDefault="00E42054" w:rsidP="00061BD1">
            <w:pPr>
              <w:pStyle w:val="Textpoznpodarou"/>
              <w:rPr>
                <w:spacing w:val="-6"/>
                <w:sz w:val="14"/>
                <w:szCs w:val="14"/>
              </w:rPr>
            </w:pPr>
            <w:r w:rsidRPr="0067514E">
              <w:rPr>
                <w:spacing w:val="-6"/>
                <w:sz w:val="14"/>
                <w:szCs w:val="14"/>
              </w:rPr>
              <w:t>****Obsahuj</w:t>
            </w:r>
            <w:r>
              <w:rPr>
                <w:spacing w:val="-6"/>
                <w:sz w:val="14"/>
                <w:szCs w:val="14"/>
              </w:rPr>
              <w:t>í</w:t>
            </w:r>
            <w:r w:rsidRPr="0067514E">
              <w:rPr>
                <w:spacing w:val="-6"/>
                <w:sz w:val="14"/>
                <w:szCs w:val="14"/>
              </w:rPr>
              <w:t xml:space="preserve"> zejména výdaje na nákup služeb, materiálu, energií či ostatních služeb (např</w:t>
            </w:r>
            <w:r>
              <w:rPr>
                <w:spacing w:val="-6"/>
                <w:sz w:val="14"/>
                <w:szCs w:val="14"/>
              </w:rPr>
              <w:t xml:space="preserve">íklad </w:t>
            </w:r>
            <w:r w:rsidRPr="0067514E">
              <w:rPr>
                <w:spacing w:val="-6"/>
                <w:sz w:val="14"/>
                <w:szCs w:val="14"/>
              </w:rPr>
              <w:t>výdaje na opravy a udržování).</w:t>
            </w:r>
          </w:p>
          <w:p w14:paraId="143F443B" w14:textId="77777777" w:rsidR="00E42054" w:rsidRPr="00387CC4" w:rsidRDefault="00E42054" w:rsidP="00061BD1">
            <w:pPr>
              <w:pStyle w:val="Textpoznpodarou"/>
              <w:spacing w:after="200"/>
              <w:rPr>
                <w:spacing w:val="-6"/>
                <w:sz w:val="14"/>
                <w:szCs w:val="14"/>
              </w:rPr>
            </w:pPr>
            <w:r w:rsidRPr="0067514E">
              <w:rPr>
                <w:spacing w:val="-6"/>
                <w:sz w:val="14"/>
                <w:szCs w:val="14"/>
              </w:rPr>
              <w:t>*****Odpovídá saldu rozpočtové kapitoly Státní dluh.</w:t>
            </w:r>
            <w:r>
              <w:rPr>
                <w:spacing w:val="-6"/>
                <w:sz w:val="14"/>
                <w:szCs w:val="14"/>
              </w:rPr>
              <w:t xml:space="preserve">                                                                                                            </w:t>
            </w:r>
            <w:r w:rsidRPr="0067514E">
              <w:rPr>
                <w:spacing w:val="-6"/>
                <w:sz w:val="14"/>
                <w:szCs w:val="14"/>
              </w:rPr>
              <w:t>Zdroj: MF ČR, MPSV</w:t>
            </w:r>
          </w:p>
        </w:tc>
      </w:tr>
      <w:tr w:rsidR="00E42054" w:rsidRPr="00343AC1" w14:paraId="2C7D2265" w14:textId="77777777" w:rsidTr="00061BD1">
        <w:trPr>
          <w:trHeight w:val="170"/>
        </w:trPr>
        <w:tc>
          <w:tcPr>
            <w:tcW w:w="1732" w:type="dxa"/>
            <w:shd w:val="clear" w:color="auto" w:fill="auto"/>
            <w:tcMar>
              <w:left w:w="0" w:type="dxa"/>
            </w:tcMar>
          </w:tcPr>
          <w:p w14:paraId="7EEB9972" w14:textId="77777777" w:rsidR="00E42054" w:rsidRDefault="00E42054" w:rsidP="00061BD1">
            <w:pPr>
              <w:pStyle w:val="Marginlie"/>
            </w:pPr>
            <w:r>
              <w:t>Míra zadlužení sektoru vládních institucí se proti dlouhodobému minimu z konce roku 2019 zatím zvýšila jen mírně. Saldo hospodaření se ale již prohloubilo citelněji.</w:t>
            </w:r>
          </w:p>
        </w:tc>
        <w:tc>
          <w:tcPr>
            <w:tcW w:w="217" w:type="dxa"/>
            <w:shd w:val="clear" w:color="auto" w:fill="auto"/>
            <w:tcMar>
              <w:left w:w="0" w:type="dxa"/>
            </w:tcMar>
          </w:tcPr>
          <w:p w14:paraId="2F6AAC44" w14:textId="77777777" w:rsidR="00E42054" w:rsidRDefault="00E42054" w:rsidP="00061BD1">
            <w:pPr>
              <w:pStyle w:val="Textpoznpodarou"/>
              <w:jc w:val="both"/>
              <w:rPr>
                <w:spacing w:val="-4"/>
              </w:rPr>
            </w:pPr>
          </w:p>
        </w:tc>
        <w:tc>
          <w:tcPr>
            <w:tcW w:w="7720" w:type="dxa"/>
            <w:shd w:val="clear" w:color="auto" w:fill="auto"/>
            <w:tcMar>
              <w:left w:w="0" w:type="dxa"/>
            </w:tcMar>
          </w:tcPr>
          <w:p w14:paraId="2A5F7E4D" w14:textId="77777777" w:rsidR="00E42054" w:rsidRPr="00866E5C" w:rsidRDefault="00E42054" w:rsidP="00061BD1">
            <w:pPr>
              <w:pStyle w:val="Textpoznpodarou"/>
              <w:spacing w:after="200" w:line="276" w:lineRule="auto"/>
              <w:jc w:val="both"/>
              <w:rPr>
                <w:rFonts w:cs="Arial"/>
                <w:color w:val="0D0D0D" w:themeColor="text1" w:themeTint="F2"/>
                <w:spacing w:val="-6"/>
              </w:rPr>
            </w:pPr>
            <w:r>
              <w:rPr>
                <w:rFonts w:cs="Arial"/>
                <w:color w:val="0D0D0D" w:themeColor="text1" w:themeTint="F2"/>
                <w:spacing w:val="-6"/>
              </w:rPr>
              <w:t>K</w:t>
            </w:r>
            <w:r w:rsidRPr="0067514E">
              <w:rPr>
                <w:rFonts w:cs="Arial"/>
                <w:color w:val="0D0D0D" w:themeColor="text1" w:themeTint="F2"/>
                <w:spacing w:val="-6"/>
              </w:rPr>
              <w:t xml:space="preserve">onsolidovaný dluh sektoru vládních institucí </w:t>
            </w:r>
            <w:r>
              <w:rPr>
                <w:rFonts w:cs="Arial"/>
                <w:color w:val="0D0D0D" w:themeColor="text1" w:themeTint="F2"/>
                <w:spacing w:val="-6"/>
              </w:rPr>
              <w:t>činil na konci 1. čtvrtletí 2020</w:t>
            </w:r>
            <w:r w:rsidRPr="0067514E">
              <w:rPr>
                <w:rStyle w:val="Znakapoznpodarou"/>
                <w:color w:val="000000" w:themeColor="text1"/>
                <w:spacing w:val="-6"/>
              </w:rPr>
              <w:footnoteReference w:id="70"/>
            </w:r>
            <w:r>
              <w:rPr>
                <w:rFonts w:cs="Arial"/>
                <w:color w:val="0D0D0D" w:themeColor="text1" w:themeTint="F2"/>
                <w:spacing w:val="-6"/>
              </w:rPr>
              <w:t xml:space="preserve"> </w:t>
            </w:r>
            <w:r w:rsidRPr="0067514E">
              <w:rPr>
                <w:rFonts w:cs="Arial"/>
                <w:color w:val="0D0D0D" w:themeColor="text1" w:themeTint="F2"/>
                <w:spacing w:val="-6"/>
              </w:rPr>
              <w:t>dle údajů ČSÚ</w:t>
            </w:r>
            <w:r>
              <w:rPr>
                <w:rFonts w:cs="Arial"/>
                <w:color w:val="0D0D0D" w:themeColor="text1" w:themeTint="F2"/>
                <w:spacing w:val="-6"/>
              </w:rPr>
              <w:t xml:space="preserve"> 1 894 mld. korun. Meziročně posílil o 3,2 %, a ve srovnání s koncem loňského roku dokonce o</w:t>
            </w:r>
            <w:r w:rsidRPr="0067514E">
              <w:rPr>
                <w:rFonts w:cs="Arial"/>
                <w:color w:val="0D0D0D" w:themeColor="text1" w:themeTint="F2"/>
                <w:spacing w:val="-6"/>
              </w:rPr>
              <w:t> </w:t>
            </w:r>
            <w:r>
              <w:rPr>
                <w:rFonts w:cs="Arial"/>
                <w:color w:val="0D0D0D" w:themeColor="text1" w:themeTint="F2"/>
                <w:spacing w:val="-6"/>
              </w:rPr>
              <w:t xml:space="preserve">8,9 %. Významnější mezičtvrtletní růst dluhu na počátku roku se však projevil i v předchozích třech letech. Míra zadlužení v 1. čtvrtletí se rovnala 32,8 % HDP a od konce loňského roku, kdy přebývala na desetiletém minimu, narostla o 2,6 p. b. Přestože tuzemská ekonomika se v 1. čtvrtletí nacházela teprve na prahu recese, sezónně očištěný deficit hospodaření vládních institucí již testoval hranici 2 % HDP, čímž docílil nejhoršího výsledku od konce roku 2014. </w:t>
            </w:r>
            <w:r>
              <w:rPr>
                <w:spacing w:val="-6"/>
              </w:rPr>
              <w:t>To souviselo s tím, že po více než třech letech došlo vlivem slabšího inkasa z objemově významných daní k meziročnímu poklesu celkových příjmů sektoru (o 1,5 %).</w:t>
            </w:r>
            <w:r>
              <w:rPr>
                <w:rFonts w:cs="Arial"/>
                <w:color w:val="0D0D0D" w:themeColor="text1" w:themeTint="F2"/>
                <w:spacing w:val="-6"/>
              </w:rPr>
              <w:t xml:space="preserve"> Dynamika celkových výdajů však zůstávala vysoká (+9,8 %).</w:t>
            </w:r>
          </w:p>
        </w:tc>
      </w:tr>
      <w:tr w:rsidR="00E42054" w:rsidRPr="00343AC1" w14:paraId="454E758A" w14:textId="77777777" w:rsidTr="00061BD1">
        <w:trPr>
          <w:trHeight w:val="170"/>
        </w:trPr>
        <w:tc>
          <w:tcPr>
            <w:tcW w:w="1732" w:type="dxa"/>
            <w:shd w:val="clear" w:color="auto" w:fill="auto"/>
            <w:tcMar>
              <w:left w:w="0" w:type="dxa"/>
            </w:tcMar>
          </w:tcPr>
          <w:p w14:paraId="579D4F09" w14:textId="77777777" w:rsidR="00E42054" w:rsidRDefault="00E42054" w:rsidP="00061BD1">
            <w:pPr>
              <w:pStyle w:val="Marginlie"/>
            </w:pPr>
            <w:r>
              <w:t>Deficit hospodaření vládních institucí v zemích EU vzrostl na počátku roku na 2,3 % HDP.</w:t>
            </w:r>
          </w:p>
          <w:p w14:paraId="48EDFE03" w14:textId="77777777" w:rsidR="00E42054" w:rsidRDefault="00E42054" w:rsidP="00061BD1">
            <w:pPr>
              <w:pStyle w:val="Marginlie"/>
            </w:pPr>
          </w:p>
          <w:p w14:paraId="6D368896" w14:textId="77777777" w:rsidR="00E42054" w:rsidRDefault="00E42054" w:rsidP="00061BD1">
            <w:pPr>
              <w:pStyle w:val="Marginlie"/>
            </w:pPr>
          </w:p>
          <w:p w14:paraId="6022D7FA" w14:textId="77777777" w:rsidR="00E42054" w:rsidRDefault="00E42054" w:rsidP="00061BD1">
            <w:pPr>
              <w:pStyle w:val="Marginlie"/>
            </w:pPr>
          </w:p>
          <w:p w14:paraId="33C48AD5" w14:textId="77777777" w:rsidR="00E42054" w:rsidRDefault="00E42054" w:rsidP="00061BD1">
            <w:pPr>
              <w:pStyle w:val="Marginlie"/>
            </w:pPr>
          </w:p>
          <w:p w14:paraId="160ECE45" w14:textId="77777777" w:rsidR="00E42054" w:rsidRDefault="00E42054" w:rsidP="00061BD1">
            <w:pPr>
              <w:pStyle w:val="Marginlie"/>
            </w:pPr>
          </w:p>
          <w:p w14:paraId="510BEC15" w14:textId="77777777" w:rsidR="00E42054" w:rsidRDefault="00E42054" w:rsidP="00061BD1">
            <w:pPr>
              <w:pStyle w:val="Marginlie"/>
            </w:pPr>
            <w:r>
              <w:t>Mezikvartální růst míry zadlužení v EU dosáhl v 1. čtvrtletí desetiletého maxima. Projevila se mj. horší pozice států s rychlým nástupem nemoci covid-19.</w:t>
            </w:r>
          </w:p>
        </w:tc>
        <w:tc>
          <w:tcPr>
            <w:tcW w:w="217" w:type="dxa"/>
            <w:shd w:val="clear" w:color="auto" w:fill="auto"/>
            <w:tcMar>
              <w:left w:w="0" w:type="dxa"/>
            </w:tcMar>
          </w:tcPr>
          <w:p w14:paraId="516CB240" w14:textId="77777777" w:rsidR="00E42054" w:rsidRPr="008E181A" w:rsidRDefault="00E42054" w:rsidP="00061BD1">
            <w:pPr>
              <w:pStyle w:val="Textpoznpodarou"/>
              <w:jc w:val="both"/>
              <w:rPr>
                <w:spacing w:val="-6"/>
              </w:rPr>
            </w:pPr>
          </w:p>
        </w:tc>
        <w:tc>
          <w:tcPr>
            <w:tcW w:w="7720" w:type="dxa"/>
            <w:shd w:val="clear" w:color="auto" w:fill="auto"/>
            <w:tcMar>
              <w:left w:w="0" w:type="dxa"/>
            </w:tcMar>
          </w:tcPr>
          <w:p w14:paraId="51FF2C2C" w14:textId="77777777" w:rsidR="00E42054" w:rsidRPr="008E181A" w:rsidRDefault="00E42054" w:rsidP="00061BD1">
            <w:pPr>
              <w:pStyle w:val="Textpoznpodarou"/>
              <w:spacing w:line="276" w:lineRule="auto"/>
              <w:jc w:val="both"/>
              <w:rPr>
                <w:spacing w:val="-6"/>
              </w:rPr>
            </w:pPr>
            <w:r w:rsidRPr="008E181A">
              <w:rPr>
                <w:rFonts w:cs="Arial"/>
                <w:color w:val="0D0D0D" w:themeColor="text1" w:themeTint="F2"/>
                <w:spacing w:val="-6"/>
              </w:rPr>
              <w:t xml:space="preserve">Zhoršování stavu veřejných financí se projevilo v drtivé většině států EU. </w:t>
            </w:r>
            <w:r>
              <w:rPr>
                <w:rFonts w:cs="Arial"/>
                <w:color w:val="0D0D0D" w:themeColor="text1" w:themeTint="F2"/>
                <w:spacing w:val="-6"/>
              </w:rPr>
              <w:t>S</w:t>
            </w:r>
            <w:r w:rsidRPr="008E181A">
              <w:rPr>
                <w:rFonts w:cs="Arial"/>
                <w:color w:val="0D0D0D" w:themeColor="text1" w:themeTint="F2"/>
                <w:spacing w:val="-6"/>
              </w:rPr>
              <w:t>ez</w:t>
            </w:r>
            <w:r>
              <w:rPr>
                <w:rFonts w:cs="Arial"/>
                <w:color w:val="0D0D0D" w:themeColor="text1" w:themeTint="F2"/>
                <w:spacing w:val="-6"/>
              </w:rPr>
              <w:t>ónně očištěné</w:t>
            </w:r>
            <w:r w:rsidRPr="008E181A">
              <w:rPr>
                <w:rFonts w:cs="Arial"/>
                <w:color w:val="0D0D0D" w:themeColor="text1" w:themeTint="F2"/>
                <w:spacing w:val="-6"/>
              </w:rPr>
              <w:t xml:space="preserve"> saldo hospodaření</w:t>
            </w:r>
            <w:r w:rsidRPr="008E181A">
              <w:rPr>
                <w:spacing w:val="-6"/>
              </w:rPr>
              <w:t xml:space="preserve"> </w:t>
            </w:r>
            <w:r>
              <w:rPr>
                <w:spacing w:val="-6"/>
              </w:rPr>
              <w:t>kleslo v 1. čtvrtletí mezikvartálně o 1,6 p. b. na –2,3 % HDP, tedy na nejnižší úroveň od konce roku 2014. Mírný přebytek (do 1 % HDP) si ze sledovaných zemí</w:t>
            </w:r>
            <w:r w:rsidRPr="0067514E">
              <w:rPr>
                <w:rStyle w:val="Znakapoznpodarou"/>
                <w:color w:val="000000" w:themeColor="text1"/>
                <w:spacing w:val="-6"/>
              </w:rPr>
              <w:footnoteReference w:id="71"/>
            </w:r>
            <w:r>
              <w:rPr>
                <w:spacing w:val="-6"/>
              </w:rPr>
              <w:t xml:space="preserve"> držely jen Německo, Nizozemsko a Lucembursko. Celkové nominální příjmy vládního sektoru klesly meziročně v polovině států Unie. U výdajů se to týkalo ale jen Kypru a v polovině států jejich růstové tempo ve srovnání s počátkem loňského roku dokonce posílilo (zejm. v zemích střední a východní Evropy). Míra zadlužení v EU navzdory zpomalování růstu ekonomiky po většinu loňského roku pokračovala v sestupné tendenci. Ke zlomu došlo až na počátku roku 2020, kdy zadlužení mezikvartálně posílilo o 1,8 p. b. (nejvíce po roce 2010) na úroveň 79,5 % HDP. Negativní vývoj se více projevil v zemích eurozóny (+2,2 p. b.), alespoň k mírnému zhoršení ale došlo v 90 % států Unie. Meziročně vzrostla zadluženost v 10 zemích – nejvíce ve Finsku (+4,7 p. b.) a Rumunsku (+3,6 p. b.), byly mezi nimi i státy silně postižené koronavirovou epidemií (Španělsko, Itálie, Francie, Belgie). V Česku, podobně jako u většiny jeho sousedů, zadluženost mírně klesla. ČR si tak držela pozici čtvrté nejméně zadlužené ekonomiky Unie.</w:t>
            </w:r>
          </w:p>
        </w:tc>
      </w:tr>
      <w:bookmarkEnd w:id="24"/>
    </w:tbl>
    <w:p w14:paraId="5BCF3DC5" w14:textId="6BE085D8" w:rsidR="00E42054" w:rsidRPr="00E42054" w:rsidRDefault="00E42054" w:rsidP="00E42054">
      <w:pPr>
        <w:pStyle w:val="Nadpis11"/>
        <w:spacing w:after="0"/>
        <w:rPr>
          <w:b w:val="0"/>
          <w:sz w:val="2"/>
          <w:szCs w:val="2"/>
        </w:rPr>
      </w:pPr>
    </w:p>
    <w:sectPr w:rsidR="00E42054" w:rsidRPr="00E42054" w:rsidSect="00A03B10">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A987" w14:textId="77777777" w:rsidR="001679F5" w:rsidRDefault="001679F5" w:rsidP="00E71A58">
      <w:r>
        <w:separator/>
      </w:r>
    </w:p>
  </w:endnote>
  <w:endnote w:type="continuationSeparator" w:id="0">
    <w:p w14:paraId="6105072C" w14:textId="77777777" w:rsidR="001679F5" w:rsidRDefault="001679F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46D03F19" w:rsidR="00E1168B" w:rsidRPr="00932443" w:rsidRDefault="00E116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F0873">
      <w:rPr>
        <w:szCs w:val="16"/>
      </w:rPr>
      <w:t>32</w:t>
    </w:r>
    <w:r w:rsidRPr="00932443">
      <w:rPr>
        <w:szCs w:val="16"/>
      </w:rPr>
      <w:fldChar w:fldCharType="end"/>
    </w:r>
    <w:r w:rsidRPr="00932443">
      <w:rPr>
        <w:szCs w:val="16"/>
      </w:rPr>
      <w:tab/>
    </w:r>
    <w:r>
      <w:rPr>
        <w:szCs w:val="16"/>
      </w:rPr>
      <w:t>1. pololetí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3D61DA36" w:rsidR="00E1168B" w:rsidRPr="00932443" w:rsidRDefault="00E1168B" w:rsidP="00FA6CB6">
    <w:pPr>
      <w:pStyle w:val="Zpat"/>
      <w:rPr>
        <w:szCs w:val="16"/>
      </w:rPr>
    </w:pPr>
    <w:r w:rsidRPr="00FA6CB6">
      <w:rPr>
        <w:szCs w:val="16"/>
      </w:rPr>
      <w:tab/>
    </w:r>
    <w:r>
      <w:rPr>
        <w:szCs w:val="16"/>
      </w:rPr>
      <w:t xml:space="preserve">1. pololetí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F0873">
      <w:rPr>
        <w:rStyle w:val="ZpatChar"/>
        <w:szCs w:val="16"/>
      </w:rPr>
      <w:t>33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703C" w14:textId="77777777" w:rsidR="001679F5" w:rsidRDefault="001679F5" w:rsidP="00A21B4D">
      <w:pPr>
        <w:spacing w:after="0"/>
      </w:pPr>
      <w:r>
        <w:separator/>
      </w:r>
    </w:p>
  </w:footnote>
  <w:footnote w:type="continuationSeparator" w:id="0">
    <w:p w14:paraId="680C28AA" w14:textId="77777777" w:rsidR="001679F5" w:rsidRDefault="001679F5" w:rsidP="00E71A58">
      <w:r>
        <w:continuationSeparator/>
      </w:r>
    </w:p>
  </w:footnote>
  <w:footnote w:id="1">
    <w:p w14:paraId="019FC8FB" w14:textId="77777777" w:rsidR="008462F1" w:rsidRDefault="008462F1" w:rsidP="008462F1">
      <w:pPr>
        <w:pStyle w:val="Textpoznpodarou"/>
        <w:rPr>
          <w:spacing w:val="-2"/>
          <w:sz w:val="16"/>
          <w:szCs w:val="16"/>
        </w:rPr>
      </w:pPr>
      <w:r>
        <w:rPr>
          <w:rStyle w:val="Znakapoznpodarou"/>
          <w:spacing w:val="-2"/>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69EDE447" w14:textId="77777777" w:rsidR="008462F1" w:rsidRDefault="008462F1" w:rsidP="008462F1">
      <w:pPr>
        <w:pStyle w:val="Textpoznpodarou"/>
        <w:jc w:val="both"/>
        <w:rPr>
          <w:sz w:val="16"/>
          <w:szCs w:val="16"/>
        </w:rPr>
      </w:pPr>
      <w:r>
        <w:rPr>
          <w:rStyle w:val="Znakapoznpodarou"/>
          <w:spacing w:val="-2"/>
          <w:szCs w:val="16"/>
        </w:rPr>
        <w:footnoteRef/>
      </w:r>
      <w:r>
        <w:rPr>
          <w:spacing w:val="-2"/>
          <w:sz w:val="16"/>
          <w:szCs w:val="16"/>
        </w:rPr>
        <w:t xml:space="preserve"> Údaje o zaměstnanosti jsou uvedeny v pojetí národních účtů a očištěny o sezónní vlivy.</w:t>
      </w:r>
    </w:p>
  </w:footnote>
  <w:footnote w:id="3">
    <w:p w14:paraId="62867169" w14:textId="77777777" w:rsidR="00E1168B" w:rsidRPr="00EF1EE3" w:rsidRDefault="00E1168B" w:rsidP="00640E6B">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1. 9. 2020</w:t>
      </w:r>
      <w:r w:rsidRPr="00EF1EE3">
        <w:rPr>
          <w:sz w:val="16"/>
          <w:szCs w:val="16"/>
        </w:rPr>
        <w:t>.</w:t>
      </w:r>
    </w:p>
  </w:footnote>
  <w:footnote w:id="4">
    <w:p w14:paraId="5AB9BF74" w14:textId="77777777" w:rsidR="00E1168B" w:rsidRPr="009C6EA8" w:rsidRDefault="00E1168B" w:rsidP="00640E6B">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14:paraId="22F2BE14" w14:textId="6CEB75CA" w:rsidR="00E1168B" w:rsidRPr="00BB319F" w:rsidRDefault="00E1168B" w:rsidP="00640E6B">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w:t>
      </w:r>
      <w:r w:rsidRPr="00BB319F">
        <w:rPr>
          <w:sz w:val="16"/>
          <w:szCs w:val="16"/>
        </w:rPr>
        <w:t>Lucembursko.</w:t>
      </w:r>
      <w:r>
        <w:rPr>
          <w:sz w:val="16"/>
          <w:szCs w:val="16"/>
        </w:rPr>
        <w:t xml:space="preserve"> Data za Slovensko nejsou očištěna o kalendářní vlivy.</w:t>
      </w:r>
    </w:p>
  </w:footnote>
  <w:footnote w:id="6">
    <w:p w14:paraId="5572BF2F" w14:textId="77777777" w:rsidR="00E1168B" w:rsidRPr="009C6EA8" w:rsidRDefault="00E1168B" w:rsidP="00640E6B">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7">
    <w:p w14:paraId="2E1D5793" w14:textId="77777777" w:rsidR="00E1168B" w:rsidRDefault="00E1168B" w:rsidP="00640E6B">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8">
    <w:p w14:paraId="36B572A7" w14:textId="77777777" w:rsidR="00E1168B" w:rsidRPr="00771972" w:rsidRDefault="00E1168B" w:rsidP="00640E6B">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9">
    <w:p w14:paraId="69FC38BF" w14:textId="77777777" w:rsidR="00E1168B" w:rsidRPr="00954992" w:rsidRDefault="00E1168B" w:rsidP="00640E6B">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10">
    <w:p w14:paraId="0C19ED8D" w14:textId="77777777" w:rsidR="00E1168B" w:rsidRPr="0021552C" w:rsidRDefault="00E1168B" w:rsidP="00640E6B">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1">
    <w:p w14:paraId="59BAFEDB" w14:textId="77777777" w:rsidR="00E1168B" w:rsidRPr="00167B30" w:rsidRDefault="00E1168B" w:rsidP="00640E6B">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2">
    <w:p w14:paraId="1FCB3030"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3">
    <w:p w14:paraId="51045BCE"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Aktuální údaje o HPH za 2. čtvrtletí nebyly dostupné za Irsko, Lucembursko, Chorvatsko a Rumunsko.</w:t>
      </w:r>
    </w:p>
  </w:footnote>
  <w:footnote w:id="14">
    <w:p w14:paraId="2F42DAC8"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odvětví energetiky stály za poklesem výroby (shodou okolností také zejména během března a dubna 2020) plánované technologické odstávky výrobních zařízení.</w:t>
      </w:r>
    </w:p>
  </w:footnote>
  <w:footnote w:id="15">
    <w:p w14:paraId="32D0088B"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Výdaje na konečnou spotřebu klesly letos u nerezidentů v ČR meziročně o více než třetinu, v samotném 2. čtvrtletí 2020 dokonce o nebývalých 62 %. Nerezidenti se na celkových výdajích</w:t>
      </w:r>
      <w:r w:rsidRPr="002269EE">
        <w:rPr>
          <w:rFonts w:cs="Arial"/>
          <w:color w:val="0D0D0D" w:themeColor="text1" w:themeTint="F2"/>
          <w:spacing w:val="-2"/>
          <w:sz w:val="16"/>
          <w:szCs w:val="16"/>
        </w:rPr>
        <w:t xml:space="preserve"> na konečnou spotřebu domácností</w:t>
      </w:r>
      <w:r>
        <w:rPr>
          <w:rFonts w:cs="Arial"/>
          <w:color w:val="0D0D0D" w:themeColor="text1" w:themeTint="F2"/>
          <w:spacing w:val="-2"/>
          <w:sz w:val="16"/>
          <w:szCs w:val="16"/>
        </w:rPr>
        <w:t xml:space="preserve"> v Česku dlouhodobě podílejí zhruba 6 %.</w:t>
      </w:r>
    </w:p>
  </w:footnote>
  <w:footnote w:id="16">
    <w:p w14:paraId="71E486D2"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Zahrnují kulturní, zábavní a rekreační činnosti nebo osobní služby pro domácnost (mj. kadeřnictví, čisticí služby či opravy výrobků a přístrojů).</w:t>
      </w:r>
    </w:p>
  </w:footnote>
  <w:footnote w:id="17">
    <w:p w14:paraId="67152DAF"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Obsahují veřejnou správu, obranu a sociální zabezpečení, zdravotní a sociální péči.</w:t>
      </w:r>
    </w:p>
  </w:footnote>
  <w:footnote w:id="18">
    <w:p w14:paraId="3286751B"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Zahrnuje odvětví</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těžby</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dobývání, </w:t>
      </w:r>
      <w:r>
        <w:rPr>
          <w:rFonts w:cs="Arial"/>
          <w:color w:val="0D0D0D" w:themeColor="text1" w:themeTint="F2"/>
          <w:spacing w:val="-2"/>
          <w:sz w:val="16"/>
          <w:szCs w:val="16"/>
        </w:rPr>
        <w:t>zpracovatelského průmyslu a také</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energetiky (zde pojímané jako odvětví výroby a rozvodu elektřiny, plynu, tepla a klimatizovaného vzduchu).</w:t>
      </w:r>
      <w:r w:rsidRPr="00FB58F4">
        <w:rPr>
          <w:rFonts w:cs="Arial"/>
          <w:color w:val="0D0D0D" w:themeColor="text1" w:themeTint="F2"/>
          <w:spacing w:val="-2"/>
          <w:sz w:val="16"/>
          <w:szCs w:val="16"/>
        </w:rPr>
        <w:t xml:space="preserve"> Všechna meziroční tempa produkce (na úrovni odvětvových sekcí i</w:t>
      </w:r>
      <w:r>
        <w:rPr>
          <w:rFonts w:cs="Arial"/>
          <w:color w:val="0D0D0D" w:themeColor="text1" w:themeTint="F2"/>
          <w:spacing w:val="-2"/>
          <w:sz w:val="16"/>
          <w:szCs w:val="16"/>
        </w:rPr>
        <w:t> </w:t>
      </w:r>
      <w:r w:rsidRPr="00FB58F4">
        <w:rPr>
          <w:rFonts w:cs="Arial"/>
          <w:color w:val="0D0D0D" w:themeColor="text1" w:themeTint="F2"/>
          <w:spacing w:val="-2"/>
          <w:sz w:val="16"/>
          <w:szCs w:val="16"/>
        </w:rPr>
        <w:t>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 xml:space="preserve">ezičtvrtletní </w:t>
      </w:r>
      <w:r>
        <w:rPr>
          <w:rFonts w:cs="Arial"/>
          <w:color w:val="0D0D0D" w:themeColor="text1" w:themeTint="F2"/>
          <w:spacing w:val="-2"/>
          <w:sz w:val="16"/>
          <w:szCs w:val="16"/>
        </w:rPr>
        <w:t xml:space="preserve">i meziměsíční </w:t>
      </w:r>
      <w:r w:rsidRPr="00FB58F4">
        <w:rPr>
          <w:rFonts w:cs="Arial"/>
          <w:color w:val="0D0D0D" w:themeColor="text1" w:themeTint="F2"/>
          <w:spacing w:val="-2"/>
          <w:sz w:val="16"/>
          <w:szCs w:val="16"/>
        </w:rPr>
        <w:t>tempa pak také o</w:t>
      </w:r>
      <w:r>
        <w:rPr>
          <w:rFonts w:cs="Arial"/>
          <w:color w:val="0D0D0D" w:themeColor="text1" w:themeTint="F2"/>
          <w:spacing w:val="-2"/>
          <w:sz w:val="16"/>
          <w:szCs w:val="16"/>
        </w:rPr>
        <w:t> </w:t>
      </w:r>
      <w:r w:rsidRPr="00FB58F4">
        <w:rPr>
          <w:rFonts w:cs="Arial"/>
          <w:color w:val="0D0D0D" w:themeColor="text1" w:themeTint="F2"/>
          <w:spacing w:val="-2"/>
          <w:sz w:val="16"/>
          <w:szCs w:val="16"/>
        </w:rPr>
        <w:t>vliv sezónnosti.</w:t>
      </w:r>
    </w:p>
  </w:footnote>
  <w:footnote w:id="19">
    <w:p w14:paraId="6B47612D"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K mělkému mezikvartálnímu poklesu průmyslové produkce došlo v ČR již ve 3. a 4. čtvrtletí 2019 (</w:t>
      </w:r>
      <w:r w:rsidRPr="00FE2494">
        <w:rPr>
          <w:rFonts w:cs="Arial"/>
          <w:color w:val="0D0D0D" w:themeColor="text1" w:themeTint="F2"/>
          <w:spacing w:val="-3"/>
          <w:sz w:val="16"/>
          <w:szCs w:val="16"/>
        </w:rPr>
        <w:t>–</w:t>
      </w:r>
      <w:r>
        <w:rPr>
          <w:rFonts w:cs="Arial"/>
          <w:color w:val="0D0D0D" w:themeColor="text1" w:themeTint="F2"/>
          <w:spacing w:val="-2"/>
          <w:sz w:val="16"/>
          <w:szCs w:val="16"/>
        </w:rPr>
        <w:t>1,6 % a </w:t>
      </w:r>
      <w:r w:rsidRPr="00FE2494">
        <w:rPr>
          <w:rFonts w:cs="Arial"/>
          <w:color w:val="0D0D0D" w:themeColor="text1" w:themeTint="F2"/>
          <w:spacing w:val="-3"/>
          <w:sz w:val="16"/>
          <w:szCs w:val="16"/>
        </w:rPr>
        <w:t>–</w:t>
      </w:r>
      <w:r>
        <w:rPr>
          <w:rFonts w:cs="Arial"/>
          <w:color w:val="0D0D0D" w:themeColor="text1" w:themeTint="F2"/>
          <w:spacing w:val="-2"/>
          <w:sz w:val="16"/>
          <w:szCs w:val="16"/>
        </w:rPr>
        <w:t>0,6 %). Jelikož byl doprovázen redukcí zaměstnanosti, spadl tuzemský průmysl na konci loňského roku do technické recese.</w:t>
      </w:r>
    </w:p>
  </w:footnote>
  <w:footnote w:id="20">
    <w:p w14:paraId="2C67E96B" w14:textId="77777777" w:rsidR="004A0D0E" w:rsidRPr="00A608B0" w:rsidRDefault="004A0D0E" w:rsidP="004A0D0E">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w:t>
      </w:r>
      <w:r>
        <w:rPr>
          <w:rFonts w:cs="Arial"/>
          <w:color w:val="0D0D0D" w:themeColor="text1" w:themeTint="F2"/>
          <w:sz w:val="16"/>
          <w:szCs w:val="16"/>
        </w:rPr>
        <w:t>Ještě významnější útlum ale nastal v roce 2009, kdy objem fixních investic klesl meziročně o 9,2 % a strojírenská výroba se propadla o 28 %.</w:t>
      </w:r>
    </w:p>
  </w:footnote>
  <w:footnote w:id="21">
    <w:p w14:paraId="29728145" w14:textId="77777777" w:rsidR="004A0D0E" w:rsidRPr="00FB58F4" w:rsidRDefault="004A0D0E" w:rsidP="004A0D0E">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zakázek probíhá pouze ve vybraných oddílech CZ</w:t>
      </w:r>
      <w:r w:rsidRPr="007A20EB">
        <w:rPr>
          <w:rFonts w:cs="Arial"/>
          <w:color w:val="0D0D0D" w:themeColor="text1" w:themeTint="F2"/>
          <w:sz w:val="16"/>
          <w:szCs w:val="16"/>
        </w:rPr>
        <w:noBreakHyphen/>
        <w:t>NACE (13, 14, 17, 20, 21, 24, 25, 26, 27, 28, 29, 30), které vyrábějí převážně na zakázku, s dlouhodobějším výrobním cyklem a s většími zásobami zakázek.</w:t>
      </w:r>
    </w:p>
  </w:footnote>
  <w:footnote w:id="22">
    <w:p w14:paraId="28D5EDEA" w14:textId="77777777" w:rsidR="004A0D0E" w:rsidRPr="00FB58F4" w:rsidRDefault="004A0D0E" w:rsidP="004A0D0E">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z w:val="16"/>
          <w:szCs w:val="16"/>
        </w:rPr>
        <w:t>Podniky mohly uvést více hlavních bariér současně. Všechny údaje z konjunkturálních šetření jsou sezónně očištěny.</w:t>
      </w:r>
    </w:p>
  </w:footnote>
  <w:footnote w:id="23">
    <w:p w14:paraId="3214E62D" w14:textId="77777777" w:rsidR="004A0D0E" w:rsidRPr="00D85B50" w:rsidRDefault="004A0D0E" w:rsidP="004A0D0E">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5813A9">
        <w:rPr>
          <w:rFonts w:cs="Arial"/>
          <w:color w:val="0D0D0D" w:themeColor="text1" w:themeTint="F2"/>
          <w:spacing w:val="-2"/>
          <w:sz w:val="16"/>
          <w:szCs w:val="16"/>
        </w:rPr>
        <w:t>Všechny meziroční údaje o</w:t>
      </w:r>
      <w:r>
        <w:rPr>
          <w:rFonts w:cs="Arial"/>
          <w:color w:val="0D0D0D" w:themeColor="text1" w:themeTint="F2"/>
          <w:spacing w:val="-2"/>
          <w:sz w:val="16"/>
          <w:szCs w:val="16"/>
        </w:rPr>
        <w:t> </w:t>
      </w:r>
      <w:r w:rsidRPr="005813A9">
        <w:rPr>
          <w:rFonts w:cs="Arial"/>
          <w:color w:val="0D0D0D" w:themeColor="text1" w:themeTint="F2"/>
          <w:spacing w:val="-2"/>
          <w:sz w:val="16"/>
          <w:szCs w:val="16"/>
        </w:rPr>
        <w:t>stavební produkci jsou očištěny o</w:t>
      </w:r>
      <w:r>
        <w:rPr>
          <w:rFonts w:cs="Arial"/>
          <w:color w:val="0D0D0D" w:themeColor="text1" w:themeTint="F2"/>
          <w:spacing w:val="-2"/>
          <w:sz w:val="16"/>
          <w:szCs w:val="16"/>
        </w:rPr>
        <w:t> </w:t>
      </w:r>
      <w:r w:rsidRPr="005813A9">
        <w:rPr>
          <w:rFonts w:cs="Arial"/>
          <w:color w:val="0D0D0D" w:themeColor="text1" w:themeTint="F2"/>
          <w:spacing w:val="-2"/>
          <w:sz w:val="16"/>
          <w:szCs w:val="16"/>
        </w:rPr>
        <w:t xml:space="preserve">kalendářní vlivy, mezičtvrtletní </w:t>
      </w:r>
      <w:r>
        <w:rPr>
          <w:rFonts w:cs="Arial"/>
          <w:color w:val="0D0D0D" w:themeColor="text1" w:themeTint="F2"/>
          <w:spacing w:val="-2"/>
          <w:sz w:val="16"/>
          <w:szCs w:val="16"/>
        </w:rPr>
        <w:t xml:space="preserve">i meziměsíční </w:t>
      </w:r>
      <w:r w:rsidRPr="005813A9">
        <w:rPr>
          <w:rFonts w:cs="Arial"/>
          <w:color w:val="0D0D0D" w:themeColor="text1" w:themeTint="F2"/>
          <w:spacing w:val="-2"/>
          <w:sz w:val="16"/>
          <w:szCs w:val="16"/>
        </w:rPr>
        <w:t>tempa pak také o</w:t>
      </w:r>
      <w:r>
        <w:rPr>
          <w:rFonts w:cs="Arial"/>
          <w:color w:val="0D0D0D" w:themeColor="text1" w:themeTint="F2"/>
          <w:spacing w:val="-2"/>
          <w:sz w:val="16"/>
          <w:szCs w:val="16"/>
        </w:rPr>
        <w:t> </w:t>
      </w:r>
      <w:r w:rsidRPr="005813A9">
        <w:rPr>
          <w:rFonts w:cs="Arial"/>
          <w:color w:val="0D0D0D" w:themeColor="text1" w:themeTint="F2"/>
          <w:spacing w:val="-2"/>
          <w:sz w:val="16"/>
          <w:szCs w:val="16"/>
        </w:rPr>
        <w:t>vliv sezónnosti.</w:t>
      </w:r>
    </w:p>
  </w:footnote>
  <w:footnote w:id="24">
    <w:p w14:paraId="66CF20B7" w14:textId="77777777" w:rsidR="004A0D0E" w:rsidRPr="00D85B50" w:rsidRDefault="004A0D0E" w:rsidP="004A0D0E">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Stavební podniky tak měly zajištěnu práci v průměru na deset měsíců dopředu.</w:t>
      </w:r>
    </w:p>
  </w:footnote>
  <w:footnote w:id="25">
    <w:p w14:paraId="3326FA8D" w14:textId="77777777" w:rsidR="004A0D0E" w:rsidRPr="00DE38E6" w:rsidRDefault="004A0D0E" w:rsidP="004A0D0E">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Řecko, Itálie a Kypr nebyly z důvodu absence aktuálních dat hodnoceny.</w:t>
      </w:r>
    </w:p>
  </w:footnote>
  <w:footnote w:id="26">
    <w:p w14:paraId="7966C68A" w14:textId="77777777" w:rsidR="004A0D0E" w:rsidRPr="00DE38E6" w:rsidRDefault="004A0D0E" w:rsidP="004A0D0E">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27">
    <w:p w14:paraId="76DB9BBC" w14:textId="77777777" w:rsidR="004A0D0E" w:rsidRPr="000F615E" w:rsidRDefault="004A0D0E" w:rsidP="004A0D0E">
      <w:pPr>
        <w:pStyle w:val="Textpoznpodarou"/>
        <w:jc w:val="both"/>
        <w:rPr>
          <w:color w:val="0D0D0D" w:themeColor="text1" w:themeTint="F2"/>
          <w:spacing w:val="-2"/>
          <w:sz w:val="16"/>
          <w:szCs w:val="16"/>
        </w:rPr>
      </w:pPr>
      <w:r w:rsidRPr="000F615E">
        <w:rPr>
          <w:rStyle w:val="Znakapoznpodarou"/>
          <w:rFonts w:cs="Arial"/>
          <w:color w:val="0D0D0D" w:themeColor="text1" w:themeTint="F2"/>
          <w:spacing w:val="-2"/>
          <w:sz w:val="16"/>
          <w:szCs w:val="16"/>
        </w:rPr>
        <w:footnoteRef/>
      </w:r>
      <w:r w:rsidRPr="000F615E">
        <w:rPr>
          <w:rFonts w:cs="Arial"/>
          <w:color w:val="0D0D0D" w:themeColor="text1" w:themeTint="F2"/>
          <w:spacing w:val="-2"/>
          <w:sz w:val="16"/>
          <w:szCs w:val="16"/>
        </w:rPr>
        <w:t xml:space="preserve"> </w:t>
      </w:r>
      <w:r w:rsidRPr="000F615E">
        <w:rPr>
          <w:color w:val="0D0D0D" w:themeColor="text1" w:themeTint="F2"/>
          <w:spacing w:val="-2"/>
          <w:sz w:val="16"/>
          <w:szCs w:val="16"/>
        </w:rPr>
        <w:t xml:space="preserve">Dle údajů Unie filmových </w:t>
      </w:r>
      <w:r>
        <w:rPr>
          <w:color w:val="0D0D0D" w:themeColor="text1" w:themeTint="F2"/>
          <w:spacing w:val="-2"/>
          <w:sz w:val="16"/>
          <w:szCs w:val="16"/>
        </w:rPr>
        <w:t>distributorů klesly v 1. pololet</w:t>
      </w:r>
      <w:r w:rsidRPr="000F615E">
        <w:rPr>
          <w:color w:val="0D0D0D" w:themeColor="text1" w:themeTint="F2"/>
          <w:spacing w:val="-2"/>
          <w:sz w:val="16"/>
          <w:szCs w:val="16"/>
        </w:rPr>
        <w:t>í 2020 tržby ze vstupn</w:t>
      </w:r>
      <w:r>
        <w:rPr>
          <w:color w:val="0D0D0D" w:themeColor="text1" w:themeTint="F2"/>
          <w:spacing w:val="-2"/>
          <w:sz w:val="16"/>
          <w:szCs w:val="16"/>
        </w:rPr>
        <w:t>ého v kinech v ČR meziročně o 56 %. Projevilo se několikatýdenní přerušení provozu kin a později i omezenější nabídka filmových titulů. Ještě i v červenci klesl počet návštěvníků kin meziročně skoro o polovinu – na 709 tis. (nižší červencový údaj byl naposledy zaznamenán v roce 2000).</w:t>
      </w:r>
    </w:p>
  </w:footnote>
  <w:footnote w:id="28">
    <w:p w14:paraId="61F26206" w14:textId="77777777" w:rsidR="004A0D0E" w:rsidRPr="007321F7" w:rsidRDefault="004A0D0E" w:rsidP="004A0D0E">
      <w:pPr>
        <w:spacing w:after="0" w:line="240" w:lineRule="auto"/>
        <w:rPr>
          <w:color w:val="0D0D0D" w:themeColor="text1" w:themeTint="F2"/>
          <w:sz w:val="16"/>
          <w:szCs w:val="16"/>
        </w:rPr>
      </w:pPr>
      <w:r w:rsidRPr="004A26AF">
        <w:rPr>
          <w:rStyle w:val="Znakapoznpodarou"/>
          <w:color w:val="0D0D0D" w:themeColor="text1" w:themeTint="F2"/>
          <w:sz w:val="16"/>
          <w:szCs w:val="16"/>
        </w:rPr>
        <w:footnoteRef/>
      </w:r>
      <w:r>
        <w:rPr>
          <w:color w:val="0D0D0D" w:themeColor="text1" w:themeTint="F2"/>
          <w:sz w:val="16"/>
          <w:szCs w:val="16"/>
        </w:rPr>
        <w:t xml:space="preserve"> Počet přenocování hostů v hromadných ubytovacích zařízeních se letos oproti 1. pololetí roku 2019 snížil o 54 %, z toho u nerezidentů dokonce o</w:t>
      </w:r>
      <w:r>
        <w:rPr>
          <w:rFonts w:cs="Arial"/>
          <w:color w:val="0D0D0D" w:themeColor="text1" w:themeTint="F2"/>
          <w:spacing w:val="-3"/>
          <w:sz w:val="16"/>
          <w:szCs w:val="16"/>
        </w:rPr>
        <w:t> </w:t>
      </w:r>
      <w:r>
        <w:rPr>
          <w:color w:val="0D0D0D" w:themeColor="text1" w:themeTint="F2"/>
          <w:sz w:val="16"/>
          <w:szCs w:val="16"/>
        </w:rPr>
        <w:t>64</w:t>
      </w:r>
      <w:r>
        <w:rPr>
          <w:rFonts w:cs="Arial"/>
          <w:color w:val="0D0D0D" w:themeColor="text1" w:themeTint="F2"/>
          <w:spacing w:val="-3"/>
          <w:sz w:val="16"/>
          <w:szCs w:val="16"/>
        </w:rPr>
        <w:t> </w:t>
      </w:r>
      <w:r>
        <w:rPr>
          <w:color w:val="0D0D0D" w:themeColor="text1" w:themeTint="F2"/>
          <w:sz w:val="16"/>
          <w:szCs w:val="16"/>
        </w:rPr>
        <w:t>%. Útlum byl z velké části plošný, a to jak z hlediska typu zařízení, tak i regionu ubytování. I po uvolnění většiny bariér spojených s přeshraničním pohybem osob zůstával příjezdový cestovní ruch v ČR nadále z velké části ochromen. V červnu činil meziroční pokles všech přenocování 60 %, z toho u zahraničních návštěvníků 90 %.</w:t>
      </w:r>
    </w:p>
  </w:footnote>
  <w:footnote w:id="29">
    <w:p w14:paraId="2AA75B38" w14:textId="77777777" w:rsidR="004A0D0E" w:rsidRDefault="004A0D0E" w:rsidP="004A0D0E">
      <w:pPr>
        <w:spacing w:after="0" w:line="240" w:lineRule="auto"/>
      </w:pPr>
      <w:r w:rsidRPr="000F615E">
        <w:rPr>
          <w:rStyle w:val="Znakapoznpodarou"/>
          <w:color w:val="0D0D0D" w:themeColor="text1" w:themeTint="F2"/>
          <w:sz w:val="16"/>
          <w:szCs w:val="16"/>
        </w:rPr>
        <w:footnoteRef/>
      </w:r>
      <w:r w:rsidRPr="000F615E">
        <w:rPr>
          <w:color w:val="0D0D0D" w:themeColor="text1" w:themeTint="F2"/>
          <w:sz w:val="16"/>
          <w:szCs w:val="16"/>
        </w:rPr>
        <w:t xml:space="preserve"> Všechna meziroční tempa tržeb za maloobchod jsou uvedena ve stálých cenách a očištěna o kalendářní vlivy, mezičtvrtletní tempa jsou očištěna o sezónní vlivy (včetně vlivu počtu pracovních dnů).</w:t>
      </w:r>
      <w:r>
        <w:rPr>
          <w:color w:val="0D0D0D" w:themeColor="text1" w:themeTint="F2"/>
          <w:sz w:val="16"/>
          <w:szCs w:val="16"/>
        </w:rPr>
        <w:t xml:space="preserve"> Maloobchod zahrnuje odvětví CZ</w:t>
      </w:r>
      <w:r>
        <w:rPr>
          <w:color w:val="0D0D0D" w:themeColor="text1" w:themeTint="F2"/>
          <w:sz w:val="16"/>
          <w:szCs w:val="16"/>
        </w:rPr>
        <w:noBreakHyphen/>
        <w:t>NACE 47.</w:t>
      </w:r>
    </w:p>
  </w:footnote>
  <w:footnote w:id="30">
    <w:p w14:paraId="7163416B" w14:textId="77777777" w:rsidR="004A0D0E" w:rsidRDefault="004A0D0E" w:rsidP="004A0D0E">
      <w:pPr>
        <w:spacing w:after="0" w:line="240" w:lineRule="auto"/>
      </w:pPr>
      <w:r w:rsidRPr="000F615E">
        <w:rPr>
          <w:rStyle w:val="Znakapoznpodarou"/>
          <w:color w:val="0D0D0D" w:themeColor="text1" w:themeTint="F2"/>
          <w:sz w:val="16"/>
          <w:szCs w:val="16"/>
        </w:rPr>
        <w:footnoteRef/>
      </w:r>
      <w:r>
        <w:rPr>
          <w:color w:val="0D0D0D" w:themeColor="text1" w:themeTint="F2"/>
          <w:sz w:val="16"/>
          <w:szCs w:val="16"/>
        </w:rPr>
        <w:t xml:space="preserve"> V březnu propadly maloobchodní tržby meziměsíčně o 10,5 %, v dubnu o dalších 1,8 %. V následujících třech měsících již tržby rostly a v červenci se vrátily na úroveň před pandemií.</w:t>
      </w:r>
    </w:p>
  </w:footnote>
  <w:footnote w:id="31">
    <w:p w14:paraId="3B498098" w14:textId="77777777" w:rsidR="008F509F" w:rsidRPr="00EA508F" w:rsidRDefault="008F509F" w:rsidP="008F509F">
      <w:pPr>
        <w:pStyle w:val="Textpoznpodarou"/>
        <w:rPr>
          <w:sz w:val="16"/>
          <w:szCs w:val="16"/>
        </w:rPr>
      </w:pPr>
      <w:r w:rsidRPr="00EA508F">
        <w:rPr>
          <w:rStyle w:val="Znakapoznpodarou"/>
          <w:sz w:val="16"/>
          <w:szCs w:val="16"/>
        </w:rPr>
        <w:footnoteRef/>
      </w:r>
      <w:r w:rsidRPr="00EA508F">
        <w:rPr>
          <w:sz w:val="16"/>
          <w:szCs w:val="16"/>
        </w:rPr>
        <w:t xml:space="preserve"> Podíl exportu do Velké Británie na celkové hodnotě vývozu činil ve 2.</w:t>
      </w:r>
      <w:r>
        <w:rPr>
          <w:sz w:val="16"/>
          <w:szCs w:val="16"/>
        </w:rPr>
        <w:t> čtvrtlet</w:t>
      </w:r>
      <w:r w:rsidRPr="00EA508F">
        <w:rPr>
          <w:sz w:val="16"/>
          <w:szCs w:val="16"/>
        </w:rPr>
        <w:t>í 2016 5,2</w:t>
      </w:r>
      <w:r>
        <w:rPr>
          <w:sz w:val="16"/>
          <w:szCs w:val="16"/>
        </w:rPr>
        <w:t> %</w:t>
      </w:r>
      <w:r w:rsidRPr="00EA508F">
        <w:rPr>
          <w:sz w:val="16"/>
          <w:szCs w:val="16"/>
        </w:rPr>
        <w:t>. Ve 2.</w:t>
      </w:r>
      <w:r>
        <w:rPr>
          <w:sz w:val="16"/>
          <w:szCs w:val="16"/>
        </w:rPr>
        <w:t> čtvrtlet</w:t>
      </w:r>
      <w:r w:rsidRPr="00EA508F">
        <w:rPr>
          <w:sz w:val="16"/>
          <w:szCs w:val="16"/>
        </w:rPr>
        <w:t>í 2020 to byl</w:t>
      </w:r>
      <w:r>
        <w:rPr>
          <w:sz w:val="16"/>
          <w:szCs w:val="16"/>
        </w:rPr>
        <w:t>a</w:t>
      </w:r>
      <w:r w:rsidRPr="00EA508F">
        <w:rPr>
          <w:sz w:val="16"/>
          <w:szCs w:val="16"/>
        </w:rPr>
        <w:t xml:space="preserve"> 3,2</w:t>
      </w:r>
      <w:r>
        <w:rPr>
          <w:sz w:val="16"/>
          <w:szCs w:val="16"/>
        </w:rPr>
        <w:t> %</w:t>
      </w:r>
      <w:r w:rsidRPr="00EA508F">
        <w:rPr>
          <w:sz w:val="16"/>
          <w:szCs w:val="16"/>
        </w:rPr>
        <w:t>.</w:t>
      </w:r>
      <w:r>
        <w:rPr>
          <w:sz w:val="16"/>
          <w:szCs w:val="16"/>
        </w:rPr>
        <w:t xml:space="preserve"> Za rok 2019 podíl činil 4,2 %.</w:t>
      </w:r>
    </w:p>
  </w:footnote>
  <w:footnote w:id="32">
    <w:p w14:paraId="1FACD65F" w14:textId="77777777" w:rsidR="00295E96" w:rsidRDefault="00295E96" w:rsidP="00295E96">
      <w:pPr>
        <w:pStyle w:val="Textpoznpodarou"/>
        <w:rPr>
          <w:sz w:val="16"/>
          <w:szCs w:val="16"/>
        </w:rPr>
      </w:pPr>
      <w:r>
        <w:rPr>
          <w:rStyle w:val="Znakapoznpodarou"/>
        </w:rPr>
        <w:footnoteRef/>
      </w:r>
      <w:r>
        <w:rPr>
          <w:sz w:val="16"/>
          <w:szCs w:val="16"/>
        </w:rPr>
        <w:t xml:space="preserve"> Měřeno deflátorem HDP.</w:t>
      </w:r>
    </w:p>
  </w:footnote>
  <w:footnote w:id="33">
    <w:p w14:paraId="44A8AAB1" w14:textId="77777777" w:rsidR="00295E96" w:rsidRDefault="00295E96" w:rsidP="00295E96">
      <w:pPr>
        <w:pStyle w:val="Textpoznpodarou"/>
        <w:rPr>
          <w:sz w:val="16"/>
          <w:szCs w:val="16"/>
        </w:rPr>
      </w:pPr>
      <w:r>
        <w:rPr>
          <w:rStyle w:val="Znakapoznpodarou"/>
        </w:rPr>
        <w:footnoteRef/>
      </w:r>
      <w:r>
        <w:rPr>
          <w:sz w:val="16"/>
          <w:szCs w:val="16"/>
        </w:rPr>
        <w:t xml:space="preserve"> Podle harmonizovaného indexu spotřebitelských cen. Ten se může metodicky i číselně lišit od publikovaných národních výsledků.</w:t>
      </w:r>
    </w:p>
  </w:footnote>
  <w:footnote w:id="34">
    <w:p w14:paraId="15A91A46" w14:textId="77777777" w:rsidR="00295E96" w:rsidRDefault="00295E96" w:rsidP="00295E96">
      <w:pPr>
        <w:pStyle w:val="Textpoznpodarou"/>
        <w:rPr>
          <w:sz w:val="16"/>
          <w:szCs w:val="16"/>
        </w:rPr>
      </w:pPr>
      <w:r>
        <w:rPr>
          <w:rStyle w:val="Znakapoznpodarou"/>
        </w:rPr>
        <w:footnoteRef/>
      </w:r>
      <w:r>
        <w:rPr>
          <w:sz w:val="16"/>
          <w:szCs w:val="16"/>
        </w:rPr>
        <w:t xml:space="preserve"> Individuální data.</w:t>
      </w:r>
    </w:p>
  </w:footnote>
  <w:footnote w:id="35">
    <w:p w14:paraId="1361BE55" w14:textId="77777777" w:rsidR="00295E96" w:rsidRDefault="00295E96" w:rsidP="00295E96">
      <w:pPr>
        <w:pStyle w:val="Textpoznpodarou"/>
        <w:rPr>
          <w:sz w:val="16"/>
          <w:szCs w:val="16"/>
        </w:rPr>
      </w:pPr>
      <w:r>
        <w:rPr>
          <w:rStyle w:val="Znakapoznpodarou"/>
        </w:rPr>
        <w:footnoteRef/>
      </w:r>
      <w:r>
        <w:rPr>
          <w:sz w:val="16"/>
          <w:szCs w:val="16"/>
        </w:rPr>
        <w:t xml:space="preserve"> SITC 6 – tržní výrobky tříděné hlavně podle materiálu.</w:t>
      </w:r>
    </w:p>
  </w:footnote>
  <w:footnote w:id="36">
    <w:p w14:paraId="27CF809F" w14:textId="77777777" w:rsidR="00295E96" w:rsidRDefault="00295E96" w:rsidP="00295E96">
      <w:pPr>
        <w:pStyle w:val="Textpoznpodarou"/>
        <w:rPr>
          <w:sz w:val="16"/>
          <w:szCs w:val="16"/>
        </w:rPr>
      </w:pPr>
      <w:r>
        <w:rPr>
          <w:rStyle w:val="Znakapoznpodarou"/>
        </w:rPr>
        <w:footnoteRef/>
      </w:r>
      <w:r>
        <w:rPr>
          <w:sz w:val="16"/>
          <w:szCs w:val="16"/>
        </w:rPr>
        <w:t xml:space="preserve"> SITC 2 – suroviny nepoživatelné s výjimkou paliv.</w:t>
      </w:r>
    </w:p>
  </w:footnote>
  <w:footnote w:id="37">
    <w:p w14:paraId="2D94A3CA"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Pokud není uvedeno jinak, jsou v této kapitole údaje o</w:t>
      </w:r>
      <w:r>
        <w:rPr>
          <w:spacing w:val="-4"/>
          <w:sz w:val="16"/>
          <w:szCs w:val="16"/>
        </w:rPr>
        <w:t> </w:t>
      </w:r>
      <w:r w:rsidRPr="00363D19">
        <w:rPr>
          <w:spacing w:val="-4"/>
          <w:sz w:val="16"/>
          <w:szCs w:val="16"/>
        </w:rPr>
        <w:t>zaměstnanosti uvedeny v pojetí národních účtů po očištění o</w:t>
      </w:r>
      <w:r>
        <w:rPr>
          <w:spacing w:val="-4"/>
          <w:sz w:val="16"/>
          <w:szCs w:val="16"/>
        </w:rPr>
        <w:t> </w:t>
      </w:r>
      <w:r w:rsidRPr="00363D19">
        <w:rPr>
          <w:spacing w:val="-4"/>
          <w:sz w:val="16"/>
          <w:szCs w:val="16"/>
        </w:rPr>
        <w:t>sezónní vlivy.</w:t>
      </w:r>
    </w:p>
  </w:footnote>
  <w:footnote w:id="38">
    <w:p w14:paraId="3A5C4451"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Např. v letech 2009 a 2010 trval pokles zaměstnanosti pět čtvrtletí (v úhrnu činil –3,8 %), v období 1997 až 1999 dokonce deset čtvrtletí (–5,1 %).</w:t>
      </w:r>
    </w:p>
  </w:footnote>
  <w:footnote w:id="39">
    <w:p w14:paraId="00B5994B"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w:t>
      </w:r>
      <w:r w:rsidRPr="00A917E8">
        <w:rPr>
          <w:spacing w:val="-5"/>
          <w:sz w:val="16"/>
          <w:szCs w:val="16"/>
        </w:rPr>
        <w:t>Situace v jednotlivých odvětvích byla ale rozdílná. Ve zpracovatelském průmyslu a</w:t>
      </w:r>
      <w:r>
        <w:rPr>
          <w:spacing w:val="-5"/>
          <w:sz w:val="16"/>
          <w:szCs w:val="16"/>
        </w:rPr>
        <w:t> </w:t>
      </w:r>
      <w:r w:rsidRPr="00A917E8">
        <w:rPr>
          <w:spacing w:val="-5"/>
          <w:sz w:val="16"/>
          <w:szCs w:val="16"/>
        </w:rPr>
        <w:t>v uskupení obchod, doprava, ubytování a</w:t>
      </w:r>
      <w:r>
        <w:rPr>
          <w:spacing w:val="-5"/>
          <w:sz w:val="16"/>
          <w:szCs w:val="16"/>
        </w:rPr>
        <w:t> </w:t>
      </w:r>
      <w:r w:rsidRPr="00A917E8">
        <w:rPr>
          <w:spacing w:val="-5"/>
          <w:sz w:val="16"/>
          <w:szCs w:val="16"/>
        </w:rPr>
        <w:t>pohostinství došlo shodně k 7% poklesu. Naopak v</w:t>
      </w:r>
      <w:r>
        <w:rPr>
          <w:spacing w:val="-5"/>
          <w:sz w:val="16"/>
          <w:szCs w:val="16"/>
        </w:rPr>
        <w:t> </w:t>
      </w:r>
      <w:r w:rsidRPr="00A917E8">
        <w:rPr>
          <w:spacing w:val="-5"/>
          <w:sz w:val="16"/>
          <w:szCs w:val="16"/>
        </w:rPr>
        <w:t>informačních i</w:t>
      </w:r>
      <w:r>
        <w:rPr>
          <w:spacing w:val="-5"/>
          <w:sz w:val="16"/>
          <w:szCs w:val="16"/>
        </w:rPr>
        <w:t> </w:t>
      </w:r>
      <w:r w:rsidRPr="00A917E8">
        <w:rPr>
          <w:spacing w:val="-5"/>
          <w:sz w:val="16"/>
          <w:szCs w:val="16"/>
        </w:rPr>
        <w:t>komunikačních činnostech vzrostl počet podnikatelů o</w:t>
      </w:r>
      <w:r>
        <w:rPr>
          <w:spacing w:val="-5"/>
          <w:sz w:val="16"/>
          <w:szCs w:val="16"/>
        </w:rPr>
        <w:t> </w:t>
      </w:r>
      <w:r w:rsidRPr="00A917E8">
        <w:rPr>
          <w:spacing w:val="-5"/>
          <w:sz w:val="16"/>
          <w:szCs w:val="16"/>
        </w:rPr>
        <w:t>šestinu, vyšší byl i</w:t>
      </w:r>
      <w:r>
        <w:rPr>
          <w:spacing w:val="-5"/>
          <w:sz w:val="16"/>
          <w:szCs w:val="16"/>
        </w:rPr>
        <w:t> </w:t>
      </w:r>
      <w:r w:rsidRPr="00A917E8">
        <w:rPr>
          <w:spacing w:val="-5"/>
          <w:sz w:val="16"/>
          <w:szCs w:val="16"/>
        </w:rPr>
        <w:t>ve stavebnictví (+1,5</w:t>
      </w:r>
      <w:r>
        <w:rPr>
          <w:spacing w:val="-5"/>
          <w:sz w:val="16"/>
          <w:szCs w:val="16"/>
        </w:rPr>
        <w:t> %</w:t>
      </w:r>
      <w:r w:rsidRPr="00A917E8">
        <w:rPr>
          <w:spacing w:val="-5"/>
          <w:sz w:val="16"/>
          <w:szCs w:val="16"/>
        </w:rPr>
        <w:t>).</w:t>
      </w:r>
    </w:p>
  </w:footnote>
  <w:footnote w:id="40">
    <w:p w14:paraId="51C678C2"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Nejvíce byli takto postiženi drobní podnikatelé v ubytování, stravování a pohostinství (94 % subjektů v tomto odvětví), ve vzdělávání (95 %), kulturních, zábavních a rekreačních činnostech (74 %) či v ostatních činnostech služeb (86 %), kam patří např. kadeřnictví či o</w:t>
      </w:r>
      <w:r w:rsidRPr="00ED0A83">
        <w:rPr>
          <w:spacing w:val="-4"/>
          <w:sz w:val="16"/>
          <w:szCs w:val="16"/>
        </w:rPr>
        <w:t xml:space="preserve">pravy výrobků pro osobní </w:t>
      </w:r>
      <w:r>
        <w:rPr>
          <w:spacing w:val="-4"/>
          <w:sz w:val="16"/>
          <w:szCs w:val="16"/>
        </w:rPr>
        <w:t>potřebu. Významné bylo zasažení i ve dvou mezi podnikateli nejčetněji zastoupených odvětvích – stavebnictví (56 %) a obchodu (66 %).</w:t>
      </w:r>
    </w:p>
  </w:footnote>
  <w:footnote w:id="41">
    <w:p w14:paraId="46139241" w14:textId="77777777" w:rsidR="006769C6" w:rsidRPr="004E68B1" w:rsidRDefault="006769C6" w:rsidP="006769C6">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Všechny údaje o nezaměstnanosti vycházejí z Výběrového šetření pracovních sil.</w:t>
      </w:r>
    </w:p>
  </w:footnote>
  <w:footnote w:id="42">
    <w:p w14:paraId="77DE9C81" w14:textId="77777777" w:rsidR="006769C6" w:rsidRPr="004E68B1" w:rsidRDefault="006769C6" w:rsidP="006769C6">
      <w:pPr>
        <w:pStyle w:val="Textpoznpodarou"/>
        <w:jc w:val="both"/>
        <w:rPr>
          <w:spacing w:val="-3"/>
          <w:sz w:val="16"/>
          <w:szCs w:val="16"/>
        </w:rPr>
      </w:pPr>
      <w:r w:rsidRPr="004E68B1">
        <w:rPr>
          <w:rStyle w:val="Znakapoznpodarou"/>
          <w:spacing w:val="-3"/>
          <w:sz w:val="16"/>
          <w:szCs w:val="16"/>
        </w:rPr>
        <w:footnoteRef/>
      </w:r>
      <w:r>
        <w:rPr>
          <w:spacing w:val="-3"/>
          <w:sz w:val="16"/>
          <w:szCs w:val="16"/>
        </w:rPr>
        <w:t xml:space="preserve"> Celkové čerpání dávek ošetřovného činilo letos od března od července 9,1 mld. korun, ve stejném období loňského roku jen 0,6 mld.</w:t>
      </w:r>
    </w:p>
  </w:footnote>
  <w:footnote w:id="43">
    <w:p w14:paraId="3226F959" w14:textId="77777777" w:rsidR="006769C6" w:rsidRPr="005074AD" w:rsidRDefault="006769C6" w:rsidP="006769C6">
      <w:pPr>
        <w:pStyle w:val="Textpoznpodarou"/>
        <w:jc w:val="both"/>
        <w:rPr>
          <w:spacing w:val="-4"/>
          <w:sz w:val="16"/>
          <w:szCs w:val="16"/>
        </w:rPr>
      </w:pPr>
      <w:r w:rsidRPr="005074AD">
        <w:rPr>
          <w:rStyle w:val="Znakapoznpodarou"/>
          <w:spacing w:val="-4"/>
          <w:sz w:val="16"/>
          <w:szCs w:val="16"/>
        </w:rPr>
        <w:footnoteRef/>
      </w:r>
      <w:r w:rsidRPr="005074AD">
        <w:rPr>
          <w:spacing w:val="-4"/>
          <w:sz w:val="16"/>
          <w:szCs w:val="16"/>
        </w:rPr>
        <w:t xml:space="preserve"> Dle údajů z konju</w:t>
      </w:r>
      <w:r>
        <w:rPr>
          <w:spacing w:val="-4"/>
          <w:sz w:val="16"/>
          <w:szCs w:val="16"/>
        </w:rPr>
        <w:t>n</w:t>
      </w:r>
      <w:r w:rsidRPr="005074AD">
        <w:rPr>
          <w:spacing w:val="-4"/>
          <w:sz w:val="16"/>
          <w:szCs w:val="16"/>
        </w:rPr>
        <w:t xml:space="preserve">kturálních průzkumů vykázali </w:t>
      </w:r>
      <w:r>
        <w:rPr>
          <w:spacing w:val="-4"/>
          <w:sz w:val="16"/>
          <w:szCs w:val="16"/>
        </w:rPr>
        <w:t>v </w:t>
      </w:r>
      <w:r w:rsidRPr="005074AD">
        <w:rPr>
          <w:spacing w:val="-4"/>
          <w:sz w:val="16"/>
          <w:szCs w:val="16"/>
        </w:rPr>
        <w:t>srpnu 2020 vyšší než průměrné saldo (+47</w:t>
      </w:r>
      <w:r>
        <w:rPr>
          <w:spacing w:val="-4"/>
          <w:sz w:val="16"/>
          <w:szCs w:val="16"/>
        </w:rPr>
        <w:t> p. b.</w:t>
      </w:r>
      <w:r w:rsidRPr="005074AD">
        <w:rPr>
          <w:spacing w:val="-4"/>
          <w:sz w:val="16"/>
          <w:szCs w:val="16"/>
        </w:rPr>
        <w:t>) např. lidé s vyšším stupněm vzdělání, ve věku 50</w:t>
      </w:r>
      <w:r>
        <w:rPr>
          <w:spacing w:val="-4"/>
          <w:sz w:val="16"/>
          <w:szCs w:val="16"/>
        </w:rPr>
        <w:t> </w:t>
      </w:r>
      <w:r w:rsidRPr="005074AD">
        <w:rPr>
          <w:spacing w:val="-4"/>
          <w:sz w:val="16"/>
          <w:szCs w:val="16"/>
        </w:rPr>
        <w:t>až 64</w:t>
      </w:r>
      <w:r>
        <w:rPr>
          <w:spacing w:val="-4"/>
          <w:sz w:val="16"/>
          <w:szCs w:val="16"/>
        </w:rPr>
        <w:t> </w:t>
      </w:r>
      <w:r w:rsidRPr="005074AD">
        <w:rPr>
          <w:spacing w:val="-4"/>
          <w:sz w:val="16"/>
          <w:szCs w:val="16"/>
        </w:rPr>
        <w:t>let či pracující ve</w:t>
      </w:r>
      <w:r>
        <w:rPr>
          <w:spacing w:val="-4"/>
          <w:sz w:val="16"/>
          <w:szCs w:val="16"/>
        </w:rPr>
        <w:t xml:space="preserve"> </w:t>
      </w:r>
      <w:r w:rsidRPr="005074AD">
        <w:rPr>
          <w:spacing w:val="-4"/>
          <w:sz w:val="16"/>
          <w:szCs w:val="16"/>
        </w:rPr>
        <w:t>třídách dle klasifikace ISCO 1</w:t>
      </w:r>
      <w:r>
        <w:rPr>
          <w:spacing w:val="-4"/>
          <w:sz w:val="16"/>
          <w:szCs w:val="16"/>
        </w:rPr>
        <w:t>–</w:t>
      </w:r>
      <w:r w:rsidRPr="005074AD">
        <w:rPr>
          <w:spacing w:val="-4"/>
          <w:sz w:val="16"/>
          <w:szCs w:val="16"/>
        </w:rPr>
        <w:t>5</w:t>
      </w:r>
      <w:r>
        <w:rPr>
          <w:spacing w:val="-4"/>
          <w:sz w:val="16"/>
          <w:szCs w:val="16"/>
        </w:rPr>
        <w:t xml:space="preserve"> </w:t>
      </w:r>
      <w:r w:rsidRPr="005074AD">
        <w:rPr>
          <w:spacing w:val="-4"/>
          <w:sz w:val="16"/>
          <w:szCs w:val="16"/>
        </w:rPr>
        <w:t>(řídící pracovníci, specialisté, techničtí a</w:t>
      </w:r>
      <w:r>
        <w:rPr>
          <w:spacing w:val="-4"/>
          <w:sz w:val="16"/>
          <w:szCs w:val="16"/>
        </w:rPr>
        <w:t> </w:t>
      </w:r>
      <w:r w:rsidRPr="005074AD">
        <w:rPr>
          <w:spacing w:val="-4"/>
          <w:sz w:val="16"/>
          <w:szCs w:val="16"/>
        </w:rPr>
        <w:t>odborní pracovníci, úředníci, pracovníci ve službách i</w:t>
      </w:r>
      <w:r>
        <w:rPr>
          <w:spacing w:val="-4"/>
          <w:sz w:val="16"/>
          <w:szCs w:val="16"/>
        </w:rPr>
        <w:t> </w:t>
      </w:r>
      <w:r w:rsidRPr="005074AD">
        <w:rPr>
          <w:spacing w:val="-4"/>
          <w:sz w:val="16"/>
          <w:szCs w:val="16"/>
        </w:rPr>
        <w:t>obchodu). Vyšší očekávání nezaměstnanosti nemusí nutně znamenat očekávání zhoršení finanční situace dané osoby či domácnosti.</w:t>
      </w:r>
    </w:p>
  </w:footnote>
  <w:footnote w:id="44">
    <w:p w14:paraId="1C38A82C"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To platilo např. i o Japonsku. Naopak v USA reagoval trh práce velmi prudce. Zatímco v březnu zde dosahovala nezaměstnanost 4,4 %, v dubnu akcelerovala na 14,7 %. V dalších měsících došlo k mírné korekci, ale i tak přesahovala červnová hodnota 11 % a byla tak o více než 1 p. b. nad úrovní vrcholu recese z let 2009 až 2010.</w:t>
      </w:r>
    </w:p>
  </w:footnote>
  <w:footnote w:id="45">
    <w:p w14:paraId="4498557C"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Týká se osob ve věku 15–74 let, všechny údaje o nezaměstnanosti vyjadřují skutečnost po sezónním očištění.</w:t>
      </w:r>
    </w:p>
  </w:footnote>
  <w:footnote w:id="46">
    <w:p w14:paraId="2314440D"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Vysoké úrovně dosahuje dlouhodobě také v Řecku, za které se nejaktuálnější letošní údaj vztahuje ke květnu (37,5 %).</w:t>
      </w:r>
    </w:p>
  </w:footnote>
  <w:footnote w:id="47">
    <w:p w14:paraId="5B835D92"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Dle údajů VŠPS šlo o 3,9 mil. obyvatel (ve věku 15 až 74 let), kteří měli ve 4. čtvrtletí 2019 práci a v následujícím čtvrtletí se řadili mezi neaktivní. Toky mezi neaktivitou a nezaměstnaností byly ve stejném období téměř vyrovnané (3,2, resp. 3,3 mil.). Vazby mezi zaměstnaností a nezaměstnaností vyznívaly na počátku roku ještě mírně ve prospěch zaměstnaných (+0,4 mil.), jak však zřetelně indikovaly první odhady z národních účtů, ve 2. čtvrtletí došlo v EU k prudkému poklesu počtu zaměstnaných (meziročně i mezičtvrtletně o bezmála 3 %).</w:t>
      </w:r>
    </w:p>
  </w:footnote>
  <w:footnote w:id="48">
    <w:p w14:paraId="59A98261"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připravené nastoupit do zaměstnání, které ale práci aktivně nehledají, dále o lidi, co práci hledají, ale nejsou schopni do 14 dnů do ní nastoupit (čímž nesplňují podmínku zařazení mezi nezaměstnané), a konečně také o tzv. podzaměstnané, tj. o ty, co práci sice mají, ale nedobrovolně pracují na zkrácený úvazek (např. z důvodu nedostatku práce u svého zaměstnavatele).</w:t>
      </w:r>
    </w:p>
  </w:footnote>
  <w:footnote w:id="49">
    <w:p w14:paraId="56FBA2FF"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Šlo o důsledek přesunu výplat nenárokových složek mezd u části vysokopříjmových pracovníků za účelem daňové optimalizace.</w:t>
      </w:r>
    </w:p>
  </w:footnote>
  <w:footnote w:id="50">
    <w:p w14:paraId="0EA8EFB9"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Podnikům postiženým dopady koronavirové krize přispíval za splnění určitých podmínek (např. zachování pracovních míst) na mzdy zaměstnanců částečně stát (program Antivirus). Tyto náhrady mezd čerpali lidé z titulu překážek v práci v souvislosti s pandemií. Naopak osoby, které nepracovaly z důvodu pobírání ošetřovného či nařízené karantény, pobíraly transfery od státu, které metodicky nejsou součástí mezd (jejich čerpání tak působilo proti růstu průměrných mezd).</w:t>
      </w:r>
    </w:p>
  </w:footnote>
  <w:footnote w:id="51">
    <w:p w14:paraId="020152F2"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Průměrná mzda se zde ve 2. čtvrtletí snižovala mírněji (o 1,3 %). To souvisí mj. s tím, že zhruba polovina zaměstnanců v tomto odvětví náleží do tzv. platové sféry, a jejich odměňování je tak navázané na veřejné rozpočty.</w:t>
      </w:r>
    </w:p>
  </w:footnote>
  <w:footnote w:id="52">
    <w:p w14:paraId="07D7AD03"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Počet zaměstnanců zde v 1. pololetí 2020 klesl meziročně o 12 %, obdobně jako v krizovém roce 2009.</w:t>
      </w:r>
    </w:p>
  </w:footnote>
  <w:footnote w:id="53">
    <w:p w14:paraId="6BBC2645" w14:textId="77777777" w:rsidR="00E1168B" w:rsidRDefault="00E1168B" w:rsidP="00AB75C5">
      <w:pPr>
        <w:pStyle w:val="Textpoznpodarou"/>
        <w:rPr>
          <w:sz w:val="16"/>
          <w:szCs w:val="16"/>
        </w:rPr>
      </w:pPr>
      <w:r>
        <w:rPr>
          <w:rStyle w:val="Znakapoznpodarou"/>
          <w:sz w:val="16"/>
          <w:szCs w:val="16"/>
        </w:rPr>
        <w:footnoteRef/>
      </w:r>
      <w:r>
        <w:rPr>
          <w:sz w:val="16"/>
          <w:szCs w:val="16"/>
        </w:rPr>
        <w:t xml:space="preserve"> Není</w:t>
      </w:r>
      <w:r>
        <w:rPr>
          <w:sz w:val="16"/>
          <w:szCs w:val="16"/>
        </w:rPr>
        <w:noBreakHyphen/>
        <w:t>li uvedeno jinak, je zdrojem údajů v této kapitole databáze ARAD České národní banky. Hodnoty směnných kurzů jsou rovněž převzaty od ČNB.</w:t>
      </w:r>
    </w:p>
  </w:footnote>
  <w:footnote w:id="54">
    <w:p w14:paraId="61AF81C2" w14:textId="77777777" w:rsidR="00E42054" w:rsidRPr="006E08B8" w:rsidRDefault="00E42054" w:rsidP="00E42054">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w:t>
      </w:r>
      <w:r w:rsidRPr="006E08B8">
        <w:rPr>
          <w:color w:val="0D0D0D" w:themeColor="text1" w:themeTint="F2"/>
          <w:spacing w:val="-2"/>
          <w:sz w:val="16"/>
          <w:szCs w:val="16"/>
        </w:rPr>
        <w:t xml:space="preserve">Pokud není uvedeno jinak, vycházejí všechny údaje týkající se státního rozpočtu </w:t>
      </w:r>
      <w:r w:rsidRPr="006E08B8">
        <w:rPr>
          <w:rFonts w:cs="Arial"/>
          <w:color w:val="0D0D0D" w:themeColor="text1" w:themeTint="F2"/>
          <w:spacing w:val="-2"/>
          <w:sz w:val="16"/>
          <w:szCs w:val="16"/>
        </w:rPr>
        <w:t>z dat Ministerstva financí o pokladním plnění.</w:t>
      </w:r>
    </w:p>
  </w:footnote>
  <w:footnote w:id="55">
    <w:p w14:paraId="2511DFCC" w14:textId="77777777" w:rsidR="00E42054" w:rsidRPr="006E08B8" w:rsidRDefault="00E42054" w:rsidP="00E42054">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Tento deficit ve výši 40</w:t>
      </w:r>
      <w:r>
        <w:rPr>
          <w:spacing w:val="-2"/>
          <w:sz w:val="16"/>
          <w:szCs w:val="16"/>
        </w:rPr>
        <w:t> mld.</w:t>
      </w:r>
      <w:r w:rsidRPr="006E08B8">
        <w:rPr>
          <w:spacing w:val="-2"/>
          <w:sz w:val="16"/>
          <w:szCs w:val="16"/>
        </w:rPr>
        <w:t xml:space="preserve"> korun vycházel ze zákona o státním rozpočtu ČR (schváleného 4. prosince 2019). </w:t>
      </w:r>
      <w:r w:rsidRPr="006E08B8">
        <w:rPr>
          <w:color w:val="0D0D0D" w:themeColor="text1" w:themeTint="F2"/>
          <w:spacing w:val="-2"/>
          <w:sz w:val="16"/>
          <w:szCs w:val="16"/>
        </w:rPr>
        <w:t>V průběhu března a dubna 2020 byly schváleny zákony počíta</w:t>
      </w:r>
      <w:r>
        <w:rPr>
          <w:color w:val="0D0D0D" w:themeColor="text1" w:themeTint="F2"/>
          <w:spacing w:val="-2"/>
          <w:sz w:val="16"/>
          <w:szCs w:val="16"/>
        </w:rPr>
        <w:t xml:space="preserve">jící s prohloubením deficitu </w:t>
      </w:r>
      <w:r w:rsidRPr="006E08B8">
        <w:rPr>
          <w:color w:val="0D0D0D" w:themeColor="text1" w:themeTint="F2"/>
          <w:spacing w:val="-2"/>
          <w:sz w:val="16"/>
          <w:szCs w:val="16"/>
        </w:rPr>
        <w:t>na</w:t>
      </w:r>
      <w:r>
        <w:rPr>
          <w:color w:val="0D0D0D" w:themeColor="text1" w:themeTint="F2"/>
          <w:spacing w:val="-2"/>
          <w:sz w:val="16"/>
          <w:szCs w:val="16"/>
        </w:rPr>
        <w:t xml:space="preserve"> 200, resp. </w:t>
      </w:r>
      <w:r w:rsidRPr="006E08B8">
        <w:rPr>
          <w:color w:val="0D0D0D" w:themeColor="text1" w:themeTint="F2"/>
          <w:spacing w:val="-2"/>
          <w:sz w:val="16"/>
          <w:szCs w:val="16"/>
        </w:rPr>
        <w:t>300 mld., na počátku červe</w:t>
      </w:r>
      <w:r>
        <w:rPr>
          <w:color w:val="0D0D0D" w:themeColor="text1" w:themeTint="F2"/>
          <w:spacing w:val="-2"/>
          <w:sz w:val="16"/>
          <w:szCs w:val="16"/>
        </w:rPr>
        <w:t>nce byl schválen schodek 500 mld.</w:t>
      </w:r>
    </w:p>
  </w:footnote>
  <w:footnote w:id="56">
    <w:p w14:paraId="39C3534D" w14:textId="77777777" w:rsidR="00E42054" w:rsidRPr="006E08B8" w:rsidRDefault="00E42054" w:rsidP="00E42054">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Šlo hlavně o</w:t>
      </w:r>
      <w:r>
        <w:rPr>
          <w:spacing w:val="-2"/>
          <w:sz w:val="16"/>
          <w:szCs w:val="16"/>
        </w:rPr>
        <w:t> </w:t>
      </w:r>
      <w:r w:rsidRPr="006E08B8">
        <w:rPr>
          <w:spacing w:val="-2"/>
          <w:sz w:val="16"/>
          <w:szCs w:val="16"/>
        </w:rPr>
        <w:t>prominutí červnové zálohy na daň z</w:t>
      </w:r>
      <w:r>
        <w:rPr>
          <w:spacing w:val="-2"/>
          <w:sz w:val="16"/>
          <w:szCs w:val="16"/>
        </w:rPr>
        <w:t> </w:t>
      </w:r>
      <w:r w:rsidRPr="006E08B8">
        <w:rPr>
          <w:spacing w:val="-2"/>
          <w:sz w:val="16"/>
          <w:szCs w:val="16"/>
        </w:rPr>
        <w:t>příjmu fyzických (FO) i</w:t>
      </w:r>
      <w:r>
        <w:rPr>
          <w:spacing w:val="-2"/>
          <w:sz w:val="16"/>
          <w:szCs w:val="16"/>
        </w:rPr>
        <w:t> </w:t>
      </w:r>
      <w:r w:rsidRPr="006E08B8">
        <w:rPr>
          <w:spacing w:val="-2"/>
          <w:sz w:val="16"/>
          <w:szCs w:val="16"/>
        </w:rPr>
        <w:t>právnických osob (PO), o</w:t>
      </w:r>
      <w:r>
        <w:rPr>
          <w:spacing w:val="-2"/>
          <w:sz w:val="16"/>
          <w:szCs w:val="16"/>
        </w:rPr>
        <w:t> </w:t>
      </w:r>
      <w:r w:rsidRPr="006E08B8">
        <w:rPr>
          <w:spacing w:val="-2"/>
          <w:sz w:val="16"/>
          <w:szCs w:val="16"/>
        </w:rPr>
        <w:t>možnost posunu lhůty pro podání přiznání k</w:t>
      </w:r>
      <w:r>
        <w:rPr>
          <w:spacing w:val="-2"/>
          <w:sz w:val="16"/>
          <w:szCs w:val="16"/>
        </w:rPr>
        <w:t> </w:t>
      </w:r>
      <w:r w:rsidRPr="006E08B8">
        <w:rPr>
          <w:spacing w:val="-2"/>
          <w:sz w:val="16"/>
          <w:szCs w:val="16"/>
        </w:rPr>
        <w:t>dani z</w:t>
      </w:r>
      <w:r>
        <w:rPr>
          <w:spacing w:val="-2"/>
          <w:sz w:val="16"/>
          <w:szCs w:val="16"/>
        </w:rPr>
        <w:t> </w:t>
      </w:r>
      <w:r w:rsidRPr="006E08B8">
        <w:rPr>
          <w:spacing w:val="-2"/>
          <w:sz w:val="16"/>
          <w:szCs w:val="16"/>
        </w:rPr>
        <w:t>příjmů FO a</w:t>
      </w:r>
      <w:r>
        <w:rPr>
          <w:spacing w:val="-2"/>
          <w:sz w:val="16"/>
          <w:szCs w:val="16"/>
        </w:rPr>
        <w:t> </w:t>
      </w:r>
      <w:r w:rsidRPr="006E08B8">
        <w:rPr>
          <w:spacing w:val="-2"/>
          <w:sz w:val="16"/>
          <w:szCs w:val="16"/>
        </w:rPr>
        <w:t>PO za rok 2019 a</w:t>
      </w:r>
      <w:r>
        <w:rPr>
          <w:spacing w:val="-2"/>
          <w:sz w:val="16"/>
          <w:szCs w:val="16"/>
        </w:rPr>
        <w:t> </w:t>
      </w:r>
      <w:r w:rsidRPr="006E08B8">
        <w:rPr>
          <w:spacing w:val="-2"/>
          <w:sz w:val="16"/>
          <w:szCs w:val="16"/>
        </w:rPr>
        <w:t>jejího zaplacení až 18.</w:t>
      </w:r>
      <w:r>
        <w:rPr>
          <w:spacing w:val="-2"/>
          <w:sz w:val="16"/>
          <w:szCs w:val="16"/>
        </w:rPr>
        <w:t> </w:t>
      </w:r>
      <w:r w:rsidRPr="006E08B8">
        <w:rPr>
          <w:spacing w:val="-2"/>
          <w:sz w:val="16"/>
          <w:szCs w:val="16"/>
        </w:rPr>
        <w:t>srpna</w:t>
      </w:r>
      <w:r>
        <w:rPr>
          <w:spacing w:val="-2"/>
          <w:sz w:val="16"/>
          <w:szCs w:val="16"/>
        </w:rPr>
        <w:t>, vyplacené kompenzační bonusy (zejm. OSVČ)</w:t>
      </w:r>
      <w:r w:rsidRPr="006E08B8">
        <w:rPr>
          <w:spacing w:val="-2"/>
          <w:sz w:val="16"/>
          <w:szCs w:val="16"/>
        </w:rPr>
        <w:t xml:space="preserve"> a</w:t>
      </w:r>
      <w:r>
        <w:rPr>
          <w:spacing w:val="-2"/>
          <w:sz w:val="16"/>
          <w:szCs w:val="16"/>
        </w:rPr>
        <w:t> </w:t>
      </w:r>
      <w:r w:rsidRPr="006E08B8">
        <w:rPr>
          <w:spacing w:val="-2"/>
          <w:sz w:val="16"/>
          <w:szCs w:val="16"/>
        </w:rPr>
        <w:t>dále také o</w:t>
      </w:r>
      <w:r>
        <w:rPr>
          <w:spacing w:val="-2"/>
          <w:sz w:val="16"/>
          <w:szCs w:val="16"/>
        </w:rPr>
        <w:t> </w:t>
      </w:r>
      <w:r w:rsidRPr="006E08B8">
        <w:rPr>
          <w:spacing w:val="-2"/>
          <w:sz w:val="16"/>
          <w:szCs w:val="16"/>
        </w:rPr>
        <w:t xml:space="preserve">posečkání </w:t>
      </w:r>
      <w:r>
        <w:rPr>
          <w:spacing w:val="-2"/>
          <w:sz w:val="16"/>
          <w:szCs w:val="16"/>
        </w:rPr>
        <w:t>s </w:t>
      </w:r>
      <w:r w:rsidRPr="006E08B8">
        <w:rPr>
          <w:spacing w:val="-2"/>
          <w:sz w:val="16"/>
          <w:szCs w:val="16"/>
        </w:rPr>
        <w:t>část</w:t>
      </w:r>
      <w:r>
        <w:rPr>
          <w:spacing w:val="-2"/>
          <w:sz w:val="16"/>
          <w:szCs w:val="16"/>
        </w:rPr>
        <w:t>í</w:t>
      </w:r>
      <w:r w:rsidRPr="006E08B8">
        <w:rPr>
          <w:spacing w:val="-2"/>
          <w:sz w:val="16"/>
          <w:szCs w:val="16"/>
        </w:rPr>
        <w:t xml:space="preserve"> plateb u</w:t>
      </w:r>
      <w:r>
        <w:rPr>
          <w:spacing w:val="-2"/>
          <w:sz w:val="16"/>
          <w:szCs w:val="16"/>
        </w:rPr>
        <w:t> </w:t>
      </w:r>
      <w:r w:rsidRPr="006E08B8">
        <w:rPr>
          <w:spacing w:val="-2"/>
          <w:sz w:val="16"/>
          <w:szCs w:val="16"/>
        </w:rPr>
        <w:t>DPH. Dle odhadu MF vedly výše uvedené úpravy ke snížení celostátního daňového inkasa z</w:t>
      </w:r>
      <w:r>
        <w:rPr>
          <w:spacing w:val="-2"/>
          <w:sz w:val="16"/>
          <w:szCs w:val="16"/>
        </w:rPr>
        <w:t>a 1. pololetí o 53 mld.</w:t>
      </w:r>
      <w:r w:rsidRPr="006E08B8">
        <w:rPr>
          <w:spacing w:val="-2"/>
          <w:sz w:val="16"/>
          <w:szCs w:val="16"/>
        </w:rPr>
        <w:t xml:space="preserve"> korun.</w:t>
      </w:r>
    </w:p>
  </w:footnote>
  <w:footnote w:id="57">
    <w:p w14:paraId="155F81AC" w14:textId="77777777" w:rsidR="00E42054" w:rsidRPr="006E08B8" w:rsidRDefault="00E42054" w:rsidP="00E42054">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Jednalo se zejména o</w:t>
      </w:r>
      <w:r>
        <w:rPr>
          <w:spacing w:val="-2"/>
          <w:sz w:val="16"/>
          <w:szCs w:val="16"/>
        </w:rPr>
        <w:t> </w:t>
      </w:r>
      <w:r w:rsidRPr="006E08B8">
        <w:rPr>
          <w:spacing w:val="-2"/>
          <w:sz w:val="16"/>
          <w:szCs w:val="16"/>
        </w:rPr>
        <w:t>pravidelnou hromadnou dopravu, teplo,</w:t>
      </w:r>
      <w:r>
        <w:rPr>
          <w:spacing w:val="-2"/>
          <w:sz w:val="16"/>
          <w:szCs w:val="16"/>
        </w:rPr>
        <w:t xml:space="preserve"> chlazený vzduch</w:t>
      </w:r>
      <w:r w:rsidRPr="006E08B8">
        <w:rPr>
          <w:spacing w:val="-2"/>
          <w:sz w:val="16"/>
          <w:szCs w:val="16"/>
        </w:rPr>
        <w:t xml:space="preserve"> a</w:t>
      </w:r>
      <w:r>
        <w:rPr>
          <w:spacing w:val="-2"/>
          <w:sz w:val="16"/>
          <w:szCs w:val="16"/>
        </w:rPr>
        <w:t> </w:t>
      </w:r>
      <w:r w:rsidRPr="006E08B8">
        <w:rPr>
          <w:spacing w:val="-2"/>
          <w:sz w:val="16"/>
          <w:szCs w:val="16"/>
        </w:rPr>
        <w:t>také stravovací služby.</w:t>
      </w:r>
    </w:p>
  </w:footnote>
  <w:footnote w:id="58">
    <w:p w14:paraId="0BFE6F04" w14:textId="77777777" w:rsidR="00E42054" w:rsidRPr="00E847B6" w:rsidRDefault="00E42054" w:rsidP="00E42054">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w:t>
      </w:r>
      <w:r w:rsidRPr="006E08B8">
        <w:rPr>
          <w:spacing w:val="-4"/>
          <w:sz w:val="16"/>
          <w:szCs w:val="16"/>
        </w:rPr>
        <w:t>V dubnu klesla spotřeba motorové nafty meziročně o</w:t>
      </w:r>
      <w:r>
        <w:rPr>
          <w:spacing w:val="-4"/>
          <w:sz w:val="16"/>
          <w:szCs w:val="16"/>
        </w:rPr>
        <w:t> </w:t>
      </w:r>
      <w:r w:rsidRPr="006E08B8">
        <w:rPr>
          <w:spacing w:val="-4"/>
          <w:sz w:val="16"/>
          <w:szCs w:val="16"/>
        </w:rPr>
        <w:t>pětinu, u</w:t>
      </w:r>
      <w:r>
        <w:rPr>
          <w:spacing w:val="-4"/>
          <w:sz w:val="16"/>
          <w:szCs w:val="16"/>
        </w:rPr>
        <w:t> </w:t>
      </w:r>
      <w:r w:rsidRPr="006E08B8">
        <w:rPr>
          <w:spacing w:val="-4"/>
          <w:sz w:val="16"/>
          <w:szCs w:val="16"/>
        </w:rPr>
        <w:t>motorového benz</w:t>
      </w:r>
      <w:r>
        <w:rPr>
          <w:spacing w:val="-4"/>
          <w:sz w:val="16"/>
          <w:szCs w:val="16"/>
        </w:rPr>
        <w:t>i</w:t>
      </w:r>
      <w:r w:rsidRPr="006E08B8">
        <w:rPr>
          <w:spacing w:val="-4"/>
          <w:sz w:val="16"/>
          <w:szCs w:val="16"/>
        </w:rPr>
        <w:t xml:space="preserve">nu </w:t>
      </w:r>
      <w:r>
        <w:rPr>
          <w:spacing w:val="-4"/>
          <w:sz w:val="16"/>
          <w:szCs w:val="16"/>
        </w:rPr>
        <w:t xml:space="preserve">dokonce </w:t>
      </w:r>
      <w:r w:rsidRPr="006E08B8">
        <w:rPr>
          <w:spacing w:val="-4"/>
          <w:sz w:val="16"/>
          <w:szCs w:val="16"/>
        </w:rPr>
        <w:t>o</w:t>
      </w:r>
      <w:r>
        <w:rPr>
          <w:spacing w:val="-4"/>
          <w:sz w:val="16"/>
          <w:szCs w:val="16"/>
        </w:rPr>
        <w:t> </w:t>
      </w:r>
      <w:r w:rsidRPr="006E08B8">
        <w:rPr>
          <w:spacing w:val="-4"/>
          <w:sz w:val="16"/>
          <w:szCs w:val="16"/>
        </w:rPr>
        <w:t>třetinu. Květnový pokles se zmírnil na 9</w:t>
      </w:r>
      <w:r>
        <w:rPr>
          <w:spacing w:val="-4"/>
          <w:sz w:val="16"/>
          <w:szCs w:val="16"/>
        </w:rPr>
        <w:t> %</w:t>
      </w:r>
      <w:r w:rsidRPr="006E08B8">
        <w:rPr>
          <w:spacing w:val="-4"/>
          <w:sz w:val="16"/>
          <w:szCs w:val="16"/>
        </w:rPr>
        <w:t>, resp. 19</w:t>
      </w:r>
      <w:r>
        <w:rPr>
          <w:spacing w:val="-4"/>
          <w:sz w:val="16"/>
          <w:szCs w:val="16"/>
        </w:rPr>
        <w:t> %, u leteckého petroleje se ale nebývalý propad dále prohloubil (ze 73 % na 89 %). Za první dva měsíce roku 2020 přitom spotřeba všech hlavních ropných produktů rostla (např. motorová nafta +1,8 %, motorový benzin +0,4 %).</w:t>
      </w:r>
    </w:p>
  </w:footnote>
  <w:footnote w:id="59">
    <w:p w14:paraId="3AF5A387" w14:textId="77777777" w:rsidR="00E42054" w:rsidRPr="007F5302" w:rsidRDefault="00E42054" w:rsidP="00E42054">
      <w:pPr>
        <w:pStyle w:val="Textpoznpodarou"/>
        <w:jc w:val="both"/>
        <w:rPr>
          <w:sz w:val="16"/>
          <w:szCs w:val="16"/>
        </w:rPr>
      </w:pPr>
      <w:r w:rsidRPr="007F5302">
        <w:rPr>
          <w:rStyle w:val="Znakapoznpodarou"/>
          <w:sz w:val="16"/>
          <w:szCs w:val="16"/>
        </w:rPr>
        <w:footnoteRef/>
      </w:r>
      <w:r w:rsidRPr="007F5302">
        <w:rPr>
          <w:sz w:val="16"/>
          <w:szCs w:val="16"/>
        </w:rPr>
        <w:t xml:space="preserve"> </w:t>
      </w:r>
      <w:r>
        <w:rPr>
          <w:color w:val="0D0D0D" w:themeColor="text1" w:themeTint="F2"/>
          <w:sz w:val="16"/>
          <w:szCs w:val="16"/>
        </w:rPr>
        <w:t>V rámci 1. pololetí rostly v období po roce 2000 celkové rozpočtové výdaje nejvíce v roce 2008 (meziročně o 12,5 %), kdy ovšem byly doprovázeny vysokou inflací (meziroční růst spotřebitelských cen za celý rok 2008 činil 6,3 %).</w:t>
      </w:r>
    </w:p>
  </w:footnote>
  <w:footnote w:id="60">
    <w:p w14:paraId="7C8F38EC" w14:textId="77777777" w:rsidR="00E42054" w:rsidRPr="007F5302" w:rsidRDefault="00E42054" w:rsidP="00E42054">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Za 1. pololetí 2020 šlo</w:t>
      </w:r>
      <w:r>
        <w:rPr>
          <w:color w:val="0D0D0D" w:themeColor="text1" w:themeTint="F2"/>
          <w:sz w:val="16"/>
          <w:szCs w:val="16"/>
        </w:rPr>
        <w:t xml:space="preserve"> hlavně o program Antivirus (13,6 mld. korun), ošetřovné pro zaměstnance a OSVČ (7,9 mld.), n</w:t>
      </w:r>
      <w:r w:rsidRPr="00070A5B">
        <w:rPr>
          <w:color w:val="0D0D0D" w:themeColor="text1" w:themeTint="F2"/>
          <w:sz w:val="16"/>
          <w:szCs w:val="16"/>
        </w:rPr>
        <w:t>ákup och</w:t>
      </w:r>
      <w:r>
        <w:rPr>
          <w:color w:val="0D0D0D" w:themeColor="text1" w:themeTint="F2"/>
          <w:sz w:val="16"/>
          <w:szCs w:val="16"/>
        </w:rPr>
        <w:t>ranných prostředků a jiné výdaje</w:t>
      </w:r>
      <w:r w:rsidRPr="00070A5B">
        <w:rPr>
          <w:color w:val="0D0D0D" w:themeColor="text1" w:themeTint="F2"/>
          <w:sz w:val="16"/>
          <w:szCs w:val="16"/>
        </w:rPr>
        <w:t xml:space="preserve"> v</w:t>
      </w:r>
      <w:r>
        <w:rPr>
          <w:color w:val="0D0D0D" w:themeColor="text1" w:themeTint="F2"/>
          <w:sz w:val="16"/>
          <w:szCs w:val="16"/>
        </w:rPr>
        <w:t> </w:t>
      </w:r>
      <w:r w:rsidRPr="00070A5B">
        <w:rPr>
          <w:color w:val="0D0D0D" w:themeColor="text1" w:themeTint="F2"/>
          <w:sz w:val="16"/>
          <w:szCs w:val="16"/>
        </w:rPr>
        <w:t>souvislosti s</w:t>
      </w:r>
      <w:r>
        <w:rPr>
          <w:color w:val="0D0D0D" w:themeColor="text1" w:themeTint="F2"/>
          <w:sz w:val="16"/>
          <w:szCs w:val="16"/>
        </w:rPr>
        <w:t> covid-19 (9,6 mld.), oddlužení vybraných nemocnic (6,6 mld.) a z</w:t>
      </w:r>
      <w:r w:rsidRPr="00043651">
        <w:rPr>
          <w:color w:val="0D0D0D" w:themeColor="text1" w:themeTint="F2"/>
          <w:sz w:val="16"/>
          <w:szCs w:val="16"/>
        </w:rPr>
        <w:t>výšení platby státu za státního pojištěnce</w:t>
      </w:r>
      <w:r>
        <w:rPr>
          <w:color w:val="0D0D0D" w:themeColor="text1" w:themeTint="F2"/>
          <w:sz w:val="16"/>
          <w:szCs w:val="16"/>
        </w:rPr>
        <w:t xml:space="preserve"> (3,0 mld.).</w:t>
      </w:r>
    </w:p>
  </w:footnote>
  <w:footnote w:id="61">
    <w:p w14:paraId="1D87AF7F" w14:textId="77777777" w:rsidR="00E42054" w:rsidRPr="007F5302" w:rsidRDefault="00E42054" w:rsidP="00E42054">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To se negativně projevilo v citelném meziročním prohloubení deficitu nemocenského pojištění (z –1,5 mld. korun na –13,0 mld. korun). Ten byl za 1. pololetí 2020 dokonce větší než u důchodového pojištění.</w:t>
      </w:r>
    </w:p>
  </w:footnote>
  <w:footnote w:id="62">
    <w:p w14:paraId="7964550E" w14:textId="77777777" w:rsidR="00E42054" w:rsidRPr="007F5302" w:rsidRDefault="00E42054" w:rsidP="00E42054">
      <w:pPr>
        <w:pStyle w:val="Textpoznpodarou"/>
        <w:jc w:val="both"/>
        <w:rPr>
          <w:sz w:val="16"/>
          <w:szCs w:val="16"/>
        </w:rPr>
      </w:pPr>
      <w:r w:rsidRPr="007F5302">
        <w:rPr>
          <w:rStyle w:val="Znakapoznpodarou"/>
          <w:sz w:val="16"/>
          <w:szCs w:val="16"/>
        </w:rPr>
        <w:footnoteRef/>
      </w:r>
      <w:r w:rsidRPr="007F5302">
        <w:rPr>
          <w:sz w:val="16"/>
          <w:szCs w:val="16"/>
        </w:rPr>
        <w:t xml:space="preserve"> </w:t>
      </w:r>
      <w:r w:rsidRPr="00674C95">
        <w:rPr>
          <w:color w:val="0D0D0D" w:themeColor="text1" w:themeTint="F2"/>
          <w:spacing w:val="-2"/>
          <w:sz w:val="16"/>
          <w:szCs w:val="16"/>
        </w:rPr>
        <w:t>Podíl nezaměstnaných uchazečů (na populaci v produktivním věku) činil na konci června 3,7</w:t>
      </w:r>
      <w:r>
        <w:rPr>
          <w:color w:val="0D0D0D" w:themeColor="text1" w:themeTint="F2"/>
          <w:spacing w:val="-2"/>
          <w:sz w:val="16"/>
          <w:szCs w:val="16"/>
        </w:rPr>
        <w:t> %</w:t>
      </w:r>
      <w:r w:rsidRPr="00674C95">
        <w:rPr>
          <w:color w:val="0D0D0D" w:themeColor="text1" w:themeTint="F2"/>
          <w:spacing w:val="-2"/>
          <w:sz w:val="16"/>
          <w:szCs w:val="16"/>
        </w:rPr>
        <w:t xml:space="preserve"> a</w:t>
      </w:r>
      <w:r>
        <w:rPr>
          <w:color w:val="0D0D0D" w:themeColor="text1" w:themeTint="F2"/>
          <w:spacing w:val="-2"/>
          <w:sz w:val="16"/>
          <w:szCs w:val="16"/>
        </w:rPr>
        <w:t> </w:t>
      </w:r>
      <w:r w:rsidRPr="00674C95">
        <w:rPr>
          <w:color w:val="0D0D0D" w:themeColor="text1" w:themeTint="F2"/>
          <w:spacing w:val="-2"/>
          <w:sz w:val="16"/>
          <w:szCs w:val="16"/>
        </w:rPr>
        <w:t>meziročně se zvýšil o</w:t>
      </w:r>
      <w:r>
        <w:rPr>
          <w:color w:val="0D0D0D" w:themeColor="text1" w:themeTint="F2"/>
          <w:spacing w:val="-2"/>
          <w:sz w:val="16"/>
          <w:szCs w:val="16"/>
        </w:rPr>
        <w:t> </w:t>
      </w:r>
      <w:r w:rsidRPr="00674C95">
        <w:rPr>
          <w:color w:val="0D0D0D" w:themeColor="text1" w:themeTint="F2"/>
          <w:spacing w:val="-2"/>
          <w:sz w:val="16"/>
          <w:szCs w:val="16"/>
        </w:rPr>
        <w:t>1,1</w:t>
      </w:r>
      <w:r>
        <w:rPr>
          <w:color w:val="0D0D0D" w:themeColor="text1" w:themeTint="F2"/>
          <w:spacing w:val="-2"/>
          <w:sz w:val="16"/>
          <w:szCs w:val="16"/>
        </w:rPr>
        <w:t> p. b.</w:t>
      </w:r>
      <w:r w:rsidRPr="00674C95">
        <w:rPr>
          <w:color w:val="0D0D0D" w:themeColor="text1" w:themeTint="F2"/>
          <w:spacing w:val="-2"/>
          <w:sz w:val="16"/>
          <w:szCs w:val="16"/>
        </w:rPr>
        <w:t xml:space="preserve"> Počet uchazečů s nárokem na podporu vzrostl ze 68 na 93</w:t>
      </w:r>
      <w:r>
        <w:rPr>
          <w:color w:val="0D0D0D" w:themeColor="text1" w:themeTint="F2"/>
          <w:spacing w:val="-2"/>
          <w:sz w:val="16"/>
          <w:szCs w:val="16"/>
        </w:rPr>
        <w:t> </w:t>
      </w:r>
      <w:r w:rsidRPr="00674C95">
        <w:rPr>
          <w:color w:val="0D0D0D" w:themeColor="text1" w:themeTint="F2"/>
          <w:spacing w:val="-2"/>
          <w:sz w:val="16"/>
          <w:szCs w:val="16"/>
        </w:rPr>
        <w:t>tis</w:t>
      </w:r>
      <w:r>
        <w:rPr>
          <w:color w:val="0D0D0D" w:themeColor="text1" w:themeTint="F2"/>
          <w:spacing w:val="-2"/>
          <w:sz w:val="16"/>
          <w:szCs w:val="16"/>
        </w:rPr>
        <w:t>.</w:t>
      </w:r>
      <w:r w:rsidRPr="00674C95">
        <w:rPr>
          <w:color w:val="0D0D0D" w:themeColor="text1" w:themeTint="F2"/>
          <w:spacing w:val="-2"/>
          <w:sz w:val="16"/>
          <w:szCs w:val="16"/>
        </w:rPr>
        <w:t>, jejich podíl na všech nezaměstnaných zůstal po oba poslední roky shodný (35</w:t>
      </w:r>
      <w:r>
        <w:rPr>
          <w:color w:val="0D0D0D" w:themeColor="text1" w:themeTint="F2"/>
          <w:spacing w:val="-2"/>
          <w:sz w:val="16"/>
          <w:szCs w:val="16"/>
        </w:rPr>
        <w:t> %</w:t>
      </w:r>
      <w:r w:rsidRPr="00674C95">
        <w:rPr>
          <w:color w:val="0D0D0D" w:themeColor="text1" w:themeTint="F2"/>
          <w:spacing w:val="-2"/>
          <w:sz w:val="16"/>
          <w:szCs w:val="16"/>
        </w:rPr>
        <w:t>).</w:t>
      </w:r>
    </w:p>
  </w:footnote>
  <w:footnote w:id="63">
    <w:p w14:paraId="191FE396" w14:textId="77777777" w:rsidR="00E42054" w:rsidRPr="007F5302" w:rsidRDefault="00E42054" w:rsidP="00E42054">
      <w:pPr>
        <w:pStyle w:val="Textpoznpodarou"/>
        <w:jc w:val="both"/>
        <w:rPr>
          <w:sz w:val="16"/>
          <w:szCs w:val="16"/>
        </w:rPr>
      </w:pPr>
      <w:r w:rsidRPr="007F5302">
        <w:rPr>
          <w:rStyle w:val="Znakapoznpodarou"/>
          <w:sz w:val="16"/>
          <w:szCs w:val="16"/>
        </w:rPr>
        <w:footnoteRef/>
      </w:r>
      <w:r w:rsidRPr="007F5302">
        <w:rPr>
          <w:sz w:val="16"/>
          <w:szCs w:val="16"/>
        </w:rPr>
        <w:t xml:space="preserve"> </w:t>
      </w:r>
      <w:r>
        <w:rPr>
          <w:color w:val="0D0D0D" w:themeColor="text1" w:themeTint="F2"/>
          <w:sz w:val="16"/>
          <w:szCs w:val="16"/>
        </w:rPr>
        <w:t>Podílel se na tom hlavně vývoj v květnu a červnu 2020, kdy objem podpor vzrostl meziročně o 47 %, resp. 71 %.</w:t>
      </w:r>
    </w:p>
  </w:footnote>
  <w:footnote w:id="64">
    <w:p w14:paraId="776AC1BD" w14:textId="77777777" w:rsidR="00E42054" w:rsidRPr="007F5302" w:rsidRDefault="00E42054" w:rsidP="00E42054">
      <w:pPr>
        <w:pStyle w:val="Textpoznpodarou"/>
        <w:jc w:val="both"/>
        <w:rPr>
          <w:sz w:val="16"/>
          <w:szCs w:val="16"/>
        </w:rPr>
      </w:pPr>
      <w:r w:rsidRPr="007B46E1">
        <w:rPr>
          <w:rStyle w:val="Znakapoznpodarou"/>
          <w:sz w:val="16"/>
          <w:szCs w:val="16"/>
        </w:rPr>
        <w:footnoteRef/>
      </w:r>
      <w:r w:rsidRPr="007B46E1">
        <w:rPr>
          <w:sz w:val="16"/>
          <w:szCs w:val="16"/>
        </w:rPr>
        <w:t xml:space="preserve"> </w:t>
      </w:r>
      <w:r w:rsidRPr="007B46E1">
        <w:rPr>
          <w:color w:val="0D0D0D" w:themeColor="text1" w:themeTint="F2"/>
          <w:sz w:val="16"/>
          <w:szCs w:val="16"/>
        </w:rPr>
        <w:t>Za příznivým výsledkem stál vývoj v 1.</w:t>
      </w:r>
      <w:r>
        <w:rPr>
          <w:color w:val="0D0D0D" w:themeColor="text1" w:themeTint="F2"/>
          <w:sz w:val="16"/>
          <w:szCs w:val="16"/>
        </w:rPr>
        <w:t> čtvrtlet</w:t>
      </w:r>
      <w:r w:rsidRPr="007B46E1">
        <w:rPr>
          <w:color w:val="0D0D0D" w:themeColor="text1" w:themeTint="F2"/>
          <w:sz w:val="16"/>
          <w:szCs w:val="16"/>
        </w:rPr>
        <w:t>í 2020 (–11</w:t>
      </w:r>
      <w:r>
        <w:rPr>
          <w:color w:val="0D0D0D" w:themeColor="text1" w:themeTint="F2"/>
          <w:sz w:val="16"/>
          <w:szCs w:val="16"/>
        </w:rPr>
        <w:t> %</w:t>
      </w:r>
      <w:r w:rsidRPr="007B46E1">
        <w:rPr>
          <w:color w:val="0D0D0D" w:themeColor="text1" w:themeTint="F2"/>
          <w:sz w:val="16"/>
          <w:szCs w:val="16"/>
        </w:rPr>
        <w:t>), ve 2.</w:t>
      </w:r>
      <w:r>
        <w:rPr>
          <w:color w:val="0D0D0D" w:themeColor="text1" w:themeTint="F2"/>
          <w:sz w:val="16"/>
          <w:szCs w:val="16"/>
        </w:rPr>
        <w:t> čtvrtlet</w:t>
      </w:r>
      <w:r w:rsidRPr="007B46E1">
        <w:rPr>
          <w:color w:val="0D0D0D" w:themeColor="text1" w:themeTint="F2"/>
          <w:sz w:val="16"/>
          <w:szCs w:val="16"/>
        </w:rPr>
        <w:t>í již objem nárokovaných dávek meziročně vzrostl (+7</w:t>
      </w:r>
      <w:r>
        <w:rPr>
          <w:color w:val="0D0D0D" w:themeColor="text1" w:themeTint="F2"/>
          <w:sz w:val="16"/>
          <w:szCs w:val="16"/>
        </w:rPr>
        <w:t> %</w:t>
      </w:r>
      <w:r w:rsidRPr="007B46E1">
        <w:rPr>
          <w:color w:val="0D0D0D" w:themeColor="text1" w:themeTint="F2"/>
          <w:sz w:val="16"/>
          <w:szCs w:val="16"/>
        </w:rPr>
        <w:t>)</w:t>
      </w:r>
      <w:r>
        <w:rPr>
          <w:color w:val="0D0D0D" w:themeColor="text1" w:themeTint="F2"/>
          <w:sz w:val="16"/>
          <w:szCs w:val="16"/>
        </w:rPr>
        <w:t>.</w:t>
      </w:r>
    </w:p>
  </w:footnote>
  <w:footnote w:id="65">
    <w:p w14:paraId="55975E1A" w14:textId="77777777" w:rsidR="00E42054" w:rsidRPr="006D61C4" w:rsidRDefault="00E42054" w:rsidP="00E42054">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Základní výměra</w:t>
      </w:r>
      <w:r w:rsidRPr="008274EF">
        <w:rPr>
          <w:color w:val="0D0D0D" w:themeColor="text1" w:themeTint="F2"/>
          <w:spacing w:val="-2"/>
          <w:sz w:val="16"/>
          <w:szCs w:val="16"/>
        </w:rPr>
        <w:t xml:space="preserve"> důchodu </w:t>
      </w:r>
      <w:r>
        <w:rPr>
          <w:color w:val="0D0D0D" w:themeColor="text1" w:themeTint="F2"/>
          <w:spacing w:val="-2"/>
          <w:sz w:val="16"/>
          <w:szCs w:val="16"/>
        </w:rPr>
        <w:t>se zvýšila o 220 korun (3 490 korun), procentní výměra vzrostla o 5,2 % a o dodatečnou částku 151 korun. Dle údajů ČSSZ činil průměrný měsíční starobní důchod (sólo) ve 2. čtvrtletí 14 427 korun, meziročně o 1 019 korun více.</w:t>
      </w:r>
    </w:p>
  </w:footnote>
  <w:footnote w:id="66">
    <w:p w14:paraId="2B0201C2" w14:textId="77777777" w:rsidR="00E42054" w:rsidRPr="006B5B53" w:rsidRDefault="00E42054" w:rsidP="00E42054">
      <w:pPr>
        <w:pStyle w:val="Textpoznpodarou"/>
        <w:jc w:val="both"/>
      </w:pPr>
      <w:r w:rsidRPr="000315DB">
        <w:rPr>
          <w:rStyle w:val="Znakapoznpodarou"/>
          <w:sz w:val="16"/>
          <w:szCs w:val="16"/>
        </w:rPr>
        <w:footnoteRef/>
      </w:r>
      <w:r>
        <w:rPr>
          <w:sz w:val="16"/>
          <w:szCs w:val="16"/>
        </w:rPr>
        <w:t xml:space="preserve"> Šlo o </w:t>
      </w:r>
      <w:r w:rsidRPr="00FD2E24">
        <w:rPr>
          <w:color w:val="0D0D0D" w:themeColor="text1" w:themeTint="F2"/>
          <w:spacing w:val="-2"/>
          <w:sz w:val="16"/>
          <w:szCs w:val="16"/>
        </w:rPr>
        <w:t xml:space="preserve">zrušení minimálních záloh pro OSVČ na sociální pojištění s odhadovaným </w:t>
      </w:r>
      <w:r>
        <w:rPr>
          <w:color w:val="0D0D0D" w:themeColor="text1" w:themeTint="F2"/>
          <w:spacing w:val="-2"/>
          <w:sz w:val="16"/>
          <w:szCs w:val="16"/>
        </w:rPr>
        <w:t>rozpočtovým dopadem ve výši 4,8 mld. korun (dle MF).</w:t>
      </w:r>
    </w:p>
  </w:footnote>
  <w:footnote w:id="67">
    <w:p w14:paraId="070A420D" w14:textId="77777777" w:rsidR="00E42054" w:rsidRPr="006B5B53" w:rsidRDefault="00E42054" w:rsidP="00E42054">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Ve výdajích nejsou zahrnuty prostředky</w:t>
      </w:r>
      <w:r w:rsidRPr="006B5B53">
        <w:rPr>
          <w:rFonts w:cs="Arial"/>
          <w:color w:val="000000" w:themeColor="text1"/>
          <w:spacing w:val="-4"/>
          <w:sz w:val="16"/>
          <w:szCs w:val="16"/>
        </w:rPr>
        <w:t xml:space="preserve"> na správu systému důchodového </w:t>
      </w:r>
      <w:r w:rsidRPr="004D1257">
        <w:rPr>
          <w:rFonts w:cs="Arial"/>
          <w:color w:val="0D0D0D" w:themeColor="text1" w:themeTint="F2"/>
          <w:spacing w:val="-4"/>
          <w:sz w:val="16"/>
          <w:szCs w:val="16"/>
        </w:rPr>
        <w:t>pojištění (</w:t>
      </w:r>
      <w:r>
        <w:rPr>
          <w:rFonts w:cs="Arial"/>
          <w:color w:val="0D0D0D" w:themeColor="text1" w:themeTint="F2"/>
          <w:spacing w:val="-4"/>
          <w:sz w:val="16"/>
          <w:szCs w:val="16"/>
        </w:rPr>
        <w:t>za celý rok</w:t>
      </w:r>
      <w:r w:rsidRPr="004D1257">
        <w:rPr>
          <w:rFonts w:cs="Arial"/>
          <w:color w:val="0D0D0D" w:themeColor="text1" w:themeTint="F2"/>
          <w:spacing w:val="-4"/>
          <w:sz w:val="16"/>
          <w:szCs w:val="16"/>
        </w:rPr>
        <w:t xml:space="preserve"> 2019 dosáhly </w:t>
      </w:r>
      <w:r>
        <w:rPr>
          <w:rFonts w:cs="Arial"/>
          <w:color w:val="000000" w:themeColor="text1"/>
          <w:spacing w:val="-4"/>
          <w:sz w:val="16"/>
          <w:szCs w:val="16"/>
        </w:rPr>
        <w:t>dle údajů MF 6,3</w:t>
      </w:r>
      <w:r w:rsidRPr="006B5B53">
        <w:rPr>
          <w:rFonts w:cs="Arial"/>
          <w:color w:val="000000" w:themeColor="text1"/>
          <w:spacing w:val="-4"/>
          <w:sz w:val="16"/>
          <w:szCs w:val="16"/>
        </w:rPr>
        <w:t> mld. korun).</w:t>
      </w:r>
    </w:p>
  </w:footnote>
  <w:footnote w:id="68">
    <w:p w14:paraId="2F94A6A5" w14:textId="77777777" w:rsidR="00E42054" w:rsidRPr="007F5302" w:rsidRDefault="00E42054" w:rsidP="00E42054">
      <w:pPr>
        <w:pStyle w:val="Textpoznpodarou"/>
        <w:jc w:val="both"/>
        <w:rPr>
          <w:sz w:val="16"/>
          <w:szCs w:val="16"/>
        </w:rPr>
      </w:pPr>
      <w:r w:rsidRPr="007B46E1">
        <w:rPr>
          <w:rStyle w:val="Znakapoznpodarou"/>
          <w:sz w:val="16"/>
          <w:szCs w:val="16"/>
        </w:rPr>
        <w:footnoteRef/>
      </w:r>
      <w:r w:rsidRPr="007B46E1">
        <w:rPr>
          <w:sz w:val="16"/>
          <w:szCs w:val="16"/>
        </w:rPr>
        <w:t xml:space="preserve"> </w:t>
      </w:r>
      <w:r>
        <w:rPr>
          <w:color w:val="0D0D0D" w:themeColor="text1" w:themeTint="F2"/>
          <w:sz w:val="16"/>
          <w:szCs w:val="16"/>
        </w:rPr>
        <w:t>Jejich průměrný roční výnos činil 1,15 %, průměrná doba splatnosti pak 5,5 roku.</w:t>
      </w:r>
    </w:p>
  </w:footnote>
  <w:footnote w:id="69">
    <w:p w14:paraId="74C9CB13" w14:textId="77777777" w:rsidR="00E42054" w:rsidRPr="007F5302" w:rsidRDefault="00E42054" w:rsidP="00E42054">
      <w:pPr>
        <w:pStyle w:val="Textpoznpodarou"/>
        <w:jc w:val="both"/>
        <w:rPr>
          <w:sz w:val="16"/>
          <w:szCs w:val="16"/>
        </w:rPr>
      </w:pPr>
      <w:r w:rsidRPr="007B46E1">
        <w:rPr>
          <w:rStyle w:val="Znakapoznpodarou"/>
          <w:sz w:val="16"/>
          <w:szCs w:val="16"/>
        </w:rPr>
        <w:footnoteRef/>
      </w:r>
      <w:r w:rsidRPr="007B46E1">
        <w:rPr>
          <w:sz w:val="16"/>
          <w:szCs w:val="16"/>
        </w:rPr>
        <w:t xml:space="preserve"> </w:t>
      </w:r>
      <w:r>
        <w:rPr>
          <w:color w:val="0D0D0D" w:themeColor="text1" w:themeTint="F2"/>
          <w:sz w:val="16"/>
          <w:szCs w:val="16"/>
        </w:rPr>
        <w:t>Odpovídá saldu rozpočtové kapitoly Státní dluh (č. 396). Je tvořen čistými úrokovými výdaji a též poplatky.</w:t>
      </w:r>
    </w:p>
  </w:footnote>
  <w:footnote w:id="70">
    <w:p w14:paraId="7C808E83" w14:textId="77777777" w:rsidR="00E42054" w:rsidRPr="00D815C6" w:rsidRDefault="00E42054" w:rsidP="00E42054">
      <w:pPr>
        <w:pStyle w:val="Textpoznpodarou"/>
        <w:rPr>
          <w:color w:val="0D0D0D" w:themeColor="text1" w:themeTint="F2"/>
          <w:spacing w:val="-4"/>
          <w:sz w:val="16"/>
          <w:szCs w:val="16"/>
        </w:rPr>
      </w:pPr>
      <w:r w:rsidRPr="00D815C6">
        <w:rPr>
          <w:rStyle w:val="Znakapoznpodarou"/>
          <w:color w:val="0D0D0D" w:themeColor="text1" w:themeTint="F2"/>
          <w:spacing w:val="-4"/>
          <w:sz w:val="16"/>
          <w:szCs w:val="16"/>
        </w:rPr>
        <w:footnoteRef/>
      </w:r>
      <w:r w:rsidRPr="00D815C6">
        <w:rPr>
          <w:color w:val="0D0D0D" w:themeColor="text1" w:themeTint="F2"/>
          <w:spacing w:val="-4"/>
          <w:sz w:val="16"/>
          <w:szCs w:val="16"/>
        </w:rPr>
        <w:t xml:space="preserve"> </w:t>
      </w:r>
      <w:r w:rsidRPr="00A221B9">
        <w:rPr>
          <w:color w:val="0D0D0D" w:themeColor="text1" w:themeTint="F2"/>
          <w:spacing w:val="-2"/>
          <w:sz w:val="16"/>
          <w:szCs w:val="16"/>
        </w:rPr>
        <w:t>Předběžné údaje o dluhu a deficitu sektoru vládních institucí za 2. čtvrtletí 2020 zveřejní ČSÚ 5. října</w:t>
      </w:r>
      <w:r>
        <w:rPr>
          <w:color w:val="0D0D0D" w:themeColor="text1" w:themeTint="F2"/>
          <w:spacing w:val="-2"/>
          <w:sz w:val="16"/>
          <w:szCs w:val="16"/>
        </w:rPr>
        <w:t>, Eurostat na konci října</w:t>
      </w:r>
      <w:r w:rsidRPr="00A221B9">
        <w:rPr>
          <w:color w:val="0D0D0D" w:themeColor="text1" w:themeTint="F2"/>
          <w:spacing w:val="-2"/>
          <w:sz w:val="16"/>
          <w:szCs w:val="16"/>
        </w:rPr>
        <w:t xml:space="preserve"> 2020.</w:t>
      </w:r>
    </w:p>
  </w:footnote>
  <w:footnote w:id="71">
    <w:p w14:paraId="6AE8261B" w14:textId="77777777" w:rsidR="00E42054" w:rsidRPr="008D3918" w:rsidRDefault="00E42054" w:rsidP="00E42054">
      <w:pPr>
        <w:pStyle w:val="Textpoznpodarou"/>
        <w:rPr>
          <w:color w:val="0D0D0D" w:themeColor="text1" w:themeTint="F2"/>
          <w:spacing w:val="-4"/>
          <w:sz w:val="16"/>
          <w:szCs w:val="16"/>
        </w:rPr>
      </w:pPr>
      <w:r w:rsidRPr="008D3918">
        <w:rPr>
          <w:rStyle w:val="Znakapoznpodarou"/>
          <w:color w:val="0D0D0D" w:themeColor="text1" w:themeTint="F2"/>
          <w:spacing w:val="-4"/>
          <w:sz w:val="16"/>
          <w:szCs w:val="16"/>
        </w:rPr>
        <w:footnoteRef/>
      </w:r>
      <w:r w:rsidRPr="008D3918">
        <w:rPr>
          <w:color w:val="0D0D0D" w:themeColor="text1" w:themeTint="F2"/>
          <w:spacing w:val="-4"/>
          <w:sz w:val="16"/>
          <w:szCs w:val="16"/>
        </w:rPr>
        <w:t xml:space="preserve"> Jde o</w:t>
      </w:r>
      <w:r>
        <w:rPr>
          <w:color w:val="0D0D0D" w:themeColor="text1" w:themeTint="F2"/>
          <w:spacing w:val="-4"/>
          <w:sz w:val="16"/>
          <w:szCs w:val="16"/>
        </w:rPr>
        <w:t> </w:t>
      </w:r>
      <w:r w:rsidRPr="008D3918">
        <w:rPr>
          <w:color w:val="0D0D0D" w:themeColor="text1" w:themeTint="F2"/>
          <w:spacing w:val="-4"/>
          <w:sz w:val="16"/>
          <w:szCs w:val="16"/>
        </w:rPr>
        <w:t>21</w:t>
      </w:r>
      <w:r>
        <w:rPr>
          <w:color w:val="0D0D0D" w:themeColor="text1" w:themeTint="F2"/>
          <w:spacing w:val="-4"/>
          <w:sz w:val="16"/>
          <w:szCs w:val="16"/>
        </w:rPr>
        <w:t> </w:t>
      </w:r>
      <w:r w:rsidRPr="008D3918">
        <w:rPr>
          <w:color w:val="0D0D0D" w:themeColor="text1" w:themeTint="F2"/>
          <w:spacing w:val="-4"/>
          <w:sz w:val="16"/>
          <w:szCs w:val="16"/>
        </w:rPr>
        <w:t>zemí poskytujících údaje v sezónním očištění</w:t>
      </w:r>
      <w:r>
        <w:rPr>
          <w:color w:val="0D0D0D" w:themeColor="text1" w:themeTint="F2"/>
          <w:spacing w:val="-4"/>
          <w:sz w:val="16"/>
          <w:szCs w:val="16"/>
        </w:rPr>
        <w:t>.</w:t>
      </w:r>
      <w:r w:rsidRPr="008D3918">
        <w:rPr>
          <w:color w:val="0D0D0D" w:themeColor="text1" w:themeTint="F2"/>
          <w:spacing w:val="-4"/>
          <w:sz w:val="16"/>
          <w:szCs w:val="16"/>
        </w:rPr>
        <w:t xml:space="preserve"> Z neočištěných dat plyne, že přebytku dosáhly jen </w:t>
      </w:r>
      <w:r>
        <w:rPr>
          <w:color w:val="0D0D0D" w:themeColor="text1" w:themeTint="F2"/>
          <w:spacing w:val="-4"/>
          <w:sz w:val="16"/>
          <w:szCs w:val="16"/>
        </w:rPr>
        <w:t>čtyři státy. Oproti</w:t>
      </w:r>
      <w:r w:rsidRPr="008D3918">
        <w:rPr>
          <w:color w:val="0D0D0D" w:themeColor="text1" w:themeTint="F2"/>
          <w:spacing w:val="-4"/>
          <w:sz w:val="16"/>
          <w:szCs w:val="16"/>
        </w:rPr>
        <w:t> 1.</w:t>
      </w:r>
      <w:r>
        <w:rPr>
          <w:color w:val="0D0D0D" w:themeColor="text1" w:themeTint="F2"/>
          <w:spacing w:val="-4"/>
          <w:sz w:val="16"/>
          <w:szCs w:val="16"/>
        </w:rPr>
        <w:t> čtvrtletí</w:t>
      </w:r>
      <w:r w:rsidRPr="008D3918">
        <w:rPr>
          <w:color w:val="0D0D0D" w:themeColor="text1" w:themeTint="F2"/>
          <w:spacing w:val="-4"/>
          <w:sz w:val="16"/>
          <w:szCs w:val="16"/>
        </w:rPr>
        <w:t xml:space="preserve"> 2019 se saldo zhoršilo</w:t>
      </w:r>
      <w:r>
        <w:rPr>
          <w:color w:val="0D0D0D" w:themeColor="text1" w:themeTint="F2"/>
          <w:spacing w:val="-4"/>
          <w:sz w:val="16"/>
          <w:szCs w:val="16"/>
        </w:rPr>
        <w:t xml:space="preserve"> v celé EU</w:t>
      </w:r>
      <w:r w:rsidRPr="008D3918">
        <w:rPr>
          <w:color w:val="0D0D0D" w:themeColor="text1" w:themeTint="F2"/>
          <w:spacing w:val="-4"/>
          <w:sz w:val="16"/>
          <w:szCs w:val="16"/>
        </w:rPr>
        <w:t xml:space="preserve"> (vyjma Kypr</w:t>
      </w:r>
      <w:r>
        <w:rPr>
          <w:color w:val="0D0D0D" w:themeColor="text1" w:themeTint="F2"/>
          <w:spacing w:val="-4"/>
          <w:sz w:val="16"/>
          <w:szCs w:val="16"/>
        </w:rPr>
        <w:t>u</w:t>
      </w:r>
      <w:r w:rsidRPr="008D3918">
        <w:rPr>
          <w:color w:val="0D0D0D" w:themeColor="text1" w:themeTint="F2"/>
          <w:spacing w:val="-4"/>
          <w:sz w:val="16"/>
          <w:szCs w:val="16"/>
        </w:rPr>
        <w:t xml:space="preserve">). Nejhlubší deficit </w:t>
      </w:r>
      <w:r>
        <w:rPr>
          <w:color w:val="0D0D0D" w:themeColor="text1" w:themeTint="F2"/>
          <w:spacing w:val="-4"/>
          <w:sz w:val="16"/>
          <w:szCs w:val="16"/>
        </w:rPr>
        <w:t xml:space="preserve">(přes 9 % HDP) </w:t>
      </w:r>
      <w:r w:rsidRPr="008D3918">
        <w:rPr>
          <w:color w:val="0D0D0D" w:themeColor="text1" w:themeTint="F2"/>
          <w:spacing w:val="-4"/>
          <w:sz w:val="16"/>
          <w:szCs w:val="16"/>
        </w:rPr>
        <w:t xml:space="preserve">letos </w:t>
      </w:r>
      <w:r>
        <w:rPr>
          <w:color w:val="0D0D0D" w:themeColor="text1" w:themeTint="F2"/>
          <w:spacing w:val="-4"/>
          <w:sz w:val="16"/>
          <w:szCs w:val="16"/>
        </w:rPr>
        <w:t>měly</w:t>
      </w:r>
      <w:r w:rsidRPr="008D3918">
        <w:rPr>
          <w:color w:val="0D0D0D" w:themeColor="text1" w:themeTint="F2"/>
          <w:spacing w:val="-4"/>
          <w:sz w:val="16"/>
          <w:szCs w:val="16"/>
        </w:rPr>
        <w:t xml:space="preserve"> Belgie, Itálie, Malta, </w:t>
      </w:r>
      <w:r>
        <w:rPr>
          <w:color w:val="0D0D0D" w:themeColor="text1" w:themeTint="F2"/>
          <w:spacing w:val="-4"/>
          <w:sz w:val="16"/>
          <w:szCs w:val="16"/>
        </w:rPr>
        <w:t>Rumunsko a </w:t>
      </w:r>
      <w:r w:rsidRPr="008D3918">
        <w:rPr>
          <w:color w:val="0D0D0D" w:themeColor="text1" w:themeTint="F2"/>
          <w:spacing w:val="-4"/>
          <w:sz w:val="16"/>
          <w:szCs w:val="16"/>
        </w:rPr>
        <w:t>Francie.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E1168B" w:rsidRDefault="00E1168B" w:rsidP="00937AE2">
    <w:pPr>
      <w:pStyle w:val="Zhlav"/>
    </w:pPr>
    <w:r>
      <w:t>Vývoj ekonomiky České republiky</w:t>
    </w:r>
  </w:p>
  <w:p w14:paraId="675E4C41" w14:textId="77777777" w:rsidR="00E1168B" w:rsidRPr="006F5416" w:rsidRDefault="00E116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E1168B" w:rsidRDefault="00E1168B" w:rsidP="00937AE2">
    <w:pPr>
      <w:pStyle w:val="Zhlav"/>
    </w:pPr>
    <w:r>
      <w:t>Vývoj ekonomiky České republiky</w:t>
    </w:r>
  </w:p>
  <w:p w14:paraId="0CDCFD48" w14:textId="77777777" w:rsidR="00E1168B" w:rsidRPr="006F5416" w:rsidRDefault="00E116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8FC7F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1A7C"/>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B08"/>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314"/>
    <w:rsid w:val="008C0E88"/>
    <w:rsid w:val="008C1717"/>
    <w:rsid w:val="008C4B50"/>
    <w:rsid w:val="008C5A37"/>
    <w:rsid w:val="008C7569"/>
    <w:rsid w:val="008C79C3"/>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158"/>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444C"/>
    <w:rsid w:val="00E17262"/>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0Q2\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0Q2\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2/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20\Q-makro\1.pololet&#237;%202020\TRH%20PR&#193;CE\Grafy-trh%20pr&#225;ce-rok-2020-1.po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20\Q-makro\1.pololet&#237;%202020\TRH%20PR&#193;CE\Grafy-trh%20pr&#225;ce-rok-2020-1.po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20\Q-makro\1.pololet&#237;%202020\TRH%20PR&#193;CE\Grafy-trh%20pr&#225;ce-rok-2020-1.po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zabojnikova31519\Documents\Anal&#253;za\Q\2020Q2\Makroanal&#253;za%20grafy.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20\Q-makro\1.pololet&#237;%202020\Grafy-st&#225;tn&#237;%20rozpo&#269;et-rok-1-pol-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20\Q-makro\1.pololet&#237;%202020\Grafy-st&#225;tn&#237;%20rozpo&#269;et-rok-1-pol-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0Q2\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0Q2\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nal&#253;za\Q\2020Q2\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1'!$A$17:$B$38</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'souhrnná výkonnost 1'!$C$17:$C$38</c:f>
              <c:numCache>
                <c:formatCode>#,##0.0</c:formatCode>
                <c:ptCount val="22"/>
                <c:pt idx="0">
                  <c:v>5.3541342799457112</c:v>
                </c:pt>
                <c:pt idx="1">
                  <c:v>5.7581302882289123</c:v>
                </c:pt>
                <c:pt idx="2">
                  <c:v>5.6783705866674694</c:v>
                </c:pt>
                <c:pt idx="3">
                  <c:v>5.0736450126825758</c:v>
                </c:pt>
                <c:pt idx="4">
                  <c:v>3.4010325671467712</c:v>
                </c:pt>
                <c:pt idx="5">
                  <c:v>2.318358207366316</c:v>
                </c:pt>
                <c:pt idx="6">
                  <c:v>1.9345991649110346</c:v>
                </c:pt>
                <c:pt idx="7">
                  <c:v>2.1527896621077645</c:v>
                </c:pt>
                <c:pt idx="8">
                  <c:v>3.6789885316907771</c:v>
                </c:pt>
                <c:pt idx="9">
                  <c:v>6.0785986760951261</c:v>
                </c:pt>
                <c:pt idx="10">
                  <c:v>5.8461947005677075</c:v>
                </c:pt>
                <c:pt idx="11">
                  <c:v>5.8135548231886673</c:v>
                </c:pt>
                <c:pt idx="12">
                  <c:v>4.7768084590779267</c:v>
                </c:pt>
                <c:pt idx="13" formatCode="General">
                  <c:v>2.6475743105130789</c:v>
                </c:pt>
                <c:pt idx="14" formatCode="General">
                  <c:v>2.6903360884822547</c:v>
                </c:pt>
                <c:pt idx="15">
                  <c:v>2.5948207201504516</c:v>
                </c:pt>
                <c:pt idx="16">
                  <c:v>2.44933042272271</c:v>
                </c:pt>
                <c:pt idx="17" formatCode="General">
                  <c:v>2.3739064902964344</c:v>
                </c:pt>
                <c:pt idx="18" formatCode="General">
                  <c:v>2.282942447919396</c:v>
                </c:pt>
                <c:pt idx="19" formatCode="General">
                  <c:v>1.9682562537211652</c:v>
                </c:pt>
                <c:pt idx="20" formatCode="General">
                  <c:v>-1.9120655029700089</c:v>
                </c:pt>
                <c:pt idx="21" formatCode="General">
                  <c:v>-10.956231556106871</c:v>
                </c:pt>
              </c:numCache>
            </c:numRef>
          </c:val>
          <c:extLst>
            <c:ext xmlns:c16="http://schemas.microsoft.com/office/drawing/2014/chart" uri="{C3380CC4-5D6E-409C-BE32-E72D297353CC}">
              <c16:uniqueId val="{00000000-D7E6-43A0-AF64-E4142B608FC2}"/>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1'!$A$17:$B$38</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'souhrnná výkonnost 1'!$D$17:$D$38</c:f>
              <c:numCache>
                <c:formatCode>#,##0.0</c:formatCode>
                <c:ptCount val="22"/>
                <c:pt idx="0">
                  <c:v>2.1</c:v>
                </c:pt>
                <c:pt idx="1">
                  <c:v>2.2999999999999998</c:v>
                </c:pt>
                <c:pt idx="2">
                  <c:v>2.2999999999999998</c:v>
                </c:pt>
                <c:pt idx="3">
                  <c:v>2.2999999999999998</c:v>
                </c:pt>
                <c:pt idx="4">
                  <c:v>2</c:v>
                </c:pt>
                <c:pt idx="5">
                  <c:v>1.9</c:v>
                </c:pt>
                <c:pt idx="6">
                  <c:v>1.8</c:v>
                </c:pt>
                <c:pt idx="7">
                  <c:v>2.2000000000000002</c:v>
                </c:pt>
                <c:pt idx="8">
                  <c:v>2.4</c:v>
                </c:pt>
                <c:pt idx="9">
                  <c:v>2.8</c:v>
                </c:pt>
                <c:pt idx="10">
                  <c:v>3.1</c:v>
                </c:pt>
                <c:pt idx="11">
                  <c:v>3.2</c:v>
                </c:pt>
                <c:pt idx="12">
                  <c:v>2.7</c:v>
                </c:pt>
                <c:pt idx="13">
                  <c:v>2.4</c:v>
                </c:pt>
                <c:pt idx="14">
                  <c:v>1.9</c:v>
                </c:pt>
                <c:pt idx="15">
                  <c:v>1.5</c:v>
                </c:pt>
                <c:pt idx="16">
                  <c:v>1.7</c:v>
                </c:pt>
                <c:pt idx="17">
                  <c:v>1.5</c:v>
                </c:pt>
                <c:pt idx="18">
                  <c:v>1.6</c:v>
                </c:pt>
                <c:pt idx="19">
                  <c:v>1.2</c:v>
                </c:pt>
                <c:pt idx="20">
                  <c:v>-2.5</c:v>
                </c:pt>
                <c:pt idx="21">
                  <c:v>-14.1</c:v>
                </c:pt>
              </c:numCache>
            </c:numRef>
          </c:val>
          <c:extLst>
            <c:ext xmlns:c16="http://schemas.microsoft.com/office/drawing/2014/chart" uri="{C3380CC4-5D6E-409C-BE32-E72D297353CC}">
              <c16:uniqueId val="{00000001-D7E6-43A0-AF64-E4142B608FC2}"/>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1'!$A$17:$B$38</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'souhrnná výkonnost 1'!$E$17:$E$38</c:f>
              <c:numCache>
                <c:formatCode>#,##0.0</c:formatCode>
                <c:ptCount val="22"/>
                <c:pt idx="0">
                  <c:v>1.7876510932120624</c:v>
                </c:pt>
                <c:pt idx="1">
                  <c:v>1.4339927833768797</c:v>
                </c:pt>
                <c:pt idx="2">
                  <c:v>1.1102105904154485</c:v>
                </c:pt>
                <c:pt idx="3">
                  <c:v>0.65148104049788458</c:v>
                </c:pt>
                <c:pt idx="4">
                  <c:v>0.16734666768449813</c:v>
                </c:pt>
                <c:pt idx="5">
                  <c:v>0.37191457709397469</c:v>
                </c:pt>
                <c:pt idx="6">
                  <c:v>0.73098287137804618</c:v>
                </c:pt>
                <c:pt idx="7">
                  <c:v>0.86692502979816766</c:v>
                </c:pt>
                <c:pt idx="8">
                  <c:v>1.6638823155019793</c:v>
                </c:pt>
                <c:pt idx="9">
                  <c:v>2.6949837721494561</c:v>
                </c:pt>
                <c:pt idx="10">
                  <c:v>0.51029480450817744</c:v>
                </c:pt>
                <c:pt idx="11">
                  <c:v>0.83582061386817941</c:v>
                </c:pt>
                <c:pt idx="12">
                  <c:v>0.6677938604066469</c:v>
                </c:pt>
                <c:pt idx="13">
                  <c:v>0.60805566706811476</c:v>
                </c:pt>
                <c:pt idx="14">
                  <c:v>0.55216621685197254</c:v>
                </c:pt>
                <c:pt idx="15">
                  <c:v>0.74203018612357141</c:v>
                </c:pt>
                <c:pt idx="16">
                  <c:v>0.52503629070346847</c:v>
                </c:pt>
                <c:pt idx="17" formatCode="General">
                  <c:v>0.53398729433338588</c:v>
                </c:pt>
                <c:pt idx="18" formatCode="General">
                  <c:v>0.46282087659461979</c:v>
                </c:pt>
                <c:pt idx="19" formatCode="General">
                  <c:v>0.43208480015448458</c:v>
                </c:pt>
                <c:pt idx="20" formatCode="General">
                  <c:v>-3.3003648659114049</c:v>
                </c:pt>
                <c:pt idx="21" formatCode="General">
                  <c:v>-8.7357162603014018</c:v>
                </c:pt>
              </c:numCache>
            </c:numRef>
          </c:val>
          <c:smooth val="0"/>
          <c:extLst>
            <c:ext xmlns:c16="http://schemas.microsoft.com/office/drawing/2014/chart" uri="{C3380CC4-5D6E-409C-BE32-E72D297353CC}">
              <c16:uniqueId val="{00000002-D7E6-43A0-AF64-E4142B608FC2}"/>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1'!$A$17:$B$38</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'souhrnná výkonnost 1'!$F$17:$F$38</c:f>
              <c:numCache>
                <c:formatCode>#,##0.0</c:formatCode>
                <c:ptCount val="22"/>
                <c:pt idx="0">
                  <c:v>0.8</c:v>
                </c:pt>
                <c:pt idx="1">
                  <c:v>0.5</c:v>
                </c:pt>
                <c:pt idx="2">
                  <c:v>0.5</c:v>
                </c:pt>
                <c:pt idx="3">
                  <c:v>0.5</c:v>
                </c:pt>
                <c:pt idx="4">
                  <c:v>0.6</c:v>
                </c:pt>
                <c:pt idx="5">
                  <c:v>0.4</c:v>
                </c:pt>
                <c:pt idx="6">
                  <c:v>0.4</c:v>
                </c:pt>
                <c:pt idx="7">
                  <c:v>0.8</c:v>
                </c:pt>
                <c:pt idx="8">
                  <c:v>0.8</c:v>
                </c:pt>
                <c:pt idx="9">
                  <c:v>0.8</c:v>
                </c:pt>
                <c:pt idx="10">
                  <c:v>0.8</c:v>
                </c:pt>
                <c:pt idx="11">
                  <c:v>0.8</c:v>
                </c:pt>
                <c:pt idx="12">
                  <c:v>0.4</c:v>
                </c:pt>
                <c:pt idx="13">
                  <c:v>0.4</c:v>
                </c:pt>
                <c:pt idx="14">
                  <c:v>0.3</c:v>
                </c:pt>
                <c:pt idx="15">
                  <c:v>0.5</c:v>
                </c:pt>
                <c:pt idx="16">
                  <c:v>0.5</c:v>
                </c:pt>
                <c:pt idx="17">
                  <c:v>0.3</c:v>
                </c:pt>
                <c:pt idx="18">
                  <c:v>0.3</c:v>
                </c:pt>
                <c:pt idx="19">
                  <c:v>0.1</c:v>
                </c:pt>
                <c:pt idx="20">
                  <c:v>-3.2</c:v>
                </c:pt>
                <c:pt idx="21">
                  <c:v>-11.7</c:v>
                </c:pt>
              </c:numCache>
            </c:numRef>
          </c:val>
          <c:smooth val="0"/>
          <c:extLst>
            <c:ext xmlns:c16="http://schemas.microsoft.com/office/drawing/2014/chart" uri="{C3380CC4-5D6E-409C-BE32-E72D297353CC}">
              <c16:uniqueId val="{00000003-D7E6-43A0-AF64-E4142B608FC2}"/>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7"/>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1'!$C$18:$C$39</c:f>
              <c:numCache>
                <c:formatCode>General</c:formatCode>
                <c:ptCount val="22"/>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pt idx="21">
                  <c:v>10.200000000000003</c:v>
                </c:pt>
              </c:numCache>
            </c:numRef>
          </c:val>
          <c:extLst>
            <c:ext xmlns:c16="http://schemas.microsoft.com/office/drawing/2014/chart" uri="{C3380CC4-5D6E-409C-BE32-E72D297353CC}">
              <c16:uniqueId val="{00000000-1689-45A3-86DB-E6C0F0C935DC}"/>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1'!$D$18:$D$39</c:f>
              <c:numCache>
                <c:formatCode>General</c:formatCode>
                <c:ptCount val="22"/>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pt idx="21">
                  <c:v>8</c:v>
                </c:pt>
              </c:numCache>
            </c:numRef>
          </c:val>
          <c:extLst>
            <c:ext xmlns:c16="http://schemas.microsoft.com/office/drawing/2014/chart" uri="{C3380CC4-5D6E-409C-BE32-E72D297353CC}">
              <c16:uniqueId val="{00000001-1689-45A3-86DB-E6C0F0C935DC}"/>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1'!$E$18:$E$39</c:f>
              <c:numCache>
                <c:formatCode>0.0</c:formatCode>
                <c:ptCount val="22"/>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9.5238095238095202</c:v>
                </c:pt>
                <c:pt idx="9" formatCode="General">
                  <c:v>9.5278969957081507</c:v>
                </c:pt>
                <c:pt idx="10" formatCode="General">
                  <c:v>12.542087542087534</c:v>
                </c:pt>
                <c:pt idx="11" formatCode="General">
                  <c:v>12.469237079573411</c:v>
                </c:pt>
                <c:pt idx="12" formatCode="General">
                  <c:v>12.801932367149751</c:v>
                </c:pt>
                <c:pt idx="13" formatCode="General">
                  <c:v>12.2257053291536</c:v>
                </c:pt>
                <c:pt idx="14" formatCode="General">
                  <c:v>9.4988780852655328</c:v>
                </c:pt>
                <c:pt idx="15" formatCode="General">
                  <c:v>8.4609773887673203</c:v>
                </c:pt>
                <c:pt idx="16" formatCode="General">
                  <c:v>7.4232690935046435</c:v>
                </c:pt>
                <c:pt idx="17" formatCode="General">
                  <c:v>5.7262569832402361</c:v>
                </c:pt>
                <c:pt idx="18" formatCode="General">
                  <c:v>5.1912568306010893</c:v>
                </c:pt>
                <c:pt idx="19" formatCode="General">
                  <c:v>5.5144586415601999</c:v>
                </c:pt>
                <c:pt idx="20" formatCode="General">
                  <c:v>6.0465116279069733</c:v>
                </c:pt>
                <c:pt idx="21" formatCode="General">
                  <c:v>7.1334214002641891</c:v>
                </c:pt>
              </c:numCache>
            </c:numRef>
          </c:val>
          <c:smooth val="0"/>
          <c:extLst>
            <c:ext xmlns:c16="http://schemas.microsoft.com/office/drawing/2014/chart" uri="{C3380CC4-5D6E-409C-BE32-E72D297353CC}">
              <c16:uniqueId val="{00000002-1689-45A3-86DB-E6C0F0C935DC}"/>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1'!$F$18:$F$39</c:f>
              <c:numCache>
                <c:formatCode>0.0</c:formatCode>
                <c:ptCount val="22"/>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13.636363636363633</c:v>
                </c:pt>
                <c:pt idx="9" formatCode="General">
                  <c:v>14.589905362776037</c:v>
                </c:pt>
                <c:pt idx="10" formatCode="General">
                  <c:v>18.266253869969059</c:v>
                </c:pt>
                <c:pt idx="11" formatCode="General">
                  <c:v>18.773373223635023</c:v>
                </c:pt>
                <c:pt idx="12" formatCode="General">
                  <c:v>15.071428571428566</c:v>
                </c:pt>
                <c:pt idx="13" formatCode="General">
                  <c:v>14.246386785960075</c:v>
                </c:pt>
                <c:pt idx="14" formatCode="General">
                  <c:v>10.732984293193702</c:v>
                </c:pt>
                <c:pt idx="15" formatCode="General">
                  <c:v>8.7531486146095574</c:v>
                </c:pt>
                <c:pt idx="16" formatCode="General">
                  <c:v>8.3178150217256395</c:v>
                </c:pt>
                <c:pt idx="17" formatCode="General">
                  <c:v>4.9397590361445713</c:v>
                </c:pt>
                <c:pt idx="18" formatCode="General">
                  <c:v>3.3096926713948127</c:v>
                </c:pt>
                <c:pt idx="19" formatCode="General">
                  <c:v>2.9530978575564695</c:v>
                </c:pt>
                <c:pt idx="20" formatCode="General">
                  <c:v>3.553008595988532</c:v>
                </c:pt>
                <c:pt idx="21" formatCode="General">
                  <c:v>5.2812858783008139</c:v>
                </c:pt>
              </c:numCache>
            </c:numRef>
          </c:val>
          <c:smooth val="0"/>
          <c:extLst>
            <c:ext xmlns:c16="http://schemas.microsoft.com/office/drawing/2014/chart" uri="{C3380CC4-5D6E-409C-BE32-E72D297353CC}">
              <c16:uniqueId val="{00000003-1689-45A3-86DB-E6C0F0C935DC}"/>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'[Makroanalýza grafy.xlsx]Ceny 4'!$C$5</c:f>
              <c:strCache>
                <c:ptCount val="1"/>
                <c:pt idx="0">
                  <c:v>Celkem</c:v>
                </c:pt>
              </c:strCache>
            </c:strRef>
          </c:tx>
          <c:spPr>
            <a:solidFill>
              <a:schemeClr val="bg1">
                <a:lumMod val="65000"/>
              </a:schemeClr>
            </a:solidFill>
            <a:ln w="19050">
              <a:noFill/>
            </a:ln>
          </c:spPr>
          <c:invertIfNegative val="0"/>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4'!$C$30:$C$95</c:f>
              <c:numCache>
                <c:formatCode>0.0</c:formatCode>
                <c:ptCount val="66"/>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pt idx="63" formatCode="General">
                  <c:v>-0.8</c:v>
                </c:pt>
                <c:pt idx="64" formatCode="General">
                  <c:v>-0.9</c:v>
                </c:pt>
                <c:pt idx="65" formatCode="General">
                  <c:v>-0.3</c:v>
                </c:pt>
              </c:numCache>
            </c:numRef>
          </c:val>
          <c:extLst>
            <c:ext xmlns:c16="http://schemas.microsoft.com/office/drawing/2014/chart" uri="{C3380CC4-5D6E-409C-BE32-E72D297353CC}">
              <c16:uniqueId val="{00000000-E6CE-4035-A690-44763ABA8D64}"/>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'[Makroanalýza grafy.xlsx]Ceny 4'!$D$5</c:f>
              <c:strCache>
                <c:ptCount val="1"/>
                <c:pt idx="0">
                  <c:v>Těžba a dobývání</c:v>
                </c:pt>
              </c:strCache>
            </c:strRef>
          </c:tx>
          <c:spPr>
            <a:ln w="19050">
              <a:solidFill>
                <a:srgbClr val="7DBB2D"/>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4'!$D$30:$D$95</c:f>
              <c:numCache>
                <c:formatCode>0.0</c:formatCode>
                <c:ptCount val="66"/>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pt idx="63" formatCode="General">
                  <c:v>-3.7</c:v>
                </c:pt>
                <c:pt idx="64" formatCode="General">
                  <c:v>-3.1</c:v>
                </c:pt>
                <c:pt idx="65" formatCode="General">
                  <c:v>-3.6</c:v>
                </c:pt>
              </c:numCache>
            </c:numRef>
          </c:val>
          <c:smooth val="0"/>
          <c:extLst>
            <c:ext xmlns:c16="http://schemas.microsoft.com/office/drawing/2014/chart" uri="{C3380CC4-5D6E-409C-BE32-E72D297353CC}">
              <c16:uniqueId val="{00000001-E6CE-4035-A690-44763ABA8D64}"/>
            </c:ext>
          </c:extLst>
        </c:ser>
        <c:ser>
          <c:idx val="2"/>
          <c:order val="2"/>
          <c:tx>
            <c:strRef>
              <c:f>'[Makroanalýza grafy.xlsx]Ceny 4'!$E$5</c:f>
              <c:strCache>
                <c:ptCount val="1"/>
                <c:pt idx="0">
                  <c:v>Zpracovatelský průmysl</c:v>
                </c:pt>
              </c:strCache>
            </c:strRef>
          </c:tx>
          <c:spPr>
            <a:ln w="19050">
              <a:solidFill>
                <a:srgbClr val="BD1B21"/>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4'!$E$30:$E$95</c:f>
              <c:numCache>
                <c:formatCode>0.0</c:formatCode>
                <c:ptCount val="66"/>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pt idx="63" formatCode="General">
                  <c:v>-2.5</c:v>
                </c:pt>
                <c:pt idx="64" formatCode="General">
                  <c:v>-2.6</c:v>
                </c:pt>
                <c:pt idx="65" formatCode="General">
                  <c:v>-1.9</c:v>
                </c:pt>
              </c:numCache>
            </c:numRef>
          </c:val>
          <c:smooth val="0"/>
          <c:extLst>
            <c:ext xmlns:c16="http://schemas.microsoft.com/office/drawing/2014/chart" uri="{C3380CC4-5D6E-409C-BE32-E72D297353CC}">
              <c16:uniqueId val="{00000002-E6CE-4035-A690-44763ABA8D64}"/>
            </c:ext>
          </c:extLst>
        </c:ser>
        <c:ser>
          <c:idx val="3"/>
          <c:order val="3"/>
          <c:tx>
            <c:strRef>
              <c:f>'[Makroanalýza grafy.xlsx]Ceny 4'!$F$5</c:f>
              <c:strCache>
                <c:ptCount val="1"/>
                <c:pt idx="0">
                  <c:v>Elektřina, plyn, pára a klim. vzduch</c:v>
                </c:pt>
              </c:strCache>
            </c:strRef>
          </c:tx>
          <c:spPr>
            <a:ln w="19050">
              <a:solidFill>
                <a:srgbClr val="F8A124"/>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4'!$F$30:$F$95</c:f>
              <c:numCache>
                <c:formatCode>0.0</c:formatCode>
                <c:ptCount val="66"/>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pt idx="63" formatCode="General">
                  <c:v>8.6</c:v>
                </c:pt>
                <c:pt idx="64" formatCode="General">
                  <c:v>8</c:v>
                </c:pt>
                <c:pt idx="65" formatCode="General">
                  <c:v>8</c:v>
                </c:pt>
              </c:numCache>
            </c:numRef>
          </c:val>
          <c:smooth val="0"/>
          <c:extLst>
            <c:ext xmlns:c16="http://schemas.microsoft.com/office/drawing/2014/chart" uri="{C3380CC4-5D6E-409C-BE32-E72D297353CC}">
              <c16:uniqueId val="{00000003-E6CE-4035-A690-44763ABA8D64}"/>
            </c:ext>
          </c:extLst>
        </c:ser>
        <c:ser>
          <c:idx val="4"/>
          <c:order val="4"/>
          <c:tx>
            <c:strRef>
              <c:f>'[Makroanalýza grafy.xlsx]Ceny 4'!$G$5</c:f>
              <c:strCache>
                <c:ptCount val="1"/>
                <c:pt idx="0">
                  <c:v>Zás. vodou; odpadní vody</c:v>
                </c:pt>
              </c:strCache>
            </c:strRef>
          </c:tx>
          <c:spPr>
            <a:ln w="19050">
              <a:solidFill>
                <a:schemeClr val="accent1"/>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4'!$G$30:$G$95</c:f>
              <c:numCache>
                <c:formatCode>General</c:formatCode>
                <c:ptCount val="66"/>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pt idx="63">
                  <c:v>5.4</c:v>
                </c:pt>
                <c:pt idx="64">
                  <c:v>6.4</c:v>
                </c:pt>
                <c:pt idx="65">
                  <c:v>6.4</c:v>
                </c:pt>
              </c:numCache>
            </c:numRef>
          </c:val>
          <c:smooth val="0"/>
          <c:extLst>
            <c:ext xmlns:c16="http://schemas.microsoft.com/office/drawing/2014/chart" uri="{C3380CC4-5D6E-409C-BE32-E72D297353CC}">
              <c16:uniqueId val="{00000004-E6CE-4035-A690-44763ABA8D64}"/>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02628046343551E-2"/>
          <c:y val="1.6549886621315374E-2"/>
          <c:w val="0.82348749194619042"/>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1'!$AC$8:$AC$49</c:f>
              <c:numCache>
                <c:formatCode>#\ ##0.0</c:formatCode>
                <c:ptCount val="42"/>
                <c:pt idx="0">
                  <c:v>-0.34801319299015127</c:v>
                </c:pt>
                <c:pt idx="1">
                  <c:v>-0.28304813186473832</c:v>
                </c:pt>
                <c:pt idx="2">
                  <c:v>-0.22867359271993312</c:v>
                </c:pt>
                <c:pt idx="3">
                  <c:v>-0.22614018757792589</c:v>
                </c:pt>
                <c:pt idx="4">
                  <c:v>0.24303647870326153</c:v>
                </c:pt>
                <c:pt idx="5">
                  <c:v>0.20714962121209438</c:v>
                </c:pt>
                <c:pt idx="6">
                  <c:v>0.15912159043479449</c:v>
                </c:pt>
                <c:pt idx="7">
                  <c:v>0.15468126765282239</c:v>
                </c:pt>
                <c:pt idx="8">
                  <c:v>-1.1722190046253984E-2</c:v>
                </c:pt>
                <c:pt idx="9">
                  <c:v>-2.2154046449452271E-2</c:v>
                </c:pt>
                <c:pt idx="10">
                  <c:v>1.1329788350838525E-2</c:v>
                </c:pt>
                <c:pt idx="11">
                  <c:v>2.4362123693615664E-2</c:v>
                </c:pt>
                <c:pt idx="12">
                  <c:v>8.0698015011379964E-2</c:v>
                </c:pt>
                <c:pt idx="13">
                  <c:v>0.13654969673633016</c:v>
                </c:pt>
                <c:pt idx="14">
                  <c:v>9.45338236865534E-2</c:v>
                </c:pt>
                <c:pt idx="15">
                  <c:v>7.2253196943040124E-2</c:v>
                </c:pt>
                <c:pt idx="16">
                  <c:v>-1.0016470871332192E-2</c:v>
                </c:pt>
                <c:pt idx="17">
                  <c:v>-5.5912732161514829E-2</c:v>
                </c:pt>
                <c:pt idx="18">
                  <c:v>-3.0212377088993332E-2</c:v>
                </c:pt>
                <c:pt idx="19">
                  <c:v>-3.5110597397762136E-2</c:v>
                </c:pt>
                <c:pt idx="20">
                  <c:v>-6.3775886113478369E-2</c:v>
                </c:pt>
                <c:pt idx="21">
                  <c:v>-5.3530554883726662E-2</c:v>
                </c:pt>
                <c:pt idx="22">
                  <c:v>-6.4075390166381849E-2</c:v>
                </c:pt>
                <c:pt idx="23">
                  <c:v>-0.13844304699479693</c:v>
                </c:pt>
                <c:pt idx="24">
                  <c:v>-0.13446730863002626</c:v>
                </c:pt>
                <c:pt idx="25">
                  <c:v>-4.2544545507820601E-2</c:v>
                </c:pt>
                <c:pt idx="26">
                  <c:v>-3.3191194580390673E-2</c:v>
                </c:pt>
                <c:pt idx="27">
                  <c:v>6.6309323471769377E-2</c:v>
                </c:pt>
                <c:pt idx="28">
                  <c:v>9.8066936941412233E-2</c:v>
                </c:pt>
                <c:pt idx="29">
                  <c:v>2.5196330912572437E-2</c:v>
                </c:pt>
                <c:pt idx="30">
                  <c:v>2.0639846638534198E-2</c:v>
                </c:pt>
                <c:pt idx="31">
                  <c:v>-8.3455519417103677E-2</c:v>
                </c:pt>
                <c:pt idx="32">
                  <c:v>2.5814692683709294E-2</c:v>
                </c:pt>
                <c:pt idx="33">
                  <c:v>2.6984266486121962E-2</c:v>
                </c:pt>
                <c:pt idx="34">
                  <c:v>1.9988014642478076E-2</c:v>
                </c:pt>
                <c:pt idx="35">
                  <c:v>8.7933936276959376E-2</c:v>
                </c:pt>
                <c:pt idx="36">
                  <c:v>-2.5505751222282186E-2</c:v>
                </c:pt>
                <c:pt idx="37">
                  <c:v>-7.8189986559947439E-2</c:v>
                </c:pt>
                <c:pt idx="38">
                  <c:v>-0.10869950494464604</c:v>
                </c:pt>
                <c:pt idx="39">
                  <c:v>-0.12385597955281273</c:v>
                </c:pt>
                <c:pt idx="40">
                  <c:v>-0.13740972377814739</c:v>
                </c:pt>
                <c:pt idx="41">
                  <c:v>-6.3501842656218332E-2</c:v>
                </c:pt>
              </c:numCache>
            </c:numRef>
          </c:val>
          <c:extLst>
            <c:ext xmlns:c16="http://schemas.microsoft.com/office/drawing/2014/chart" uri="{C3380CC4-5D6E-409C-BE32-E72D297353CC}">
              <c16:uniqueId val="{00000000-2945-47C5-8CFD-D8BC508A4FAA}"/>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1'!$AD$8:$AD$49</c:f>
              <c:numCache>
                <c:formatCode>#\ ##0.0</c:formatCode>
                <c:ptCount val="42"/>
                <c:pt idx="0">
                  <c:v>-1.9139760198365914</c:v>
                </c:pt>
                <c:pt idx="1">
                  <c:v>-0.91636368469599205</c:v>
                </c:pt>
                <c:pt idx="2">
                  <c:v>-0.36895797829775445</c:v>
                </c:pt>
                <c:pt idx="3">
                  <c:v>-0.21003805903834583</c:v>
                </c:pt>
                <c:pt idx="4">
                  <c:v>1.172571586057386</c:v>
                </c:pt>
                <c:pt idx="5">
                  <c:v>1.2683138871995925</c:v>
                </c:pt>
                <c:pt idx="6">
                  <c:v>1.1687063633645189</c:v>
                </c:pt>
                <c:pt idx="7">
                  <c:v>0.78202384386894153</c:v>
                </c:pt>
                <c:pt idx="8">
                  <c:v>4.6075545647120145E-2</c:v>
                </c:pt>
                <c:pt idx="9">
                  <c:v>2.25104118078885E-2</c:v>
                </c:pt>
                <c:pt idx="10">
                  <c:v>0.2009650919713421</c:v>
                </c:pt>
                <c:pt idx="11">
                  <c:v>0.3118192862970775</c:v>
                </c:pt>
                <c:pt idx="12">
                  <c:v>4.1132772342904023E-2</c:v>
                </c:pt>
                <c:pt idx="13">
                  <c:v>0.12923594633209709</c:v>
                </c:pt>
                <c:pt idx="14">
                  <c:v>-1.9284585181686579E-2</c:v>
                </c:pt>
                <c:pt idx="15">
                  <c:v>3.229633223946192E-2</c:v>
                </c:pt>
                <c:pt idx="16">
                  <c:v>0.21809037859691535</c:v>
                </c:pt>
                <c:pt idx="17">
                  <c:v>0.20763098853236689</c:v>
                </c:pt>
                <c:pt idx="18">
                  <c:v>0.41094336722348374</c:v>
                </c:pt>
                <c:pt idx="19">
                  <c:v>0.54832755274610478</c:v>
                </c:pt>
                <c:pt idx="20">
                  <c:v>0.87384359543532464</c:v>
                </c:pt>
                <c:pt idx="21">
                  <c:v>0.93524489787512044</c:v>
                </c:pt>
                <c:pt idx="22">
                  <c:v>0.78267698384636852</c:v>
                </c:pt>
                <c:pt idx="23">
                  <c:v>0.94962455048902517</c:v>
                </c:pt>
                <c:pt idx="24">
                  <c:v>0.84718285167324348</c:v>
                </c:pt>
                <c:pt idx="25">
                  <c:v>0.62908867154608861</c:v>
                </c:pt>
                <c:pt idx="26">
                  <c:v>0.67775956738111331</c:v>
                </c:pt>
                <c:pt idx="27">
                  <c:v>0.54172812831113937</c:v>
                </c:pt>
                <c:pt idx="28">
                  <c:v>0.26867627785059034</c:v>
                </c:pt>
                <c:pt idx="29">
                  <c:v>0.39386843676908101</c:v>
                </c:pt>
                <c:pt idx="30">
                  <c:v>0.49256509811427385</c:v>
                </c:pt>
                <c:pt idx="31">
                  <c:v>0.47713964802096459</c:v>
                </c:pt>
                <c:pt idx="32">
                  <c:v>0.36449366956327101</c:v>
                </c:pt>
                <c:pt idx="33">
                  <c:v>0.28712009104191716</c:v>
                </c:pt>
                <c:pt idx="34">
                  <c:v>9.9194946851067806E-2</c:v>
                </c:pt>
                <c:pt idx="35">
                  <c:v>7.5749869682651877E-2</c:v>
                </c:pt>
                <c:pt idx="36">
                  <c:v>1.7065666272363354E-3</c:v>
                </c:pt>
                <c:pt idx="37">
                  <c:v>-0.1672130815311223</c:v>
                </c:pt>
                <c:pt idx="38">
                  <c:v>-0.33346453087893024</c:v>
                </c:pt>
                <c:pt idx="39">
                  <c:v>-0.72163732119892665</c:v>
                </c:pt>
                <c:pt idx="40">
                  <c:v>-0.68293147360899475</c:v>
                </c:pt>
                <c:pt idx="41">
                  <c:v>-0.93418470526414155</c:v>
                </c:pt>
              </c:numCache>
            </c:numRef>
          </c:val>
          <c:extLst>
            <c:ext xmlns:c16="http://schemas.microsoft.com/office/drawing/2014/chart" uri="{C3380CC4-5D6E-409C-BE32-E72D297353CC}">
              <c16:uniqueId val="{00000001-2945-47C5-8CFD-D8BC508A4FAA}"/>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1'!$AE$8:$AE$49</c:f>
              <c:numCache>
                <c:formatCode>#\ ##0.0</c:formatCode>
                <c:ptCount val="42"/>
                <c:pt idx="0">
                  <c:v>0.14158792411211604</c:v>
                </c:pt>
                <c:pt idx="1">
                  <c:v>0.19166977287933318</c:v>
                </c:pt>
                <c:pt idx="2">
                  <c:v>0.2331442589457039</c:v>
                </c:pt>
                <c:pt idx="3">
                  <c:v>0.2364605469237597</c:v>
                </c:pt>
                <c:pt idx="4">
                  <c:v>-0.75774167485897592</c:v>
                </c:pt>
                <c:pt idx="5">
                  <c:v>-0.7493412384715763</c:v>
                </c:pt>
                <c:pt idx="6">
                  <c:v>-0.78071557572941186</c:v>
                </c:pt>
                <c:pt idx="7">
                  <c:v>-0.76224499233199861</c:v>
                </c:pt>
                <c:pt idx="8">
                  <c:v>-9.1238704251723063E-3</c:v>
                </c:pt>
                <c:pt idx="9">
                  <c:v>1.6274018035254481E-2</c:v>
                </c:pt>
                <c:pt idx="10">
                  <c:v>-7.4237843949200688E-2</c:v>
                </c:pt>
                <c:pt idx="11">
                  <c:v>-8.5406531513181186E-2</c:v>
                </c:pt>
                <c:pt idx="12">
                  <c:v>-0.17732927468814916</c:v>
                </c:pt>
                <c:pt idx="13">
                  <c:v>-0.28865593825139396</c:v>
                </c:pt>
                <c:pt idx="14">
                  <c:v>-0.15189562552799868</c:v>
                </c:pt>
                <c:pt idx="15">
                  <c:v>-5.0197165169749043E-2</c:v>
                </c:pt>
                <c:pt idx="16">
                  <c:v>-0.41512048510538863</c:v>
                </c:pt>
                <c:pt idx="17">
                  <c:v>-0.29008656264696037</c:v>
                </c:pt>
                <c:pt idx="18">
                  <c:v>-0.35496103153743763</c:v>
                </c:pt>
                <c:pt idx="19">
                  <c:v>-0.43034098806023929</c:v>
                </c:pt>
                <c:pt idx="20">
                  <c:v>-0.11694210540586052</c:v>
                </c:pt>
                <c:pt idx="21">
                  <c:v>-0.10810072845885586</c:v>
                </c:pt>
                <c:pt idx="22">
                  <c:v>-0.15839123886250733</c:v>
                </c:pt>
                <c:pt idx="23">
                  <c:v>-0.17189865446459995</c:v>
                </c:pt>
                <c:pt idx="24">
                  <c:v>-0.11151278826793087</c:v>
                </c:pt>
                <c:pt idx="25">
                  <c:v>-0.12826978061125432</c:v>
                </c:pt>
                <c:pt idx="26">
                  <c:v>-3.014577719148143E-2</c:v>
                </c:pt>
                <c:pt idx="27">
                  <c:v>1.7024586966207105E-2</c:v>
                </c:pt>
                <c:pt idx="28">
                  <c:v>-6.5148695688723116E-3</c:v>
                </c:pt>
                <c:pt idx="29">
                  <c:v>1.4289321905169284E-2</c:v>
                </c:pt>
                <c:pt idx="30">
                  <c:v>6.6438659970773833E-2</c:v>
                </c:pt>
                <c:pt idx="31">
                  <c:v>-6.4943430456315621E-2</c:v>
                </c:pt>
                <c:pt idx="32">
                  <c:v>0.11749356845101826</c:v>
                </c:pt>
                <c:pt idx="33">
                  <c:v>6.7179580106074471E-2</c:v>
                </c:pt>
                <c:pt idx="34">
                  <c:v>5.6406065552118925E-2</c:v>
                </c:pt>
                <c:pt idx="35">
                  <c:v>0.12562257040583413</c:v>
                </c:pt>
                <c:pt idx="36">
                  <c:v>1.8512537978063726E-2</c:v>
                </c:pt>
                <c:pt idx="37">
                  <c:v>4.2190167111752976E-2</c:v>
                </c:pt>
                <c:pt idx="38">
                  <c:v>7.6558567765870777E-2</c:v>
                </c:pt>
                <c:pt idx="39">
                  <c:v>0.13747664010699337</c:v>
                </c:pt>
                <c:pt idx="40">
                  <c:v>0.22642461038295852</c:v>
                </c:pt>
                <c:pt idx="41">
                  <c:v>-2.5731571553894547E-2</c:v>
                </c:pt>
              </c:numCache>
            </c:numRef>
          </c:val>
          <c:extLst>
            <c:ext xmlns:c16="http://schemas.microsoft.com/office/drawing/2014/chart" uri="{C3380CC4-5D6E-409C-BE32-E72D297353CC}">
              <c16:uniqueId val="{00000002-2945-47C5-8CFD-D8BC508A4FAA}"/>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1'!$AF$8:$AF$49</c:f>
              <c:numCache>
                <c:formatCode>#\ ##0.0</c:formatCode>
                <c:ptCount val="42"/>
                <c:pt idx="0">
                  <c:v>-0.31619307858448276</c:v>
                </c:pt>
                <c:pt idx="1">
                  <c:v>-0.1306857129789131</c:v>
                </c:pt>
                <c:pt idx="2">
                  <c:v>0.14611397677970747</c:v>
                </c:pt>
                <c:pt idx="3">
                  <c:v>0.25532529555591477</c:v>
                </c:pt>
                <c:pt idx="4">
                  <c:v>-0.40311491753542605</c:v>
                </c:pt>
                <c:pt idx="5">
                  <c:v>-0.45802533064755391</c:v>
                </c:pt>
                <c:pt idx="6">
                  <c:v>-0.44468044313400357</c:v>
                </c:pt>
                <c:pt idx="7">
                  <c:v>-0.54392827711216207</c:v>
                </c:pt>
                <c:pt idx="8">
                  <c:v>0.10002538816118248</c:v>
                </c:pt>
                <c:pt idx="9">
                  <c:v>0.11522479922771424</c:v>
                </c:pt>
                <c:pt idx="10">
                  <c:v>0.11795260424692905</c:v>
                </c:pt>
                <c:pt idx="11">
                  <c:v>3.775533035715315E-3</c:v>
                </c:pt>
                <c:pt idx="12">
                  <c:v>2.9664010927468173E-2</c:v>
                </c:pt>
                <c:pt idx="13">
                  <c:v>-2.2474957323278432E-2</c:v>
                </c:pt>
                <c:pt idx="14">
                  <c:v>-0.17169184256144429</c:v>
                </c:pt>
                <c:pt idx="15">
                  <c:v>-0.14889790735522657</c:v>
                </c:pt>
                <c:pt idx="16">
                  <c:v>-0.11142582981126935</c:v>
                </c:pt>
                <c:pt idx="17">
                  <c:v>-0.2949357356960805</c:v>
                </c:pt>
                <c:pt idx="18">
                  <c:v>-0.15399073657460882</c:v>
                </c:pt>
                <c:pt idx="19">
                  <c:v>8.6379154696624452E-2</c:v>
                </c:pt>
                <c:pt idx="20">
                  <c:v>0.22879550024382489</c:v>
                </c:pt>
                <c:pt idx="21">
                  <c:v>0.47330112084625897</c:v>
                </c:pt>
                <c:pt idx="22">
                  <c:v>0.33213712914903176</c:v>
                </c:pt>
                <c:pt idx="23">
                  <c:v>0.17959968299057444</c:v>
                </c:pt>
                <c:pt idx="24">
                  <c:v>8.0583366917820948E-2</c:v>
                </c:pt>
                <c:pt idx="25">
                  <c:v>0.20992754897152985</c:v>
                </c:pt>
                <c:pt idx="26">
                  <c:v>-8.6158327395090793E-3</c:v>
                </c:pt>
                <c:pt idx="27">
                  <c:v>9.5260739725036819E-2</c:v>
                </c:pt>
                <c:pt idx="28">
                  <c:v>0.16015880233389024</c:v>
                </c:pt>
                <c:pt idx="29">
                  <c:v>-9.025834979993895E-3</c:v>
                </c:pt>
                <c:pt idx="30">
                  <c:v>0.34149737055569235</c:v>
                </c:pt>
                <c:pt idx="31">
                  <c:v>0.22106834398785968</c:v>
                </c:pt>
                <c:pt idx="32">
                  <c:v>0.14724354251393632</c:v>
                </c:pt>
                <c:pt idx="33">
                  <c:v>0.38773017907246493</c:v>
                </c:pt>
                <c:pt idx="34">
                  <c:v>0.20751769162833716</c:v>
                </c:pt>
                <c:pt idx="35">
                  <c:v>0.25882757980843152</c:v>
                </c:pt>
                <c:pt idx="36">
                  <c:v>0.37837550067789966</c:v>
                </c:pt>
                <c:pt idx="37">
                  <c:v>3.0454299666256623E-2</c:v>
                </c:pt>
                <c:pt idx="38">
                  <c:v>-8.7506055271335301E-2</c:v>
                </c:pt>
                <c:pt idx="39">
                  <c:v>-0.13427394424695629</c:v>
                </c:pt>
                <c:pt idx="40">
                  <c:v>-0.2600418368128985</c:v>
                </c:pt>
                <c:pt idx="41">
                  <c:v>-0.73794471277776152</c:v>
                </c:pt>
              </c:numCache>
            </c:numRef>
          </c:val>
          <c:extLst>
            <c:ext xmlns:c16="http://schemas.microsoft.com/office/drawing/2014/chart" uri="{C3380CC4-5D6E-409C-BE32-E72D297353CC}">
              <c16:uniqueId val="{00000003-2945-47C5-8CFD-D8BC508A4FAA}"/>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1'!$AG$8:$AG$49</c:f>
              <c:numCache>
                <c:formatCode>#\ ##0.0</c:formatCode>
                <c:ptCount val="42"/>
                <c:pt idx="0">
                  <c:v>-5.9257239751818361E-2</c:v>
                </c:pt>
                <c:pt idx="1">
                  <c:v>-6.9818930116763017E-2</c:v>
                </c:pt>
                <c:pt idx="2">
                  <c:v>-6.0678954368281267E-2</c:v>
                </c:pt>
                <c:pt idx="3">
                  <c:v>-7.6031251547796566E-2</c:v>
                </c:pt>
                <c:pt idx="4">
                  <c:v>-2.5614138686863345E-3</c:v>
                </c:pt>
                <c:pt idx="5">
                  <c:v>-4.3706293706288056E-2</c:v>
                </c:pt>
                <c:pt idx="6">
                  <c:v>-8.6612483401411006E-2</c:v>
                </c:pt>
                <c:pt idx="7">
                  <c:v>-0.1156757159678042</c:v>
                </c:pt>
                <c:pt idx="8">
                  <c:v>-1.3626302134985595E-2</c:v>
                </c:pt>
                <c:pt idx="9">
                  <c:v>1.3462691318702005E-3</c:v>
                </c:pt>
                <c:pt idx="10">
                  <c:v>2.4699730897719655E-2</c:v>
                </c:pt>
                <c:pt idx="11">
                  <c:v>4.4948714351516011E-2</c:v>
                </c:pt>
                <c:pt idx="12">
                  <c:v>4.4644832499534035E-2</c:v>
                </c:pt>
                <c:pt idx="13">
                  <c:v>7.0548041061372663E-2</c:v>
                </c:pt>
                <c:pt idx="14">
                  <c:v>2.9163015550264803E-2</c:v>
                </c:pt>
                <c:pt idx="15">
                  <c:v>2.985441443599041E-2</c:v>
                </c:pt>
                <c:pt idx="16">
                  <c:v>0.10899579841644913</c:v>
                </c:pt>
                <c:pt idx="17">
                  <c:v>7.2835757134557588E-2</c:v>
                </c:pt>
                <c:pt idx="18">
                  <c:v>9.0086743135235167E-2</c:v>
                </c:pt>
                <c:pt idx="19">
                  <c:v>9.0807341027620239E-2</c:v>
                </c:pt>
                <c:pt idx="20">
                  <c:v>7.3874717124669956E-3</c:v>
                </c:pt>
                <c:pt idx="21">
                  <c:v>5.6060947547706408E-2</c:v>
                </c:pt>
                <c:pt idx="22">
                  <c:v>7.3237389552977303E-2</c:v>
                </c:pt>
                <c:pt idx="23">
                  <c:v>0.10393464068853153</c:v>
                </c:pt>
                <c:pt idx="24">
                  <c:v>0.12034144994565989</c:v>
                </c:pt>
                <c:pt idx="25">
                  <c:v>0.11313726215922026</c:v>
                </c:pt>
                <c:pt idx="26">
                  <c:v>0.12927604067983756</c:v>
                </c:pt>
                <c:pt idx="27">
                  <c:v>0.16693713637598337</c:v>
                </c:pt>
                <c:pt idx="28">
                  <c:v>0.13971624972775135</c:v>
                </c:pt>
                <c:pt idx="29">
                  <c:v>0.13821878661994863</c:v>
                </c:pt>
                <c:pt idx="30">
                  <c:v>0.13496598887461</c:v>
                </c:pt>
                <c:pt idx="31">
                  <c:v>0.11698506830016364</c:v>
                </c:pt>
                <c:pt idx="32">
                  <c:v>0.11067743515305851</c:v>
                </c:pt>
                <c:pt idx="33">
                  <c:v>0.13553972187091679</c:v>
                </c:pt>
                <c:pt idx="34">
                  <c:v>0.13024808795918613</c:v>
                </c:pt>
                <c:pt idx="35">
                  <c:v>0.15340000663230582</c:v>
                </c:pt>
                <c:pt idx="36">
                  <c:v>0.13609868852209775</c:v>
                </c:pt>
                <c:pt idx="37">
                  <c:v>7.0525746595541644E-2</c:v>
                </c:pt>
                <c:pt idx="38">
                  <c:v>0.12343153703463035</c:v>
                </c:pt>
                <c:pt idx="39">
                  <c:v>0.13834173611516429</c:v>
                </c:pt>
                <c:pt idx="40">
                  <c:v>0.13924773506463947</c:v>
                </c:pt>
                <c:pt idx="41">
                  <c:v>0.10053692599985942</c:v>
                </c:pt>
              </c:numCache>
            </c:numRef>
          </c:val>
          <c:extLst>
            <c:ext xmlns:c16="http://schemas.microsoft.com/office/drawing/2014/chart" uri="{C3380CC4-5D6E-409C-BE32-E72D297353CC}">
              <c16:uniqueId val="{00000004-2945-47C5-8CFD-D8BC508A4FAA}"/>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1'!$AH$8:$AH$49</c:f>
              <c:numCache>
                <c:formatCode>#\ ##0.0</c:formatCode>
                <c:ptCount val="42"/>
                <c:pt idx="0">
                  <c:v>-5.3348893266299824E-2</c:v>
                </c:pt>
                <c:pt idx="1">
                  <c:v>4.8161770382895881E-2</c:v>
                </c:pt>
                <c:pt idx="2">
                  <c:v>0.12299255762087521</c:v>
                </c:pt>
                <c:pt idx="3">
                  <c:v>8.7653988937272845E-2</c:v>
                </c:pt>
                <c:pt idx="4">
                  <c:v>-0.16428789418225373</c:v>
                </c:pt>
                <c:pt idx="5">
                  <c:v>-0.19127441851624158</c:v>
                </c:pt>
                <c:pt idx="6">
                  <c:v>-0.34396458336456504</c:v>
                </c:pt>
                <c:pt idx="7">
                  <c:v>-0.24367623972283606</c:v>
                </c:pt>
                <c:pt idx="8">
                  <c:v>5.6746507144386886E-2</c:v>
                </c:pt>
                <c:pt idx="9">
                  <c:v>6.6996687386011153E-2</c:v>
                </c:pt>
                <c:pt idx="10">
                  <c:v>0.1296587317213094</c:v>
                </c:pt>
                <c:pt idx="11">
                  <c:v>0.17425078521151366</c:v>
                </c:pt>
                <c:pt idx="12">
                  <c:v>7.8059009356963069E-2</c:v>
                </c:pt>
                <c:pt idx="13">
                  <c:v>0.19094818622943679</c:v>
                </c:pt>
                <c:pt idx="14">
                  <c:v>0.25310034143556409</c:v>
                </c:pt>
                <c:pt idx="15">
                  <c:v>0.24529458193581563</c:v>
                </c:pt>
                <c:pt idx="16">
                  <c:v>0.33538384519079939</c:v>
                </c:pt>
                <c:pt idx="17">
                  <c:v>0.24925142118068547</c:v>
                </c:pt>
                <c:pt idx="18">
                  <c:v>0.14463413833494659</c:v>
                </c:pt>
                <c:pt idx="19">
                  <c:v>0.11174774216619586</c:v>
                </c:pt>
                <c:pt idx="20">
                  <c:v>0.11379850042183202</c:v>
                </c:pt>
                <c:pt idx="21">
                  <c:v>0.11820268366776726</c:v>
                </c:pt>
                <c:pt idx="22">
                  <c:v>0.23129653035669548</c:v>
                </c:pt>
                <c:pt idx="23">
                  <c:v>0.37241784026117603</c:v>
                </c:pt>
                <c:pt idx="24">
                  <c:v>0.26699425205615607</c:v>
                </c:pt>
                <c:pt idx="25">
                  <c:v>0.23716608218519117</c:v>
                </c:pt>
                <c:pt idx="26">
                  <c:v>0.24081927124703897</c:v>
                </c:pt>
                <c:pt idx="27">
                  <c:v>0.25506101535021469</c:v>
                </c:pt>
                <c:pt idx="28">
                  <c:v>0.4253197253437988</c:v>
                </c:pt>
                <c:pt idx="29">
                  <c:v>0.3617364642403027</c:v>
                </c:pt>
                <c:pt idx="30">
                  <c:v>0.29161615885428543</c:v>
                </c:pt>
                <c:pt idx="31">
                  <c:v>0.14112634349596684</c:v>
                </c:pt>
                <c:pt idx="32">
                  <c:v>0.15174369681839037</c:v>
                </c:pt>
                <c:pt idx="33">
                  <c:v>0.15585287803130304</c:v>
                </c:pt>
                <c:pt idx="34">
                  <c:v>7.8312780575002641E-2</c:v>
                </c:pt>
                <c:pt idx="35">
                  <c:v>0.22050552325722272</c:v>
                </c:pt>
                <c:pt idx="36">
                  <c:v>0.21302403420850086</c:v>
                </c:pt>
                <c:pt idx="37">
                  <c:v>0.16787633306650354</c:v>
                </c:pt>
                <c:pt idx="38">
                  <c:v>0.15865549346030708</c:v>
                </c:pt>
                <c:pt idx="39">
                  <c:v>9.7553379644807186E-3</c:v>
                </c:pt>
                <c:pt idx="40">
                  <c:v>-0.2382797831808324</c:v>
                </c:pt>
                <c:pt idx="41">
                  <c:v>-0.39393198079615843</c:v>
                </c:pt>
              </c:numCache>
            </c:numRef>
          </c:val>
          <c:extLst>
            <c:ext xmlns:c16="http://schemas.microsoft.com/office/drawing/2014/chart" uri="{C3380CC4-5D6E-409C-BE32-E72D297353CC}">
              <c16:uniqueId val="{00000005-2945-47C5-8CFD-D8BC508A4FAA}"/>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1'!$AI$8:$AI$49</c:f>
              <c:numCache>
                <c:formatCode>#\ ##0.0</c:formatCode>
                <c:ptCount val="42"/>
                <c:pt idx="0">
                  <c:v>-1.982964653799852E-2</c:v>
                </c:pt>
                <c:pt idx="1">
                  <c:v>-5.674254034965371E-2</c:v>
                </c:pt>
                <c:pt idx="2">
                  <c:v>-5.7882326156565612E-2</c:v>
                </c:pt>
                <c:pt idx="3">
                  <c:v>-4.8365584620723941E-2</c:v>
                </c:pt>
                <c:pt idx="4">
                  <c:v>0.13327294485754013</c:v>
                </c:pt>
                <c:pt idx="5">
                  <c:v>8.2721286865297894E-2</c:v>
                </c:pt>
                <c:pt idx="6">
                  <c:v>4.487437935281486E-2</c:v>
                </c:pt>
                <c:pt idx="7">
                  <c:v>9.5956023508239882E-2</c:v>
                </c:pt>
                <c:pt idx="8">
                  <c:v>-0.4542299056671108</c:v>
                </c:pt>
                <c:pt idx="9">
                  <c:v>-0.3389628500992603</c:v>
                </c:pt>
                <c:pt idx="10">
                  <c:v>-6.0135030477527558E-2</c:v>
                </c:pt>
                <c:pt idx="11">
                  <c:v>5.663299553572973E-2</c:v>
                </c:pt>
                <c:pt idx="12">
                  <c:v>0.16798362308491338</c:v>
                </c:pt>
                <c:pt idx="13">
                  <c:v>0.39138448109139218</c:v>
                </c:pt>
                <c:pt idx="14">
                  <c:v>0.2150034466276608</c:v>
                </c:pt>
                <c:pt idx="15">
                  <c:v>0.18322260680241081</c:v>
                </c:pt>
                <c:pt idx="16">
                  <c:v>0.26639466120126881</c:v>
                </c:pt>
                <c:pt idx="17">
                  <c:v>0.16025829797557781</c:v>
                </c:pt>
                <c:pt idx="18">
                  <c:v>0.35511828528936468</c:v>
                </c:pt>
                <c:pt idx="19">
                  <c:v>0.35974585753009758</c:v>
                </c:pt>
                <c:pt idx="20">
                  <c:v>0.25561438026381811</c:v>
                </c:pt>
                <c:pt idx="21">
                  <c:v>0.23618959741845097</c:v>
                </c:pt>
                <c:pt idx="22">
                  <c:v>0.10591974557381781</c:v>
                </c:pt>
                <c:pt idx="23">
                  <c:v>9.8709639055718459E-2</c:v>
                </c:pt>
                <c:pt idx="24">
                  <c:v>0.36242141278378515</c:v>
                </c:pt>
                <c:pt idx="25">
                  <c:v>0.34758527415111612</c:v>
                </c:pt>
                <c:pt idx="26">
                  <c:v>0.42951950059780825</c:v>
                </c:pt>
                <c:pt idx="27">
                  <c:v>0.52568461923790011</c:v>
                </c:pt>
                <c:pt idx="28">
                  <c:v>0.43143338593628888</c:v>
                </c:pt>
                <c:pt idx="29">
                  <c:v>0.47637406936515148</c:v>
                </c:pt>
                <c:pt idx="30">
                  <c:v>0.54554133741649136</c:v>
                </c:pt>
                <c:pt idx="31">
                  <c:v>0.54623885355011015</c:v>
                </c:pt>
                <c:pt idx="32">
                  <c:v>0.39719981193497272</c:v>
                </c:pt>
                <c:pt idx="33">
                  <c:v>0.45187402919885078</c:v>
                </c:pt>
                <c:pt idx="34">
                  <c:v>0.32168967834198869</c:v>
                </c:pt>
                <c:pt idx="35">
                  <c:v>0.29320006125567516</c:v>
                </c:pt>
                <c:pt idx="36">
                  <c:v>0.3051229831675053</c:v>
                </c:pt>
                <c:pt idx="37">
                  <c:v>0.2171411832223234</c:v>
                </c:pt>
                <c:pt idx="38">
                  <c:v>0.30064052955563197</c:v>
                </c:pt>
                <c:pt idx="39">
                  <c:v>0.30635442468078694</c:v>
                </c:pt>
                <c:pt idx="40">
                  <c:v>0.39070605916962003</c:v>
                </c:pt>
                <c:pt idx="41">
                  <c:v>0.30232758606429394</c:v>
                </c:pt>
              </c:numCache>
            </c:numRef>
          </c:val>
          <c:extLst>
            <c:ext xmlns:c16="http://schemas.microsoft.com/office/drawing/2014/chart" uri="{C3380CC4-5D6E-409C-BE32-E72D297353CC}">
              <c16:uniqueId val="{00000006-2945-47C5-8CFD-D8BC508A4FAA}"/>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1'!$AJ$8:$AJ$49</c:f>
              <c:numCache>
                <c:formatCode>#\ ##0.0</c:formatCode>
                <c:ptCount val="42"/>
                <c:pt idx="0">
                  <c:v>-0.18883538767441632</c:v>
                </c:pt>
                <c:pt idx="1">
                  <c:v>-3.7782752495997468E-2</c:v>
                </c:pt>
                <c:pt idx="2">
                  <c:v>5.9635142430105703E-2</c:v>
                </c:pt>
                <c:pt idx="3">
                  <c:v>4.8622113629320202E-2</c:v>
                </c:pt>
                <c:pt idx="4">
                  <c:v>-0.11317875233730314</c:v>
                </c:pt>
                <c:pt idx="5">
                  <c:v>-0.13381093544135292</c:v>
                </c:pt>
                <c:pt idx="6">
                  <c:v>-0.13233503783649886</c:v>
                </c:pt>
                <c:pt idx="7">
                  <c:v>-0.12971613699901402</c:v>
                </c:pt>
                <c:pt idx="8">
                  <c:v>0.24731639202494232</c:v>
                </c:pt>
                <c:pt idx="9">
                  <c:v>0.29651577629441173</c:v>
                </c:pt>
                <c:pt idx="10">
                  <c:v>0.30620139530701529</c:v>
                </c:pt>
                <c:pt idx="11">
                  <c:v>0.37522837007059107</c:v>
                </c:pt>
                <c:pt idx="12">
                  <c:v>0.16941225772489849</c:v>
                </c:pt>
                <c:pt idx="13">
                  <c:v>7.8138527967387544E-2</c:v>
                </c:pt>
                <c:pt idx="14">
                  <c:v>-0.13991163330795056</c:v>
                </c:pt>
                <c:pt idx="15">
                  <c:v>-0.302561493004325</c:v>
                </c:pt>
                <c:pt idx="16">
                  <c:v>0.16156745322634058</c:v>
                </c:pt>
                <c:pt idx="17">
                  <c:v>3.677125959919849E-2</c:v>
                </c:pt>
                <c:pt idx="18">
                  <c:v>0.16053642399857421</c:v>
                </c:pt>
                <c:pt idx="19">
                  <c:v>0.21505240906129308</c:v>
                </c:pt>
                <c:pt idx="20">
                  <c:v>-4.1849241349879523E-2</c:v>
                </c:pt>
                <c:pt idx="21">
                  <c:v>9.7841849673883693E-2</c:v>
                </c:pt>
                <c:pt idx="22">
                  <c:v>4.8115148164572706E-2</c:v>
                </c:pt>
                <c:pt idx="23">
                  <c:v>-4.5211861143632459E-2</c:v>
                </c:pt>
                <c:pt idx="24">
                  <c:v>0.13066419283038919</c:v>
                </c:pt>
                <c:pt idx="25">
                  <c:v>8.2910779442291055E-2</c:v>
                </c:pt>
                <c:pt idx="26">
                  <c:v>0.10551022017018501</c:v>
                </c:pt>
                <c:pt idx="27">
                  <c:v>0.16861073984045796</c:v>
                </c:pt>
                <c:pt idx="28">
                  <c:v>-5.0552331024152887E-2</c:v>
                </c:pt>
                <c:pt idx="29">
                  <c:v>1.1401054711571157E-3</c:v>
                </c:pt>
                <c:pt idx="30">
                  <c:v>3.7899847185385707E-2</c:v>
                </c:pt>
                <c:pt idx="31">
                  <c:v>4.0443247413313482E-2</c:v>
                </c:pt>
                <c:pt idx="32">
                  <c:v>0.19188733270582164</c:v>
                </c:pt>
                <c:pt idx="33">
                  <c:v>0.19975852829309734</c:v>
                </c:pt>
                <c:pt idx="34">
                  <c:v>-8.9415163358709041E-3</c:v>
                </c:pt>
                <c:pt idx="35">
                  <c:v>5.0301192361819347E-4</c:v>
                </c:pt>
                <c:pt idx="36">
                  <c:v>-0.10500949648679234</c:v>
                </c:pt>
                <c:pt idx="37">
                  <c:v>-4.3608788451318478E-2</c:v>
                </c:pt>
                <c:pt idx="38">
                  <c:v>4.676220211018825E-2</c:v>
                </c:pt>
                <c:pt idx="39">
                  <c:v>5.3562327314412982E-2</c:v>
                </c:pt>
                <c:pt idx="40">
                  <c:v>9.8186562924406556E-2</c:v>
                </c:pt>
                <c:pt idx="41">
                  <c:v>-0.10793217966444846</c:v>
                </c:pt>
              </c:numCache>
            </c:numRef>
          </c:val>
          <c:extLst>
            <c:ext xmlns:c16="http://schemas.microsoft.com/office/drawing/2014/chart" uri="{C3380CC4-5D6E-409C-BE32-E72D297353CC}">
              <c16:uniqueId val="{00000007-2945-47C5-8CFD-D8BC508A4FAA}"/>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1'!$AK$8:$AK$49</c:f>
              <c:numCache>
                <c:formatCode>#\ ##0.0</c:formatCode>
                <c:ptCount val="42"/>
                <c:pt idx="0">
                  <c:v>-2.7578655345296426</c:v>
                </c:pt>
                <c:pt idx="1">
                  <c:v>-1.2546102092398286</c:v>
                </c:pt>
                <c:pt idx="2">
                  <c:v>-0.15430691576614208</c:v>
                </c:pt>
                <c:pt idx="3">
                  <c:v>6.7486862261475267E-2</c:v>
                </c:pt>
                <c:pt idx="4">
                  <c:v>0.10799635683554243</c:v>
                </c:pt>
                <c:pt idx="5">
                  <c:v>-1.7973421506027876E-2</c:v>
                </c:pt>
                <c:pt idx="6">
                  <c:v>-0.41560579031376221</c:v>
                </c:pt>
                <c:pt idx="7">
                  <c:v>-0.76258022710381113</c:v>
                </c:pt>
                <c:pt idx="8">
                  <c:v>-3.8538435295890849E-2</c:v>
                </c:pt>
                <c:pt idx="9">
                  <c:v>0.15775106533443761</c:v>
                </c:pt>
                <c:pt idx="10">
                  <c:v>0.65643446806842576</c:v>
                </c:pt>
                <c:pt idx="11">
                  <c:v>0.90561127668257768</c:v>
                </c:pt>
                <c:pt idx="12">
                  <c:v>0.43426524625991192</c:v>
                </c:pt>
                <c:pt idx="13">
                  <c:v>0.6856739838433441</c:v>
                </c:pt>
                <c:pt idx="14">
                  <c:v>0.10901694072096291</c:v>
                </c:pt>
                <c:pt idx="15">
                  <c:v>6.1264566827418321E-2</c:v>
                </c:pt>
                <c:pt idx="16">
                  <c:v>0.55386935084378308</c:v>
                </c:pt>
                <c:pt idx="17">
                  <c:v>8.5812693917830529E-2</c:v>
                </c:pt>
                <c:pt idx="18">
                  <c:v>0.62215481278056473</c:v>
                </c:pt>
                <c:pt idx="19">
                  <c:v>0.94660847176993457</c:v>
                </c:pt>
                <c:pt idx="20">
                  <c:v>1.2568722152080483</c:v>
                </c:pt>
                <c:pt idx="21">
                  <c:v>1.755209813686605</c:v>
                </c:pt>
                <c:pt idx="22">
                  <c:v>1.3509162976145745</c:v>
                </c:pt>
                <c:pt idx="23">
                  <c:v>1.3487327908819964</c:v>
                </c:pt>
                <c:pt idx="24">
                  <c:v>1.5622074293090975</c:v>
                </c:pt>
                <c:pt idx="25">
                  <c:v>1.4490012923363622</c:v>
                </c:pt>
                <c:pt idx="26">
                  <c:v>1.510931795564602</c:v>
                </c:pt>
                <c:pt idx="27">
                  <c:v>1.8366162892787088</c:v>
                </c:pt>
                <c:pt idx="28">
                  <c:v>1.4663041775407066</c:v>
                </c:pt>
                <c:pt idx="29">
                  <c:v>1.4017976803033889</c:v>
                </c:pt>
                <c:pt idx="30">
                  <c:v>1.9311643076100466</c:v>
                </c:pt>
                <c:pt idx="31">
                  <c:v>1.3946025548949592</c:v>
                </c:pt>
                <c:pt idx="32">
                  <c:v>1.5065537498241781</c:v>
                </c:pt>
                <c:pt idx="33">
                  <c:v>1.7120392741007464</c:v>
                </c:pt>
                <c:pt idx="34">
                  <c:v>0.90441574921430856</c:v>
                </c:pt>
                <c:pt idx="35">
                  <c:v>1.2157425592426989</c:v>
                </c:pt>
                <c:pt idx="36">
                  <c:v>0.92232506347222909</c:v>
                </c:pt>
                <c:pt idx="37">
                  <c:v>0.23917587311999</c:v>
                </c:pt>
                <c:pt idx="38">
                  <c:v>0.17637823883171677</c:v>
                </c:pt>
                <c:pt idx="39">
                  <c:v>-0.33427677881685725</c:v>
                </c:pt>
                <c:pt idx="40">
                  <c:v>-0.46409784983924851</c:v>
                </c:pt>
                <c:pt idx="41">
                  <c:v>-1.860362480648476</c:v>
                </c:pt>
              </c:numCache>
            </c:numRef>
          </c:val>
          <c:smooth val="0"/>
          <c:extLst>
            <c:ext xmlns:c16="http://schemas.microsoft.com/office/drawing/2014/chart" uri="{C3380CC4-5D6E-409C-BE32-E72D297353CC}">
              <c16:uniqueId val="{00000008-2945-47C5-8CFD-D8BC508A4FAA}"/>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1'!$AL$8:$AL$49</c:f>
              <c:numCache>
                <c:formatCode>General</c:formatCode>
                <c:ptCount val="42"/>
              </c:numCache>
            </c:numRef>
          </c:val>
          <c:smooth val="0"/>
          <c:extLst>
            <c:ext xmlns:c16="http://schemas.microsoft.com/office/drawing/2014/chart" uri="{C3380CC4-5D6E-409C-BE32-E72D297353CC}">
              <c16:uniqueId val="{00000009-2945-47C5-8CFD-D8BC508A4FAA}"/>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1'!$AM$8:$AM$49</c:f>
              <c:numCache>
                <c:formatCode>General</c:formatCode>
                <c:ptCount val="42"/>
                <c:pt idx="0">
                  <c:v>-10.9</c:v>
                </c:pt>
                <c:pt idx="1">
                  <c:v>-1.8</c:v>
                </c:pt>
                <c:pt idx="2">
                  <c:v>3.1</c:v>
                </c:pt>
                <c:pt idx="3">
                  <c:v>9.1999999999999993</c:v>
                </c:pt>
                <c:pt idx="4">
                  <c:v>12.4</c:v>
                </c:pt>
                <c:pt idx="5">
                  <c:v>1.9</c:v>
                </c:pt>
                <c:pt idx="6">
                  <c:v>3.2</c:v>
                </c:pt>
                <c:pt idx="7">
                  <c:v>-3.7</c:v>
                </c:pt>
                <c:pt idx="8">
                  <c:v>0.6</c:v>
                </c:pt>
                <c:pt idx="9">
                  <c:v>-11.6</c:v>
                </c:pt>
                <c:pt idx="10">
                  <c:v>-16.100000000000001</c:v>
                </c:pt>
                <c:pt idx="11">
                  <c:v>-12.9</c:v>
                </c:pt>
                <c:pt idx="12">
                  <c:v>-11.6</c:v>
                </c:pt>
                <c:pt idx="13">
                  <c:v>-10.9</c:v>
                </c:pt>
                <c:pt idx="14">
                  <c:v>-8</c:v>
                </c:pt>
                <c:pt idx="15">
                  <c:v>2.6</c:v>
                </c:pt>
                <c:pt idx="16">
                  <c:v>-4.8</c:v>
                </c:pt>
                <c:pt idx="17">
                  <c:v>5.3</c:v>
                </c:pt>
                <c:pt idx="18">
                  <c:v>0.6</c:v>
                </c:pt>
                <c:pt idx="19">
                  <c:v>8.1</c:v>
                </c:pt>
                <c:pt idx="20">
                  <c:v>3.3</c:v>
                </c:pt>
                <c:pt idx="21">
                  <c:v>6.6</c:v>
                </c:pt>
                <c:pt idx="22">
                  <c:v>6.4</c:v>
                </c:pt>
                <c:pt idx="23">
                  <c:v>11.1</c:v>
                </c:pt>
                <c:pt idx="24">
                  <c:v>11.1</c:v>
                </c:pt>
                <c:pt idx="25">
                  <c:v>6.1</c:v>
                </c:pt>
                <c:pt idx="26">
                  <c:v>5.3</c:v>
                </c:pt>
                <c:pt idx="27">
                  <c:v>9.1</c:v>
                </c:pt>
                <c:pt idx="28">
                  <c:v>9.6</c:v>
                </c:pt>
                <c:pt idx="29">
                  <c:v>6.7</c:v>
                </c:pt>
                <c:pt idx="30">
                  <c:v>8.6999999999999993</c:v>
                </c:pt>
                <c:pt idx="31">
                  <c:v>8.5</c:v>
                </c:pt>
                <c:pt idx="32">
                  <c:v>12.9</c:v>
                </c:pt>
                <c:pt idx="33">
                  <c:v>7.3</c:v>
                </c:pt>
                <c:pt idx="34">
                  <c:v>5.9</c:v>
                </c:pt>
                <c:pt idx="35">
                  <c:v>5.6</c:v>
                </c:pt>
                <c:pt idx="36">
                  <c:v>0.7</c:v>
                </c:pt>
                <c:pt idx="37">
                  <c:v>-2.2999999999999998</c:v>
                </c:pt>
                <c:pt idx="38">
                  <c:v>0</c:v>
                </c:pt>
                <c:pt idx="39">
                  <c:v>-6.5</c:v>
                </c:pt>
                <c:pt idx="40">
                  <c:v>-0.8</c:v>
                </c:pt>
                <c:pt idx="41">
                  <c:v>-17.7</c:v>
                </c:pt>
              </c:numCache>
            </c:numRef>
          </c:val>
          <c:smooth val="0"/>
          <c:extLst>
            <c:ext xmlns:c16="http://schemas.microsoft.com/office/drawing/2014/chart" uri="{C3380CC4-5D6E-409C-BE32-E72D297353CC}">
              <c16:uniqueId val="{0000000A-2945-47C5-8CFD-D8BC508A4FAA}"/>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1'!$AN$8:$AN$49</c:f>
              <c:numCache>
                <c:formatCode>General</c:formatCode>
                <c:ptCount val="42"/>
                <c:pt idx="0">
                  <c:v>-21.6</c:v>
                </c:pt>
                <c:pt idx="1">
                  <c:v>-25.3</c:v>
                </c:pt>
                <c:pt idx="2">
                  <c:v>-34.5</c:v>
                </c:pt>
                <c:pt idx="3">
                  <c:v>-32.1</c:v>
                </c:pt>
                <c:pt idx="4">
                  <c:v>-29.6</c:v>
                </c:pt>
                <c:pt idx="5">
                  <c:v>-29.5</c:v>
                </c:pt>
                <c:pt idx="6">
                  <c:v>-23.6</c:v>
                </c:pt>
                <c:pt idx="7">
                  <c:v>-28.1</c:v>
                </c:pt>
                <c:pt idx="8">
                  <c:v>-31.1</c:v>
                </c:pt>
                <c:pt idx="9">
                  <c:v>-28.4</c:v>
                </c:pt>
                <c:pt idx="10">
                  <c:v>-27</c:v>
                </c:pt>
                <c:pt idx="11">
                  <c:v>-28.6</c:v>
                </c:pt>
                <c:pt idx="12">
                  <c:v>-38.9</c:v>
                </c:pt>
                <c:pt idx="13">
                  <c:v>-41.9</c:v>
                </c:pt>
                <c:pt idx="14">
                  <c:v>-32.799999999999997</c:v>
                </c:pt>
                <c:pt idx="15">
                  <c:v>-28.6</c:v>
                </c:pt>
                <c:pt idx="16">
                  <c:v>-21.8</c:v>
                </c:pt>
                <c:pt idx="17">
                  <c:v>-17.7</c:v>
                </c:pt>
                <c:pt idx="18">
                  <c:v>-8.9</c:v>
                </c:pt>
                <c:pt idx="19">
                  <c:v>-6.2</c:v>
                </c:pt>
                <c:pt idx="20">
                  <c:v>1.2</c:v>
                </c:pt>
                <c:pt idx="21">
                  <c:v>3.6</c:v>
                </c:pt>
                <c:pt idx="22">
                  <c:v>6.9</c:v>
                </c:pt>
                <c:pt idx="23">
                  <c:v>0.3</c:v>
                </c:pt>
                <c:pt idx="24">
                  <c:v>-0.6</c:v>
                </c:pt>
                <c:pt idx="25">
                  <c:v>-7.6</c:v>
                </c:pt>
                <c:pt idx="26">
                  <c:v>-14.3</c:v>
                </c:pt>
                <c:pt idx="27">
                  <c:v>-11.9</c:v>
                </c:pt>
                <c:pt idx="28">
                  <c:v>-7.6</c:v>
                </c:pt>
                <c:pt idx="29">
                  <c:v>-8.1</c:v>
                </c:pt>
                <c:pt idx="30">
                  <c:v>-9.4</c:v>
                </c:pt>
                <c:pt idx="31">
                  <c:v>0.7</c:v>
                </c:pt>
                <c:pt idx="32">
                  <c:v>6.1</c:v>
                </c:pt>
                <c:pt idx="33">
                  <c:v>3.9</c:v>
                </c:pt>
                <c:pt idx="34">
                  <c:v>9.6</c:v>
                </c:pt>
                <c:pt idx="35">
                  <c:v>15.3</c:v>
                </c:pt>
                <c:pt idx="36">
                  <c:v>10.8</c:v>
                </c:pt>
                <c:pt idx="37">
                  <c:v>14.6</c:v>
                </c:pt>
                <c:pt idx="38">
                  <c:v>6.7</c:v>
                </c:pt>
                <c:pt idx="39">
                  <c:v>15.4</c:v>
                </c:pt>
                <c:pt idx="40">
                  <c:v>6.4</c:v>
                </c:pt>
                <c:pt idx="41">
                  <c:v>-5.8</c:v>
                </c:pt>
              </c:numCache>
            </c:numRef>
          </c:val>
          <c:smooth val="0"/>
          <c:extLst>
            <c:ext xmlns:c16="http://schemas.microsoft.com/office/drawing/2014/chart" uri="{C3380CC4-5D6E-409C-BE32-E72D297353CC}">
              <c16:uniqueId val="{0000000B-2945-47C5-8CFD-D8BC508A4FAA}"/>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1'!$AO$8:$AO$49</c:f>
              <c:numCache>
                <c:formatCode>General</c:formatCode>
                <c:ptCount val="42"/>
                <c:pt idx="0">
                  <c:v>4.2</c:v>
                </c:pt>
                <c:pt idx="1">
                  <c:v>4.7</c:v>
                </c:pt>
                <c:pt idx="2">
                  <c:v>7.7</c:v>
                </c:pt>
                <c:pt idx="3">
                  <c:v>12.5</c:v>
                </c:pt>
                <c:pt idx="4">
                  <c:v>11.6</c:v>
                </c:pt>
                <c:pt idx="5">
                  <c:v>7.3</c:v>
                </c:pt>
                <c:pt idx="6">
                  <c:v>0.8</c:v>
                </c:pt>
                <c:pt idx="7">
                  <c:v>12</c:v>
                </c:pt>
                <c:pt idx="8">
                  <c:v>9.8000000000000007</c:v>
                </c:pt>
                <c:pt idx="9">
                  <c:v>7</c:v>
                </c:pt>
                <c:pt idx="10">
                  <c:v>4.2</c:v>
                </c:pt>
                <c:pt idx="11">
                  <c:v>10.8</c:v>
                </c:pt>
                <c:pt idx="12">
                  <c:v>-2.8</c:v>
                </c:pt>
                <c:pt idx="13">
                  <c:v>10.5</c:v>
                </c:pt>
                <c:pt idx="14">
                  <c:v>1.1000000000000001</c:v>
                </c:pt>
                <c:pt idx="15">
                  <c:v>-3.4</c:v>
                </c:pt>
                <c:pt idx="16">
                  <c:v>7.4</c:v>
                </c:pt>
                <c:pt idx="17">
                  <c:v>-8.5</c:v>
                </c:pt>
                <c:pt idx="18">
                  <c:v>2.6</c:v>
                </c:pt>
                <c:pt idx="19">
                  <c:v>11.6</c:v>
                </c:pt>
                <c:pt idx="20">
                  <c:v>6</c:v>
                </c:pt>
                <c:pt idx="21">
                  <c:v>9.3000000000000007</c:v>
                </c:pt>
                <c:pt idx="22">
                  <c:v>7.9</c:v>
                </c:pt>
                <c:pt idx="23">
                  <c:v>10.199999999999999</c:v>
                </c:pt>
                <c:pt idx="24">
                  <c:v>16.5</c:v>
                </c:pt>
                <c:pt idx="25">
                  <c:v>21.3</c:v>
                </c:pt>
                <c:pt idx="26">
                  <c:v>21.6</c:v>
                </c:pt>
                <c:pt idx="27">
                  <c:v>15.3</c:v>
                </c:pt>
                <c:pt idx="28">
                  <c:v>14</c:v>
                </c:pt>
                <c:pt idx="29">
                  <c:v>17</c:v>
                </c:pt>
                <c:pt idx="30">
                  <c:v>18</c:v>
                </c:pt>
                <c:pt idx="31">
                  <c:v>11.6</c:v>
                </c:pt>
                <c:pt idx="32">
                  <c:v>29.9</c:v>
                </c:pt>
                <c:pt idx="33">
                  <c:v>29.3</c:v>
                </c:pt>
                <c:pt idx="34">
                  <c:v>18.3</c:v>
                </c:pt>
                <c:pt idx="35">
                  <c:v>18.100000000000001</c:v>
                </c:pt>
                <c:pt idx="36">
                  <c:v>16.600000000000001</c:v>
                </c:pt>
                <c:pt idx="37">
                  <c:v>14.9</c:v>
                </c:pt>
                <c:pt idx="38">
                  <c:v>17.100000000000001</c:v>
                </c:pt>
                <c:pt idx="39">
                  <c:v>15.1</c:v>
                </c:pt>
                <c:pt idx="40">
                  <c:v>9.6999999999999993</c:v>
                </c:pt>
                <c:pt idx="41">
                  <c:v>-0.8</c:v>
                </c:pt>
              </c:numCache>
            </c:numRef>
          </c:val>
          <c:smooth val="0"/>
          <c:extLst>
            <c:ext xmlns:c16="http://schemas.microsoft.com/office/drawing/2014/chart" uri="{C3380CC4-5D6E-409C-BE32-E72D297353CC}">
              <c16:uniqueId val="{0000000C-2945-47C5-8CFD-D8BC508A4FAA}"/>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1'!$AP$8:$AP$49</c:f>
              <c:numCache>
                <c:formatCode>General</c:formatCode>
                <c:ptCount val="42"/>
                <c:pt idx="0">
                  <c:v>-8.6999999999999993</c:v>
                </c:pt>
                <c:pt idx="1">
                  <c:v>-3.9</c:v>
                </c:pt>
                <c:pt idx="2">
                  <c:v>-3.5</c:v>
                </c:pt>
                <c:pt idx="3">
                  <c:v>-9.9</c:v>
                </c:pt>
                <c:pt idx="4">
                  <c:v>-25</c:v>
                </c:pt>
                <c:pt idx="5">
                  <c:v>-9.9</c:v>
                </c:pt>
                <c:pt idx="6">
                  <c:v>-7.8</c:v>
                </c:pt>
                <c:pt idx="7">
                  <c:v>-0.4</c:v>
                </c:pt>
                <c:pt idx="8">
                  <c:v>-3.6</c:v>
                </c:pt>
                <c:pt idx="9">
                  <c:v>-11.9</c:v>
                </c:pt>
                <c:pt idx="10">
                  <c:v>-13.6</c:v>
                </c:pt>
                <c:pt idx="11">
                  <c:v>-8.4</c:v>
                </c:pt>
                <c:pt idx="12">
                  <c:v>-12.7</c:v>
                </c:pt>
                <c:pt idx="13">
                  <c:v>-33.5</c:v>
                </c:pt>
                <c:pt idx="14">
                  <c:v>-22.9</c:v>
                </c:pt>
                <c:pt idx="15">
                  <c:v>-15.8</c:v>
                </c:pt>
                <c:pt idx="16">
                  <c:v>-11.2</c:v>
                </c:pt>
                <c:pt idx="17">
                  <c:v>-10.4</c:v>
                </c:pt>
                <c:pt idx="18">
                  <c:v>-11.6</c:v>
                </c:pt>
                <c:pt idx="19">
                  <c:v>-10.9</c:v>
                </c:pt>
                <c:pt idx="20">
                  <c:v>-14.5</c:v>
                </c:pt>
                <c:pt idx="21">
                  <c:v>-11.6</c:v>
                </c:pt>
                <c:pt idx="22">
                  <c:v>3.4</c:v>
                </c:pt>
                <c:pt idx="23">
                  <c:v>-0.6</c:v>
                </c:pt>
                <c:pt idx="24">
                  <c:v>6.1</c:v>
                </c:pt>
                <c:pt idx="25">
                  <c:v>20</c:v>
                </c:pt>
                <c:pt idx="26">
                  <c:v>-1</c:v>
                </c:pt>
                <c:pt idx="27">
                  <c:v>12.3</c:v>
                </c:pt>
                <c:pt idx="28">
                  <c:v>13.4</c:v>
                </c:pt>
                <c:pt idx="29">
                  <c:v>8.6999999999999993</c:v>
                </c:pt>
                <c:pt idx="30">
                  <c:v>16.399999999999999</c:v>
                </c:pt>
                <c:pt idx="31">
                  <c:v>6.3</c:v>
                </c:pt>
                <c:pt idx="32">
                  <c:v>9.1</c:v>
                </c:pt>
                <c:pt idx="33">
                  <c:v>9.6</c:v>
                </c:pt>
                <c:pt idx="34">
                  <c:v>2.5</c:v>
                </c:pt>
                <c:pt idx="35">
                  <c:v>-11.2</c:v>
                </c:pt>
                <c:pt idx="36">
                  <c:v>-13.2</c:v>
                </c:pt>
                <c:pt idx="37">
                  <c:v>-1.8</c:v>
                </c:pt>
                <c:pt idx="38">
                  <c:v>-2.6</c:v>
                </c:pt>
                <c:pt idx="39">
                  <c:v>-12</c:v>
                </c:pt>
                <c:pt idx="40">
                  <c:v>-20.9</c:v>
                </c:pt>
                <c:pt idx="41">
                  <c:v>-34.9</c:v>
                </c:pt>
              </c:numCache>
            </c:numRef>
          </c:val>
          <c:smooth val="0"/>
          <c:extLst>
            <c:ext xmlns:c16="http://schemas.microsoft.com/office/drawing/2014/chart" uri="{C3380CC4-5D6E-409C-BE32-E72D297353CC}">
              <c16:uniqueId val="{0000000D-2945-47C5-8CFD-D8BC508A4FAA}"/>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Příspěvky ke</a:t>
                </a:r>
                <a:r>
                  <a:rPr lang="cs-CZ" sz="700" b="0" i="1" baseline="0"/>
                  <a:t> změně zaměstnanosti, </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počet ek. neaktivních</a:t>
                </a:r>
                <a:endParaRPr lang="cs-CZ" sz="700" b="0" i="1"/>
              </a:p>
            </c:rich>
          </c:tx>
          <c:layout>
            <c:manualLayout>
              <c:xMode val="edge"/>
              <c:yMode val="edge"/>
              <c:x val="8.0353555644837281E-3"/>
              <c:y val="4.5530183265187922E-2"/>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práce-2b'!$A$31</c:f>
              <c:strCache>
                <c:ptCount val="1"/>
                <c:pt idx="0">
                  <c:v>Míra nezaměstnanosti mužů (levá osa)</c:v>
                </c:pt>
              </c:strCache>
            </c:strRef>
          </c:tx>
          <c:spPr>
            <a:solidFill>
              <a:srgbClr val="BCBCBC"/>
            </a:solidFill>
          </c:spPr>
          <c:invertIfNegative val="0"/>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práce-2b'!$B$31:$AQ$31</c:f>
              <c:numCache>
                <c:formatCode>0.0</c:formatCode>
                <c:ptCount val="42"/>
                <c:pt idx="0">
                  <c:v>7.1604523424740121</c:v>
                </c:pt>
                <c:pt idx="1">
                  <c:v>6.4121281921519087</c:v>
                </c:pt>
                <c:pt idx="2">
                  <c:v>6.1709609297865953</c:v>
                </c:pt>
                <c:pt idx="3">
                  <c:v>6.1131978148148862</c:v>
                </c:pt>
                <c:pt idx="4">
                  <c:v>6.1002560146375542</c:v>
                </c:pt>
                <c:pt idx="5">
                  <c:v>5.9756597559482572</c:v>
                </c:pt>
                <c:pt idx="6">
                  <c:v>5.7159156023412754</c:v>
                </c:pt>
                <c:pt idx="7">
                  <c:v>5.7087133678667357</c:v>
                </c:pt>
                <c:pt idx="8">
                  <c:v>6.0583134966740291</c:v>
                </c:pt>
                <c:pt idx="9">
                  <c:v>5.9076668314324969</c:v>
                </c:pt>
                <c:pt idx="10">
                  <c:v>6.0369877832219485</c:v>
                </c:pt>
                <c:pt idx="11">
                  <c:v>6.2934312325361077</c:v>
                </c:pt>
                <c:pt idx="12">
                  <c:v>6.339947701148259</c:v>
                </c:pt>
                <c:pt idx="13">
                  <c:v>5.8433685002783831</c:v>
                </c:pt>
                <c:pt idx="14">
                  <c:v>5.950995992187015</c:v>
                </c:pt>
                <c:pt idx="15">
                  <c:v>5.8003662111322711</c:v>
                </c:pt>
                <c:pt idx="16">
                  <c:v>5.5825662119501507</c:v>
                </c:pt>
                <c:pt idx="17">
                  <c:v>5.1855428921860183</c:v>
                </c:pt>
                <c:pt idx="18">
                  <c:v>4.9090276875315224</c:v>
                </c:pt>
                <c:pt idx="19">
                  <c:v>5.01427710395091</c:v>
                </c:pt>
                <c:pt idx="20">
                  <c:v>5.0330762578903592</c:v>
                </c:pt>
                <c:pt idx="21">
                  <c:v>4.3060346271489651</c:v>
                </c:pt>
                <c:pt idx="22">
                  <c:v>4.0523390052961128</c:v>
                </c:pt>
                <c:pt idx="23">
                  <c:v>3.7950726270580621</c:v>
                </c:pt>
                <c:pt idx="24">
                  <c:v>3.6601535610942104</c:v>
                </c:pt>
                <c:pt idx="25">
                  <c:v>3.5567858585943148</c:v>
                </c:pt>
                <c:pt idx="26">
                  <c:v>3.3839743172069432</c:v>
                </c:pt>
                <c:pt idx="27">
                  <c:v>3.1605576804507014</c:v>
                </c:pt>
                <c:pt idx="28">
                  <c:v>2.701002398194706</c:v>
                </c:pt>
                <c:pt idx="29">
                  <c:v>2.4790867169033795</c:v>
                </c:pt>
                <c:pt idx="30">
                  <c:v>2.2470636598397857</c:v>
                </c:pt>
                <c:pt idx="31">
                  <c:v>2.0873237649062149</c:v>
                </c:pt>
                <c:pt idx="32">
                  <c:v>1.8992751907258054</c:v>
                </c:pt>
                <c:pt idx="33">
                  <c:v>1.819406765814735</c:v>
                </c:pt>
                <c:pt idx="34">
                  <c:v>1.8867419084423347</c:v>
                </c:pt>
                <c:pt idx="35">
                  <c:v>1.6871547982289037</c:v>
                </c:pt>
                <c:pt idx="36">
                  <c:v>1.8069218975596295</c:v>
                </c:pt>
                <c:pt idx="37">
                  <c:v>1.6642655006825746</c:v>
                </c:pt>
                <c:pt idx="38">
                  <c:v>1.7647900079859269</c:v>
                </c:pt>
                <c:pt idx="39">
                  <c:v>1.8646873027168176</c:v>
                </c:pt>
                <c:pt idx="40">
                  <c:v>1.847584661918835</c:v>
                </c:pt>
                <c:pt idx="41">
                  <c:v>2.2641497037862206</c:v>
                </c:pt>
              </c:numCache>
            </c:numRef>
          </c:val>
          <c:extLst>
            <c:ext xmlns:c16="http://schemas.microsoft.com/office/drawing/2014/chart" uri="{C3380CC4-5D6E-409C-BE32-E72D297353CC}">
              <c16:uniqueId val="{00000000-9FE7-4625-A020-3A2CFEC95681}"/>
            </c:ext>
          </c:extLst>
        </c:ser>
        <c:ser>
          <c:idx val="1"/>
          <c:order val="1"/>
          <c:tx>
            <c:strRef>
              <c:f>'Trh práce-2b'!$A$32</c:f>
              <c:strCache>
                <c:ptCount val="1"/>
                <c:pt idx="0">
                  <c:v>Míra nezaměstnanosti žen (levá osa)</c:v>
                </c:pt>
              </c:strCache>
            </c:strRef>
          </c:tx>
          <c:spPr>
            <a:solidFill>
              <a:srgbClr val="DBDBDB"/>
            </a:solidFill>
          </c:spPr>
          <c:invertIfNegative val="0"/>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práce-2b'!$B$32:$AQ$32</c:f>
              <c:numCache>
                <c:formatCode>0.0</c:formatCode>
                <c:ptCount val="42"/>
                <c:pt idx="0">
                  <c:v>8.787375444491941</c:v>
                </c:pt>
                <c:pt idx="1">
                  <c:v>8.5493867745332306</c:v>
                </c:pt>
                <c:pt idx="2">
                  <c:v>8.4851706560801059</c:v>
                </c:pt>
                <c:pt idx="3">
                  <c:v>8.3316826167265656</c:v>
                </c:pt>
                <c:pt idx="4">
                  <c:v>8.1886034834779746</c:v>
                </c:pt>
                <c:pt idx="5">
                  <c:v>8.0979101002516849</c:v>
                </c:pt>
                <c:pt idx="6">
                  <c:v>7.8320022168199896</c:v>
                </c:pt>
                <c:pt idx="7">
                  <c:v>7.7524354005664939</c:v>
                </c:pt>
                <c:pt idx="8">
                  <c:v>8.0738066673159938</c:v>
                </c:pt>
                <c:pt idx="9">
                  <c:v>8.1711410197693812</c:v>
                </c:pt>
                <c:pt idx="10">
                  <c:v>8.2963303124937013</c:v>
                </c:pt>
                <c:pt idx="11">
                  <c:v>8.5183736871594675</c:v>
                </c:pt>
                <c:pt idx="12">
                  <c:v>8.5065056824537137</c:v>
                </c:pt>
                <c:pt idx="13">
                  <c:v>8.4153419080279672</c:v>
                </c:pt>
                <c:pt idx="14">
                  <c:v>8.3799582003740412</c:v>
                </c:pt>
                <c:pt idx="15">
                  <c:v>8.2020121513754454</c:v>
                </c:pt>
                <c:pt idx="16">
                  <c:v>7.992304444813314</c:v>
                </c:pt>
                <c:pt idx="17">
                  <c:v>7.7067021117074717</c:v>
                </c:pt>
                <c:pt idx="18">
                  <c:v>7.3530522730084833</c:v>
                </c:pt>
                <c:pt idx="19">
                  <c:v>6.9713852345370251</c:v>
                </c:pt>
                <c:pt idx="20">
                  <c:v>6.806233418877973</c:v>
                </c:pt>
                <c:pt idx="21">
                  <c:v>6.2592777875158978</c:v>
                </c:pt>
                <c:pt idx="22">
                  <c:v>5.9742610021571307</c:v>
                </c:pt>
                <c:pt idx="23">
                  <c:v>5.6260945601636445</c:v>
                </c:pt>
                <c:pt idx="24">
                  <c:v>5.1207660814356979</c:v>
                </c:pt>
                <c:pt idx="25">
                  <c:v>4.8399895375634827</c:v>
                </c:pt>
                <c:pt idx="26">
                  <c:v>4.769536500403329</c:v>
                </c:pt>
                <c:pt idx="27">
                  <c:v>4.3664894782953736</c:v>
                </c:pt>
                <c:pt idx="28">
                  <c:v>4.2621638864718649</c:v>
                </c:pt>
                <c:pt idx="29">
                  <c:v>3.8834986595447045</c:v>
                </c:pt>
                <c:pt idx="30">
                  <c:v>3.3826881858082167</c:v>
                </c:pt>
                <c:pt idx="31">
                  <c:v>3.0327195730384719</c:v>
                </c:pt>
                <c:pt idx="32">
                  <c:v>3.0339448138877629</c:v>
                </c:pt>
                <c:pt idx="33">
                  <c:v>2.9074650812819249</c:v>
                </c:pt>
                <c:pt idx="34">
                  <c:v>2.6981069151197463</c:v>
                </c:pt>
                <c:pt idx="35">
                  <c:v>2.5781736488946954</c:v>
                </c:pt>
                <c:pt idx="36">
                  <c:v>2.4970362507687027</c:v>
                </c:pt>
                <c:pt idx="37">
                  <c:v>2.4564558844213482</c:v>
                </c:pt>
                <c:pt idx="38">
                  <c:v>2.4108125319601847</c:v>
                </c:pt>
                <c:pt idx="39">
                  <c:v>2.3486141561978333</c:v>
                </c:pt>
                <c:pt idx="40">
                  <c:v>2.3454577464264221</c:v>
                </c:pt>
                <c:pt idx="41">
                  <c:v>2.6669240565652168</c:v>
                </c:pt>
              </c:numCache>
            </c:numRef>
          </c:val>
          <c:extLst>
            <c:ext xmlns:c16="http://schemas.microsoft.com/office/drawing/2014/chart" uri="{C3380CC4-5D6E-409C-BE32-E72D297353CC}">
              <c16:uniqueId val="{00000001-9FE7-4625-A020-3A2CFEC95681}"/>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práce-2b'!$A$33</c:f>
              <c:strCache>
                <c:ptCount val="1"/>
                <c:pt idx="0">
                  <c:v>Podíl nezam. déle než 1 rok (pravá osa)</c:v>
                </c:pt>
              </c:strCache>
            </c:strRef>
          </c:tx>
          <c:spPr>
            <a:ln w="19050">
              <a:solidFill>
                <a:srgbClr val="00B050"/>
              </a:solidFill>
              <a:prstDash val="sysDash"/>
            </a:ln>
          </c:spPr>
          <c:marker>
            <c:symbol val="none"/>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práce-2b'!$B$33:$AQ$33</c:f>
              <c:numCache>
                <c:formatCode>0.0</c:formatCode>
                <c:ptCount val="42"/>
                <c:pt idx="0">
                  <c:v>35.786982248520715</c:v>
                </c:pt>
                <c:pt idx="1">
                  <c:v>41.548731642189587</c:v>
                </c:pt>
                <c:pt idx="2">
                  <c:v>43.063352044907781</c:v>
                </c:pt>
                <c:pt idx="3">
                  <c:v>44.061724993111056</c:v>
                </c:pt>
                <c:pt idx="4">
                  <c:v>40.032197477864237</c:v>
                </c:pt>
                <c:pt idx="5">
                  <c:v>39.10073989755265</c:v>
                </c:pt>
                <c:pt idx="6">
                  <c:v>40.443536620951271</c:v>
                </c:pt>
                <c:pt idx="7">
                  <c:v>42.797494780793315</c:v>
                </c:pt>
                <c:pt idx="8">
                  <c:v>43.093174431202605</c:v>
                </c:pt>
                <c:pt idx="9">
                  <c:v>44.343117697349683</c:v>
                </c:pt>
                <c:pt idx="10">
                  <c:v>43.272628431639035</c:v>
                </c:pt>
                <c:pt idx="11">
                  <c:v>42.710255734247298</c:v>
                </c:pt>
                <c:pt idx="12">
                  <c:v>43.264578558696208</c:v>
                </c:pt>
                <c:pt idx="13">
                  <c:v>44.41340782122905</c:v>
                </c:pt>
                <c:pt idx="14">
                  <c:v>43.695887445887443</c:v>
                </c:pt>
                <c:pt idx="15">
                  <c:v>42.290377039954983</c:v>
                </c:pt>
                <c:pt idx="16">
                  <c:v>41.140301844605929</c:v>
                </c:pt>
                <c:pt idx="17">
                  <c:v>43.188951663527931</c:v>
                </c:pt>
                <c:pt idx="18">
                  <c:v>43.811960345378957</c:v>
                </c:pt>
                <c:pt idx="19">
                  <c:v>46.249590566655755</c:v>
                </c:pt>
                <c:pt idx="20">
                  <c:v>45.762175838077162</c:v>
                </c:pt>
                <c:pt idx="21">
                  <c:v>46.715049656226128</c:v>
                </c:pt>
                <c:pt idx="22">
                  <c:v>48.521400778210108</c:v>
                </c:pt>
                <c:pt idx="23">
                  <c:v>48.542458808618512</c:v>
                </c:pt>
                <c:pt idx="24">
                  <c:v>45.847750865051907</c:v>
                </c:pt>
                <c:pt idx="25">
                  <c:v>43.490701001430608</c:v>
                </c:pt>
                <c:pt idx="26">
                  <c:v>39.295774647887328</c:v>
                </c:pt>
                <c:pt idx="27">
                  <c:v>39.196242171189979</c:v>
                </c:pt>
                <c:pt idx="28">
                  <c:v>37.093275488069416</c:v>
                </c:pt>
                <c:pt idx="29">
                  <c:v>37.366099558916197</c:v>
                </c:pt>
                <c:pt idx="30">
                  <c:v>32.798931195724784</c:v>
                </c:pt>
                <c:pt idx="31">
                  <c:v>31.546231546231553</c:v>
                </c:pt>
                <c:pt idx="32">
                  <c:v>31.741140215716484</c:v>
                </c:pt>
                <c:pt idx="33">
                  <c:v>30.28764805414551</c:v>
                </c:pt>
                <c:pt idx="34">
                  <c:v>28.796223446105422</c:v>
                </c:pt>
                <c:pt idx="35">
                  <c:v>31.317689530685922</c:v>
                </c:pt>
                <c:pt idx="36">
                  <c:v>32.360984503190522</c:v>
                </c:pt>
                <c:pt idx="37">
                  <c:v>32.2265625</c:v>
                </c:pt>
                <c:pt idx="38">
                  <c:v>26.979982593559615</c:v>
                </c:pt>
                <c:pt idx="39">
                  <c:v>28.623853211009177</c:v>
                </c:pt>
                <c:pt idx="40">
                  <c:v>27.049952874646561</c:v>
                </c:pt>
                <c:pt idx="41">
                  <c:v>20.823436262866192</c:v>
                </c:pt>
              </c:numCache>
            </c:numRef>
          </c:val>
          <c:smooth val="0"/>
          <c:extLst>
            <c:ext xmlns:c16="http://schemas.microsoft.com/office/drawing/2014/chart" uri="{C3380CC4-5D6E-409C-BE32-E72D297353CC}">
              <c16:uniqueId val="{00000002-9FE7-4625-A020-3A2CFEC95681}"/>
            </c:ext>
          </c:extLst>
        </c:ser>
        <c:ser>
          <c:idx val="3"/>
          <c:order val="3"/>
          <c:tx>
            <c:strRef>
              <c:f>'Trh práce-2b'!$A$34</c:f>
              <c:strCache>
                <c:ptCount val="1"/>
                <c:pt idx="0">
                  <c:v>Podíl nezam. ve věku 50+  (pravá osa)</c:v>
                </c:pt>
              </c:strCache>
            </c:strRef>
          </c:tx>
          <c:spPr>
            <a:ln w="19050">
              <a:prstDash val="sysDash"/>
            </a:ln>
          </c:spPr>
          <c:marker>
            <c:symbol val="none"/>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práce-2b'!$B$34:$AQ$34</c:f>
              <c:numCache>
                <c:formatCode>0.0</c:formatCode>
                <c:ptCount val="42"/>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pt idx="36">
                  <c:v>26.253418413855972</c:v>
                </c:pt>
                <c:pt idx="37">
                  <c:v>24.609374999999996</c:v>
                </c:pt>
                <c:pt idx="38">
                  <c:v>26.02262837249782</c:v>
                </c:pt>
                <c:pt idx="39">
                  <c:v>25.596330275229356</c:v>
                </c:pt>
                <c:pt idx="40">
                  <c:v>24.976437323279928</c:v>
                </c:pt>
              </c:numCache>
            </c:numRef>
          </c:val>
          <c:smooth val="0"/>
          <c:extLst>
            <c:ext xmlns:c16="http://schemas.microsoft.com/office/drawing/2014/chart" uri="{C3380CC4-5D6E-409C-BE32-E72D297353CC}">
              <c16:uniqueId val="{00000003-9FE7-4625-A020-3A2CFEC95681}"/>
            </c:ext>
          </c:extLst>
        </c:ser>
        <c:ser>
          <c:idx val="6"/>
          <c:order val="4"/>
          <c:tx>
            <c:strRef>
              <c:f>'Trh práce-2b'!$A$35</c:f>
              <c:strCache>
                <c:ptCount val="1"/>
                <c:pt idx="0">
                  <c:v>Ekon. neaktiv. chtějící pracovat (pr. osa)</c:v>
                </c:pt>
              </c:strCache>
            </c:strRef>
          </c:tx>
          <c:spPr>
            <a:ln w="19050">
              <a:solidFill>
                <a:srgbClr val="00B0F0"/>
              </a:solidFill>
              <a:prstDash val="solid"/>
            </a:ln>
          </c:spPr>
          <c:marker>
            <c:symbol val="none"/>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práce-2b'!$B$35:$AQ$35</c:f>
              <c:numCache>
                <c:formatCode>0.0</c:formatCode>
                <c:ptCount val="42"/>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pt idx="37">
                  <c:v>104.6</c:v>
                </c:pt>
                <c:pt idx="38">
                  <c:v>98</c:v>
                </c:pt>
                <c:pt idx="39">
                  <c:v>99.9</c:v>
                </c:pt>
                <c:pt idx="40">
                  <c:v>93.4</c:v>
                </c:pt>
                <c:pt idx="41">
                  <c:v>109.3</c:v>
                </c:pt>
              </c:numCache>
            </c:numRef>
          </c:val>
          <c:smooth val="0"/>
          <c:extLst>
            <c:ext xmlns:c16="http://schemas.microsoft.com/office/drawing/2014/chart" uri="{C3380CC4-5D6E-409C-BE32-E72D297353CC}">
              <c16:uniqueId val="{00000004-9FE7-4625-A020-3A2CFEC95681}"/>
            </c:ext>
          </c:extLst>
        </c:ser>
        <c:ser>
          <c:idx val="7"/>
          <c:order val="5"/>
          <c:tx>
            <c:strRef>
              <c:f>'Trh práce-2b'!$A$36</c:f>
              <c:strCache>
                <c:ptCount val="1"/>
                <c:pt idx="0">
                  <c:v>Očekávání vývoje nezam. (pr. osa)</c:v>
                </c:pt>
              </c:strCache>
            </c:strRef>
          </c:tx>
          <c:spPr>
            <a:ln w="6350">
              <a:solidFill>
                <a:schemeClr val="accent6">
                  <a:lumMod val="75000"/>
                </a:schemeClr>
              </a:solidFill>
              <a:prstDash val="sysDot"/>
            </a:ln>
          </c:spPr>
          <c:marker>
            <c:symbol val="circle"/>
            <c:size val="4"/>
            <c:spPr>
              <a:solidFill>
                <a:schemeClr val="accent6">
                  <a:lumMod val="75000"/>
                </a:schemeClr>
              </a:solidFill>
              <a:ln>
                <a:solidFill>
                  <a:schemeClr val="accent6">
                    <a:lumMod val="75000"/>
                  </a:schemeClr>
                </a:solidFill>
              </a:ln>
            </c:spPr>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práce-2b'!$B$36:$AQ$36</c:f>
              <c:numCache>
                <c:formatCode>#\ ##0.0</c:formatCode>
                <c:ptCount val="42"/>
                <c:pt idx="0">
                  <c:v>27.5</c:v>
                </c:pt>
                <c:pt idx="1">
                  <c:v>12.9</c:v>
                </c:pt>
                <c:pt idx="2">
                  <c:v>32.299999999999997</c:v>
                </c:pt>
                <c:pt idx="3">
                  <c:v>26.7</c:v>
                </c:pt>
                <c:pt idx="4">
                  <c:v>24.4</c:v>
                </c:pt>
                <c:pt idx="5">
                  <c:v>20.5</c:v>
                </c:pt>
                <c:pt idx="6">
                  <c:v>30.9</c:v>
                </c:pt>
                <c:pt idx="7">
                  <c:v>48.3</c:v>
                </c:pt>
                <c:pt idx="8">
                  <c:v>42.5</c:v>
                </c:pt>
                <c:pt idx="9">
                  <c:v>36</c:v>
                </c:pt>
                <c:pt idx="10">
                  <c:v>42.2</c:v>
                </c:pt>
                <c:pt idx="11">
                  <c:v>44.4</c:v>
                </c:pt>
                <c:pt idx="12">
                  <c:v>37</c:v>
                </c:pt>
                <c:pt idx="13">
                  <c:v>30.8</c:v>
                </c:pt>
                <c:pt idx="14">
                  <c:v>28.3</c:v>
                </c:pt>
                <c:pt idx="15">
                  <c:v>30.2</c:v>
                </c:pt>
                <c:pt idx="16">
                  <c:v>17.3</c:v>
                </c:pt>
                <c:pt idx="17">
                  <c:v>14.3</c:v>
                </c:pt>
                <c:pt idx="18">
                  <c:v>24.7</c:v>
                </c:pt>
                <c:pt idx="19">
                  <c:v>12.9</c:v>
                </c:pt>
                <c:pt idx="20">
                  <c:v>11.6</c:v>
                </c:pt>
                <c:pt idx="21">
                  <c:v>4.2</c:v>
                </c:pt>
                <c:pt idx="22">
                  <c:v>10.1</c:v>
                </c:pt>
                <c:pt idx="23">
                  <c:v>2.1</c:v>
                </c:pt>
                <c:pt idx="24">
                  <c:v>2.1</c:v>
                </c:pt>
                <c:pt idx="25">
                  <c:v>3.7</c:v>
                </c:pt>
                <c:pt idx="26">
                  <c:v>7.1</c:v>
                </c:pt>
                <c:pt idx="27">
                  <c:v>4.5999999999999996</c:v>
                </c:pt>
                <c:pt idx="28">
                  <c:v>-3.6</c:v>
                </c:pt>
                <c:pt idx="29">
                  <c:v>0</c:v>
                </c:pt>
                <c:pt idx="30">
                  <c:v>0.4</c:v>
                </c:pt>
                <c:pt idx="31">
                  <c:v>1</c:v>
                </c:pt>
                <c:pt idx="32">
                  <c:v>-0.6</c:v>
                </c:pt>
                <c:pt idx="33">
                  <c:v>-1.6</c:v>
                </c:pt>
                <c:pt idx="34">
                  <c:v>2.2999999999999998</c:v>
                </c:pt>
                <c:pt idx="35">
                  <c:v>3.3</c:v>
                </c:pt>
                <c:pt idx="36">
                  <c:v>8.5</c:v>
                </c:pt>
                <c:pt idx="37">
                  <c:v>6.1</c:v>
                </c:pt>
                <c:pt idx="38">
                  <c:v>14.4</c:v>
                </c:pt>
                <c:pt idx="39">
                  <c:v>17.5</c:v>
                </c:pt>
                <c:pt idx="40">
                  <c:v>16.899999999999999</c:v>
                </c:pt>
                <c:pt idx="41">
                  <c:v>45.1</c:v>
                </c:pt>
              </c:numCache>
            </c:numRef>
          </c:val>
          <c:smooth val="0"/>
          <c:extLst>
            <c:ext xmlns:c16="http://schemas.microsoft.com/office/drawing/2014/chart" uri="{C3380CC4-5D6E-409C-BE32-E72D297353CC}">
              <c16:uniqueId val="{00000005-9FE7-4625-A020-3A2CFEC95681}"/>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11"/>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200"/>
          <c:min val="-20"/>
        </c:scaling>
        <c:delete val="0"/>
        <c:axPos val="r"/>
        <c:title>
          <c:tx>
            <c:rich>
              <a:bodyPr/>
              <a:lstStyle/>
              <a:p>
                <a:pPr>
                  <a:defRPr sz="700" b="0" i="1"/>
                </a:pPr>
                <a:r>
                  <a:rPr lang="cs-CZ" sz="700" b="0" i="1"/>
                  <a:t>Počet</a:t>
                </a:r>
                <a:r>
                  <a:rPr lang="cs-CZ" sz="700" b="0" i="1" baseline="0"/>
                  <a:t> ek. neaktivních, očekávání nezaměstnanosti</a:t>
                </a:r>
                <a:endParaRPr lang="cs-CZ" sz="700" b="0" i="1"/>
              </a:p>
            </c:rich>
          </c:tx>
          <c:overlay val="0"/>
        </c:title>
        <c:numFmt formatCode="#,##0" sourceLinked="0"/>
        <c:majorTickMark val="out"/>
        <c:minorTickMark val="none"/>
        <c:tickLblPos val="nextTo"/>
        <c:crossAx val="331670576"/>
        <c:crosses val="max"/>
        <c:crossBetween val="between"/>
        <c:majorUnit val="2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2.0411716257698633E-2"/>
          <c:y val="0.87009214574436677"/>
          <c:w val="0.96008712889427228"/>
          <c:h val="0.1262099115347277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3'!$D$17:$D$50</c:f>
              <c:numCache>
                <c:formatCode>#\ ##0.0</c:formatCode>
                <c:ptCount val="34"/>
                <c:pt idx="0">
                  <c:v>-0.5</c:v>
                </c:pt>
                <c:pt idx="1">
                  <c:v>-1.2999999999999972</c:v>
                </c:pt>
                <c:pt idx="2">
                  <c:v>-1.7999999999999972</c:v>
                </c:pt>
                <c:pt idx="3">
                  <c:v>0.40000000000000568</c:v>
                </c:pt>
                <c:pt idx="4">
                  <c:v>-2.4000000000000057</c:v>
                </c:pt>
                <c:pt idx="5">
                  <c:v>-0.5</c:v>
                </c:pt>
                <c:pt idx="6">
                  <c:v>0</c:v>
                </c:pt>
                <c:pt idx="7">
                  <c:v>-3.0999999999999943</c:v>
                </c:pt>
                <c:pt idx="8">
                  <c:v>3.7000000000000028</c:v>
                </c:pt>
                <c:pt idx="9">
                  <c:v>2.5999999999999943</c:v>
                </c:pt>
                <c:pt idx="10">
                  <c:v>1.5999999999999943</c:v>
                </c:pt>
                <c:pt idx="11">
                  <c:v>2.2999999999999972</c:v>
                </c:pt>
                <c:pt idx="12">
                  <c:v>2.2000000000000028</c:v>
                </c:pt>
                <c:pt idx="13">
                  <c:v>2.5999999999999943</c:v>
                </c:pt>
                <c:pt idx="14">
                  <c:v>3.0999999999999943</c:v>
                </c:pt>
                <c:pt idx="15">
                  <c:v>3.5999999999999943</c:v>
                </c:pt>
                <c:pt idx="16">
                  <c:v>4.2000000000000028</c:v>
                </c:pt>
                <c:pt idx="17">
                  <c:v>3.7999999999999972</c:v>
                </c:pt>
                <c:pt idx="18">
                  <c:v>4.2000000000000028</c:v>
                </c:pt>
                <c:pt idx="19">
                  <c:v>3</c:v>
                </c:pt>
                <c:pt idx="20">
                  <c:v>2.5999999999999943</c:v>
                </c:pt>
                <c:pt idx="21">
                  <c:v>4.9000000000000057</c:v>
                </c:pt>
                <c:pt idx="22">
                  <c:v>4.0999999999999943</c:v>
                </c:pt>
                <c:pt idx="23">
                  <c:v>5.0999999999999943</c:v>
                </c:pt>
                <c:pt idx="24">
                  <c:v>6.5</c:v>
                </c:pt>
                <c:pt idx="25">
                  <c:v>6.2999999999999972</c:v>
                </c:pt>
                <c:pt idx="26">
                  <c:v>5.9000000000000057</c:v>
                </c:pt>
                <c:pt idx="27">
                  <c:v>4.9000000000000057</c:v>
                </c:pt>
                <c:pt idx="28">
                  <c:v>3.9000000000000057</c:v>
                </c:pt>
                <c:pt idx="29">
                  <c:v>3.7000000000000028</c:v>
                </c:pt>
                <c:pt idx="30">
                  <c:v>3.4000000000000057</c:v>
                </c:pt>
                <c:pt idx="31">
                  <c:v>3.0999999999999943</c:v>
                </c:pt>
                <c:pt idx="32">
                  <c:v>1.4000000000000057</c:v>
                </c:pt>
                <c:pt idx="33">
                  <c:v>-2.5</c:v>
                </c:pt>
              </c:numCache>
            </c:numRef>
          </c:val>
          <c:extLst>
            <c:ext xmlns:c16="http://schemas.microsoft.com/office/drawing/2014/chart" uri="{C3380CC4-5D6E-409C-BE32-E72D297353CC}">
              <c16:uniqueId val="{00000000-A63B-4F20-8DEB-57C78E7DB9A6}"/>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3'!$C$17:$C$50</c:f>
              <c:numCache>
                <c:formatCode>0.0</c:formatCode>
                <c:ptCount val="34"/>
                <c:pt idx="0">
                  <c:v>3.2000000000000028</c:v>
                </c:pt>
                <c:pt idx="1">
                  <c:v>2.0999999999999943</c:v>
                </c:pt>
                <c:pt idx="2">
                  <c:v>1.4000000000000057</c:v>
                </c:pt>
                <c:pt idx="3">
                  <c:v>3.2000000000000028</c:v>
                </c:pt>
                <c:pt idx="4">
                  <c:v>-0.59999999999999432</c:v>
                </c:pt>
                <c:pt idx="5">
                  <c:v>1</c:v>
                </c:pt>
                <c:pt idx="6">
                  <c:v>1.2000000000000028</c:v>
                </c:pt>
                <c:pt idx="7">
                  <c:v>-2</c:v>
                </c:pt>
                <c:pt idx="8">
                  <c:v>3.9000000000000057</c:v>
                </c:pt>
                <c:pt idx="9">
                  <c:v>2.7999999999999972</c:v>
                </c:pt>
                <c:pt idx="10">
                  <c:v>2.2000000000000028</c:v>
                </c:pt>
                <c:pt idx="11">
                  <c:v>2.7999999999999972</c:v>
                </c:pt>
                <c:pt idx="12">
                  <c:v>2.2999999999999972</c:v>
                </c:pt>
                <c:pt idx="13">
                  <c:v>3.2999999999999972</c:v>
                </c:pt>
                <c:pt idx="14">
                  <c:v>3.5</c:v>
                </c:pt>
                <c:pt idx="15">
                  <c:v>3.7000000000000028</c:v>
                </c:pt>
                <c:pt idx="16">
                  <c:v>4.7000000000000028</c:v>
                </c:pt>
                <c:pt idx="17">
                  <c:v>4</c:v>
                </c:pt>
                <c:pt idx="18">
                  <c:v>4.7000000000000028</c:v>
                </c:pt>
                <c:pt idx="19">
                  <c:v>4.4000000000000057</c:v>
                </c:pt>
                <c:pt idx="20">
                  <c:v>5.0999999999999943</c:v>
                </c:pt>
                <c:pt idx="21">
                  <c:v>7.2000000000000028</c:v>
                </c:pt>
                <c:pt idx="22">
                  <c:v>6.7000000000000028</c:v>
                </c:pt>
                <c:pt idx="23">
                  <c:v>7.7999999999999972</c:v>
                </c:pt>
                <c:pt idx="24">
                  <c:v>8.5</c:v>
                </c:pt>
                <c:pt idx="25">
                  <c:v>8.7000000000000028</c:v>
                </c:pt>
                <c:pt idx="26">
                  <c:v>8.4000000000000057</c:v>
                </c:pt>
                <c:pt idx="27">
                  <c:v>7.0999999999999943</c:v>
                </c:pt>
                <c:pt idx="28">
                  <c:v>6.7000000000000028</c:v>
                </c:pt>
                <c:pt idx="29">
                  <c:v>6.5999999999999943</c:v>
                </c:pt>
                <c:pt idx="30">
                  <c:v>6.2999999999999972</c:v>
                </c:pt>
                <c:pt idx="31">
                  <c:v>6.2000000000000028</c:v>
                </c:pt>
                <c:pt idx="32">
                  <c:v>5.0999999999999943</c:v>
                </c:pt>
                <c:pt idx="33">
                  <c:v>0.5</c:v>
                </c:pt>
              </c:numCache>
            </c:numRef>
          </c:val>
          <c:smooth val="0"/>
          <c:extLst>
            <c:ext xmlns:c16="http://schemas.microsoft.com/office/drawing/2014/chart" uri="{C3380CC4-5D6E-409C-BE32-E72D297353CC}">
              <c16:uniqueId val="{00000001-A63B-4F20-8DEB-57C78E7DB9A6}"/>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3'!$E$17:$E$50</c:f>
              <c:numCache>
                <c:formatCode>0.0</c:formatCode>
                <c:ptCount val="34"/>
                <c:pt idx="0">
                  <c:v>3.7769088643492523</c:v>
                </c:pt>
                <c:pt idx="1">
                  <c:v>2.921477585569292</c:v>
                </c:pt>
                <c:pt idx="2">
                  <c:v>1.9451664291104294</c:v>
                </c:pt>
                <c:pt idx="3">
                  <c:v>3.5035265256056363</c:v>
                </c:pt>
                <c:pt idx="4">
                  <c:v>0.11593242795626679</c:v>
                </c:pt>
                <c:pt idx="5">
                  <c:v>1.5370488661769315</c:v>
                </c:pt>
                <c:pt idx="6">
                  <c:v>2.0725388601036343</c:v>
                </c:pt>
                <c:pt idx="7">
                  <c:v>-0.40737723131620385</c:v>
                </c:pt>
                <c:pt idx="8">
                  <c:v>4.5202646815549912</c:v>
                </c:pt>
                <c:pt idx="9">
                  <c:v>3.1140644045138259</c:v>
                </c:pt>
                <c:pt idx="10">
                  <c:v>2.521956329062931</c:v>
                </c:pt>
                <c:pt idx="11">
                  <c:v>3.1124497991967814</c:v>
                </c:pt>
                <c:pt idx="12">
                  <c:v>1.6381118189372046</c:v>
                </c:pt>
                <c:pt idx="13">
                  <c:v>2.6920877025738719</c:v>
                </c:pt>
                <c:pt idx="14">
                  <c:v>3.010059729644766</c:v>
                </c:pt>
                <c:pt idx="15">
                  <c:v>2.9788308269320822</c:v>
                </c:pt>
                <c:pt idx="16">
                  <c:v>4.6482656596722052</c:v>
                </c:pt>
                <c:pt idx="17">
                  <c:v>3.9508373250157831</c:v>
                </c:pt>
                <c:pt idx="18">
                  <c:v>4.6540016784924205</c:v>
                </c:pt>
                <c:pt idx="19">
                  <c:v>3.8977412011906836</c:v>
                </c:pt>
                <c:pt idx="20">
                  <c:v>5.1746586808526445</c:v>
                </c:pt>
                <c:pt idx="21">
                  <c:v>8.0728701553848907</c:v>
                </c:pt>
                <c:pt idx="22">
                  <c:v>6.8272945979441602</c:v>
                </c:pt>
                <c:pt idx="23">
                  <c:v>7.0884454631252538</c:v>
                </c:pt>
                <c:pt idx="24">
                  <c:v>7.9018109790605564</c:v>
                </c:pt>
                <c:pt idx="25">
                  <c:v>8.1936869938853221</c:v>
                </c:pt>
                <c:pt idx="26">
                  <c:v>7.3566042242467802</c:v>
                </c:pt>
                <c:pt idx="27">
                  <c:v>7.6170092222467076</c:v>
                </c:pt>
                <c:pt idx="28">
                  <c:v>5.8906444633842483</c:v>
                </c:pt>
                <c:pt idx="29">
                  <c:v>5.883790554163852</c:v>
                </c:pt>
                <c:pt idx="30">
                  <c:v>5.5271271016749779</c:v>
                </c:pt>
                <c:pt idx="31">
                  <c:v>4.4163668801731433</c:v>
                </c:pt>
                <c:pt idx="32">
                  <c:v>4.4918428628919855</c:v>
                </c:pt>
                <c:pt idx="33">
                  <c:v>-4.2094633583381409</c:v>
                </c:pt>
              </c:numCache>
            </c:numRef>
          </c:val>
          <c:smooth val="0"/>
          <c:extLst>
            <c:ext xmlns:c16="http://schemas.microsoft.com/office/drawing/2014/chart" uri="{C3380CC4-5D6E-409C-BE32-E72D297353CC}">
              <c16:uniqueId val="{00000002-A63B-4F20-8DEB-57C78E7DB9A6}"/>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3'!$F$17:$F$50</c:f>
              <c:numCache>
                <c:formatCode>0.0</c:formatCode>
                <c:ptCount val="34"/>
                <c:pt idx="0">
                  <c:v>4.0793724042454897</c:v>
                </c:pt>
                <c:pt idx="1">
                  <c:v>0.74380901478710371</c:v>
                </c:pt>
                <c:pt idx="2">
                  <c:v>0.80315938942136711</c:v>
                </c:pt>
                <c:pt idx="3">
                  <c:v>3.3521825800414859</c:v>
                </c:pt>
                <c:pt idx="4">
                  <c:v>-0.36357187195176266</c:v>
                </c:pt>
                <c:pt idx="5">
                  <c:v>0.83115964454663072</c:v>
                </c:pt>
                <c:pt idx="6">
                  <c:v>1.2941849716071658</c:v>
                </c:pt>
                <c:pt idx="7">
                  <c:v>-4.6290100373942096</c:v>
                </c:pt>
                <c:pt idx="8">
                  <c:v>3.4576361694553128</c:v>
                </c:pt>
                <c:pt idx="9">
                  <c:v>4.1785416758012985</c:v>
                </c:pt>
                <c:pt idx="10">
                  <c:v>2.8899222111164136</c:v>
                </c:pt>
                <c:pt idx="11">
                  <c:v>2.761153989021409</c:v>
                </c:pt>
                <c:pt idx="12">
                  <c:v>3.1055099144049194</c:v>
                </c:pt>
                <c:pt idx="13">
                  <c:v>3.9141414141414117</c:v>
                </c:pt>
                <c:pt idx="14">
                  <c:v>3.949146815340427</c:v>
                </c:pt>
                <c:pt idx="15">
                  <c:v>5.7916298497871423</c:v>
                </c:pt>
                <c:pt idx="16">
                  <c:v>5.6443202202661524</c:v>
                </c:pt>
                <c:pt idx="17">
                  <c:v>3.9570676387201189</c:v>
                </c:pt>
                <c:pt idx="18">
                  <c:v>4.9977652269310511</c:v>
                </c:pt>
                <c:pt idx="19">
                  <c:v>4.4950645406226215</c:v>
                </c:pt>
                <c:pt idx="20">
                  <c:v>5.6231243089559229</c:v>
                </c:pt>
                <c:pt idx="21">
                  <c:v>7.9284684614485457</c:v>
                </c:pt>
                <c:pt idx="22">
                  <c:v>7.693200727526019</c:v>
                </c:pt>
                <c:pt idx="23">
                  <c:v>8.3926754832146457</c:v>
                </c:pt>
                <c:pt idx="24">
                  <c:v>7.2416629280693883</c:v>
                </c:pt>
                <c:pt idx="25">
                  <c:v>7.0392029456356937</c:v>
                </c:pt>
                <c:pt idx="26">
                  <c:v>6.8381903769449082</c:v>
                </c:pt>
                <c:pt idx="27">
                  <c:v>6.6970570490044992</c:v>
                </c:pt>
                <c:pt idx="28">
                  <c:v>7.819417814188597</c:v>
                </c:pt>
                <c:pt idx="29">
                  <c:v>5.5341966815054491</c:v>
                </c:pt>
                <c:pt idx="30">
                  <c:v>6.4442351674963021</c:v>
                </c:pt>
                <c:pt idx="31">
                  <c:v>4.3541090726313172</c:v>
                </c:pt>
                <c:pt idx="32">
                  <c:v>4.3261769270563946</c:v>
                </c:pt>
                <c:pt idx="33">
                  <c:v>-0.71901064135748527</c:v>
                </c:pt>
              </c:numCache>
            </c:numRef>
          </c:val>
          <c:smooth val="0"/>
          <c:extLst>
            <c:ext xmlns:c16="http://schemas.microsoft.com/office/drawing/2014/chart" uri="{C3380CC4-5D6E-409C-BE32-E72D297353CC}">
              <c16:uniqueId val="{00000003-A63B-4F20-8DEB-57C78E7DB9A6}"/>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3'!$G$17:$G$50</c:f>
              <c:numCache>
                <c:formatCode>0.0</c:formatCode>
                <c:ptCount val="34"/>
                <c:pt idx="0">
                  <c:v>3.2279568792092874</c:v>
                </c:pt>
                <c:pt idx="1">
                  <c:v>1.7574406830760552</c:v>
                </c:pt>
                <c:pt idx="2">
                  <c:v>1.8920783570674899</c:v>
                </c:pt>
                <c:pt idx="3">
                  <c:v>1.0598177996607347</c:v>
                </c:pt>
                <c:pt idx="4">
                  <c:v>2.4966291616919989E-2</c:v>
                </c:pt>
                <c:pt idx="5">
                  <c:v>1.6016040487051129</c:v>
                </c:pt>
                <c:pt idx="6">
                  <c:v>0.63880459502811959</c:v>
                </c:pt>
                <c:pt idx="7">
                  <c:v>0.17964165062383586</c:v>
                </c:pt>
                <c:pt idx="8">
                  <c:v>2.2807600057714694</c:v>
                </c:pt>
                <c:pt idx="9">
                  <c:v>1.7741806147294028</c:v>
                </c:pt>
                <c:pt idx="10">
                  <c:v>2.0112509376191809</c:v>
                </c:pt>
                <c:pt idx="11">
                  <c:v>4.0222566728863143</c:v>
                </c:pt>
                <c:pt idx="12">
                  <c:v>3.2925091204842687</c:v>
                </c:pt>
                <c:pt idx="13">
                  <c:v>4.3135889286729565</c:v>
                </c:pt>
                <c:pt idx="14">
                  <c:v>3.8145419077079765</c:v>
                </c:pt>
                <c:pt idx="15">
                  <c:v>3.6381766938736746</c:v>
                </c:pt>
                <c:pt idx="16">
                  <c:v>4.64178325585614</c:v>
                </c:pt>
                <c:pt idx="17">
                  <c:v>3.8061258933532116</c:v>
                </c:pt>
                <c:pt idx="18">
                  <c:v>4.8526374704253925</c:v>
                </c:pt>
                <c:pt idx="19">
                  <c:v>6.1351981806606233</c:v>
                </c:pt>
                <c:pt idx="20">
                  <c:v>5.4566112929362163</c:v>
                </c:pt>
                <c:pt idx="21">
                  <c:v>7.3192456135909225</c:v>
                </c:pt>
                <c:pt idx="22">
                  <c:v>7.9981713137873953</c:v>
                </c:pt>
                <c:pt idx="23">
                  <c:v>10.484072576559427</c:v>
                </c:pt>
                <c:pt idx="24">
                  <c:v>12.179699393983398</c:v>
                </c:pt>
                <c:pt idx="25">
                  <c:v>11.89217733254111</c:v>
                </c:pt>
                <c:pt idx="26">
                  <c:v>11.361326321628667</c:v>
                </c:pt>
                <c:pt idx="27">
                  <c:v>6.1282038917470629</c:v>
                </c:pt>
                <c:pt idx="28">
                  <c:v>8.2546748266468626</c:v>
                </c:pt>
                <c:pt idx="29">
                  <c:v>8.1369829157287512</c:v>
                </c:pt>
                <c:pt idx="30">
                  <c:v>7.2135483258725941</c:v>
                </c:pt>
                <c:pt idx="31">
                  <c:v>10.00176307206651</c:v>
                </c:pt>
                <c:pt idx="32">
                  <c:v>5.052780952700985</c:v>
                </c:pt>
                <c:pt idx="33">
                  <c:v>5.0731796240498568</c:v>
                </c:pt>
              </c:numCache>
            </c:numRef>
          </c:val>
          <c:smooth val="0"/>
          <c:extLst>
            <c:ext xmlns:c16="http://schemas.microsoft.com/office/drawing/2014/chart" uri="{C3380CC4-5D6E-409C-BE32-E72D297353CC}">
              <c16:uniqueId val="{00000004-A63B-4F20-8DEB-57C78E7DB9A6}"/>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3'!$H$17:$H$50</c:f>
              <c:numCache>
                <c:formatCode>0.0</c:formatCode>
                <c:ptCount val="34"/>
                <c:pt idx="0">
                  <c:v>1.4000000000000057</c:v>
                </c:pt>
                <c:pt idx="1">
                  <c:v>1.2999999999999972</c:v>
                </c:pt>
                <c:pt idx="2">
                  <c:v>-0.40000000000000568</c:v>
                </c:pt>
                <c:pt idx="3">
                  <c:v>-0.59999999999999432</c:v>
                </c:pt>
                <c:pt idx="4">
                  <c:v>0.59999999999999432</c:v>
                </c:pt>
                <c:pt idx="5">
                  <c:v>1.4000000000000057</c:v>
                </c:pt>
                <c:pt idx="6">
                  <c:v>2.2999999999999972</c:v>
                </c:pt>
                <c:pt idx="7">
                  <c:v>1.2000000000000028</c:v>
                </c:pt>
                <c:pt idx="8">
                  <c:v>4.7000000000000028</c:v>
                </c:pt>
                <c:pt idx="9">
                  <c:v>3.2999999999999972</c:v>
                </c:pt>
                <c:pt idx="10">
                  <c:v>2.5999999999999943</c:v>
                </c:pt>
                <c:pt idx="11">
                  <c:v>2.2999999999999972</c:v>
                </c:pt>
                <c:pt idx="12">
                  <c:v>0.70000000000000284</c:v>
                </c:pt>
                <c:pt idx="13">
                  <c:v>2.2999999999999972</c:v>
                </c:pt>
                <c:pt idx="14">
                  <c:v>3.7999999999999972</c:v>
                </c:pt>
                <c:pt idx="15">
                  <c:v>4.7000000000000028</c:v>
                </c:pt>
                <c:pt idx="16">
                  <c:v>6.7000000000000028</c:v>
                </c:pt>
                <c:pt idx="17">
                  <c:v>4.5999999999999943</c:v>
                </c:pt>
                <c:pt idx="18">
                  <c:v>5.2999999999999972</c:v>
                </c:pt>
                <c:pt idx="19">
                  <c:v>6.2000000000000028</c:v>
                </c:pt>
                <c:pt idx="20">
                  <c:v>4.9000000000000057</c:v>
                </c:pt>
                <c:pt idx="21">
                  <c:v>7.7000000000000028</c:v>
                </c:pt>
                <c:pt idx="22">
                  <c:v>7</c:v>
                </c:pt>
                <c:pt idx="23">
                  <c:v>8.9000000000000057</c:v>
                </c:pt>
                <c:pt idx="24">
                  <c:v>8.2999999999999972</c:v>
                </c:pt>
                <c:pt idx="25">
                  <c:v>9.5999999999999943</c:v>
                </c:pt>
                <c:pt idx="26">
                  <c:v>10</c:v>
                </c:pt>
                <c:pt idx="27">
                  <c:v>7.2000000000000028</c:v>
                </c:pt>
                <c:pt idx="28">
                  <c:v>7.4000000000000057</c:v>
                </c:pt>
                <c:pt idx="29">
                  <c:v>6.5999999999999943</c:v>
                </c:pt>
                <c:pt idx="30">
                  <c:v>6</c:v>
                </c:pt>
                <c:pt idx="31">
                  <c:v>6.0999999999999943</c:v>
                </c:pt>
                <c:pt idx="32">
                  <c:v>6</c:v>
                </c:pt>
                <c:pt idx="33">
                  <c:v>-0.20000000000000284</c:v>
                </c:pt>
              </c:numCache>
            </c:numRef>
          </c:val>
          <c:smooth val="0"/>
          <c:extLst>
            <c:ext xmlns:c16="http://schemas.microsoft.com/office/drawing/2014/chart" uri="{C3380CC4-5D6E-409C-BE32-E72D297353CC}">
              <c16:uniqueId val="{00000005-A63B-4F20-8DEB-57C78E7DB9A6}"/>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'Měnové podmínky 1'!$C$42:$C$107</c:f>
              <c:numCache>
                <c:formatCode>0.00</c:formatCode>
                <c:ptCount val="66"/>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numCache>
            </c:numRef>
          </c:val>
          <c:extLst>
            <c:ext xmlns:c16="http://schemas.microsoft.com/office/drawing/2014/chart" uri="{C3380CC4-5D6E-409C-BE32-E72D297353CC}">
              <c16:uniqueId val="{00000000-BF89-4EAB-93D7-76F07B5470CF}"/>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'Měnové podmínky 1'!$F$42:$F$107</c:f>
              <c:numCache>
                <c:formatCode>General</c:formatCode>
                <c:ptCount val="66"/>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numCache>
            </c:numRef>
          </c:val>
          <c:smooth val="0"/>
          <c:extLst>
            <c:ext xmlns:c16="http://schemas.microsoft.com/office/drawing/2014/chart" uri="{C3380CC4-5D6E-409C-BE32-E72D297353CC}">
              <c16:uniqueId val="{00000001-BF89-4EAB-93D7-76F07B5470CF}"/>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'Měnové podmínky 1'!$D$42:$D$107</c:f>
              <c:numCache>
                <c:formatCode>General</c:formatCode>
                <c:ptCount val="66"/>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numCache>
            </c:numRef>
          </c:val>
          <c:smooth val="0"/>
          <c:extLst>
            <c:ext xmlns:c16="http://schemas.microsoft.com/office/drawing/2014/chart" uri="{C3380CC4-5D6E-409C-BE32-E72D297353CC}">
              <c16:uniqueId val="{00000002-BF89-4EAB-93D7-76F07B5470CF}"/>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'Měnové podmínky 1'!$G$42:$G$107</c:f>
              <c:numCache>
                <c:formatCode>General</c:formatCode>
                <c:ptCount val="66"/>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numCache>
            </c:numRef>
          </c:val>
          <c:smooth val="0"/>
          <c:extLst>
            <c:ext xmlns:c16="http://schemas.microsoft.com/office/drawing/2014/chart" uri="{C3380CC4-5D6E-409C-BE32-E72D297353CC}">
              <c16:uniqueId val="{00000003-BF89-4EAB-93D7-76F07B5470CF}"/>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'Měnové podmínky 1'!$E$42:$E$107</c:f>
              <c:numCache>
                <c:formatCode>General</c:formatCode>
                <c:ptCount val="66"/>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numCache>
            </c:numRef>
          </c:val>
          <c:smooth val="0"/>
          <c:extLst>
            <c:ext xmlns:c16="http://schemas.microsoft.com/office/drawing/2014/chart" uri="{C3380CC4-5D6E-409C-BE32-E72D297353CC}">
              <c16:uniqueId val="{00000004-BF89-4EAB-93D7-76F07B5470CF}"/>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'Měnové podmínky 1'!$H$42:$H$107</c:f>
              <c:numCache>
                <c:formatCode>General</c:formatCode>
                <c:ptCount val="66"/>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numCache>
            </c:numRef>
          </c:val>
          <c:smooth val="0"/>
          <c:extLst>
            <c:ext xmlns:c16="http://schemas.microsoft.com/office/drawing/2014/chart" uri="{C3380CC4-5D6E-409C-BE32-E72D297353CC}">
              <c16:uniqueId val="{00000005-BF89-4EAB-93D7-76F07B5470CF}"/>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08338784405057E-2"/>
          <c:y val="1.7107238390107405E-2"/>
          <c:w val="0.84381833758037139"/>
          <c:h val="0.81522316394353223"/>
        </c:manualLayout>
      </c:layout>
      <c:barChart>
        <c:barDir val="col"/>
        <c:grouping val="clustered"/>
        <c:varyColors val="0"/>
        <c:ser>
          <c:idx val="4"/>
          <c:order val="3"/>
          <c:tx>
            <c:strRef>
              <c:f>'G1-Státní rozpočet-příjmy'!$A$38</c:f>
              <c:strCache>
                <c:ptCount val="1"/>
                <c:pt idx="0">
                  <c:v>Saldo státního rozpočtu (SR, pravá osa)</c:v>
                </c:pt>
              </c:strCache>
            </c:strRef>
          </c:tx>
          <c:spPr>
            <a:solidFill>
              <a:schemeClr val="bg1">
                <a:lumMod val="65000"/>
              </a:schemeClr>
            </a:solidFill>
          </c:spPr>
          <c:invertIfNegative val="0"/>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rozpočet-příjmy'!$B$38:$Q$38</c:f>
              <c:numCache>
                <c:formatCode>#\ ##0.0</c:formatCode>
                <c:ptCount val="16"/>
                <c:pt idx="0">
                  <c:v>3.76</c:v>
                </c:pt>
                <c:pt idx="1">
                  <c:v>7.64</c:v>
                </c:pt>
                <c:pt idx="2">
                  <c:v>1.2749999999999999</c:v>
                </c:pt>
                <c:pt idx="3">
                  <c:v>-5.6520000000000001</c:v>
                </c:pt>
                <c:pt idx="4">
                  <c:v>-68.259</c:v>
                </c:pt>
                <c:pt idx="5">
                  <c:v>-75.662000000000006</c:v>
                </c:pt>
                <c:pt idx="6">
                  <c:v>-62.856000000000002</c:v>
                </c:pt>
                <c:pt idx="7">
                  <c:v>-71.721999999999994</c:v>
                </c:pt>
                <c:pt idx="8">
                  <c:v>-31.52</c:v>
                </c:pt>
                <c:pt idx="9">
                  <c:v>1.45</c:v>
                </c:pt>
                <c:pt idx="10">
                  <c:v>22.65</c:v>
                </c:pt>
                <c:pt idx="11">
                  <c:v>40.65</c:v>
                </c:pt>
                <c:pt idx="12">
                  <c:v>4.62</c:v>
                </c:pt>
                <c:pt idx="13">
                  <c:v>-5.88</c:v>
                </c:pt>
                <c:pt idx="14">
                  <c:v>-20.68</c:v>
                </c:pt>
                <c:pt idx="15">
                  <c:v>-195.24722774568022</c:v>
                </c:pt>
              </c:numCache>
            </c:numRef>
          </c:val>
          <c:extLst>
            <c:ext xmlns:c16="http://schemas.microsoft.com/office/drawing/2014/chart" uri="{C3380CC4-5D6E-409C-BE32-E72D297353CC}">
              <c16:uniqueId val="{00000000-FCEC-4D43-B771-5DA059643512}"/>
            </c:ext>
          </c:extLst>
        </c:ser>
        <c:ser>
          <c:idx val="2"/>
          <c:order val="4"/>
          <c:tx>
            <c:strRef>
              <c:f>'G1-Státní rozpočet-příjmy'!$A$39</c:f>
              <c:strCache>
                <c:ptCount val="1"/>
                <c:pt idx="0">
                  <c:v>Saldo SR očištěné o vliv EU a FM* (pr. osa)</c:v>
                </c:pt>
              </c:strCache>
            </c:strRef>
          </c:tx>
          <c:spPr>
            <a:solidFill>
              <a:schemeClr val="bg1">
                <a:lumMod val="85000"/>
              </a:schemeClr>
            </a:solidFill>
            <a:ln w="28575">
              <a:noFill/>
            </a:ln>
          </c:spPr>
          <c:invertIfNegative val="0"/>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rozpočet-příjmy'!$B$39:$Q$39</c:f>
              <c:numCache>
                <c:formatCode>General</c:formatCode>
                <c:ptCount val="16"/>
                <c:pt idx="8" formatCode="#\ ##0.0">
                  <c:v>-69.3</c:v>
                </c:pt>
                <c:pt idx="9" formatCode="#\ ##0.0">
                  <c:v>-42.6</c:v>
                </c:pt>
                <c:pt idx="10" formatCode="#\ ##0.0">
                  <c:v>-47.7</c:v>
                </c:pt>
                <c:pt idx="11" formatCode="#\ ##0.0">
                  <c:v>-30.8</c:v>
                </c:pt>
                <c:pt idx="12" formatCode="#\ ##0.0">
                  <c:v>-13.2</c:v>
                </c:pt>
                <c:pt idx="13" formatCode="#\ ##0.0">
                  <c:v>-28.4</c:v>
                </c:pt>
                <c:pt idx="14" formatCode="#\ ##0.0">
                  <c:v>-22.810324545670142</c:v>
                </c:pt>
                <c:pt idx="15" formatCode="#\ ##0.0">
                  <c:v>-196.10355120125018</c:v>
                </c:pt>
              </c:numCache>
            </c:numRef>
          </c:val>
          <c:extLst>
            <c:ext xmlns:c16="http://schemas.microsoft.com/office/drawing/2014/chart" uri="{C3380CC4-5D6E-409C-BE32-E72D297353CC}">
              <c16:uniqueId val="{00000001-FCEC-4D43-B771-5DA059643512}"/>
            </c:ext>
          </c:extLst>
        </c:ser>
        <c:dLbls>
          <c:showLegendKey val="0"/>
          <c:showVal val="0"/>
          <c:showCatName val="0"/>
          <c:showSerName val="0"/>
          <c:showPercent val="0"/>
          <c:showBubbleSize val="0"/>
        </c:dLbls>
        <c:gapWidth val="150"/>
        <c:axId val="337259904"/>
        <c:axId val="337258656"/>
      </c:barChart>
      <c:lineChart>
        <c:grouping val="standard"/>
        <c:varyColors val="0"/>
        <c:ser>
          <c:idx val="0"/>
          <c:order val="0"/>
          <c:tx>
            <c:strRef>
              <c:f>'G1-Státní rozpočet-příjmy'!$A$35</c:f>
              <c:strCache>
                <c:ptCount val="1"/>
                <c:pt idx="0">
                  <c:v>DPH a spotřební daně</c:v>
                </c:pt>
              </c:strCache>
            </c:strRef>
          </c:tx>
          <c:spPr>
            <a:ln w="19050">
              <a:noFill/>
            </a:ln>
          </c:spPr>
          <c:marker>
            <c:symbol val="diamond"/>
            <c:size val="6"/>
            <c:spPr>
              <a:solidFill>
                <a:srgbClr val="00B050"/>
              </a:solidFill>
              <a:ln>
                <a:noFill/>
              </a:ln>
            </c:spPr>
          </c:marker>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rozpočet-příjmy'!$B$35:$Q$35</c:f>
              <c:numCache>
                <c:formatCode>#\ ##0.0</c:formatCode>
                <c:ptCount val="16"/>
                <c:pt idx="0">
                  <c:v>26.071458881439384</c:v>
                </c:pt>
                <c:pt idx="1">
                  <c:v>14.762706159542233</c:v>
                </c:pt>
                <c:pt idx="2">
                  <c:v>1.7362740497419082</c:v>
                </c:pt>
                <c:pt idx="3">
                  <c:v>4.3646217712176991</c:v>
                </c:pt>
                <c:pt idx="4">
                  <c:v>-2.5247223910281065</c:v>
                </c:pt>
                <c:pt idx="5">
                  <c:v>9.1022443890274189</c:v>
                </c:pt>
                <c:pt idx="6">
                  <c:v>6.7532467532467564</c:v>
                </c:pt>
                <c:pt idx="7">
                  <c:v>-4.4720194647201907</c:v>
                </c:pt>
                <c:pt idx="8">
                  <c:v>8.0077428556874395</c:v>
                </c:pt>
                <c:pt idx="9">
                  <c:v>8.055463849455279</c:v>
                </c:pt>
                <c:pt idx="10">
                  <c:v>-4.5087512548557385</c:v>
                </c:pt>
                <c:pt idx="11">
                  <c:v>6.5682420696590071</c:v>
                </c:pt>
                <c:pt idx="12">
                  <c:v>9.761955822431915</c:v>
                </c:pt>
                <c:pt idx="13">
                  <c:v>6.0607244734476922</c:v>
                </c:pt>
                <c:pt idx="14">
                  <c:v>3.1611524574460077</c:v>
                </c:pt>
                <c:pt idx="15">
                  <c:v>-6.2418802907821487</c:v>
                </c:pt>
              </c:numCache>
            </c:numRef>
          </c:val>
          <c:smooth val="0"/>
          <c:extLst>
            <c:ext xmlns:c16="http://schemas.microsoft.com/office/drawing/2014/chart" uri="{C3380CC4-5D6E-409C-BE32-E72D297353CC}">
              <c16:uniqueId val="{00000002-FCEC-4D43-B771-5DA059643512}"/>
            </c:ext>
          </c:extLst>
        </c:ser>
        <c:ser>
          <c:idx val="1"/>
          <c:order val="1"/>
          <c:tx>
            <c:strRef>
              <c:f>'G1-Státní rozpočet-příjmy'!$A$36</c:f>
              <c:strCache>
                <c:ptCount val="1"/>
                <c:pt idx="0">
                  <c:v>Daně z příjmů (DPFO) ze závislé činnosti</c:v>
                </c:pt>
              </c:strCache>
            </c:strRef>
          </c:tx>
          <c:spPr>
            <a:ln w="19050">
              <a:solidFill>
                <a:srgbClr val="BD1B25"/>
              </a:solidFill>
              <a:prstDash val="solid"/>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FCEC-4D43-B771-5DA059643512}"/>
                </c:ext>
              </c:extLst>
            </c:dLbl>
            <c:dLbl>
              <c:idx val="1"/>
              <c:delete val="1"/>
              <c:extLst>
                <c:ext xmlns:c15="http://schemas.microsoft.com/office/drawing/2012/chart" uri="{CE6537A1-D6FC-4f65-9D91-7224C49458BB}"/>
                <c:ext xmlns:c16="http://schemas.microsoft.com/office/drawing/2014/chart" uri="{C3380CC4-5D6E-409C-BE32-E72D297353CC}">
                  <c16:uniqueId val="{00000004-FCEC-4D43-B771-5DA059643512}"/>
                </c:ext>
              </c:extLst>
            </c:dLbl>
            <c:dLbl>
              <c:idx val="2"/>
              <c:delete val="1"/>
              <c:extLst>
                <c:ext xmlns:c15="http://schemas.microsoft.com/office/drawing/2012/chart" uri="{CE6537A1-D6FC-4f65-9D91-7224C49458BB}"/>
                <c:ext xmlns:c16="http://schemas.microsoft.com/office/drawing/2014/chart" uri="{C3380CC4-5D6E-409C-BE32-E72D297353CC}">
                  <c16:uniqueId val="{00000005-FCEC-4D43-B771-5DA059643512}"/>
                </c:ext>
              </c:extLst>
            </c:dLbl>
            <c:dLbl>
              <c:idx val="3"/>
              <c:delete val="1"/>
              <c:extLst>
                <c:ext xmlns:c15="http://schemas.microsoft.com/office/drawing/2012/chart" uri="{CE6537A1-D6FC-4f65-9D91-7224C49458BB}"/>
                <c:ext xmlns:c16="http://schemas.microsoft.com/office/drawing/2014/chart" uri="{C3380CC4-5D6E-409C-BE32-E72D297353CC}">
                  <c16:uniqueId val="{00000006-FCEC-4D43-B771-5DA059643512}"/>
                </c:ext>
              </c:extLst>
            </c:dLbl>
            <c:dLbl>
              <c:idx val="4"/>
              <c:delete val="1"/>
              <c:extLst>
                <c:ext xmlns:c15="http://schemas.microsoft.com/office/drawing/2012/chart" uri="{CE6537A1-D6FC-4f65-9D91-7224C49458BB}"/>
                <c:ext xmlns:c16="http://schemas.microsoft.com/office/drawing/2014/chart" uri="{C3380CC4-5D6E-409C-BE32-E72D297353CC}">
                  <c16:uniqueId val="{00000007-FCEC-4D43-B771-5DA059643512}"/>
                </c:ext>
              </c:extLst>
            </c:dLbl>
            <c:dLbl>
              <c:idx val="5"/>
              <c:delete val="1"/>
              <c:extLst>
                <c:ext xmlns:c15="http://schemas.microsoft.com/office/drawing/2012/chart" uri="{CE6537A1-D6FC-4f65-9D91-7224C49458BB}"/>
                <c:ext xmlns:c16="http://schemas.microsoft.com/office/drawing/2014/chart" uri="{C3380CC4-5D6E-409C-BE32-E72D297353CC}">
                  <c16:uniqueId val="{00000008-FCEC-4D43-B771-5DA059643512}"/>
                </c:ext>
              </c:extLst>
            </c:dLbl>
            <c:dLbl>
              <c:idx val="6"/>
              <c:delete val="1"/>
              <c:extLst>
                <c:ext xmlns:c15="http://schemas.microsoft.com/office/drawing/2012/chart" uri="{CE6537A1-D6FC-4f65-9D91-7224C49458BB}"/>
                <c:ext xmlns:c16="http://schemas.microsoft.com/office/drawing/2014/chart" uri="{C3380CC4-5D6E-409C-BE32-E72D297353CC}">
                  <c16:uniqueId val="{00000009-FCEC-4D43-B771-5DA059643512}"/>
                </c:ext>
              </c:extLst>
            </c:dLbl>
            <c:dLbl>
              <c:idx val="7"/>
              <c:delete val="1"/>
              <c:extLst>
                <c:ext xmlns:c15="http://schemas.microsoft.com/office/drawing/2012/chart" uri="{CE6537A1-D6FC-4f65-9D91-7224C49458BB}"/>
                <c:ext xmlns:c16="http://schemas.microsoft.com/office/drawing/2014/chart" uri="{C3380CC4-5D6E-409C-BE32-E72D297353CC}">
                  <c16:uniqueId val="{0000000A-FCEC-4D43-B771-5DA059643512}"/>
                </c:ext>
              </c:extLst>
            </c:dLbl>
            <c:dLbl>
              <c:idx val="8"/>
              <c:delete val="1"/>
              <c:extLst>
                <c:ext xmlns:c15="http://schemas.microsoft.com/office/drawing/2012/chart" uri="{CE6537A1-D6FC-4f65-9D91-7224C49458BB}"/>
                <c:ext xmlns:c16="http://schemas.microsoft.com/office/drawing/2014/chart" uri="{C3380CC4-5D6E-409C-BE32-E72D297353CC}">
                  <c16:uniqueId val="{0000000B-FCEC-4D43-B771-5DA059643512}"/>
                </c:ext>
              </c:extLst>
            </c:dLbl>
            <c:dLbl>
              <c:idx val="9"/>
              <c:delete val="1"/>
              <c:extLst>
                <c:ext xmlns:c15="http://schemas.microsoft.com/office/drawing/2012/chart" uri="{CE6537A1-D6FC-4f65-9D91-7224C49458BB}"/>
                <c:ext xmlns:c16="http://schemas.microsoft.com/office/drawing/2014/chart" uri="{C3380CC4-5D6E-409C-BE32-E72D297353CC}">
                  <c16:uniqueId val="{0000000C-FCEC-4D43-B771-5DA059643512}"/>
                </c:ext>
              </c:extLst>
            </c:dLbl>
            <c:dLbl>
              <c:idx val="10"/>
              <c:delete val="1"/>
              <c:extLst>
                <c:ext xmlns:c15="http://schemas.microsoft.com/office/drawing/2012/chart" uri="{CE6537A1-D6FC-4f65-9D91-7224C49458BB}"/>
                <c:ext xmlns:c16="http://schemas.microsoft.com/office/drawing/2014/chart" uri="{C3380CC4-5D6E-409C-BE32-E72D297353CC}">
                  <c16:uniqueId val="{0000000D-FCEC-4D43-B771-5DA059643512}"/>
                </c:ext>
              </c:extLst>
            </c:dLbl>
            <c:dLbl>
              <c:idx val="11"/>
              <c:delete val="1"/>
              <c:extLst>
                <c:ext xmlns:c15="http://schemas.microsoft.com/office/drawing/2012/chart" uri="{CE6537A1-D6FC-4f65-9D91-7224C49458BB}"/>
                <c:ext xmlns:c16="http://schemas.microsoft.com/office/drawing/2014/chart" uri="{C3380CC4-5D6E-409C-BE32-E72D297353CC}">
                  <c16:uniqueId val="{0000000E-FCEC-4D43-B771-5DA059643512}"/>
                </c:ext>
              </c:extLst>
            </c:dLbl>
            <c:dLbl>
              <c:idx val="12"/>
              <c:delete val="1"/>
              <c:extLst>
                <c:ext xmlns:c15="http://schemas.microsoft.com/office/drawing/2012/chart" uri="{CE6537A1-D6FC-4f65-9D91-7224C49458BB}"/>
                <c:ext xmlns:c16="http://schemas.microsoft.com/office/drawing/2014/chart" uri="{C3380CC4-5D6E-409C-BE32-E72D297353CC}">
                  <c16:uniqueId val="{0000000F-FCEC-4D43-B771-5DA059643512}"/>
                </c:ext>
              </c:extLst>
            </c:dLbl>
            <c:dLbl>
              <c:idx val="13"/>
              <c:layout>
                <c:manualLayout>
                  <c:x val="-1.0970476382178435E-2"/>
                  <c:y val="0.59767631453126346"/>
                </c:manualLayout>
              </c:layout>
              <c:tx>
                <c:rich>
                  <a:bodyPr/>
                  <a:lstStyle/>
                  <a:p>
                    <a:r>
                      <a: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rPr>
                      <a:t>–</a:t>
                    </a:r>
                    <a:r>
                      <a:rPr lang="en-US"/>
                      <a:t>195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EC-4D43-B771-5DA059643512}"/>
                </c:ext>
              </c:extLst>
            </c:dLbl>
            <c:dLbl>
              <c:idx val="14"/>
              <c:layout>
                <c:manualLayout>
                  <c:x val="-4.6020563999186678E-2"/>
                  <c:y val="0.60372876821191301"/>
                </c:manualLayout>
              </c:layout>
              <c:tx>
                <c:rich>
                  <a:bodyPr/>
                  <a:lstStyle/>
                  <a:p>
                    <a:r>
                      <a: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rPr>
                      <a:t>–</a:t>
                    </a:r>
                    <a:r>
                      <a:rPr lang="en-US"/>
                      <a:t>196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CEC-4D43-B771-5DA059643512}"/>
                </c:ext>
              </c:extLst>
            </c:dLbl>
            <c:dLbl>
              <c:idx val="15"/>
              <c:delete val="1"/>
              <c:extLst>
                <c:ext xmlns:c15="http://schemas.microsoft.com/office/drawing/2012/chart" uri="{CE6537A1-D6FC-4f65-9D91-7224C49458BB}"/>
                <c:ext xmlns:c16="http://schemas.microsoft.com/office/drawing/2014/chart" uri="{C3380CC4-5D6E-409C-BE32-E72D297353CC}">
                  <c16:uniqueId val="{00000012-FCEC-4D43-B771-5DA059643512}"/>
                </c:ext>
              </c:extLst>
            </c:dLbl>
            <c:spPr>
              <a:noFill/>
              <a:ln>
                <a:noFill/>
              </a:ln>
              <a:effectLst/>
            </c:spPr>
            <c:txPr>
              <a:bodyPr wrap="square" lIns="38100" tIns="19050" rIns="38100" bIns="19050" anchor="ctr">
                <a:spAutoFit/>
              </a:bodyPr>
              <a:lstStyle/>
              <a:p>
                <a:pPr>
                  <a:defRPr sz="7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rozpočet-příjmy'!$B$36:$Q$36</c:f>
              <c:numCache>
                <c:formatCode>#\ ##0.0</c:formatCode>
                <c:ptCount val="16"/>
                <c:pt idx="0">
                  <c:v>7.2278911564625901</c:v>
                </c:pt>
                <c:pt idx="1">
                  <c:v>2.2997620935765468</c:v>
                </c:pt>
                <c:pt idx="2">
                  <c:v>12.20930232558139</c:v>
                </c:pt>
                <c:pt idx="3">
                  <c:v>-5.4749568221070746</c:v>
                </c:pt>
                <c:pt idx="4">
                  <c:v>-6.0661428832450213</c:v>
                </c:pt>
                <c:pt idx="5">
                  <c:v>-0.11670881151526658</c:v>
                </c:pt>
                <c:pt idx="6">
                  <c:v>6.6601752677702137</c:v>
                </c:pt>
                <c:pt idx="7">
                  <c:v>2.2092386342888375</c:v>
                </c:pt>
                <c:pt idx="8">
                  <c:v>5.4841014648088731</c:v>
                </c:pt>
                <c:pt idx="9">
                  <c:v>4.7417442845046622</c:v>
                </c:pt>
                <c:pt idx="10">
                  <c:v>1.0509296685529534</c:v>
                </c:pt>
                <c:pt idx="11">
                  <c:v>10.704000000000008</c:v>
                </c:pt>
                <c:pt idx="12">
                  <c:v>12.559618441971381</c:v>
                </c:pt>
                <c:pt idx="13">
                  <c:v>15.382639958911156</c:v>
                </c:pt>
                <c:pt idx="14">
                  <c:v>13.265079011796118</c:v>
                </c:pt>
                <c:pt idx="15">
                  <c:v>-15.472154279151113</c:v>
                </c:pt>
              </c:numCache>
            </c:numRef>
          </c:val>
          <c:smooth val="0"/>
          <c:extLst>
            <c:ext xmlns:c16="http://schemas.microsoft.com/office/drawing/2014/chart" uri="{C3380CC4-5D6E-409C-BE32-E72D297353CC}">
              <c16:uniqueId val="{00000013-FCEC-4D43-B771-5DA059643512}"/>
            </c:ext>
          </c:extLst>
        </c:ser>
        <c:ser>
          <c:idx val="3"/>
          <c:order val="2"/>
          <c:tx>
            <c:strRef>
              <c:f>'G1-Státní rozpočet-příjmy'!$A$37</c:f>
              <c:strCache>
                <c:ptCount val="1"/>
                <c:pt idx="0">
                  <c:v>Daně z příjmů právnických osob (DPPO)</c:v>
                </c:pt>
              </c:strCache>
            </c:strRef>
          </c:tx>
          <c:spPr>
            <a:ln w="19050">
              <a:solidFill>
                <a:srgbClr val="0071BC"/>
              </a:solidFill>
              <a:prstDash val="solid"/>
            </a:ln>
          </c:spPr>
          <c:marker>
            <c:symbol val="none"/>
          </c:marker>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rozpočet-příjmy'!$B$37:$Q$37</c:f>
              <c:numCache>
                <c:formatCode>#\ ##0.0</c:formatCode>
                <c:ptCount val="16"/>
                <c:pt idx="0">
                  <c:v>26.596315507064944</c:v>
                </c:pt>
                <c:pt idx="1">
                  <c:v>5.9197513421870553</c:v>
                </c:pt>
                <c:pt idx="2">
                  <c:v>-1.3872215552887752</c:v>
                </c:pt>
                <c:pt idx="3">
                  <c:v>26.565670228594598</c:v>
                </c:pt>
                <c:pt idx="4">
                  <c:v>-22.293470129314954</c:v>
                </c:pt>
                <c:pt idx="5">
                  <c:v>10.16366387016916</c:v>
                </c:pt>
                <c:pt idx="6">
                  <c:v>-13.508114856429458</c:v>
                </c:pt>
                <c:pt idx="7">
                  <c:v>-1.8042725173210101</c:v>
                </c:pt>
                <c:pt idx="8">
                  <c:v>-2.6458915184477405</c:v>
                </c:pt>
                <c:pt idx="9">
                  <c:v>8.3949871659368966</c:v>
                </c:pt>
                <c:pt idx="10">
                  <c:v>8.3855690207549856</c:v>
                </c:pt>
                <c:pt idx="11">
                  <c:v>11.425266675234539</c:v>
                </c:pt>
                <c:pt idx="12">
                  <c:v>7.5778546712802779</c:v>
                </c:pt>
                <c:pt idx="13">
                  <c:v>-7.5050927415020396E-2</c:v>
                </c:pt>
                <c:pt idx="14">
                  <c:v>6.2982832618025668</c:v>
                </c:pt>
                <c:pt idx="15">
                  <c:v>-24.910920731765415</c:v>
                </c:pt>
              </c:numCache>
            </c:numRef>
          </c:val>
          <c:smooth val="0"/>
          <c:extLst>
            <c:ext xmlns:c16="http://schemas.microsoft.com/office/drawing/2014/chart" uri="{C3380CC4-5D6E-409C-BE32-E72D297353CC}">
              <c16:uniqueId val="{00000014-FCEC-4D43-B771-5DA059643512}"/>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Jednotlivé druhy příjmů (změna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a:t>
                </a:r>
                <a:endParaRPr lang="cs-CZ" sz="700" b="0" i="1">
                  <a:effectLst/>
                </a:endParaRPr>
              </a:p>
            </c:rich>
          </c:tx>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90"/>
          <c:min val="-1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Saldo státního rozpočtu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i="1">
                  <a:effectLst/>
                </a:endParaRPr>
              </a:p>
            </c:rich>
          </c:tx>
          <c:layout>
            <c:manualLayout>
              <c:xMode val="edge"/>
              <c:yMode val="edge"/>
              <c:x val="0.97027241952391585"/>
              <c:y val="0.19370288341385586"/>
            </c:manualLayout>
          </c:layout>
          <c:overlay val="0"/>
        </c:title>
        <c:numFmt formatCode="#,##0" sourceLinked="0"/>
        <c:majorTickMark val="out"/>
        <c:minorTickMark val="none"/>
        <c:tickLblPos val="nextTo"/>
        <c:spPr>
          <a:ln w="6350"/>
        </c:spPr>
        <c:crossAx val="337259904"/>
        <c:crosses val="max"/>
        <c:crossBetween val="between"/>
        <c:majorUnit val="15"/>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1.4383830153176014E-2"/>
          <c:y val="0.8871124825006298"/>
          <c:w val="0.96954720742731881"/>
          <c:h val="9.8483288509762304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61536239710156E-2"/>
          <c:y val="1.7112323287741892E-2"/>
          <c:w val="0.84586291999023488"/>
          <c:h val="0.77882954656549563"/>
        </c:manualLayout>
      </c:layout>
      <c:barChart>
        <c:barDir val="col"/>
        <c:grouping val="clustered"/>
        <c:varyColors val="0"/>
        <c:ser>
          <c:idx val="0"/>
          <c:order val="0"/>
          <c:tx>
            <c:strRef>
              <c:f>'G2-Stání rozpočet-výdaje'!$B$31</c:f>
              <c:strCache>
                <c:ptCount val="1"/>
                <c:pt idx="0">
                  <c:v>Běžné výdaje (pravá osa)</c:v>
                </c:pt>
              </c:strCache>
            </c:strRef>
          </c:tx>
          <c:spPr>
            <a:solidFill>
              <a:schemeClr val="bg1">
                <a:lumMod val="85000"/>
              </a:schemeClr>
            </a:solidFill>
            <a:ln>
              <a:noFill/>
            </a:ln>
          </c:spPr>
          <c:invertIfNegative val="0"/>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rozpočet-výdaje'!$B$32:$B$47</c:f>
              <c:numCache>
                <c:formatCode>0.0</c:formatCode>
                <c:ptCount val="16"/>
                <c:pt idx="0">
                  <c:v>402.04</c:v>
                </c:pt>
                <c:pt idx="1">
                  <c:v>437.53300000000002</c:v>
                </c:pt>
                <c:pt idx="2">
                  <c:v>455.274</c:v>
                </c:pt>
                <c:pt idx="3">
                  <c:v>488.71899999999999</c:v>
                </c:pt>
                <c:pt idx="4">
                  <c:v>523.79999999999995</c:v>
                </c:pt>
                <c:pt idx="5">
                  <c:v>527.73400000000004</c:v>
                </c:pt>
                <c:pt idx="6">
                  <c:v>523.22</c:v>
                </c:pt>
                <c:pt idx="7">
                  <c:v>534.42999999999995</c:v>
                </c:pt>
                <c:pt idx="8">
                  <c:v>544.65</c:v>
                </c:pt>
                <c:pt idx="9">
                  <c:v>552.71100000000001</c:v>
                </c:pt>
                <c:pt idx="10">
                  <c:v>564.13</c:v>
                </c:pt>
                <c:pt idx="11">
                  <c:v>575.57000000000005</c:v>
                </c:pt>
                <c:pt idx="12">
                  <c:v>609.53</c:v>
                </c:pt>
                <c:pt idx="13">
                  <c:v>660.76</c:v>
                </c:pt>
                <c:pt idx="14">
                  <c:v>718.74153402592015</c:v>
                </c:pt>
                <c:pt idx="15">
                  <c:v>830.41205201672994</c:v>
                </c:pt>
              </c:numCache>
            </c:numRef>
          </c:val>
          <c:extLst>
            <c:ext xmlns:c16="http://schemas.microsoft.com/office/drawing/2014/chart" uri="{C3380CC4-5D6E-409C-BE32-E72D297353CC}">
              <c16:uniqueId val="{00000000-3649-44D1-B3BF-9B9528AD1D89}"/>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rozpočet-výdaje'!$C$31</c:f>
              <c:strCache>
                <c:ptCount val="1"/>
                <c:pt idx="0">
                  <c:v>Platy státních zaměstnanců*</c:v>
                </c:pt>
              </c:strCache>
            </c:strRef>
          </c:tx>
          <c:spPr>
            <a:ln w="15875">
              <a:solidFill>
                <a:srgbClr val="984807"/>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rozpočet-výdaje'!$C$32:$C$47</c:f>
              <c:numCache>
                <c:formatCode>0.0</c:formatCode>
                <c:ptCount val="16"/>
                <c:pt idx="0">
                  <c:v>34.159999999999997</c:v>
                </c:pt>
                <c:pt idx="1">
                  <c:v>35.65</c:v>
                </c:pt>
                <c:pt idx="2">
                  <c:v>37.92</c:v>
                </c:pt>
                <c:pt idx="3">
                  <c:v>37.729999999999997</c:v>
                </c:pt>
                <c:pt idx="4">
                  <c:v>38.979999999999997</c:v>
                </c:pt>
                <c:pt idx="5">
                  <c:v>39.36</c:v>
                </c:pt>
                <c:pt idx="6">
                  <c:v>35.700000000000003</c:v>
                </c:pt>
                <c:pt idx="7">
                  <c:v>36.299999999999997</c:v>
                </c:pt>
                <c:pt idx="8">
                  <c:v>36.880000000000003</c:v>
                </c:pt>
                <c:pt idx="9">
                  <c:v>38.090000000000003</c:v>
                </c:pt>
                <c:pt idx="10">
                  <c:v>41.88</c:v>
                </c:pt>
                <c:pt idx="11">
                  <c:v>43.22</c:v>
                </c:pt>
                <c:pt idx="12">
                  <c:v>46.52</c:v>
                </c:pt>
                <c:pt idx="13">
                  <c:v>53.13</c:v>
                </c:pt>
                <c:pt idx="14">
                  <c:v>57.572759809109989</c:v>
                </c:pt>
                <c:pt idx="15">
                  <c:v>59.911420432</c:v>
                </c:pt>
              </c:numCache>
            </c:numRef>
          </c:val>
          <c:smooth val="0"/>
          <c:extLst>
            <c:ext xmlns:c16="http://schemas.microsoft.com/office/drawing/2014/chart" uri="{C3380CC4-5D6E-409C-BE32-E72D297353CC}">
              <c16:uniqueId val="{00000001-3649-44D1-B3BF-9B9528AD1D89}"/>
            </c:ext>
          </c:extLst>
        </c:ser>
        <c:ser>
          <c:idx val="6"/>
          <c:order val="2"/>
          <c:tx>
            <c:strRef>
              <c:f>'G2-Stání rozpočet-výdaje'!$D$31</c:f>
              <c:strCache>
                <c:ptCount val="1"/>
                <c:pt idx="0">
                  <c:v>Podpora v nezaměstnanosti</c:v>
                </c:pt>
              </c:strCache>
            </c:strRef>
          </c:tx>
          <c:spPr>
            <a:ln w="15875">
              <a:solidFill>
                <a:srgbClr val="48AEE7"/>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rozpočet-výdaje'!$D$32:$D$47</c:f>
              <c:numCache>
                <c:formatCode>0.0</c:formatCode>
                <c:ptCount val="16"/>
                <c:pt idx="0">
                  <c:v>3.69</c:v>
                </c:pt>
                <c:pt idx="1">
                  <c:v>3.8959999999999999</c:v>
                </c:pt>
                <c:pt idx="2">
                  <c:v>3.78</c:v>
                </c:pt>
                <c:pt idx="3">
                  <c:v>3.56</c:v>
                </c:pt>
                <c:pt idx="4">
                  <c:v>7.3049999999999997</c:v>
                </c:pt>
                <c:pt idx="5">
                  <c:v>7.77</c:v>
                </c:pt>
                <c:pt idx="6">
                  <c:v>6.2279999999999998</c:v>
                </c:pt>
                <c:pt idx="7">
                  <c:v>4.8410000000000002</c:v>
                </c:pt>
                <c:pt idx="8">
                  <c:v>5.3579999999999997</c:v>
                </c:pt>
                <c:pt idx="9">
                  <c:v>5.2690000000000001</c:v>
                </c:pt>
                <c:pt idx="10">
                  <c:v>4.6150000000000002</c:v>
                </c:pt>
                <c:pt idx="11">
                  <c:v>4.4829999999999997</c:v>
                </c:pt>
                <c:pt idx="12">
                  <c:v>4.3310000000000004</c:v>
                </c:pt>
                <c:pt idx="13">
                  <c:v>3.98</c:v>
                </c:pt>
                <c:pt idx="14">
                  <c:v>4.2361097359899995</c:v>
                </c:pt>
                <c:pt idx="15">
                  <c:v>5.1431777073900005</c:v>
                </c:pt>
              </c:numCache>
            </c:numRef>
          </c:val>
          <c:smooth val="0"/>
          <c:extLst>
            <c:ext xmlns:c16="http://schemas.microsoft.com/office/drawing/2014/chart" uri="{C3380CC4-5D6E-409C-BE32-E72D297353CC}">
              <c16:uniqueId val="{00000002-3649-44D1-B3BF-9B9528AD1D89}"/>
            </c:ext>
          </c:extLst>
        </c:ser>
        <c:ser>
          <c:idx val="7"/>
          <c:order val="3"/>
          <c:tx>
            <c:strRef>
              <c:f>'G2-Stání rozpočet-výdaje'!$E$31</c:f>
              <c:strCache>
                <c:ptCount val="1"/>
                <c:pt idx="0">
                  <c:v>Státní sociální podpora**</c:v>
                </c:pt>
              </c:strCache>
            </c:strRef>
          </c:tx>
          <c:spPr>
            <a:ln w="15875">
              <a:solidFill>
                <a:srgbClr val="00B05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rozpočet-výdaje'!$E$32:$E$47</c:f>
              <c:numCache>
                <c:formatCode>0.0</c:formatCode>
                <c:ptCount val="16"/>
                <c:pt idx="0">
                  <c:v>16.649999999999999</c:v>
                </c:pt>
                <c:pt idx="1">
                  <c:v>17.04</c:v>
                </c:pt>
                <c:pt idx="2">
                  <c:v>23.83</c:v>
                </c:pt>
                <c:pt idx="3">
                  <c:v>21.52</c:v>
                </c:pt>
                <c:pt idx="4">
                  <c:v>20.594999999999999</c:v>
                </c:pt>
                <c:pt idx="5">
                  <c:v>20.64</c:v>
                </c:pt>
                <c:pt idx="6">
                  <c:v>18.405999999999999</c:v>
                </c:pt>
                <c:pt idx="7">
                  <c:v>17.881</c:v>
                </c:pt>
                <c:pt idx="8">
                  <c:v>18.681999999999999</c:v>
                </c:pt>
                <c:pt idx="9">
                  <c:v>18.91</c:v>
                </c:pt>
                <c:pt idx="10">
                  <c:v>18.873999999999999</c:v>
                </c:pt>
                <c:pt idx="11">
                  <c:v>18.963999999999999</c:v>
                </c:pt>
                <c:pt idx="12">
                  <c:v>18.742000000000001</c:v>
                </c:pt>
                <c:pt idx="13">
                  <c:v>19.53</c:v>
                </c:pt>
                <c:pt idx="14">
                  <c:v>19.01942501061</c:v>
                </c:pt>
                <c:pt idx="15">
                  <c:v>25.66026027677</c:v>
                </c:pt>
              </c:numCache>
            </c:numRef>
          </c:val>
          <c:smooth val="0"/>
          <c:extLst>
            <c:ext xmlns:c16="http://schemas.microsoft.com/office/drawing/2014/chart" uri="{C3380CC4-5D6E-409C-BE32-E72D297353CC}">
              <c16:uniqueId val="{00000003-3649-44D1-B3BF-9B9528AD1D89}"/>
            </c:ext>
          </c:extLst>
        </c:ser>
        <c:ser>
          <c:idx val="2"/>
          <c:order val="4"/>
          <c:tx>
            <c:strRef>
              <c:f>'G2-Stání rozpočet-výdaje'!$F$31</c:f>
              <c:strCache>
                <c:ptCount val="1"/>
                <c:pt idx="0">
                  <c:v>Dávky nemocenského pojištění</c:v>
                </c:pt>
              </c:strCache>
            </c:strRef>
          </c:tx>
          <c:spPr>
            <a:ln w="15875">
              <a:solidFill>
                <a:srgbClr val="0071BC"/>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rozpočet-výdaje'!$F$32:$F$47</c:f>
              <c:numCache>
                <c:formatCode>0.00</c:formatCode>
                <c:ptCount val="16"/>
                <c:pt idx="0">
                  <c:v>17.497</c:v>
                </c:pt>
                <c:pt idx="1">
                  <c:v>17.936</c:v>
                </c:pt>
                <c:pt idx="2">
                  <c:v>18.398</c:v>
                </c:pt>
                <c:pt idx="3">
                  <c:v>16.734000000000002</c:v>
                </c:pt>
                <c:pt idx="4">
                  <c:v>14.089</c:v>
                </c:pt>
                <c:pt idx="5">
                  <c:v>11.56</c:v>
                </c:pt>
                <c:pt idx="6">
                  <c:v>11.773</c:v>
                </c:pt>
                <c:pt idx="7">
                  <c:v>10.244</c:v>
                </c:pt>
                <c:pt idx="8">
                  <c:v>10.609</c:v>
                </c:pt>
                <c:pt idx="9">
                  <c:v>11.201000000000001</c:v>
                </c:pt>
                <c:pt idx="10">
                  <c:v>12.429</c:v>
                </c:pt>
                <c:pt idx="11">
                  <c:v>13.566000000000001</c:v>
                </c:pt>
                <c:pt idx="12">
                  <c:v>14.757999999999999</c:v>
                </c:pt>
                <c:pt idx="13">
                  <c:v>17.3</c:v>
                </c:pt>
                <c:pt idx="14">
                  <c:v>19.93</c:v>
                </c:pt>
                <c:pt idx="15">
                  <c:v>30.15</c:v>
                </c:pt>
              </c:numCache>
            </c:numRef>
          </c:val>
          <c:smooth val="0"/>
          <c:extLst>
            <c:ext xmlns:c16="http://schemas.microsoft.com/office/drawing/2014/chart" uri="{C3380CC4-5D6E-409C-BE32-E72D297353CC}">
              <c16:uniqueId val="{00000004-3649-44D1-B3BF-9B9528AD1D89}"/>
            </c:ext>
          </c:extLst>
        </c:ser>
        <c:ser>
          <c:idx val="3"/>
          <c:order val="5"/>
          <c:tx>
            <c:strRef>
              <c:f>'G2-Stání rozpočet-výdaje'!$G$31</c:f>
              <c:strCache>
                <c:ptCount val="1"/>
                <c:pt idx="0">
                  <c:v>Dávky sociální péče***</c:v>
                </c:pt>
              </c:strCache>
            </c:strRef>
          </c:tx>
          <c:spPr>
            <a:ln w="15875">
              <a:solidFill>
                <a:srgbClr val="7030A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rozpočet-výdaje'!$G$32:$G$47</c:f>
              <c:numCache>
                <c:formatCode>General</c:formatCode>
                <c:ptCount val="16"/>
                <c:pt idx="2" formatCode="0.00">
                  <c:v>11.690999999999999</c:v>
                </c:pt>
                <c:pt idx="3" formatCode="0.00">
                  <c:v>13.247</c:v>
                </c:pt>
                <c:pt idx="4" formatCode="0.00">
                  <c:v>13.003</c:v>
                </c:pt>
                <c:pt idx="5" formatCode="0.00">
                  <c:v>13.486000000000001</c:v>
                </c:pt>
                <c:pt idx="6" formatCode="0.00">
                  <c:v>12.911000000000001</c:v>
                </c:pt>
                <c:pt idx="7" formatCode="0.00">
                  <c:v>13.282</c:v>
                </c:pt>
                <c:pt idx="8" formatCode="0.00">
                  <c:v>15.668000000000001</c:v>
                </c:pt>
                <c:pt idx="9" formatCode="0.00">
                  <c:v>16.734999999999999</c:v>
                </c:pt>
                <c:pt idx="10" formatCode="0.00">
                  <c:v>16.93</c:v>
                </c:pt>
                <c:pt idx="11" formatCode="0.00">
                  <c:v>16.78</c:v>
                </c:pt>
                <c:pt idx="12" formatCode="0.00">
                  <c:v>17.489999999999998</c:v>
                </c:pt>
                <c:pt idx="13" formatCode="0.00">
                  <c:v>17.100000000000001</c:v>
                </c:pt>
                <c:pt idx="14" formatCode="0.00">
                  <c:v>17.32</c:v>
                </c:pt>
                <c:pt idx="15" formatCode="0.00">
                  <c:v>20.09</c:v>
                </c:pt>
              </c:numCache>
            </c:numRef>
          </c:val>
          <c:smooth val="0"/>
          <c:extLst>
            <c:ext xmlns:c16="http://schemas.microsoft.com/office/drawing/2014/chart" uri="{C3380CC4-5D6E-409C-BE32-E72D297353CC}">
              <c16:uniqueId val="{00000005-3649-44D1-B3BF-9B9528AD1D89}"/>
            </c:ext>
          </c:extLst>
        </c:ser>
        <c:ser>
          <c:idx val="4"/>
          <c:order val="6"/>
          <c:tx>
            <c:strRef>
              <c:f>'G2-Stání rozpočet-výdaje'!$H$31</c:f>
              <c:strCache>
                <c:ptCount val="1"/>
                <c:pt idx="0">
                  <c:v>Neinv. nákupy a souvis. výdaje****</c:v>
                </c:pt>
              </c:strCache>
            </c:strRef>
          </c:tx>
          <c:spPr>
            <a:ln w="15875">
              <a:solidFill>
                <a:srgbClr val="F8A124"/>
              </a:solidFill>
              <a:prstDash val="solid"/>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rozpočet-výdaje'!$H$32:$H$47</c:f>
              <c:numCache>
                <c:formatCode>0.0</c:formatCode>
                <c:ptCount val="16"/>
                <c:pt idx="0">
                  <c:v>29.280999999999999</c:v>
                </c:pt>
                <c:pt idx="1">
                  <c:v>31.251000000000005</c:v>
                </c:pt>
                <c:pt idx="2">
                  <c:v>33.647000000000006</c:v>
                </c:pt>
                <c:pt idx="3">
                  <c:v>31.934000000000005</c:v>
                </c:pt>
                <c:pt idx="4">
                  <c:v>32.001999999999995</c:v>
                </c:pt>
                <c:pt idx="5">
                  <c:v>31.84</c:v>
                </c:pt>
                <c:pt idx="6">
                  <c:v>29.076999999999998</c:v>
                </c:pt>
                <c:pt idx="7">
                  <c:v>26.950000000000003</c:v>
                </c:pt>
                <c:pt idx="8">
                  <c:v>23.5</c:v>
                </c:pt>
                <c:pt idx="9">
                  <c:v>22.14</c:v>
                </c:pt>
                <c:pt idx="10">
                  <c:v>25.509999999999998</c:v>
                </c:pt>
                <c:pt idx="11">
                  <c:v>25.499999999999996</c:v>
                </c:pt>
                <c:pt idx="12">
                  <c:v>29.889999999999997</c:v>
                </c:pt>
                <c:pt idx="13">
                  <c:v>30.75</c:v>
                </c:pt>
                <c:pt idx="14">
                  <c:v>27.947201055630007</c:v>
                </c:pt>
                <c:pt idx="15">
                  <c:v>35.609426507660004</c:v>
                </c:pt>
              </c:numCache>
            </c:numRef>
          </c:val>
          <c:smooth val="0"/>
          <c:extLst>
            <c:ext xmlns:c16="http://schemas.microsoft.com/office/drawing/2014/chart" uri="{C3380CC4-5D6E-409C-BE32-E72D297353CC}">
              <c16:uniqueId val="{00000006-3649-44D1-B3BF-9B9528AD1D89}"/>
            </c:ext>
          </c:extLst>
        </c:ser>
        <c:ser>
          <c:idx val="5"/>
          <c:order val="7"/>
          <c:tx>
            <c:strRef>
              <c:f>'G2-Stání rozpočet-výdaje'!$I$31</c:f>
              <c:strCache>
                <c:ptCount val="1"/>
                <c:pt idx="0">
                  <c:v>Státní dluh (čisté výdaje)*****</c:v>
                </c:pt>
              </c:strCache>
            </c:strRef>
          </c:tx>
          <c:spPr>
            <a:ln w="15875">
              <a:solidFill>
                <a:srgbClr val="BD1B25"/>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rozpočet-výdaje'!$I$32:$I$47</c:f>
              <c:numCache>
                <c:formatCode>0.0</c:formatCode>
                <c:ptCount val="16"/>
                <c:pt idx="0">
                  <c:v>14.81</c:v>
                </c:pt>
                <c:pt idx="1">
                  <c:v>17.16</c:v>
                </c:pt>
                <c:pt idx="2">
                  <c:v>17.05</c:v>
                </c:pt>
                <c:pt idx="3">
                  <c:v>16.5</c:v>
                </c:pt>
                <c:pt idx="4">
                  <c:v>25.770000000000003</c:v>
                </c:pt>
                <c:pt idx="5">
                  <c:v>21.27</c:v>
                </c:pt>
                <c:pt idx="6">
                  <c:v>25.81</c:v>
                </c:pt>
                <c:pt idx="7">
                  <c:v>26.419999999999998</c:v>
                </c:pt>
                <c:pt idx="8">
                  <c:v>30.400000000000002</c:v>
                </c:pt>
                <c:pt idx="9">
                  <c:v>26.86</c:v>
                </c:pt>
                <c:pt idx="10">
                  <c:v>23.55</c:v>
                </c:pt>
                <c:pt idx="11">
                  <c:v>23.76</c:v>
                </c:pt>
                <c:pt idx="12">
                  <c:v>18.739999999999998</c:v>
                </c:pt>
                <c:pt idx="13">
                  <c:v>20.11</c:v>
                </c:pt>
                <c:pt idx="14">
                  <c:v>16.91954772339</c:v>
                </c:pt>
                <c:pt idx="15">
                  <c:v>12.518656263610001</c:v>
                </c:pt>
              </c:numCache>
            </c:numRef>
          </c:val>
          <c:smooth val="0"/>
          <c:extLst>
            <c:ext xmlns:c16="http://schemas.microsoft.com/office/drawing/2014/chart" uri="{C3380CC4-5D6E-409C-BE32-E72D297353CC}">
              <c16:uniqueId val="{00000007-3649-44D1-B3BF-9B9528AD1D89}"/>
            </c:ext>
          </c:extLst>
        </c:ser>
        <c:ser>
          <c:idx val="8"/>
          <c:order val="8"/>
          <c:tx>
            <c:strRef>
              <c:f>'G2-Stání rozpočet-výdaje'!$J$31</c:f>
              <c:strCache>
                <c:ptCount val="1"/>
                <c:pt idx="0">
                  <c:v>Kapitálové výdaje</c:v>
                </c:pt>
              </c:strCache>
            </c:strRef>
          </c:tx>
          <c:spPr>
            <a:ln w="15875">
              <a:solidFill>
                <a:schemeClr val="tx1">
                  <a:lumMod val="95000"/>
                  <a:lumOff val="5000"/>
                </a:schemeClr>
              </a:solidFill>
              <a:prstDash val="sysDash"/>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rozpočet-výdaje'!$J$32:$J$47</c:f>
              <c:numCache>
                <c:formatCode>0.0</c:formatCode>
                <c:ptCount val="16"/>
                <c:pt idx="0">
                  <c:v>20.45</c:v>
                </c:pt>
                <c:pt idx="1">
                  <c:v>23.643000000000001</c:v>
                </c:pt>
                <c:pt idx="2">
                  <c:v>26.771000000000001</c:v>
                </c:pt>
                <c:pt idx="3">
                  <c:v>53.505000000000003</c:v>
                </c:pt>
                <c:pt idx="4">
                  <c:v>51.149000000000001</c:v>
                </c:pt>
                <c:pt idx="5">
                  <c:v>55.872999999999998</c:v>
                </c:pt>
                <c:pt idx="6">
                  <c:v>47.277000000000001</c:v>
                </c:pt>
                <c:pt idx="7">
                  <c:v>41.93</c:v>
                </c:pt>
                <c:pt idx="8">
                  <c:v>36.779000000000003</c:v>
                </c:pt>
                <c:pt idx="9">
                  <c:v>34.893999999999998</c:v>
                </c:pt>
                <c:pt idx="10">
                  <c:v>54.02</c:v>
                </c:pt>
                <c:pt idx="11">
                  <c:v>39.090000000000003</c:v>
                </c:pt>
                <c:pt idx="12">
                  <c:v>20.309999999999999</c:v>
                </c:pt>
                <c:pt idx="13">
                  <c:v>33.25</c:v>
                </c:pt>
                <c:pt idx="14">
                  <c:v>45.820505926130004</c:v>
                </c:pt>
                <c:pt idx="15">
                  <c:v>64.502125553789995</c:v>
                </c:pt>
              </c:numCache>
            </c:numRef>
          </c:val>
          <c:smooth val="0"/>
          <c:extLst>
            <c:ext xmlns:c16="http://schemas.microsoft.com/office/drawing/2014/chart" uri="{C3380CC4-5D6E-409C-BE32-E72D297353CC}">
              <c16:uniqueId val="{00000008-3649-44D1-B3BF-9B9528AD1D89}"/>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85"/>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a:effectLst/>
                </a:endParaRPr>
              </a:p>
            </c:rich>
          </c:tx>
          <c:layout>
            <c:manualLayout>
              <c:xMode val="edge"/>
              <c:yMode val="edge"/>
              <c:x val="0"/>
              <c:y val="0.22613499913827934"/>
            </c:manualLayout>
          </c:layout>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85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Běžné výdaje celkem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i="1">
                  <a:effectLst/>
                </a:endParaRPr>
              </a:p>
            </c:rich>
          </c:tx>
          <c:layout>
            <c:manualLayout>
              <c:xMode val="edge"/>
              <c:yMode val="edge"/>
              <c:x val="0.97053250319037876"/>
              <c:y val="0.18723657086670256"/>
            </c:manualLayout>
          </c:layout>
          <c:overlay val="0"/>
        </c:title>
        <c:numFmt formatCode="0" sourceLinked="0"/>
        <c:majorTickMark val="out"/>
        <c:minorTickMark val="none"/>
        <c:tickLblPos val="nextTo"/>
        <c:spPr>
          <a:ln w="6350">
            <a:solidFill>
              <a:schemeClr val="tx1"/>
            </a:solidFill>
          </a:ln>
        </c:spPr>
        <c:crossAx val="72836608"/>
        <c:crosses val="max"/>
        <c:crossBetween val="between"/>
        <c:majorUnit val="5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6.9021370130255139E-2"/>
          <c:y val="0.85592730503448311"/>
          <c:w val="0.8462641314360303"/>
          <c:h val="0.1404888866782496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3'!$D$18:$D$39</c:f>
              <c:numCache>
                <c:formatCode>#\ ##0.0</c:formatCode>
                <c:ptCount val="22"/>
                <c:pt idx="0">
                  <c:v>1.0004416838991848</c:v>
                </c:pt>
                <c:pt idx="1">
                  <c:v>1.1245121794719866</c:v>
                </c:pt>
                <c:pt idx="2">
                  <c:v>1.2521979797185689</c:v>
                </c:pt>
                <c:pt idx="3">
                  <c:v>1.5140922770621217</c:v>
                </c:pt>
                <c:pt idx="4">
                  <c:v>1.011033178528604</c:v>
                </c:pt>
                <c:pt idx="5">
                  <c:v>0.84092037321111202</c:v>
                </c:pt>
                <c:pt idx="6">
                  <c:v>1.0599389176360645</c:v>
                </c:pt>
                <c:pt idx="7">
                  <c:v>0.97961312874423945</c:v>
                </c:pt>
                <c:pt idx="8">
                  <c:v>1.0820067439812537</c:v>
                </c:pt>
                <c:pt idx="9">
                  <c:v>1.4390025136660056</c:v>
                </c:pt>
                <c:pt idx="10">
                  <c:v>1.3061872269069228</c:v>
                </c:pt>
                <c:pt idx="11">
                  <c:v>1.0872722376357689</c:v>
                </c:pt>
                <c:pt idx="12">
                  <c:v>1.4841358084274829</c:v>
                </c:pt>
                <c:pt idx="13">
                  <c:v>1.2073185637569239</c:v>
                </c:pt>
                <c:pt idx="14">
                  <c:v>1.0110919461066379</c:v>
                </c:pt>
                <c:pt idx="15">
                  <c:v>0.91827339775759576</c:v>
                </c:pt>
                <c:pt idx="16">
                  <c:v>0.95709419842434051</c:v>
                </c:pt>
                <c:pt idx="17">
                  <c:v>1.3452005145206245</c:v>
                </c:pt>
                <c:pt idx="18">
                  <c:v>1.1867517998339108</c:v>
                </c:pt>
                <c:pt idx="19">
                  <c:v>1.3517576838625602</c:v>
                </c:pt>
                <c:pt idx="20">
                  <c:v>9.1271052179358977E-2</c:v>
                </c:pt>
                <c:pt idx="21">
                  <c:v>-2.0048459354575745</c:v>
                </c:pt>
              </c:numCache>
            </c:numRef>
          </c:val>
          <c:extLst>
            <c:ext xmlns:c16="http://schemas.microsoft.com/office/drawing/2014/chart" uri="{C3380CC4-5D6E-409C-BE32-E72D297353CC}">
              <c16:uniqueId val="{00000000-0568-475C-8C15-9FA28BB77F04}"/>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3'!$E$18:$E$39</c:f>
              <c:numCache>
                <c:formatCode>#\ ##0.0</c:formatCode>
                <c:ptCount val="22"/>
                <c:pt idx="0">
                  <c:v>0.36711313994295081</c:v>
                </c:pt>
                <c:pt idx="1">
                  <c:v>0.38184726381267609</c:v>
                </c:pt>
                <c:pt idx="2">
                  <c:v>0.5911601763482196</c:v>
                </c:pt>
                <c:pt idx="3">
                  <c:v>0.43670380992842678</c:v>
                </c:pt>
                <c:pt idx="4">
                  <c:v>0.42501610259126504</c:v>
                </c:pt>
                <c:pt idx="5">
                  <c:v>0.47017789747807115</c:v>
                </c:pt>
                <c:pt idx="6">
                  <c:v>0.42973407124759544</c:v>
                </c:pt>
                <c:pt idx="7">
                  <c:v>0.47700779378045444</c:v>
                </c:pt>
                <c:pt idx="8">
                  <c:v>0.4285629075979569</c:v>
                </c:pt>
                <c:pt idx="9">
                  <c:v>0.36487116628719296</c:v>
                </c:pt>
                <c:pt idx="10">
                  <c:v>0.22397478701370191</c:v>
                </c:pt>
                <c:pt idx="11">
                  <c:v>0.25198788808759842</c:v>
                </c:pt>
                <c:pt idx="12">
                  <c:v>0.55090223595657939</c:v>
                </c:pt>
                <c:pt idx="13">
                  <c:v>0.5614476104031324</c:v>
                </c:pt>
                <c:pt idx="14">
                  <c:v>0.87498347752231842</c:v>
                </c:pt>
                <c:pt idx="15">
                  <c:v>0.79469994126147958</c:v>
                </c:pt>
                <c:pt idx="16">
                  <c:v>0.36969712355591594</c:v>
                </c:pt>
                <c:pt idx="17">
                  <c:v>0.50543252930386484</c:v>
                </c:pt>
                <c:pt idx="18">
                  <c:v>0.40522723257515153</c:v>
                </c:pt>
                <c:pt idx="19">
                  <c:v>0.4012060779431087</c:v>
                </c:pt>
                <c:pt idx="20">
                  <c:v>0.94126963734477176</c:v>
                </c:pt>
                <c:pt idx="21">
                  <c:v>0.42787942241144838</c:v>
                </c:pt>
              </c:numCache>
            </c:numRef>
          </c:val>
          <c:extLst>
            <c:ext xmlns:c16="http://schemas.microsoft.com/office/drawing/2014/chart" uri="{C3380CC4-5D6E-409C-BE32-E72D297353CC}">
              <c16:uniqueId val="{00000001-0568-475C-8C15-9FA28BB77F04}"/>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3'!$G$18:$G$39</c:f>
              <c:numCache>
                <c:formatCode>#\ ##0.0</c:formatCode>
                <c:ptCount val="22"/>
                <c:pt idx="0">
                  <c:v>3.1310050244124823</c:v>
                </c:pt>
                <c:pt idx="1">
                  <c:v>3.7310848346723087</c:v>
                </c:pt>
                <c:pt idx="2">
                  <c:v>2.34505813454797</c:v>
                </c:pt>
                <c:pt idx="3">
                  <c:v>1.0284887473308018</c:v>
                </c:pt>
                <c:pt idx="4">
                  <c:v>0.1426787206126395</c:v>
                </c:pt>
                <c:pt idx="5">
                  <c:v>-1.4507925661177268</c:v>
                </c:pt>
                <c:pt idx="6">
                  <c:v>-0.98123446043739548</c:v>
                </c:pt>
                <c:pt idx="7">
                  <c:v>-0.61353806390597054</c:v>
                </c:pt>
                <c:pt idx="8">
                  <c:v>-0.96942712410588472</c:v>
                </c:pt>
                <c:pt idx="9">
                  <c:v>0.73262216993952523</c:v>
                </c:pt>
                <c:pt idx="10">
                  <c:v>1.5238713260674783</c:v>
                </c:pt>
                <c:pt idx="11">
                  <c:v>2.2323726403134958</c:v>
                </c:pt>
                <c:pt idx="12">
                  <c:v>3.1139088122024097</c:v>
                </c:pt>
                <c:pt idx="13">
                  <c:v>1.5785709692492593</c:v>
                </c:pt>
                <c:pt idx="14">
                  <c:v>1.7413269758016987</c:v>
                </c:pt>
                <c:pt idx="15">
                  <c:v>0.51220455181690849</c:v>
                </c:pt>
                <c:pt idx="16">
                  <c:v>0.91852512375984641</c:v>
                </c:pt>
                <c:pt idx="17">
                  <c:v>-1.1054000753810638</c:v>
                </c:pt>
                <c:pt idx="18">
                  <c:v>-1.1725505853239804</c:v>
                </c:pt>
                <c:pt idx="19">
                  <c:v>1.02328337892609</c:v>
                </c:pt>
                <c:pt idx="20">
                  <c:v>-2.3907338546449148</c:v>
                </c:pt>
                <c:pt idx="21">
                  <c:v>-1.4644242049377132</c:v>
                </c:pt>
              </c:numCache>
            </c:numRef>
          </c:val>
          <c:extLst>
            <c:ext xmlns:c16="http://schemas.microsoft.com/office/drawing/2014/chart" uri="{C3380CC4-5D6E-409C-BE32-E72D297353CC}">
              <c16:uniqueId val="{00000002-0568-475C-8C15-9FA28BB77F04}"/>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3'!$F$18:$F$39</c:f>
              <c:numCache>
                <c:formatCode>#\ ##0.0</c:formatCode>
                <c:ptCount val="22"/>
                <c:pt idx="0">
                  <c:v>0.85358800053760486</c:v>
                </c:pt>
                <c:pt idx="1">
                  <c:v>0.50682849323072787</c:v>
                </c:pt>
                <c:pt idx="2">
                  <c:v>1.4713169429104394</c:v>
                </c:pt>
                <c:pt idx="3">
                  <c:v>2.0731040792572153</c:v>
                </c:pt>
                <c:pt idx="4">
                  <c:v>1.7620830562499514</c:v>
                </c:pt>
                <c:pt idx="5">
                  <c:v>2.3990552594367274</c:v>
                </c:pt>
                <c:pt idx="6">
                  <c:v>1.370993307029881</c:v>
                </c:pt>
                <c:pt idx="7">
                  <c:v>1.2526206333504177</c:v>
                </c:pt>
                <c:pt idx="8">
                  <c:v>3.0648181369329626</c:v>
                </c:pt>
                <c:pt idx="9">
                  <c:v>3.4601141630489307</c:v>
                </c:pt>
                <c:pt idx="10">
                  <c:v>2.7091491429512415</c:v>
                </c:pt>
                <c:pt idx="11">
                  <c:v>2.1602088091475098</c:v>
                </c:pt>
                <c:pt idx="12">
                  <c:v>-0.49012514161118581</c:v>
                </c:pt>
                <c:pt idx="13">
                  <c:v>-0.81047776037827601</c:v>
                </c:pt>
                <c:pt idx="14">
                  <c:v>-1.04647898349734</c:v>
                </c:pt>
                <c:pt idx="15">
                  <c:v>0.26106115108900063</c:v>
                </c:pt>
                <c:pt idx="16">
                  <c:v>0.12604869637815186</c:v>
                </c:pt>
                <c:pt idx="17">
                  <c:v>1.5557019835323573</c:v>
                </c:pt>
                <c:pt idx="18">
                  <c:v>1.7857076729316352</c:v>
                </c:pt>
                <c:pt idx="19">
                  <c:v>-0.89056835169597359</c:v>
                </c:pt>
                <c:pt idx="20">
                  <c:v>-0.57748920340632015</c:v>
                </c:pt>
                <c:pt idx="21">
                  <c:v>-7.9030153426816998</c:v>
                </c:pt>
              </c:numCache>
            </c:numRef>
          </c:val>
          <c:extLst>
            <c:ext xmlns:c16="http://schemas.microsoft.com/office/drawing/2014/chart" uri="{C3380CC4-5D6E-409C-BE32-E72D297353CC}">
              <c16:uniqueId val="{00000003-0568-475C-8C15-9FA28BB77F04}"/>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'souhrnná výkonnost 3'!$C$18:$C$39</c:f>
              <c:numCache>
                <c:formatCode>#\ ##0.0</c:formatCode>
                <c:ptCount val="22"/>
                <c:pt idx="0">
                  <c:v>5.3541479116968844</c:v>
                </c:pt>
                <c:pt idx="1">
                  <c:v>5.7580987456543795</c:v>
                </c:pt>
                <c:pt idx="2">
                  <c:v>5.6783364148190572</c:v>
                </c:pt>
                <c:pt idx="3">
                  <c:v>5.0736477020698771</c:v>
                </c:pt>
                <c:pt idx="4">
                  <c:v>3.4010558338826229</c:v>
                </c:pt>
                <c:pt idx="5">
                  <c:v>2.3184007606832324</c:v>
                </c:pt>
                <c:pt idx="6">
                  <c:v>1.9346258296187244</c:v>
                </c:pt>
                <c:pt idx="7">
                  <c:v>2.1527861842497913</c:v>
                </c:pt>
                <c:pt idx="8">
                  <c:v>3.6789755923611835</c:v>
                </c:pt>
                <c:pt idx="9">
                  <c:v>6.0785791748313187</c:v>
                </c:pt>
                <c:pt idx="10">
                  <c:v>5.8461673142579968</c:v>
                </c:pt>
                <c:pt idx="11">
                  <c:v>5.8135294348367665</c:v>
                </c:pt>
                <c:pt idx="12">
                  <c:v>4.7768522995265954</c:v>
                </c:pt>
                <c:pt idx="13">
                  <c:v>2.647594839576044</c:v>
                </c:pt>
                <c:pt idx="14">
                  <c:v>2.6903782593896892</c:v>
                </c:pt>
                <c:pt idx="15">
                  <c:v>2.5948102218219304</c:v>
                </c:pt>
                <c:pt idx="16">
                  <c:v>2.4492683454218138</c:v>
                </c:pt>
                <c:pt idx="17">
                  <c:v>2.3738828500299576</c:v>
                </c:pt>
                <c:pt idx="18">
                  <c:v>2.2829391747994663</c:v>
                </c:pt>
                <c:pt idx="19">
                  <c:v>1.9683208351430466</c:v>
                </c:pt>
                <c:pt idx="20">
                  <c:v>-1.9120048023797693</c:v>
                </c:pt>
                <c:pt idx="21">
                  <c:v>-10.956226210723926</c:v>
                </c:pt>
              </c:numCache>
            </c:numRef>
          </c:val>
          <c:smooth val="0"/>
          <c:extLst>
            <c:ext xmlns:c16="http://schemas.microsoft.com/office/drawing/2014/chart" uri="{C3380CC4-5D6E-409C-BE32-E72D297353CC}">
              <c16:uniqueId val="{00000004-0568-475C-8C15-9FA28BB77F04}"/>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4'!$C$18:$C$39</c:f>
              <c:numCache>
                <c:formatCode>#\ ##0.0</c:formatCode>
                <c:ptCount val="22"/>
                <c:pt idx="0">
                  <c:v>0.30368485614942081</c:v>
                </c:pt>
                <c:pt idx="1">
                  <c:v>0.2304988905076614</c:v>
                </c:pt>
                <c:pt idx="2">
                  <c:v>0.11798809635792069</c:v>
                </c:pt>
                <c:pt idx="3">
                  <c:v>7.2282252647939291E-2</c:v>
                </c:pt>
                <c:pt idx="4">
                  <c:v>5.3855687366031392E-2</c:v>
                </c:pt>
                <c:pt idx="5">
                  <c:v>0.14849879547587463</c:v>
                </c:pt>
                <c:pt idx="6">
                  <c:v>0.21032935295139474</c:v>
                </c:pt>
                <c:pt idx="7">
                  <c:v>0.10195129284322399</c:v>
                </c:pt>
                <c:pt idx="8">
                  <c:v>-9.6443702202456318E-3</c:v>
                </c:pt>
                <c:pt idx="9">
                  <c:v>-0.1183984267345688</c:v>
                </c:pt>
                <c:pt idx="10">
                  <c:v>-0.19416190528766372</c:v>
                </c:pt>
                <c:pt idx="11">
                  <c:v>-3.0322150838633197E-2</c:v>
                </c:pt>
                <c:pt idx="12">
                  <c:v>4.7508651359557938E-2</c:v>
                </c:pt>
                <c:pt idx="13">
                  <c:v>7.2085897061104368E-2</c:v>
                </c:pt>
                <c:pt idx="14">
                  <c:v>0.13381218456459662</c:v>
                </c:pt>
                <c:pt idx="15">
                  <c:v>0.11519772003582743</c:v>
                </c:pt>
                <c:pt idx="16">
                  <c:v>7.457032591061126E-2</c:v>
                </c:pt>
                <c:pt idx="17">
                  <c:v>6.6379351512401832E-2</c:v>
                </c:pt>
                <c:pt idx="18">
                  <c:v>0.13821919543862568</c:v>
                </c:pt>
                <c:pt idx="19">
                  <c:v>0.18322443828145188</c:v>
                </c:pt>
                <c:pt idx="20">
                  <c:v>0.15102733828836876</c:v>
                </c:pt>
                <c:pt idx="21">
                  <c:v>2.1948637813096139E-2</c:v>
                </c:pt>
              </c:numCache>
            </c:numRef>
          </c:val>
          <c:extLst>
            <c:ext xmlns:c16="http://schemas.microsoft.com/office/drawing/2014/chart" uri="{C3380CC4-5D6E-409C-BE32-E72D297353CC}">
              <c16:uniqueId val="{00000000-5D2B-4ACD-A11A-BBA883D6D0E8}"/>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4'!$D$18:$D$39</c:f>
              <c:numCache>
                <c:formatCode>#\ ##0.0</c:formatCode>
                <c:ptCount val="22"/>
                <c:pt idx="0">
                  <c:v>2.2974970288931655</c:v>
                </c:pt>
                <c:pt idx="1">
                  <c:v>2.1003819539683337</c:v>
                </c:pt>
                <c:pt idx="2">
                  <c:v>2.161753605301608</c:v>
                </c:pt>
                <c:pt idx="3">
                  <c:v>1.6515907003433452</c:v>
                </c:pt>
                <c:pt idx="4">
                  <c:v>1.5749274984416446</c:v>
                </c:pt>
                <c:pt idx="5">
                  <c:v>0.83208666717303936</c:v>
                </c:pt>
                <c:pt idx="6">
                  <c:v>0.93499427724552242</c:v>
                </c:pt>
                <c:pt idx="7">
                  <c:v>1.2180600651181106</c:v>
                </c:pt>
                <c:pt idx="8">
                  <c:v>1.3791245235480027</c:v>
                </c:pt>
                <c:pt idx="9">
                  <c:v>3.156295399272143</c:v>
                </c:pt>
                <c:pt idx="10">
                  <c:v>3.0056722211992475</c:v>
                </c:pt>
                <c:pt idx="11">
                  <c:v>2.3263082145418474</c:v>
                </c:pt>
                <c:pt idx="12">
                  <c:v>1.5546773349415703</c:v>
                </c:pt>
                <c:pt idx="13">
                  <c:v>0.22194728168834105</c:v>
                </c:pt>
                <c:pt idx="14">
                  <c:v>2.6880525117532916E-2</c:v>
                </c:pt>
                <c:pt idx="15">
                  <c:v>0.25993633689265211</c:v>
                </c:pt>
                <c:pt idx="16">
                  <c:v>0.65103012374599667</c:v>
                </c:pt>
                <c:pt idx="17">
                  <c:v>0.89397063689155354</c:v>
                </c:pt>
                <c:pt idx="18">
                  <c:v>0.93507380037800703</c:v>
                </c:pt>
                <c:pt idx="19">
                  <c:v>0.4321570928817503</c:v>
                </c:pt>
                <c:pt idx="20">
                  <c:v>-0.75731848079224195</c:v>
                </c:pt>
                <c:pt idx="21">
                  <c:v>-4.5502768630054469</c:v>
                </c:pt>
              </c:numCache>
            </c:numRef>
          </c:val>
          <c:extLst>
            <c:ext xmlns:c16="http://schemas.microsoft.com/office/drawing/2014/chart" uri="{C3380CC4-5D6E-409C-BE32-E72D297353CC}">
              <c16:uniqueId val="{00000001-5D2B-4ACD-A11A-BBA883D6D0E8}"/>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4'!$E$18:$E$39</c:f>
              <c:numCache>
                <c:formatCode>#\ ##0.0</c:formatCode>
                <c:ptCount val="22"/>
                <c:pt idx="0">
                  <c:v>-0.2238083391325838</c:v>
                </c:pt>
                <c:pt idx="1">
                  <c:v>-0.23838971368947015</c:v>
                </c:pt>
                <c:pt idx="2">
                  <c:v>-0.2053609549377069</c:v>
                </c:pt>
                <c:pt idx="3">
                  <c:v>-0.35147060330963598</c:v>
                </c:pt>
                <c:pt idx="4">
                  <c:v>-0.61869060635239537</c:v>
                </c:pt>
                <c:pt idx="5">
                  <c:v>-0.25512934357205408</c:v>
                </c:pt>
                <c:pt idx="6">
                  <c:v>-0.19959002476284948</c:v>
                </c:pt>
                <c:pt idx="7">
                  <c:v>3.2746825671393198E-2</c:v>
                </c:pt>
                <c:pt idx="8">
                  <c:v>0.18450614676852783</c:v>
                </c:pt>
                <c:pt idx="9">
                  <c:v>9.0995210938591864E-2</c:v>
                </c:pt>
                <c:pt idx="10">
                  <c:v>9.3791960410576802E-2</c:v>
                </c:pt>
                <c:pt idx="11">
                  <c:v>9.7481504130754182E-3</c:v>
                </c:pt>
                <c:pt idx="12">
                  <c:v>-2.2551156456915189E-2</c:v>
                </c:pt>
                <c:pt idx="13">
                  <c:v>-2.698234320952228E-2</c:v>
                </c:pt>
                <c:pt idx="14" formatCode="General">
                  <c:v>6.5626615130826169E-2</c:v>
                </c:pt>
                <c:pt idx="15" formatCode="General">
                  <c:v>-0.13276822997746235</c:v>
                </c:pt>
                <c:pt idx="16" formatCode="General">
                  <c:v>-0.16605613821776544</c:v>
                </c:pt>
                <c:pt idx="17" formatCode="General">
                  <c:v>-0.17578686521880382</c:v>
                </c:pt>
                <c:pt idx="18" formatCode="General">
                  <c:v>-0.17747063964733789</c:v>
                </c:pt>
                <c:pt idx="19" formatCode="General">
                  <c:v>8.7594056433330181E-2</c:v>
                </c:pt>
                <c:pt idx="20" formatCode="General">
                  <c:v>-0.24297407898359524</c:v>
                </c:pt>
                <c:pt idx="21" formatCode="General">
                  <c:v>-0.72377713934564358</c:v>
                </c:pt>
              </c:numCache>
            </c:numRef>
          </c:val>
          <c:extLst>
            <c:ext xmlns:c16="http://schemas.microsoft.com/office/drawing/2014/chart" uri="{C3380CC4-5D6E-409C-BE32-E72D297353CC}">
              <c16:uniqueId val="{00000002-5D2B-4ACD-A11A-BBA883D6D0E8}"/>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4'!$F$18:$F$39</c:f>
              <c:numCache>
                <c:formatCode>#\ ##0.0</c:formatCode>
                <c:ptCount val="22"/>
                <c:pt idx="0">
                  <c:v>0.13087923173458302</c:v>
                </c:pt>
                <c:pt idx="1">
                  <c:v>0.16519036862091754</c:v>
                </c:pt>
                <c:pt idx="2">
                  <c:v>0.21120786680843179</c:v>
                </c:pt>
                <c:pt idx="3">
                  <c:v>-1.2415147928913664E-2</c:v>
                </c:pt>
                <c:pt idx="4">
                  <c:v>-0.10952448541686127</c:v>
                </c:pt>
                <c:pt idx="5">
                  <c:v>-0.28214741197780213</c:v>
                </c:pt>
                <c:pt idx="6">
                  <c:v>-0.27168672817032663</c:v>
                </c:pt>
                <c:pt idx="7">
                  <c:v>-0.20754684715757324</c:v>
                </c:pt>
                <c:pt idx="8">
                  <c:v>-8.524394743114426E-2</c:v>
                </c:pt>
                <c:pt idx="9">
                  <c:v>0.11383434006711636</c:v>
                </c:pt>
                <c:pt idx="10">
                  <c:v>4.3349635308544285E-2</c:v>
                </c:pt>
                <c:pt idx="11">
                  <c:v>0.17858744375528909</c:v>
                </c:pt>
                <c:pt idx="12">
                  <c:v>0.11808587682306973</c:v>
                </c:pt>
                <c:pt idx="13">
                  <c:v>6.8021503066315213E-3</c:v>
                </c:pt>
                <c:pt idx="14">
                  <c:v>-1.6571363358896852E-2</c:v>
                </c:pt>
                <c:pt idx="15">
                  <c:v>-0.14898361382784628</c:v>
                </c:pt>
                <c:pt idx="16">
                  <c:v>-0.20748910270418172</c:v>
                </c:pt>
                <c:pt idx="17">
                  <c:v>-0.16731055129880157</c:v>
                </c:pt>
                <c:pt idx="18">
                  <c:v>-0.12605835918279604</c:v>
                </c:pt>
                <c:pt idx="19">
                  <c:v>-7.4487643149214286E-2</c:v>
                </c:pt>
                <c:pt idx="20">
                  <c:v>3.8553744056270094E-2</c:v>
                </c:pt>
                <c:pt idx="21">
                  <c:v>-0.34659476754864965</c:v>
                </c:pt>
              </c:numCache>
            </c:numRef>
          </c:val>
          <c:extLst>
            <c:ext xmlns:c16="http://schemas.microsoft.com/office/drawing/2014/chart" uri="{C3380CC4-5D6E-409C-BE32-E72D297353CC}">
              <c16:uniqueId val="{00000003-5D2B-4ACD-A11A-BBA883D6D0E8}"/>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4'!$G$18:$G$39</c:f>
              <c:numCache>
                <c:formatCode>#\ ##0.0</c:formatCode>
                <c:ptCount val="22"/>
                <c:pt idx="0">
                  <c:v>2.2069915595993166</c:v>
                </c:pt>
                <c:pt idx="1">
                  <c:v>2.8395836710030271</c:v>
                </c:pt>
                <c:pt idx="2">
                  <c:v>2.9673304933717439</c:v>
                </c:pt>
                <c:pt idx="3">
                  <c:v>3.1996488393000861</c:v>
                </c:pt>
                <c:pt idx="4">
                  <c:v>2.2669828358604827</c:v>
                </c:pt>
                <c:pt idx="5">
                  <c:v>1.7472095584606271</c:v>
                </c:pt>
                <c:pt idx="6">
                  <c:v>1.2199893940422677</c:v>
                </c:pt>
                <c:pt idx="7">
                  <c:v>1.2038927401746593</c:v>
                </c:pt>
                <c:pt idx="8">
                  <c:v>2.1828063096576567</c:v>
                </c:pt>
                <c:pt idx="9">
                  <c:v>3.1402341655549573</c:v>
                </c:pt>
                <c:pt idx="10">
                  <c:v>2.9649621789836469</c:v>
                </c:pt>
                <c:pt idx="11">
                  <c:v>3.2019367955598788</c:v>
                </c:pt>
                <c:pt idx="12">
                  <c:v>3.1991581139545291</c:v>
                </c:pt>
                <c:pt idx="13">
                  <c:v>2.4596297734516672</c:v>
                </c:pt>
                <c:pt idx="14" formatCode="General">
                  <c:v>2.8096801810569541</c:v>
                </c:pt>
                <c:pt idx="15" formatCode="General">
                  <c:v>2.633591469545653</c:v>
                </c:pt>
                <c:pt idx="16" formatCode="General">
                  <c:v>2.1778121572999853</c:v>
                </c:pt>
                <c:pt idx="17" formatCode="General">
                  <c:v>1.5872692836963305</c:v>
                </c:pt>
                <c:pt idx="18" formatCode="General">
                  <c:v>1.2887133109854405</c:v>
                </c:pt>
                <c:pt idx="19" formatCode="General">
                  <c:v>1.0856896115678327</c:v>
                </c:pt>
                <c:pt idx="20" formatCode="General">
                  <c:v>-0.48143959136323056</c:v>
                </c:pt>
                <c:pt idx="21" formatCode="General">
                  <c:v>-5.3137430791844009</c:v>
                </c:pt>
              </c:numCache>
            </c:numRef>
          </c:val>
          <c:extLst>
            <c:ext xmlns:c16="http://schemas.microsoft.com/office/drawing/2014/chart" uri="{C3380CC4-5D6E-409C-BE32-E72D297353CC}">
              <c16:uniqueId val="{00000004-5D2B-4ACD-A11A-BBA883D6D0E8}"/>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'souhrnná výkonnost 4'!$H$18:$H$39</c:f>
              <c:numCache>
                <c:formatCode>#\ ##0.0</c:formatCode>
                <c:ptCount val="22"/>
                <c:pt idx="0">
                  <c:v>4.715513587220201</c:v>
                </c:pt>
                <c:pt idx="1">
                  <c:v>5.0971004057791305</c:v>
                </c:pt>
                <c:pt idx="2">
                  <c:v>5.2530196431134613</c:v>
                </c:pt>
                <c:pt idx="3">
                  <c:v>4.5592485406007199</c:v>
                </c:pt>
                <c:pt idx="4">
                  <c:v>3.1674424411731508</c:v>
                </c:pt>
                <c:pt idx="5">
                  <c:v>2.1906580742636379</c:v>
                </c:pt>
                <c:pt idx="6">
                  <c:v>1.8939325302629584</c:v>
                </c:pt>
                <c:pt idx="7">
                  <c:v>2.3492580716968376</c:v>
                </c:pt>
                <c:pt idx="8">
                  <c:v>3.6516543205207768</c:v>
                </c:pt>
                <c:pt idx="9">
                  <c:v>6.3830027976023729</c:v>
                </c:pt>
                <c:pt idx="10">
                  <c:v>5.9135095065788903</c:v>
                </c:pt>
                <c:pt idx="11">
                  <c:v>5.6861848632479877</c:v>
                </c:pt>
                <c:pt idx="12">
                  <c:v>4.9690415467186284</c:v>
                </c:pt>
                <c:pt idx="13">
                  <c:v>2.7334464292361815</c:v>
                </c:pt>
                <c:pt idx="14">
                  <c:v>3.0193557965321673</c:v>
                </c:pt>
                <c:pt idx="15">
                  <c:v>2.7273005906640861</c:v>
                </c:pt>
                <c:pt idx="16">
                  <c:v>2.5300143206718104</c:v>
                </c:pt>
                <c:pt idx="17">
                  <c:v>2.204495611197089</c:v>
                </c:pt>
                <c:pt idx="18">
                  <c:v>2.0584748568752218</c:v>
                </c:pt>
                <c:pt idx="19">
                  <c:v>1.7139510638243536</c:v>
                </c:pt>
                <c:pt idx="20">
                  <c:v>-1.2922292501307311</c:v>
                </c:pt>
                <c:pt idx="21">
                  <c:v>-10.912447515612371</c:v>
                </c:pt>
              </c:numCache>
            </c:numRef>
          </c:val>
          <c:smooth val="0"/>
          <c:extLst>
            <c:ext xmlns:c16="http://schemas.microsoft.com/office/drawing/2014/chart" uri="{C3380CC4-5D6E-409C-BE32-E72D297353CC}">
              <c16:uniqueId val="{00000005-5D2B-4ACD-A11A-BBA883D6D0E8}"/>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91949014465353E-2"/>
          <c:y val="1.6203558522131581E-2"/>
          <c:w val="0.86585205378005858"/>
          <c:h val="0.72649397233372848"/>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IPP'!$B$27:$AN$27</c:f>
              <c:numCache>
                <c:formatCode>0.0</c:formatCode>
                <c:ptCount val="39"/>
                <c:pt idx="0">
                  <c:v>5.2078736853779173</c:v>
                </c:pt>
                <c:pt idx="1">
                  <c:v>4.1223648273779991</c:v>
                </c:pt>
                <c:pt idx="2">
                  <c:v>3.63477216157156</c:v>
                </c:pt>
                <c:pt idx="3">
                  <c:v>3.2216361743132538</c:v>
                </c:pt>
                <c:pt idx="4">
                  <c:v>2.2277089061298581</c:v>
                </c:pt>
                <c:pt idx="5">
                  <c:v>1.0445407965040034</c:v>
                </c:pt>
                <c:pt idx="6">
                  <c:v>-0.44415991740409522</c:v>
                </c:pt>
                <c:pt idx="7">
                  <c:v>-1.7046426167277111</c:v>
                </c:pt>
                <c:pt idx="8">
                  <c:v>-2.8402152771046563</c:v>
                </c:pt>
                <c:pt idx="9">
                  <c:v>-1.1163342815363446</c:v>
                </c:pt>
                <c:pt idx="10">
                  <c:v>0.6644282664004616</c:v>
                </c:pt>
                <c:pt idx="11">
                  <c:v>1.8881189084849743</c:v>
                </c:pt>
                <c:pt idx="12">
                  <c:v>3.5567942882522487</c:v>
                </c:pt>
                <c:pt idx="13">
                  <c:v>2.2505867525367846</c:v>
                </c:pt>
                <c:pt idx="14">
                  <c:v>1.7903943475924651</c:v>
                </c:pt>
                <c:pt idx="15">
                  <c:v>1.535644409665273</c:v>
                </c:pt>
                <c:pt idx="16">
                  <c:v>1.5449159659659168</c:v>
                </c:pt>
                <c:pt idx="17">
                  <c:v>2.1749281656592205</c:v>
                </c:pt>
                <c:pt idx="18">
                  <c:v>2.3300582377623109</c:v>
                </c:pt>
                <c:pt idx="19">
                  <c:v>2.8883547821003916</c:v>
                </c:pt>
                <c:pt idx="20">
                  <c:v>3.2974613335821723</c:v>
                </c:pt>
                <c:pt idx="21">
                  <c:v>2.7788016600022574</c:v>
                </c:pt>
                <c:pt idx="22">
                  <c:v>1.4641693240331413</c:v>
                </c:pt>
                <c:pt idx="23">
                  <c:v>1.0301621596218218</c:v>
                </c:pt>
                <c:pt idx="24">
                  <c:v>1.8188073708028707</c:v>
                </c:pt>
                <c:pt idx="25">
                  <c:v>2.0559452389437172</c:v>
                </c:pt>
                <c:pt idx="26">
                  <c:v>1.5681820744985684</c:v>
                </c:pt>
                <c:pt idx="27">
                  <c:v>1.6876490608562387</c:v>
                </c:pt>
                <c:pt idx="28">
                  <c:v>0.71498061102748001</c:v>
                </c:pt>
                <c:pt idx="29">
                  <c:v>0.55787229008071415</c:v>
                </c:pt>
                <c:pt idx="30">
                  <c:v>0.24148179021483879</c:v>
                </c:pt>
                <c:pt idx="31">
                  <c:v>0.98792003638593584</c:v>
                </c:pt>
                <c:pt idx="32">
                  <c:v>-0.23163009858912853</c:v>
                </c:pt>
                <c:pt idx="33">
                  <c:v>0.48241016929709246</c:v>
                </c:pt>
                <c:pt idx="34">
                  <c:v>0.86708468495670088</c:v>
                </c:pt>
                <c:pt idx="35">
                  <c:v>-1.1073234743952267</c:v>
                </c:pt>
                <c:pt idx="36">
                  <c:v>-1.6293997985981499</c:v>
                </c:pt>
                <c:pt idx="37">
                  <c:v>-9.4500607448497416</c:v>
                </c:pt>
              </c:numCache>
            </c:numRef>
          </c:val>
          <c:extLst>
            <c:ext xmlns:c16="http://schemas.microsoft.com/office/drawing/2014/chart" uri="{C3380CC4-5D6E-409C-BE32-E72D297353CC}">
              <c16:uniqueId val="{00000000-FC49-4BB5-851E-E8E6FFD3EF22}"/>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IPP'!$B$28:$AN$28</c:f>
              <c:numCache>
                <c:formatCode>0.0</c:formatCode>
                <c:ptCount val="39"/>
                <c:pt idx="0">
                  <c:v>1.8195799141685121</c:v>
                </c:pt>
                <c:pt idx="1">
                  <c:v>1.4264054755235898</c:v>
                </c:pt>
                <c:pt idx="2">
                  <c:v>0.48607353269968806</c:v>
                </c:pt>
                <c:pt idx="3">
                  <c:v>0.58156552967788966</c:v>
                </c:pt>
                <c:pt idx="4">
                  <c:v>0.85798481430169571</c:v>
                </c:pt>
                <c:pt idx="5">
                  <c:v>0.68171577064529831</c:v>
                </c:pt>
                <c:pt idx="6">
                  <c:v>1.072037862747427</c:v>
                </c:pt>
                <c:pt idx="7">
                  <c:v>-0.46173310094024295</c:v>
                </c:pt>
                <c:pt idx="8">
                  <c:v>-0.34213672064681983</c:v>
                </c:pt>
                <c:pt idx="9">
                  <c:v>-0.29940942958869421</c:v>
                </c:pt>
                <c:pt idx="10">
                  <c:v>0.37461822657534871</c:v>
                </c:pt>
                <c:pt idx="11">
                  <c:v>0.67650313777163307</c:v>
                </c:pt>
                <c:pt idx="12">
                  <c:v>1.189030233896462</c:v>
                </c:pt>
                <c:pt idx="13">
                  <c:v>1.3176011911030265</c:v>
                </c:pt>
                <c:pt idx="14">
                  <c:v>0.16521296223436649</c:v>
                </c:pt>
                <c:pt idx="15">
                  <c:v>0.7937264559340933</c:v>
                </c:pt>
                <c:pt idx="16">
                  <c:v>1.0321564707423598</c:v>
                </c:pt>
                <c:pt idx="17">
                  <c:v>1.2396893147517036</c:v>
                </c:pt>
                <c:pt idx="18">
                  <c:v>1.4257126645761891</c:v>
                </c:pt>
                <c:pt idx="19">
                  <c:v>0.62646054654871031</c:v>
                </c:pt>
                <c:pt idx="20">
                  <c:v>0.70239864046330858</c:v>
                </c:pt>
                <c:pt idx="21">
                  <c:v>0.14957031030982187</c:v>
                </c:pt>
                <c:pt idx="22">
                  <c:v>0.27646532302098098</c:v>
                </c:pt>
                <c:pt idx="23">
                  <c:v>0.42916912474109054</c:v>
                </c:pt>
                <c:pt idx="24">
                  <c:v>0.91361476755678694</c:v>
                </c:pt>
                <c:pt idx="25">
                  <c:v>1.458720321695594</c:v>
                </c:pt>
                <c:pt idx="26">
                  <c:v>0.87170226971120912</c:v>
                </c:pt>
                <c:pt idx="27">
                  <c:v>1.646875240438054</c:v>
                </c:pt>
                <c:pt idx="28">
                  <c:v>0.99783080896461818</c:v>
                </c:pt>
                <c:pt idx="29">
                  <c:v>0.32761654080678082</c:v>
                </c:pt>
                <c:pt idx="30">
                  <c:v>0.42786481660655967</c:v>
                </c:pt>
                <c:pt idx="31">
                  <c:v>-5.3703633303731985E-2</c:v>
                </c:pt>
                <c:pt idx="32">
                  <c:v>0.49489561375904689</c:v>
                </c:pt>
                <c:pt idx="33">
                  <c:v>0.42003944775979141</c:v>
                </c:pt>
                <c:pt idx="34">
                  <c:v>0.20199509108281688</c:v>
                </c:pt>
                <c:pt idx="35">
                  <c:v>0.40892655322579557</c:v>
                </c:pt>
                <c:pt idx="36">
                  <c:v>-0.53423122372633514</c:v>
                </c:pt>
                <c:pt idx="37">
                  <c:v>-4.1268662042132576</c:v>
                </c:pt>
              </c:numCache>
            </c:numRef>
          </c:val>
          <c:extLst>
            <c:ext xmlns:c16="http://schemas.microsoft.com/office/drawing/2014/chart" uri="{C3380CC4-5D6E-409C-BE32-E72D297353CC}">
              <c16:uniqueId val="{00000001-FC49-4BB5-851E-E8E6FFD3EF22}"/>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IPP'!$B$29:$AN$29</c:f>
              <c:numCache>
                <c:formatCode>0.0</c:formatCode>
                <c:ptCount val="39"/>
                <c:pt idx="0">
                  <c:v>1.2645058188207068</c:v>
                </c:pt>
                <c:pt idx="1">
                  <c:v>1.2866524900119543</c:v>
                </c:pt>
                <c:pt idx="2">
                  <c:v>0.321758166889757</c:v>
                </c:pt>
                <c:pt idx="3">
                  <c:v>0.69985382932741536</c:v>
                </c:pt>
                <c:pt idx="4">
                  <c:v>0.51520520797066272</c:v>
                </c:pt>
                <c:pt idx="5">
                  <c:v>0.26610955621310539</c:v>
                </c:pt>
                <c:pt idx="6">
                  <c:v>0.23285855695515315</c:v>
                </c:pt>
                <c:pt idx="7">
                  <c:v>-0.14103398862933006</c:v>
                </c:pt>
                <c:pt idx="8">
                  <c:v>8.1772139521772438E-2</c:v>
                </c:pt>
                <c:pt idx="9">
                  <c:v>0.2046260235658918</c:v>
                </c:pt>
                <c:pt idx="10">
                  <c:v>-2.2418720279356572E-2</c:v>
                </c:pt>
                <c:pt idx="11">
                  <c:v>0.65142852885825009</c:v>
                </c:pt>
                <c:pt idx="12">
                  <c:v>0.21304347589519865</c:v>
                </c:pt>
                <c:pt idx="13">
                  <c:v>0.40549290927749476</c:v>
                </c:pt>
                <c:pt idx="14">
                  <c:v>0.20916730701816877</c:v>
                </c:pt>
                <c:pt idx="15">
                  <c:v>0.32933361982312465</c:v>
                </c:pt>
                <c:pt idx="16">
                  <c:v>0.27334106694035171</c:v>
                </c:pt>
                <c:pt idx="17">
                  <c:v>0.29428298533741609</c:v>
                </c:pt>
                <c:pt idx="18">
                  <c:v>0.38533015320769515</c:v>
                </c:pt>
                <c:pt idx="19">
                  <c:v>1.9183488529804775E-2</c:v>
                </c:pt>
                <c:pt idx="20">
                  <c:v>0.36307045023871931</c:v>
                </c:pt>
                <c:pt idx="21">
                  <c:v>-6.7572945378872373E-2</c:v>
                </c:pt>
                <c:pt idx="22">
                  <c:v>0.19574075945275773</c:v>
                </c:pt>
                <c:pt idx="23">
                  <c:v>0.31979046599858157</c:v>
                </c:pt>
                <c:pt idx="24">
                  <c:v>0.3600654733750322</c:v>
                </c:pt>
                <c:pt idx="25">
                  <c:v>1.0705741294559918</c:v>
                </c:pt>
                <c:pt idx="26">
                  <c:v>0.84942343358716554</c:v>
                </c:pt>
                <c:pt idx="27">
                  <c:v>0.80110319510701655</c:v>
                </c:pt>
                <c:pt idx="28">
                  <c:v>0.47293555109852903</c:v>
                </c:pt>
                <c:pt idx="29">
                  <c:v>0.1452079187580578</c:v>
                </c:pt>
                <c:pt idx="30">
                  <c:v>0.18970333111993243</c:v>
                </c:pt>
                <c:pt idx="31">
                  <c:v>-0.19465162699433602</c:v>
                </c:pt>
                <c:pt idx="32">
                  <c:v>0.14644501292152765</c:v>
                </c:pt>
                <c:pt idx="33">
                  <c:v>-1.7290955551125375E-2</c:v>
                </c:pt>
                <c:pt idx="34">
                  <c:v>-0.27153097339988502</c:v>
                </c:pt>
                <c:pt idx="35">
                  <c:v>-0.12691952861474254</c:v>
                </c:pt>
                <c:pt idx="36">
                  <c:v>-0.76418531682893287</c:v>
                </c:pt>
                <c:pt idx="37">
                  <c:v>-2.1211317843565176</c:v>
                </c:pt>
              </c:numCache>
            </c:numRef>
          </c:val>
          <c:extLst>
            <c:ext xmlns:c16="http://schemas.microsoft.com/office/drawing/2014/chart" uri="{C3380CC4-5D6E-409C-BE32-E72D297353CC}">
              <c16:uniqueId val="{00000002-FC49-4BB5-851E-E8E6FFD3EF22}"/>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IPP'!$B$30:$AN$30</c:f>
              <c:numCache>
                <c:formatCode>0.0</c:formatCode>
                <c:ptCount val="39"/>
                <c:pt idx="0">
                  <c:v>1.3551101221058057</c:v>
                </c:pt>
                <c:pt idx="1">
                  <c:v>0.61003571461144745</c:v>
                </c:pt>
                <c:pt idx="2">
                  <c:v>6.5190052068116996E-2</c:v>
                </c:pt>
                <c:pt idx="3">
                  <c:v>-5.751285551196901E-2</c:v>
                </c:pt>
                <c:pt idx="4">
                  <c:v>-6.6831949774716279E-2</c:v>
                </c:pt>
                <c:pt idx="5">
                  <c:v>-7.2108739074927916E-2</c:v>
                </c:pt>
                <c:pt idx="6">
                  <c:v>0.10129802746367376</c:v>
                </c:pt>
                <c:pt idx="7">
                  <c:v>-0.16202794402787471</c:v>
                </c:pt>
                <c:pt idx="8">
                  <c:v>-7.7218113950844339E-2</c:v>
                </c:pt>
                <c:pt idx="9">
                  <c:v>9.8842007123154413E-2</c:v>
                </c:pt>
                <c:pt idx="10">
                  <c:v>0.38425831802453603</c:v>
                </c:pt>
                <c:pt idx="11">
                  <c:v>0.56826070473463075</c:v>
                </c:pt>
                <c:pt idx="12">
                  <c:v>0.72466030311448937</c:v>
                </c:pt>
                <c:pt idx="13">
                  <c:v>0.64070763768823902</c:v>
                </c:pt>
                <c:pt idx="14">
                  <c:v>0.13471783746278831</c:v>
                </c:pt>
                <c:pt idx="15">
                  <c:v>0.34715049391068614</c:v>
                </c:pt>
                <c:pt idx="16">
                  <c:v>0.7002997305470311</c:v>
                </c:pt>
                <c:pt idx="17">
                  <c:v>0.78598516282691366</c:v>
                </c:pt>
                <c:pt idx="18">
                  <c:v>0.92607458938072496</c:v>
                </c:pt>
                <c:pt idx="19">
                  <c:v>0.625152359437114</c:v>
                </c:pt>
                <c:pt idx="20">
                  <c:v>0.76444806762191553</c:v>
                </c:pt>
                <c:pt idx="21">
                  <c:v>0.38468982602991308</c:v>
                </c:pt>
                <c:pt idx="22">
                  <c:v>0.20052528439839029</c:v>
                </c:pt>
                <c:pt idx="23">
                  <c:v>0.2505464784956295</c:v>
                </c:pt>
                <c:pt idx="24">
                  <c:v>0.5110945332466369</c:v>
                </c:pt>
                <c:pt idx="25">
                  <c:v>0.91827111587790722</c:v>
                </c:pt>
                <c:pt idx="26">
                  <c:v>0.82344311009183468</c:v>
                </c:pt>
                <c:pt idx="27">
                  <c:v>0.97625242210301566</c:v>
                </c:pt>
                <c:pt idx="28">
                  <c:v>0.6543071266859497</c:v>
                </c:pt>
                <c:pt idx="29">
                  <c:v>0.44399142916192974</c:v>
                </c:pt>
                <c:pt idx="30">
                  <c:v>0.43632885025014273</c:v>
                </c:pt>
                <c:pt idx="31">
                  <c:v>0.16425112174648246</c:v>
                </c:pt>
                <c:pt idx="32">
                  <c:v>0.22813318351264544</c:v>
                </c:pt>
                <c:pt idx="33">
                  <c:v>0</c:v>
                </c:pt>
                <c:pt idx="34">
                  <c:v>-0.22418998862127987</c:v>
                </c:pt>
                <c:pt idx="35">
                  <c:v>-0.36099363648711907</c:v>
                </c:pt>
                <c:pt idx="36">
                  <c:v>-0.6830389638650618</c:v>
                </c:pt>
                <c:pt idx="37">
                  <c:v>-2.2504115636172499</c:v>
                </c:pt>
              </c:numCache>
            </c:numRef>
          </c:val>
          <c:extLst>
            <c:ext xmlns:c16="http://schemas.microsoft.com/office/drawing/2014/chart" uri="{C3380CC4-5D6E-409C-BE32-E72D297353CC}">
              <c16:uniqueId val="{00000003-FC49-4BB5-851E-E8E6FFD3EF22}"/>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IPP'!$B$31:$AN$31</c:f>
              <c:numCache>
                <c:formatCode>0.0</c:formatCode>
                <c:ptCount val="39"/>
                <c:pt idx="0">
                  <c:v>0.46663673326552113</c:v>
                </c:pt>
                <c:pt idx="1">
                  <c:v>0.23034504225594873</c:v>
                </c:pt>
                <c:pt idx="2">
                  <c:v>-0.24128462562357822</c:v>
                </c:pt>
                <c:pt idx="3">
                  <c:v>-0.7801555412140766</c:v>
                </c:pt>
                <c:pt idx="4">
                  <c:v>-0.63255602460385418</c:v>
                </c:pt>
                <c:pt idx="5">
                  <c:v>-0.77384972458303802</c:v>
                </c:pt>
                <c:pt idx="6">
                  <c:v>-0.66432699677878693</c:v>
                </c:pt>
                <c:pt idx="7">
                  <c:v>-0.43948160779128104</c:v>
                </c:pt>
                <c:pt idx="8">
                  <c:v>0.1743274886505129</c:v>
                </c:pt>
                <c:pt idx="9">
                  <c:v>0.20848577844563423</c:v>
                </c:pt>
                <c:pt idx="10">
                  <c:v>0.28708284874337209</c:v>
                </c:pt>
                <c:pt idx="11">
                  <c:v>0.3710677945253662</c:v>
                </c:pt>
                <c:pt idx="12">
                  <c:v>0.25462016960863021</c:v>
                </c:pt>
                <c:pt idx="13">
                  <c:v>0.35946957764943493</c:v>
                </c:pt>
                <c:pt idx="14">
                  <c:v>0.24902596442701128</c:v>
                </c:pt>
                <c:pt idx="15">
                  <c:v>0.43266401321765158</c:v>
                </c:pt>
                <c:pt idx="16">
                  <c:v>0.10098933939964477</c:v>
                </c:pt>
                <c:pt idx="17">
                  <c:v>1.4989983457542287E-2</c:v>
                </c:pt>
                <c:pt idx="18">
                  <c:v>4.8131776575975969E-2</c:v>
                </c:pt>
                <c:pt idx="19">
                  <c:v>-7.7003986202186223E-2</c:v>
                </c:pt>
                <c:pt idx="20">
                  <c:v>2.5800791974177746E-4</c:v>
                </c:pt>
                <c:pt idx="21">
                  <c:v>4.8125354447826493E-2</c:v>
                </c:pt>
                <c:pt idx="22">
                  <c:v>5.4761934658599951E-2</c:v>
                </c:pt>
                <c:pt idx="23">
                  <c:v>0.16221619241546678</c:v>
                </c:pt>
                <c:pt idx="24">
                  <c:v>0.1266562574913582</c:v>
                </c:pt>
                <c:pt idx="25">
                  <c:v>0.37648265280216536</c:v>
                </c:pt>
                <c:pt idx="26">
                  <c:v>0.23505971681229232</c:v>
                </c:pt>
                <c:pt idx="27">
                  <c:v>0.23512493906047929</c:v>
                </c:pt>
                <c:pt idx="28">
                  <c:v>0.40852046691006588</c:v>
                </c:pt>
                <c:pt idx="29">
                  <c:v>0.15033665549578873</c:v>
                </c:pt>
                <c:pt idx="30">
                  <c:v>0.63742581900112127</c:v>
                </c:pt>
                <c:pt idx="31">
                  <c:v>0.30596497918419047</c:v>
                </c:pt>
                <c:pt idx="32">
                  <c:v>-0.11284031378710398</c:v>
                </c:pt>
                <c:pt idx="33">
                  <c:v>-3.9673324167303896E-2</c:v>
                </c:pt>
                <c:pt idx="34">
                  <c:v>-0.62307029350559606</c:v>
                </c:pt>
                <c:pt idx="35">
                  <c:v>-0.34200440969372159</c:v>
                </c:pt>
                <c:pt idx="36">
                  <c:v>-0.12945937652719841</c:v>
                </c:pt>
                <c:pt idx="37">
                  <c:v>-0.30159247761277497</c:v>
                </c:pt>
              </c:numCache>
            </c:numRef>
          </c:val>
          <c:extLst>
            <c:ext xmlns:c16="http://schemas.microsoft.com/office/drawing/2014/chart" uri="{C3380CC4-5D6E-409C-BE32-E72D297353CC}">
              <c16:uniqueId val="{00000004-FC49-4BB5-851E-E8E6FFD3EF22}"/>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IPP'!$B$32:$AN$32</c:f>
              <c:numCache>
                <c:formatCode>0.0</c:formatCode>
                <c:ptCount val="39"/>
                <c:pt idx="0">
                  <c:v>0.11043784960432593</c:v>
                </c:pt>
                <c:pt idx="1">
                  <c:v>-0.10773555193592807</c:v>
                </c:pt>
                <c:pt idx="2">
                  <c:v>-0.35112289109297956</c:v>
                </c:pt>
                <c:pt idx="3">
                  <c:v>-0.27826739460014194</c:v>
                </c:pt>
                <c:pt idx="4">
                  <c:v>8.4154385689483149E-2</c:v>
                </c:pt>
                <c:pt idx="5">
                  <c:v>-9.8833863523717924E-2</c:v>
                </c:pt>
                <c:pt idx="6">
                  <c:v>0.29519930148431078</c:v>
                </c:pt>
                <c:pt idx="7">
                  <c:v>8.1663941155752748E-2</c:v>
                </c:pt>
                <c:pt idx="8">
                  <c:v>-0.16442793114609983</c:v>
                </c:pt>
                <c:pt idx="9">
                  <c:v>2.7522300233105406E-2</c:v>
                </c:pt>
                <c:pt idx="10">
                  <c:v>-0.19879397802963492</c:v>
                </c:pt>
                <c:pt idx="11">
                  <c:v>0.22116665497939436</c:v>
                </c:pt>
                <c:pt idx="12">
                  <c:v>0.41666566499041086</c:v>
                </c:pt>
                <c:pt idx="13">
                  <c:v>0.29995274809874523</c:v>
                </c:pt>
                <c:pt idx="14">
                  <c:v>0.37241621238378653</c:v>
                </c:pt>
                <c:pt idx="15">
                  <c:v>0.12288921584121683</c:v>
                </c:pt>
                <c:pt idx="16">
                  <c:v>7.7350431314437765E-2</c:v>
                </c:pt>
                <c:pt idx="17">
                  <c:v>0.23593761593130141</c:v>
                </c:pt>
                <c:pt idx="18">
                  <c:v>-0.16669952986343833</c:v>
                </c:pt>
                <c:pt idx="19">
                  <c:v>-0.33320285815360856</c:v>
                </c:pt>
                <c:pt idx="20">
                  <c:v>-0.42004567083081795</c:v>
                </c:pt>
                <c:pt idx="21">
                  <c:v>-0.42026397840181545</c:v>
                </c:pt>
                <c:pt idx="22">
                  <c:v>-0.10965943805062672</c:v>
                </c:pt>
                <c:pt idx="23">
                  <c:v>0.23764174190673226</c:v>
                </c:pt>
                <c:pt idx="24">
                  <c:v>0.52969781101036639</c:v>
                </c:pt>
                <c:pt idx="25">
                  <c:v>0.81629581332897672</c:v>
                </c:pt>
                <c:pt idx="26">
                  <c:v>0.6490077008448305</c:v>
                </c:pt>
                <c:pt idx="27">
                  <c:v>0.50550039995300478</c:v>
                </c:pt>
                <c:pt idx="28">
                  <c:v>0.39836280707384325</c:v>
                </c:pt>
                <c:pt idx="29">
                  <c:v>8.2769801878325527E-2</c:v>
                </c:pt>
                <c:pt idx="30">
                  <c:v>-5.1200962998572921E-2</c:v>
                </c:pt>
                <c:pt idx="31">
                  <c:v>-6.7051149583539513E-2</c:v>
                </c:pt>
                <c:pt idx="32">
                  <c:v>0.10347687791544462</c:v>
                </c:pt>
                <c:pt idx="33">
                  <c:v>5.1169406501742065E-2</c:v>
                </c:pt>
                <c:pt idx="34">
                  <c:v>0.23125923115734595</c:v>
                </c:pt>
                <c:pt idx="35">
                  <c:v>2.9465242599488156E-2</c:v>
                </c:pt>
                <c:pt idx="36">
                  <c:v>-6.3954323515944531E-2</c:v>
                </c:pt>
                <c:pt idx="37">
                  <c:v>-0.59623991586590874</c:v>
                </c:pt>
              </c:numCache>
            </c:numRef>
          </c:val>
          <c:extLst>
            <c:ext xmlns:c16="http://schemas.microsoft.com/office/drawing/2014/chart" uri="{C3380CC4-5D6E-409C-BE32-E72D297353CC}">
              <c16:uniqueId val="{00000005-FC49-4BB5-851E-E8E6FFD3EF22}"/>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IPP'!$B$33:$AN$33</c:f>
              <c:numCache>
                <c:formatCode>0.0</c:formatCode>
                <c:ptCount val="39"/>
                <c:pt idx="0">
                  <c:v>0.37508837128330441</c:v>
                </c:pt>
                <c:pt idx="1">
                  <c:v>-0.21037755903979605</c:v>
                </c:pt>
                <c:pt idx="2">
                  <c:v>-1.5665549835303916</c:v>
                </c:pt>
                <c:pt idx="3">
                  <c:v>-0.30113263223401887</c:v>
                </c:pt>
                <c:pt idx="4">
                  <c:v>-1.2532623819644968</c:v>
                </c:pt>
                <c:pt idx="5">
                  <c:v>-0.98265973266456974</c:v>
                </c:pt>
                <c:pt idx="6">
                  <c:v>-0.65808893522855183</c:v>
                </c:pt>
                <c:pt idx="7">
                  <c:v>-1.4388407277993178</c:v>
                </c:pt>
                <c:pt idx="8">
                  <c:v>-0.1559553406211569</c:v>
                </c:pt>
                <c:pt idx="9">
                  <c:v>-0.10101620467744854</c:v>
                </c:pt>
                <c:pt idx="10">
                  <c:v>0.61701582414311784</c:v>
                </c:pt>
                <c:pt idx="11">
                  <c:v>1.4236339159262827</c:v>
                </c:pt>
                <c:pt idx="12">
                  <c:v>1.236545341304258</c:v>
                </c:pt>
                <c:pt idx="13">
                  <c:v>1.2187062503030845</c:v>
                </c:pt>
                <c:pt idx="14">
                  <c:v>0.52934645905596056</c:v>
                </c:pt>
                <c:pt idx="15">
                  <c:v>1.351822855883333</c:v>
                </c:pt>
                <c:pt idx="16">
                  <c:v>0.99830218869293763</c:v>
                </c:pt>
                <c:pt idx="17">
                  <c:v>0.90243657634684393</c:v>
                </c:pt>
                <c:pt idx="18">
                  <c:v>0.97767572263990776</c:v>
                </c:pt>
                <c:pt idx="19">
                  <c:v>-0.22132414773784082</c:v>
                </c:pt>
                <c:pt idx="20">
                  <c:v>3.75697389584283E-2</c:v>
                </c:pt>
                <c:pt idx="21">
                  <c:v>-0.30016704241038428</c:v>
                </c:pt>
                <c:pt idx="22">
                  <c:v>4.1230596798872976E-2</c:v>
                </c:pt>
                <c:pt idx="23">
                  <c:v>0.57694869576717844</c:v>
                </c:pt>
                <c:pt idx="24">
                  <c:v>0.33188448583664354</c:v>
                </c:pt>
                <c:pt idx="25">
                  <c:v>1.4323707076505112</c:v>
                </c:pt>
                <c:pt idx="26">
                  <c:v>0.74281336901524031</c:v>
                </c:pt>
                <c:pt idx="27">
                  <c:v>0.99254851716260917</c:v>
                </c:pt>
                <c:pt idx="28">
                  <c:v>1.1174634788597515</c:v>
                </c:pt>
                <c:pt idx="29">
                  <c:v>0.68739640698572724</c:v>
                </c:pt>
                <c:pt idx="30">
                  <c:v>1.0605384736132097</c:v>
                </c:pt>
                <c:pt idx="31">
                  <c:v>0.51351046269380185</c:v>
                </c:pt>
                <c:pt idx="32">
                  <c:v>-0.14309532338947323</c:v>
                </c:pt>
                <c:pt idx="33">
                  <c:v>-3.4143637355314435E-2</c:v>
                </c:pt>
                <c:pt idx="34">
                  <c:v>-0.51022275275070428</c:v>
                </c:pt>
                <c:pt idx="35">
                  <c:v>-0.27505439724231884</c:v>
                </c:pt>
                <c:pt idx="36">
                  <c:v>-0.22294283563754264</c:v>
                </c:pt>
                <c:pt idx="37">
                  <c:v>-3.0516682768317906</c:v>
                </c:pt>
              </c:numCache>
            </c:numRef>
          </c:val>
          <c:extLst>
            <c:ext xmlns:c16="http://schemas.microsoft.com/office/drawing/2014/chart" uri="{C3380CC4-5D6E-409C-BE32-E72D297353CC}">
              <c16:uniqueId val="{00000006-FC49-4BB5-851E-E8E6FFD3EF22}"/>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IPP'!$B$34:$AN$34</c:f>
              <c:numCache>
                <c:formatCode>0.0</c:formatCode>
                <c:ptCount val="39"/>
                <c:pt idx="0">
                  <c:v>-0.42452386212609627</c:v>
                </c:pt>
                <c:pt idx="1">
                  <c:v>0.37437263889478795</c:v>
                </c:pt>
                <c:pt idx="2">
                  <c:v>-0.30609467148217906</c:v>
                </c:pt>
                <c:pt idx="3">
                  <c:v>-6.2790064258354317E-2</c:v>
                </c:pt>
                <c:pt idx="4">
                  <c:v>4.5234196251372455E-2</c:v>
                </c:pt>
                <c:pt idx="5">
                  <c:v>0.33849893288383998</c:v>
                </c:pt>
                <c:pt idx="6">
                  <c:v>-0.14594055443913137</c:v>
                </c:pt>
                <c:pt idx="7">
                  <c:v>-1.0820656656400016</c:v>
                </c:pt>
                <c:pt idx="8">
                  <c:v>-0.90111641450271041</c:v>
                </c:pt>
                <c:pt idx="9">
                  <c:v>-1.4080716141653054</c:v>
                </c:pt>
                <c:pt idx="10">
                  <c:v>-0.87454103397784222</c:v>
                </c:pt>
                <c:pt idx="11">
                  <c:v>0.52275262781946252</c:v>
                </c:pt>
                <c:pt idx="12">
                  <c:v>-0.48831445126169903</c:v>
                </c:pt>
                <c:pt idx="13">
                  <c:v>-0.36279609225680959</c:v>
                </c:pt>
                <c:pt idx="14">
                  <c:v>-0.47490528997454834</c:v>
                </c:pt>
                <c:pt idx="15">
                  <c:v>-0.68045051057538275</c:v>
                </c:pt>
                <c:pt idx="16">
                  <c:v>0.14603886659731855</c:v>
                </c:pt>
                <c:pt idx="17">
                  <c:v>-0.34005382041093413</c:v>
                </c:pt>
                <c:pt idx="18">
                  <c:v>-0.37898483167936881</c:v>
                </c:pt>
                <c:pt idx="19">
                  <c:v>-1.1248323803223828</c:v>
                </c:pt>
                <c:pt idx="20">
                  <c:v>-0.66857701045346751</c:v>
                </c:pt>
                <c:pt idx="21">
                  <c:v>0.10137361870125999</c:v>
                </c:pt>
                <c:pt idx="22">
                  <c:v>-0.46808235891211047</c:v>
                </c:pt>
                <c:pt idx="23">
                  <c:v>0.50534236475350525</c:v>
                </c:pt>
                <c:pt idx="24">
                  <c:v>0.66795249028030279</c:v>
                </c:pt>
                <c:pt idx="25">
                  <c:v>-0.18424188685486914</c:v>
                </c:pt>
                <c:pt idx="26">
                  <c:v>0.78008174883886461</c:v>
                </c:pt>
                <c:pt idx="27">
                  <c:v>0.73049787951958134</c:v>
                </c:pt>
                <c:pt idx="28">
                  <c:v>-0.53969025522024028</c:v>
                </c:pt>
                <c:pt idx="29">
                  <c:v>9.9992532326696609E-3</c:v>
                </c:pt>
                <c:pt idx="30">
                  <c:v>0.78144454779276418</c:v>
                </c:pt>
                <c:pt idx="31">
                  <c:v>0.32566803227119129</c:v>
                </c:pt>
                <c:pt idx="32">
                  <c:v>0.21461504765704126</c:v>
                </c:pt>
                <c:pt idx="33">
                  <c:v>3.748889351511786E-2</c:v>
                </c:pt>
                <c:pt idx="34">
                  <c:v>-0.67132499891939867</c:v>
                </c:pt>
                <c:pt idx="35">
                  <c:v>-0.32609634939215498</c:v>
                </c:pt>
                <c:pt idx="36">
                  <c:v>-0.97278816130083445</c:v>
                </c:pt>
                <c:pt idx="37">
                  <c:v>-1.5878023608406293</c:v>
                </c:pt>
              </c:numCache>
            </c:numRef>
          </c:val>
          <c:extLst>
            <c:ext xmlns:c16="http://schemas.microsoft.com/office/drawing/2014/chart" uri="{C3380CC4-5D6E-409C-BE32-E72D297353CC}">
              <c16:uniqueId val="{00000007-FC49-4BB5-851E-E8E6FFD3EF22}"/>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IPP'!$B$35:$AN$35</c:f>
              <c:numCache>
                <c:formatCode>#\ ##0.0</c:formatCode>
                <c:ptCount val="39"/>
                <c:pt idx="0">
                  <c:v>10.1747086325</c:v>
                </c:pt>
                <c:pt idx="1">
                  <c:v>7.7320630777000048</c:v>
                </c:pt>
                <c:pt idx="2">
                  <c:v>2.0427367414999935</c:v>
                </c:pt>
                <c:pt idx="3">
                  <c:v>3.0231970454999981</c:v>
                </c:pt>
                <c:pt idx="4">
                  <c:v>1.7776371540000042</c:v>
                </c:pt>
                <c:pt idx="5">
                  <c:v>0.40341299639999306</c:v>
                </c:pt>
                <c:pt idx="6">
                  <c:v>-0.21112265520000051</c:v>
                </c:pt>
                <c:pt idx="7">
                  <c:v>-5.3481617104000065</c:v>
                </c:pt>
                <c:pt idx="8">
                  <c:v>-4.2249701698000024</c:v>
                </c:pt>
                <c:pt idx="9">
                  <c:v>-2.3853554206000069</c:v>
                </c:pt>
                <c:pt idx="10">
                  <c:v>1.2316497516000027</c:v>
                </c:pt>
                <c:pt idx="11">
                  <c:v>6.3229322730999939</c:v>
                </c:pt>
                <c:pt idx="12">
                  <c:v>7.1030450258000002</c:v>
                </c:pt>
                <c:pt idx="13">
                  <c:v>6.1297209744000014</c:v>
                </c:pt>
                <c:pt idx="14">
                  <c:v>2.9753758001999984</c:v>
                </c:pt>
                <c:pt idx="15">
                  <c:v>4.2327805536999961</c:v>
                </c:pt>
                <c:pt idx="16">
                  <c:v>4.873394060199999</c:v>
                </c:pt>
                <c:pt idx="17">
                  <c:v>5.3081959839000064</c:v>
                </c:pt>
                <c:pt idx="18">
                  <c:v>5.5472987825999951</c:v>
                </c:pt>
                <c:pt idx="19">
                  <c:v>2.4027878042000026</c:v>
                </c:pt>
                <c:pt idx="20">
                  <c:v>4.0765835575000011</c:v>
                </c:pt>
                <c:pt idx="21">
                  <c:v>2.6745568033000069</c:v>
                </c:pt>
                <c:pt idx="22">
                  <c:v>1.6551514254000068</c:v>
                </c:pt>
                <c:pt idx="23">
                  <c:v>3.5118172237000067</c:v>
                </c:pt>
                <c:pt idx="24">
                  <c:v>5.2597731895999971</c:v>
                </c:pt>
                <c:pt idx="25">
                  <c:v>7.9444180928999941</c:v>
                </c:pt>
                <c:pt idx="26">
                  <c:v>6.519713423400006</c:v>
                </c:pt>
                <c:pt idx="27">
                  <c:v>7.5755516541999981</c:v>
                </c:pt>
                <c:pt idx="28">
                  <c:v>4.2247105953999977</c:v>
                </c:pt>
                <c:pt idx="29">
                  <c:v>2.4051902963999936</c:v>
                </c:pt>
                <c:pt idx="30">
                  <c:v>3.7235866655999956</c:v>
                </c:pt>
                <c:pt idx="31">
                  <c:v>1.9819082223999942</c:v>
                </c:pt>
                <c:pt idx="32">
                  <c:v>0.7</c:v>
                </c:pt>
                <c:pt idx="33">
                  <c:v>0.9</c:v>
                </c:pt>
                <c:pt idx="34">
                  <c:v>-1</c:v>
                </c:pt>
                <c:pt idx="35">
                  <c:v>-2.1</c:v>
                </c:pt>
                <c:pt idx="36">
                  <c:v>-5</c:v>
                </c:pt>
                <c:pt idx="37">
                  <c:v>-23.485773328187875</c:v>
                </c:pt>
              </c:numCache>
            </c:numRef>
          </c:val>
          <c:smooth val="0"/>
          <c:extLst>
            <c:ext xmlns:c16="http://schemas.microsoft.com/office/drawing/2014/chart" uri="{C3380CC4-5D6E-409C-BE32-E72D297353CC}">
              <c16:uniqueId val="{00000008-FC49-4BB5-851E-E8E6FFD3EF22}"/>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IPP'!$B$36:$AN$36</c:f>
              <c:numCache>
                <c:formatCode>0.0</c:formatCode>
                <c:ptCount val="39"/>
                <c:pt idx="0">
                  <c:v>15</c:v>
                </c:pt>
                <c:pt idx="1">
                  <c:v>7.7</c:v>
                </c:pt>
                <c:pt idx="2">
                  <c:v>4</c:v>
                </c:pt>
                <c:pt idx="3">
                  <c:v>4</c:v>
                </c:pt>
                <c:pt idx="4">
                  <c:v>1.3</c:v>
                </c:pt>
                <c:pt idx="5">
                  <c:v>-0.7</c:v>
                </c:pt>
                <c:pt idx="6">
                  <c:v>-8</c:v>
                </c:pt>
                <c:pt idx="7">
                  <c:v>-8.3000000000000007</c:v>
                </c:pt>
                <c:pt idx="8">
                  <c:v>-10.7</c:v>
                </c:pt>
                <c:pt idx="9">
                  <c:v>-11</c:v>
                </c:pt>
                <c:pt idx="10">
                  <c:v>-7.7</c:v>
                </c:pt>
                <c:pt idx="11">
                  <c:v>-0.3</c:v>
                </c:pt>
                <c:pt idx="12">
                  <c:v>1.3</c:v>
                </c:pt>
                <c:pt idx="13">
                  <c:v>3.3</c:v>
                </c:pt>
                <c:pt idx="14">
                  <c:v>2</c:v>
                </c:pt>
                <c:pt idx="15">
                  <c:v>3</c:v>
                </c:pt>
                <c:pt idx="16">
                  <c:v>2.7</c:v>
                </c:pt>
                <c:pt idx="17">
                  <c:v>3</c:v>
                </c:pt>
                <c:pt idx="18">
                  <c:v>5.3</c:v>
                </c:pt>
                <c:pt idx="19">
                  <c:v>0.3</c:v>
                </c:pt>
                <c:pt idx="20">
                  <c:v>3.7</c:v>
                </c:pt>
                <c:pt idx="21">
                  <c:v>1.7</c:v>
                </c:pt>
                <c:pt idx="22">
                  <c:v>2</c:v>
                </c:pt>
                <c:pt idx="23">
                  <c:v>3.7</c:v>
                </c:pt>
                <c:pt idx="24">
                  <c:v>5.3</c:v>
                </c:pt>
                <c:pt idx="25">
                  <c:v>0.7</c:v>
                </c:pt>
                <c:pt idx="26">
                  <c:v>3.3</c:v>
                </c:pt>
                <c:pt idx="27">
                  <c:v>6.7</c:v>
                </c:pt>
                <c:pt idx="28">
                  <c:v>4</c:v>
                </c:pt>
                <c:pt idx="29">
                  <c:v>4.3</c:v>
                </c:pt>
                <c:pt idx="30">
                  <c:v>1.3</c:v>
                </c:pt>
                <c:pt idx="31">
                  <c:v>3</c:v>
                </c:pt>
                <c:pt idx="32">
                  <c:v>0</c:v>
                </c:pt>
                <c:pt idx="33">
                  <c:v>0.3</c:v>
                </c:pt>
                <c:pt idx="34">
                  <c:v>-3</c:v>
                </c:pt>
                <c:pt idx="35">
                  <c:v>-6</c:v>
                </c:pt>
                <c:pt idx="36">
                  <c:v>-6.7</c:v>
                </c:pt>
                <c:pt idx="37">
                  <c:v>-26.3</c:v>
                </c:pt>
                <c:pt idx="38">
                  <c:v>-8</c:v>
                </c:pt>
              </c:numCache>
            </c:numRef>
          </c:val>
          <c:smooth val="0"/>
          <c:extLst>
            <c:ext xmlns:c16="http://schemas.microsoft.com/office/drawing/2014/chart" uri="{C3380CC4-5D6E-409C-BE32-E72D297353CC}">
              <c16:uniqueId val="{00000009-FC49-4BB5-851E-E8E6FFD3EF22}"/>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2"/>
          <c:min val="-27"/>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5"/>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8727325106673"/>
              <c:y val="0.22016862994429165"/>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0"/>
          <c:y val="0.8245301077934194"/>
          <c:w val="0.97724094301487296"/>
          <c:h val="0.1719759118944718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2'!$B$31:$AN$31</c:f>
              <c:numCache>
                <c:formatCode>#\ ##0.0__</c:formatCode>
                <c:ptCount val="39"/>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3.2159327201169816</c:v>
                </c:pt>
                <c:pt idx="33">
                  <c:v>0.65858715061426665</c:v>
                </c:pt>
                <c:pt idx="34">
                  <c:v>2.2747163836690305</c:v>
                </c:pt>
                <c:pt idx="35">
                  <c:v>-4.7832000111320241</c:v>
                </c:pt>
                <c:pt idx="36">
                  <c:v>-5.4552563188195791</c:v>
                </c:pt>
                <c:pt idx="37">
                  <c:v>-27.840083401835727</c:v>
                </c:pt>
              </c:numCache>
            </c:numRef>
          </c:val>
          <c:extLst>
            <c:ext xmlns:c16="http://schemas.microsoft.com/office/drawing/2014/chart" uri="{C3380CC4-5D6E-409C-BE32-E72D297353CC}">
              <c16:uniqueId val="{00000000-C0A0-4F83-AE42-9264FC6240D1}"/>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0070C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2'!$B$32:$AN$32</c:f>
              <c:numCache>
                <c:formatCode>#\ ##0.0__</c:formatCode>
                <c:ptCount val="39"/>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8.0074778782798006</c:v>
                </c:pt>
                <c:pt idx="33">
                  <c:v>4.3685672275757952</c:v>
                </c:pt>
                <c:pt idx="34">
                  <c:v>3.2795252635021939</c:v>
                </c:pt>
                <c:pt idx="35">
                  <c:v>-2.4886565019466786</c:v>
                </c:pt>
                <c:pt idx="36">
                  <c:v>-4.1287288035399854</c:v>
                </c:pt>
                <c:pt idx="37">
                  <c:v>-25.915339029383787</c:v>
                </c:pt>
              </c:numCache>
            </c:numRef>
          </c:val>
          <c:smooth val="0"/>
          <c:extLst>
            <c:ext xmlns:c16="http://schemas.microsoft.com/office/drawing/2014/chart" uri="{C3380CC4-5D6E-409C-BE32-E72D297353CC}">
              <c16:uniqueId val="{00000001-C0A0-4F83-AE42-9264FC6240D1}"/>
            </c:ext>
          </c:extLst>
        </c:ser>
        <c:ser>
          <c:idx val="5"/>
          <c:order val="2"/>
          <c:tx>
            <c:strRef>
              <c:f>'výkonnost odvětví 2'!$A$33</c:f>
              <c:strCache>
                <c:ptCount val="1"/>
                <c:pt idx="0">
                  <c:v>Celk. zakázky ve výrobě motor. voz.</c:v>
                </c:pt>
              </c:strCache>
            </c:strRef>
          </c:tx>
          <c:spPr>
            <a:ln w="15875">
              <a:solidFill>
                <a:srgbClr val="BD1B21"/>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2'!$B$33:$AN$33</c:f>
              <c:numCache>
                <c:formatCode>#\ ##0.0__</c:formatCode>
                <c:ptCount val="39"/>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2.3844519038519962</c:v>
                </c:pt>
                <c:pt idx="33">
                  <c:v>3.1505861553301884</c:v>
                </c:pt>
                <c:pt idx="34">
                  <c:v>7.8772894879504776</c:v>
                </c:pt>
                <c:pt idx="35">
                  <c:v>-0.27078960340936931</c:v>
                </c:pt>
                <c:pt idx="36">
                  <c:v>-6.8002473186692924</c:v>
                </c:pt>
                <c:pt idx="37">
                  <c:v>-43.589067662393489</c:v>
                </c:pt>
              </c:numCache>
            </c:numRef>
          </c:val>
          <c:smooth val="0"/>
          <c:extLst>
            <c:ext xmlns:c16="http://schemas.microsoft.com/office/drawing/2014/chart" uri="{C3380CC4-5D6E-409C-BE32-E72D297353CC}">
              <c16:uniqueId val="{00000002-C0A0-4F83-AE42-9264FC6240D1}"/>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Využití výrob. kapacit v prům. (pr. osa)</c:v>
                </c:pt>
              </c:strCache>
            </c:strRef>
          </c:tx>
          <c:spPr>
            <a:ln w="19050">
              <a:solidFill>
                <a:srgbClr val="00B05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2'!$B$34:$AN$34</c:f>
              <c:numCache>
                <c:formatCode>#\ ##0.0</c:formatCode>
                <c:ptCount val="39"/>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pt idx="35">
                  <c:v>84.1</c:v>
                </c:pt>
                <c:pt idx="36">
                  <c:v>84.2</c:v>
                </c:pt>
                <c:pt idx="37">
                  <c:v>71</c:v>
                </c:pt>
                <c:pt idx="38">
                  <c:v>75.5</c:v>
                </c:pt>
              </c:numCache>
            </c:numRef>
          </c:val>
          <c:smooth val="0"/>
          <c:extLst>
            <c:ext xmlns:c16="http://schemas.microsoft.com/office/drawing/2014/chart" uri="{C3380CC4-5D6E-409C-BE32-E72D297353CC}">
              <c16:uniqueId val="{00000003-C0A0-4F83-AE42-9264FC6240D1}"/>
            </c:ext>
          </c:extLst>
        </c:ser>
        <c:ser>
          <c:idx val="1"/>
          <c:order val="4"/>
          <c:tx>
            <c:strRef>
              <c:f>'výkonnost odvětví 2'!$A$35</c:f>
              <c:strCache>
                <c:ptCount val="1"/>
                <c:pt idx="0">
                  <c:v>Využití kapac. v automobil. pr. (pr. osa)</c:v>
                </c:pt>
              </c:strCache>
            </c:strRef>
          </c:tx>
          <c:spPr>
            <a:ln w="15875">
              <a:solidFill>
                <a:srgbClr val="00B050"/>
              </a:solidFill>
              <a:prstDash val="sysDash"/>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2'!$B$35:$AN$35</c:f>
              <c:numCache>
                <c:formatCode>0.0</c:formatCode>
                <c:ptCount val="39"/>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pt idx="35">
                  <c:v>93.4</c:v>
                </c:pt>
                <c:pt idx="36">
                  <c:v>90.5</c:v>
                </c:pt>
                <c:pt idx="37">
                  <c:v>50.8</c:v>
                </c:pt>
                <c:pt idx="38" formatCode="General">
                  <c:v>75.3</c:v>
                </c:pt>
              </c:numCache>
            </c:numRef>
          </c:val>
          <c:smooth val="0"/>
          <c:extLst>
            <c:ext xmlns:c16="http://schemas.microsoft.com/office/drawing/2014/chart" uri="{C3380CC4-5D6E-409C-BE32-E72D297353CC}">
              <c16:uniqueId val="{00000004-C0A0-4F83-AE42-9264FC6240D1}"/>
            </c:ext>
          </c:extLst>
        </c:ser>
        <c:ser>
          <c:idx val="4"/>
          <c:order val="5"/>
          <c:tx>
            <c:strRef>
              <c:f>'výkonnost odvětví 2'!$A$36</c:f>
              <c:strCache>
                <c:ptCount val="1"/>
                <c:pt idx="0">
                  <c:v>Bariéra růstu: nedost. poptávka (pr. osa)</c:v>
                </c:pt>
              </c:strCache>
            </c:strRef>
          </c:tx>
          <c:spPr>
            <a:ln w="15875">
              <a:solidFill>
                <a:srgbClr val="D2CD0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2'!$B$36:$AN$36</c:f>
              <c:numCache>
                <c:formatCode>#\ ##0.0</c:formatCode>
                <c:ptCount val="39"/>
                <c:pt idx="0">
                  <c:v>41.1</c:v>
                </c:pt>
                <c:pt idx="1">
                  <c:v>36</c:v>
                </c:pt>
                <c:pt idx="2">
                  <c:v>37.799999999999997</c:v>
                </c:pt>
                <c:pt idx="3">
                  <c:v>47</c:v>
                </c:pt>
                <c:pt idx="4">
                  <c:v>41.1</c:v>
                </c:pt>
                <c:pt idx="5">
                  <c:v>50.7</c:v>
                </c:pt>
                <c:pt idx="6">
                  <c:v>54.6</c:v>
                </c:pt>
                <c:pt idx="7">
                  <c:v>55.7</c:v>
                </c:pt>
                <c:pt idx="8">
                  <c:v>59.7</c:v>
                </c:pt>
                <c:pt idx="9">
                  <c:v>64.3</c:v>
                </c:pt>
                <c:pt idx="10">
                  <c:v>68.400000000000006</c:v>
                </c:pt>
                <c:pt idx="11">
                  <c:v>56.6</c:v>
                </c:pt>
                <c:pt idx="12">
                  <c:v>57.6</c:v>
                </c:pt>
                <c:pt idx="13">
                  <c:v>52.2</c:v>
                </c:pt>
                <c:pt idx="14">
                  <c:v>48.4</c:v>
                </c:pt>
                <c:pt idx="15">
                  <c:v>45.9</c:v>
                </c:pt>
                <c:pt idx="16">
                  <c:v>43.6</c:v>
                </c:pt>
                <c:pt idx="17">
                  <c:v>49.6</c:v>
                </c:pt>
                <c:pt idx="18">
                  <c:v>47.8</c:v>
                </c:pt>
                <c:pt idx="19">
                  <c:v>47.8</c:v>
                </c:pt>
                <c:pt idx="20">
                  <c:v>45.7</c:v>
                </c:pt>
                <c:pt idx="21">
                  <c:v>45.5</c:v>
                </c:pt>
                <c:pt idx="22">
                  <c:v>43</c:v>
                </c:pt>
                <c:pt idx="23">
                  <c:v>43.8</c:v>
                </c:pt>
                <c:pt idx="24">
                  <c:v>42.7</c:v>
                </c:pt>
                <c:pt idx="25">
                  <c:v>41.6</c:v>
                </c:pt>
                <c:pt idx="26">
                  <c:v>40.299999999999997</c:v>
                </c:pt>
                <c:pt idx="27">
                  <c:v>37.299999999999997</c:v>
                </c:pt>
                <c:pt idx="28">
                  <c:v>35.4</c:v>
                </c:pt>
                <c:pt idx="29">
                  <c:v>36</c:v>
                </c:pt>
                <c:pt idx="30">
                  <c:v>31.6</c:v>
                </c:pt>
                <c:pt idx="31">
                  <c:v>33.4</c:v>
                </c:pt>
                <c:pt idx="32">
                  <c:v>33.700000000000003</c:v>
                </c:pt>
                <c:pt idx="33">
                  <c:v>35.299999999999997</c:v>
                </c:pt>
                <c:pt idx="34">
                  <c:v>40.1</c:v>
                </c:pt>
                <c:pt idx="35">
                  <c:v>47.3</c:v>
                </c:pt>
                <c:pt idx="36">
                  <c:v>50.4</c:v>
                </c:pt>
                <c:pt idx="37">
                  <c:v>58.4</c:v>
                </c:pt>
                <c:pt idx="38">
                  <c:v>63.2</c:v>
                </c:pt>
              </c:numCache>
            </c:numRef>
          </c:val>
          <c:smooth val="0"/>
          <c:extLst>
            <c:ext xmlns:c16="http://schemas.microsoft.com/office/drawing/2014/chart" uri="{C3380CC4-5D6E-409C-BE32-E72D297353CC}">
              <c16:uniqueId val="{00000005-C0A0-4F83-AE42-9264FC6240D1}"/>
            </c:ext>
          </c:extLst>
        </c:ser>
        <c:ser>
          <c:idx val="6"/>
          <c:order val="6"/>
          <c:tx>
            <c:strRef>
              <c:f>'výkonnost odvětví 2'!$A$37</c:f>
              <c:strCache>
                <c:ptCount val="1"/>
                <c:pt idx="0">
                  <c:v>Bariéra růstu: nedost. pracovníků (pr. osa)</c:v>
                </c:pt>
              </c:strCache>
            </c:strRef>
          </c:tx>
          <c:spPr>
            <a:ln w="19050">
              <a:solidFill>
                <a:srgbClr val="D2CD00"/>
              </a:solidFill>
              <a:prstDash val="sysDash"/>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2'!$B$37:$AN$37</c:f>
              <c:numCache>
                <c:formatCode>#\ ##0.0</c:formatCode>
                <c:ptCount val="39"/>
                <c:pt idx="0">
                  <c:v>9.4</c:v>
                </c:pt>
                <c:pt idx="1">
                  <c:v>15.4</c:v>
                </c:pt>
                <c:pt idx="2">
                  <c:v>13.9</c:v>
                </c:pt>
                <c:pt idx="3">
                  <c:v>6.7</c:v>
                </c:pt>
                <c:pt idx="4">
                  <c:v>4.8</c:v>
                </c:pt>
                <c:pt idx="5">
                  <c:v>3.8</c:v>
                </c:pt>
                <c:pt idx="6">
                  <c:v>3.1</c:v>
                </c:pt>
                <c:pt idx="7">
                  <c:v>1.5</c:v>
                </c:pt>
                <c:pt idx="8">
                  <c:v>2.7</c:v>
                </c:pt>
                <c:pt idx="9">
                  <c:v>2.1</c:v>
                </c:pt>
                <c:pt idx="10">
                  <c:v>2.1</c:v>
                </c:pt>
                <c:pt idx="11">
                  <c:v>1.8</c:v>
                </c:pt>
                <c:pt idx="12">
                  <c:v>4.4000000000000004</c:v>
                </c:pt>
                <c:pt idx="13">
                  <c:v>3.6</c:v>
                </c:pt>
                <c:pt idx="14">
                  <c:v>5.3</c:v>
                </c:pt>
                <c:pt idx="15">
                  <c:v>5</c:v>
                </c:pt>
                <c:pt idx="16">
                  <c:v>6.7</c:v>
                </c:pt>
                <c:pt idx="17">
                  <c:v>6.9</c:v>
                </c:pt>
                <c:pt idx="18">
                  <c:v>8.1</c:v>
                </c:pt>
                <c:pt idx="19">
                  <c:v>13.9</c:v>
                </c:pt>
                <c:pt idx="20">
                  <c:v>15.4</c:v>
                </c:pt>
                <c:pt idx="21">
                  <c:v>16.899999999999999</c:v>
                </c:pt>
                <c:pt idx="22">
                  <c:v>18.8</c:v>
                </c:pt>
                <c:pt idx="23">
                  <c:v>28.8</c:v>
                </c:pt>
                <c:pt idx="24">
                  <c:v>32.799999999999997</c:v>
                </c:pt>
                <c:pt idx="25">
                  <c:v>34.700000000000003</c:v>
                </c:pt>
                <c:pt idx="26">
                  <c:v>41.3</c:v>
                </c:pt>
                <c:pt idx="27">
                  <c:v>38.299999999999997</c:v>
                </c:pt>
                <c:pt idx="28">
                  <c:v>43.4</c:v>
                </c:pt>
                <c:pt idx="29">
                  <c:v>43.7</c:v>
                </c:pt>
                <c:pt idx="30">
                  <c:v>43.7</c:v>
                </c:pt>
                <c:pt idx="31">
                  <c:v>44.8</c:v>
                </c:pt>
                <c:pt idx="32">
                  <c:v>38.799999999999997</c:v>
                </c:pt>
                <c:pt idx="33">
                  <c:v>36.4</c:v>
                </c:pt>
                <c:pt idx="34">
                  <c:v>39.5</c:v>
                </c:pt>
                <c:pt idx="35">
                  <c:v>37.200000000000003</c:v>
                </c:pt>
                <c:pt idx="36">
                  <c:v>28.2</c:v>
                </c:pt>
                <c:pt idx="37">
                  <c:v>16.600000000000001</c:v>
                </c:pt>
                <c:pt idx="38">
                  <c:v>15.1</c:v>
                </c:pt>
              </c:numCache>
            </c:numRef>
          </c:val>
          <c:smooth val="0"/>
          <c:extLst>
            <c:ext xmlns:c16="http://schemas.microsoft.com/office/drawing/2014/chart" uri="{C3380CC4-5D6E-409C-BE32-E72D297353CC}">
              <c16:uniqueId val="{00000006-C0A0-4F83-AE42-9264FC6240D1}"/>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86823820781267591"/>
          <c:w val="0.98379594369130352"/>
          <c:h val="0.12461330631543398"/>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753529248227E-2"/>
          <c:y val="1.6563187842952781E-2"/>
          <c:w val="0.85309490361228013"/>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3'!$Y$15:$Y$53</c:f>
              <c:numCache>
                <c:formatCode>0.0</c:formatCode>
                <c:ptCount val="39"/>
                <c:pt idx="0">
                  <c:v>6.2047732527820312</c:v>
                </c:pt>
                <c:pt idx="1">
                  <c:v>-1.142609385309763</c:v>
                </c:pt>
                <c:pt idx="2">
                  <c:v>-4.2496583310797469</c:v>
                </c:pt>
                <c:pt idx="3">
                  <c:v>1.4325486942131775</c:v>
                </c:pt>
                <c:pt idx="4">
                  <c:v>-5.3017304136874612</c:v>
                </c:pt>
                <c:pt idx="5">
                  <c:v>-1.5772154566583525</c:v>
                </c:pt>
                <c:pt idx="6">
                  <c:v>-3.5093635043390679</c:v>
                </c:pt>
                <c:pt idx="7">
                  <c:v>-6.7584810940500368</c:v>
                </c:pt>
                <c:pt idx="8">
                  <c:v>-7.3668578508046387</c:v>
                </c:pt>
                <c:pt idx="9">
                  <c:v>-7.3115997076220323</c:v>
                </c:pt>
                <c:pt idx="10">
                  <c:v>-1.046316947083143</c:v>
                </c:pt>
                <c:pt idx="11">
                  <c:v>-1.9461283088151891</c:v>
                </c:pt>
                <c:pt idx="12">
                  <c:v>12.371583397752481</c:v>
                </c:pt>
                <c:pt idx="13">
                  <c:v>3.6348701582896989</c:v>
                </c:pt>
                <c:pt idx="14">
                  <c:v>-0.4470402552287821</c:v>
                </c:pt>
                <c:pt idx="15">
                  <c:v>-0.35554011674100472</c:v>
                </c:pt>
                <c:pt idx="16">
                  <c:v>6.0406500842435085</c:v>
                </c:pt>
                <c:pt idx="17">
                  <c:v>5.0351990706688206</c:v>
                </c:pt>
                <c:pt idx="18">
                  <c:v>0.8190237902909806</c:v>
                </c:pt>
                <c:pt idx="19">
                  <c:v>-1.7586108979905719</c:v>
                </c:pt>
                <c:pt idx="20">
                  <c:v>-4.9770437869163535</c:v>
                </c:pt>
                <c:pt idx="21">
                  <c:v>-4.9700016274723584</c:v>
                </c:pt>
                <c:pt idx="22">
                  <c:v>0.78239199885766197</c:v>
                </c:pt>
                <c:pt idx="23">
                  <c:v>3.9332788568802517</c:v>
                </c:pt>
                <c:pt idx="24">
                  <c:v>2.3068633791469697</c:v>
                </c:pt>
                <c:pt idx="25">
                  <c:v>9.9255198092832533</c:v>
                </c:pt>
                <c:pt idx="26">
                  <c:v>3.4173683660831449</c:v>
                </c:pt>
                <c:pt idx="27">
                  <c:v>2.6449439222433253</c:v>
                </c:pt>
                <c:pt idx="28">
                  <c:v>13.611853478375235</c:v>
                </c:pt>
                <c:pt idx="29">
                  <c:v>6.2900956792886875</c:v>
                </c:pt>
                <c:pt idx="30">
                  <c:v>7.6969034240443159</c:v>
                </c:pt>
                <c:pt idx="31">
                  <c:v>2.4763373565569382</c:v>
                </c:pt>
                <c:pt idx="32">
                  <c:v>2.9012271914063752</c:v>
                </c:pt>
                <c:pt idx="33">
                  <c:v>2.4324724742263082</c:v>
                </c:pt>
                <c:pt idx="34">
                  <c:v>-0.71205347442938227</c:v>
                </c:pt>
                <c:pt idx="35">
                  <c:v>2.4332088670338217</c:v>
                </c:pt>
                <c:pt idx="36">
                  <c:v>-0.65663999999999767</c:v>
                </c:pt>
                <c:pt idx="37">
                  <c:v>-9.2204187524945613</c:v>
                </c:pt>
              </c:numCache>
            </c:numRef>
          </c:val>
          <c:extLst>
            <c:ext xmlns:c16="http://schemas.microsoft.com/office/drawing/2014/chart" uri="{C3380CC4-5D6E-409C-BE32-E72D297353CC}">
              <c16:uniqueId val="{00000000-2BB8-4627-BCD3-32B4AFC96A05}"/>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3'!$Z$15:$Z$53</c:f>
              <c:numCache>
                <c:formatCode>0.0</c:formatCode>
                <c:ptCount val="39"/>
                <c:pt idx="0">
                  <c:v>-0.79042212761240505</c:v>
                </c:pt>
                <c:pt idx="1">
                  <c:v>-4.1501396425306893</c:v>
                </c:pt>
                <c:pt idx="2">
                  <c:v>-4.845304760215198</c:v>
                </c:pt>
                <c:pt idx="3">
                  <c:v>-1.9017157182009561</c:v>
                </c:pt>
                <c:pt idx="4">
                  <c:v>-4.5301506238094307</c:v>
                </c:pt>
                <c:pt idx="5">
                  <c:v>-3.436948273961975</c:v>
                </c:pt>
                <c:pt idx="6">
                  <c:v>-2.1433566998748379</c:v>
                </c:pt>
                <c:pt idx="7">
                  <c:v>-2.7528798984220209</c:v>
                </c:pt>
                <c:pt idx="8">
                  <c:v>-3.2410153986319687</c:v>
                </c:pt>
                <c:pt idx="9">
                  <c:v>-4.3924048251383914</c:v>
                </c:pt>
                <c:pt idx="10">
                  <c:v>-4.1374576667557275</c:v>
                </c:pt>
                <c:pt idx="11">
                  <c:v>-0.65314984057794534</c:v>
                </c:pt>
                <c:pt idx="12">
                  <c:v>0.50263566485864819</c:v>
                </c:pt>
                <c:pt idx="13">
                  <c:v>1.9367914476888961</c:v>
                </c:pt>
                <c:pt idx="14">
                  <c:v>3.0475325886284614</c:v>
                </c:pt>
                <c:pt idx="15">
                  <c:v>1.5687973126903687</c:v>
                </c:pt>
                <c:pt idx="16">
                  <c:v>3.2355496515016471</c:v>
                </c:pt>
                <c:pt idx="17">
                  <c:v>7.2127365572123514</c:v>
                </c:pt>
                <c:pt idx="18">
                  <c:v>7.4049722612595534</c:v>
                </c:pt>
                <c:pt idx="19">
                  <c:v>2.8517321017249642</c:v>
                </c:pt>
                <c:pt idx="20">
                  <c:v>-1.2715496259536494</c:v>
                </c:pt>
                <c:pt idx="21">
                  <c:v>-5.4264140722862431</c:v>
                </c:pt>
                <c:pt idx="22">
                  <c:v>-7.0587854977868805</c:v>
                </c:pt>
                <c:pt idx="23">
                  <c:v>-5.9121381011794369</c:v>
                </c:pt>
                <c:pt idx="24">
                  <c:v>-3.4016080209496309</c:v>
                </c:pt>
                <c:pt idx="25">
                  <c:v>-1.1866728525072219</c:v>
                </c:pt>
                <c:pt idx="26">
                  <c:v>-1.5260463084640261</c:v>
                </c:pt>
                <c:pt idx="27">
                  <c:v>0.24705424395699707</c:v>
                </c:pt>
                <c:pt idx="28">
                  <c:v>1.7580186589547353</c:v>
                </c:pt>
                <c:pt idx="29">
                  <c:v>1.2030375486852778</c:v>
                </c:pt>
                <c:pt idx="30">
                  <c:v>4.716307137200463</c:v>
                </c:pt>
                <c:pt idx="31">
                  <c:v>1.893880018835757</c:v>
                </c:pt>
                <c:pt idx="32">
                  <c:v>0.7361981062889752</c:v>
                </c:pt>
                <c:pt idx="33">
                  <c:v>1.8748631261527227</c:v>
                </c:pt>
                <c:pt idx="34">
                  <c:v>0.74581313444005137</c:v>
                </c:pt>
                <c:pt idx="35">
                  <c:v>0.84928321883930058</c:v>
                </c:pt>
                <c:pt idx="36">
                  <c:v>2.7776000000000005</c:v>
                </c:pt>
                <c:pt idx="37">
                  <c:v>0.45894381009551932</c:v>
                </c:pt>
              </c:numCache>
            </c:numRef>
          </c:val>
          <c:extLst>
            <c:ext xmlns:c16="http://schemas.microsoft.com/office/drawing/2014/chart" uri="{C3380CC4-5D6E-409C-BE32-E72D297353CC}">
              <c16:uniqueId val="{00000001-2BB8-4627-BCD3-32B4AFC96A05}"/>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3'!$X$15:$X$53</c:f>
              <c:numCache>
                <c:formatCode>0.0</c:formatCode>
                <c:ptCount val="39"/>
                <c:pt idx="0">
                  <c:v>5.449552626231366</c:v>
                </c:pt>
                <c:pt idx="1">
                  <c:v>-5.1742495430582807</c:v>
                </c:pt>
                <c:pt idx="2">
                  <c:v>-9.0574948964693647</c:v>
                </c:pt>
                <c:pt idx="3">
                  <c:v>-0.48980413887058205</c:v>
                </c:pt>
                <c:pt idx="4">
                  <c:v>-9.8142381556388472</c:v>
                </c:pt>
                <c:pt idx="5">
                  <c:v>-4.9279824117982827</c:v>
                </c:pt>
                <c:pt idx="6">
                  <c:v>-5.6445213670269254</c:v>
                </c:pt>
                <c:pt idx="7">
                  <c:v>-9.5084133075025932</c:v>
                </c:pt>
                <c:pt idx="8">
                  <c:v>-10.565899650388715</c:v>
                </c:pt>
                <c:pt idx="9">
                  <c:v>-11.626450345727534</c:v>
                </c:pt>
                <c:pt idx="10">
                  <c:v>-4.9557475457158091</c:v>
                </c:pt>
                <c:pt idx="11">
                  <c:v>-2.6129229379002652</c:v>
                </c:pt>
                <c:pt idx="12">
                  <c:v>13.065209405176972</c:v>
                </c:pt>
                <c:pt idx="13">
                  <c:v>5.5558831897877639</c:v>
                </c:pt>
                <c:pt idx="14">
                  <c:v>2.4409719869598234</c:v>
                </c:pt>
                <c:pt idx="15">
                  <c:v>1.1282392268827266</c:v>
                </c:pt>
                <c:pt idx="16">
                  <c:v>9.1934692334480417</c:v>
                </c:pt>
                <c:pt idx="17">
                  <c:v>11.978213260497213</c:v>
                </c:pt>
                <c:pt idx="18">
                  <c:v>7.8643449491626143</c:v>
                </c:pt>
                <c:pt idx="19">
                  <c:v>0.93025171200444845</c:v>
                </c:pt>
                <c:pt idx="20">
                  <c:v>-6.259378834780378</c:v>
                </c:pt>
                <c:pt idx="21">
                  <c:v>-10.250813266432374</c:v>
                </c:pt>
                <c:pt idx="22">
                  <c:v>-5.9054170412823055</c:v>
                </c:pt>
                <c:pt idx="23">
                  <c:v>-1.6501920995212487</c:v>
                </c:pt>
                <c:pt idx="24">
                  <c:v>-0.86803632191472957</c:v>
                </c:pt>
                <c:pt idx="25">
                  <c:v>9.0229519438482555</c:v>
                </c:pt>
                <c:pt idx="26">
                  <c:v>2.0635301151802281</c:v>
                </c:pt>
                <c:pt idx="27">
                  <c:v>2.9356341105847292</c:v>
                </c:pt>
                <c:pt idx="28">
                  <c:v>15.368475923945851</c:v>
                </c:pt>
                <c:pt idx="29">
                  <c:v>7.4934507683530569</c:v>
                </c:pt>
                <c:pt idx="30">
                  <c:v>12.408779797485622</c:v>
                </c:pt>
                <c:pt idx="31">
                  <c:v>4.2961492214048604</c:v>
                </c:pt>
                <c:pt idx="32">
                  <c:v>3.6370622013393756</c:v>
                </c:pt>
                <c:pt idx="33">
                  <c:v>4.3087555395366905</c:v>
                </c:pt>
                <c:pt idx="34">
                  <c:v>3.4829206961674686E-2</c:v>
                </c:pt>
                <c:pt idx="35">
                  <c:v>3.2825247381577611</c:v>
                </c:pt>
                <c:pt idx="36">
                  <c:v>2.0764541407305614</c:v>
                </c:pt>
                <c:pt idx="37">
                  <c:v>-8.7983437882331685</c:v>
                </c:pt>
              </c:numCache>
            </c:numRef>
          </c:val>
          <c:smooth val="0"/>
          <c:extLst>
            <c:ext xmlns:c16="http://schemas.microsoft.com/office/drawing/2014/chart" uri="{C3380CC4-5D6E-409C-BE32-E72D297353CC}">
              <c16:uniqueId val="{00000002-2BB8-4627-BCD3-32B4AFC96A05}"/>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3'!$AA$15:$AA$53</c:f>
              <c:numCache>
                <c:formatCode>0.0</c:formatCode>
                <c:ptCount val="39"/>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14.157245632065781</c:v>
                </c:pt>
                <c:pt idx="33">
                  <c:v>-9.3849543241233135</c:v>
                </c:pt>
                <c:pt idx="34">
                  <c:v>17.407871000993993</c:v>
                </c:pt>
                <c:pt idx="35">
                  <c:v>5.8323004254463768</c:v>
                </c:pt>
                <c:pt idx="36">
                  <c:v>-13.192451392856526</c:v>
                </c:pt>
                <c:pt idx="37">
                  <c:v>6.9046194347657632</c:v>
                </c:pt>
              </c:numCache>
            </c:numRef>
          </c:val>
          <c:smooth val="0"/>
          <c:extLst>
            <c:ext xmlns:c16="http://schemas.microsoft.com/office/drawing/2014/chart" uri="{C3380CC4-5D6E-409C-BE32-E72D297353CC}">
              <c16:uniqueId val="{00000003-2BB8-4627-BCD3-32B4AFC96A05}"/>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3'!$AB$15:$AB$53</c:f>
              <c:numCache>
                <c:formatCode>#\ ##0.0</c:formatCode>
                <c:ptCount val="39"/>
                <c:pt idx="0">
                  <c:v>54.2</c:v>
                </c:pt>
                <c:pt idx="1">
                  <c:v>60.6</c:v>
                </c:pt>
                <c:pt idx="2">
                  <c:v>67.7</c:v>
                </c:pt>
                <c:pt idx="3">
                  <c:v>69.400000000000006</c:v>
                </c:pt>
                <c:pt idx="4">
                  <c:v>70.400000000000006</c:v>
                </c:pt>
                <c:pt idx="5">
                  <c:v>63.6</c:v>
                </c:pt>
                <c:pt idx="6">
                  <c:v>69.099999999999994</c:v>
                </c:pt>
                <c:pt idx="7">
                  <c:v>71</c:v>
                </c:pt>
                <c:pt idx="8">
                  <c:v>79.400000000000006</c:v>
                </c:pt>
                <c:pt idx="9">
                  <c:v>71.7</c:v>
                </c:pt>
                <c:pt idx="10">
                  <c:v>72.599999999999994</c:v>
                </c:pt>
                <c:pt idx="11">
                  <c:v>78.5</c:v>
                </c:pt>
                <c:pt idx="12">
                  <c:v>80.099999999999994</c:v>
                </c:pt>
                <c:pt idx="13">
                  <c:v>82.1</c:v>
                </c:pt>
                <c:pt idx="14">
                  <c:v>76.099999999999994</c:v>
                </c:pt>
                <c:pt idx="15">
                  <c:v>68.2</c:v>
                </c:pt>
                <c:pt idx="16">
                  <c:v>66.8</c:v>
                </c:pt>
                <c:pt idx="17">
                  <c:v>65.099999999999994</c:v>
                </c:pt>
                <c:pt idx="18">
                  <c:v>59.3</c:v>
                </c:pt>
                <c:pt idx="19">
                  <c:v>56.2</c:v>
                </c:pt>
                <c:pt idx="20">
                  <c:v>53.4</c:v>
                </c:pt>
                <c:pt idx="21">
                  <c:v>60.8</c:v>
                </c:pt>
                <c:pt idx="22">
                  <c:v>59.6</c:v>
                </c:pt>
                <c:pt idx="23">
                  <c:v>60.5</c:v>
                </c:pt>
                <c:pt idx="24">
                  <c:v>53.7</c:v>
                </c:pt>
                <c:pt idx="25">
                  <c:v>55</c:v>
                </c:pt>
                <c:pt idx="26">
                  <c:v>52.7</c:v>
                </c:pt>
                <c:pt idx="27">
                  <c:v>51.3</c:v>
                </c:pt>
                <c:pt idx="28">
                  <c:v>48.4</c:v>
                </c:pt>
                <c:pt idx="29">
                  <c:v>38.5</c:v>
                </c:pt>
                <c:pt idx="30">
                  <c:v>35.200000000000003</c:v>
                </c:pt>
                <c:pt idx="31">
                  <c:v>24.5</c:v>
                </c:pt>
                <c:pt idx="32">
                  <c:v>23.1</c:v>
                </c:pt>
                <c:pt idx="33">
                  <c:v>24.5</c:v>
                </c:pt>
                <c:pt idx="34">
                  <c:v>17.100000000000001</c:v>
                </c:pt>
                <c:pt idx="35">
                  <c:v>22.8</c:v>
                </c:pt>
                <c:pt idx="36">
                  <c:v>28.9</c:v>
                </c:pt>
                <c:pt idx="37">
                  <c:v>27.4</c:v>
                </c:pt>
                <c:pt idx="38">
                  <c:v>29.7</c:v>
                </c:pt>
              </c:numCache>
            </c:numRef>
          </c:val>
          <c:smooth val="0"/>
          <c:extLst>
            <c:ext xmlns:c16="http://schemas.microsoft.com/office/drawing/2014/chart" uri="{C3380CC4-5D6E-409C-BE32-E72D297353CC}">
              <c16:uniqueId val="{00000004-2BB8-4627-BCD3-32B4AFC96A05}"/>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3'!$AC$15:$AC$53</c:f>
              <c:numCache>
                <c:formatCode>#\ ##0.0</c:formatCode>
                <c:ptCount val="39"/>
                <c:pt idx="0">
                  <c:v>1</c:v>
                </c:pt>
                <c:pt idx="1">
                  <c:v>0.8</c:v>
                </c:pt>
                <c:pt idx="2">
                  <c:v>1.3</c:v>
                </c:pt>
                <c:pt idx="3">
                  <c:v>1.3</c:v>
                </c:pt>
                <c:pt idx="4">
                  <c:v>1.6</c:v>
                </c:pt>
                <c:pt idx="5">
                  <c:v>2.1</c:v>
                </c:pt>
                <c:pt idx="6">
                  <c:v>1.5</c:v>
                </c:pt>
                <c:pt idx="7">
                  <c:v>1.1000000000000001</c:v>
                </c:pt>
                <c:pt idx="8">
                  <c:v>1.2</c:v>
                </c:pt>
                <c:pt idx="9">
                  <c:v>1</c:v>
                </c:pt>
                <c:pt idx="10">
                  <c:v>0.8</c:v>
                </c:pt>
                <c:pt idx="11">
                  <c:v>1.1000000000000001</c:v>
                </c:pt>
                <c:pt idx="12">
                  <c:v>1.3</c:v>
                </c:pt>
                <c:pt idx="13">
                  <c:v>2</c:v>
                </c:pt>
                <c:pt idx="14">
                  <c:v>2.2999999999999998</c:v>
                </c:pt>
                <c:pt idx="15">
                  <c:v>2.5</c:v>
                </c:pt>
                <c:pt idx="16">
                  <c:v>6.4</c:v>
                </c:pt>
                <c:pt idx="17">
                  <c:v>7.4</c:v>
                </c:pt>
                <c:pt idx="18">
                  <c:v>7</c:v>
                </c:pt>
                <c:pt idx="19">
                  <c:v>7.1</c:v>
                </c:pt>
                <c:pt idx="20">
                  <c:v>6.5</c:v>
                </c:pt>
                <c:pt idx="21">
                  <c:v>5.9</c:v>
                </c:pt>
                <c:pt idx="22">
                  <c:v>8.1</c:v>
                </c:pt>
                <c:pt idx="23">
                  <c:v>8.4</c:v>
                </c:pt>
                <c:pt idx="24">
                  <c:v>11.4</c:v>
                </c:pt>
                <c:pt idx="25">
                  <c:v>14.1</c:v>
                </c:pt>
                <c:pt idx="26">
                  <c:v>18.399999999999999</c:v>
                </c:pt>
                <c:pt idx="27">
                  <c:v>22.2</c:v>
                </c:pt>
                <c:pt idx="28">
                  <c:v>25.4</c:v>
                </c:pt>
                <c:pt idx="29">
                  <c:v>25.9</c:v>
                </c:pt>
                <c:pt idx="30">
                  <c:v>30.7</c:v>
                </c:pt>
                <c:pt idx="31">
                  <c:v>40.4</c:v>
                </c:pt>
                <c:pt idx="32">
                  <c:v>40.4</c:v>
                </c:pt>
                <c:pt idx="33">
                  <c:v>42</c:v>
                </c:pt>
                <c:pt idx="34">
                  <c:v>53.7</c:v>
                </c:pt>
                <c:pt idx="35">
                  <c:v>50.2</c:v>
                </c:pt>
                <c:pt idx="36">
                  <c:v>48.4</c:v>
                </c:pt>
                <c:pt idx="37">
                  <c:v>50.4</c:v>
                </c:pt>
                <c:pt idx="38">
                  <c:v>43.7</c:v>
                </c:pt>
              </c:numCache>
            </c:numRef>
          </c:val>
          <c:smooth val="0"/>
          <c:extLst>
            <c:ext xmlns:c16="http://schemas.microsoft.com/office/drawing/2014/chart" uri="{C3380CC4-5D6E-409C-BE32-E72D297353CC}">
              <c16:uniqueId val="{00000005-2BB8-4627-BCD3-32B4AFC96A05}"/>
            </c:ext>
          </c:extLst>
        </c:ser>
        <c:ser>
          <c:idx val="6"/>
          <c:order val="6"/>
          <c:tx>
            <c:strRef>
              <c:f>'výkonnost odvětví 3'!$AD$10</c:f>
              <c:strCache>
                <c:ptCount val="1"/>
                <c:pt idx="0">
                  <c:v>Saldo indik.důvěry ve stavebnictví (pr.osa)</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3'!$AD$15:$AD$53</c:f>
              <c:numCache>
                <c:formatCode>0.0</c:formatCode>
                <c:ptCount val="39"/>
                <c:pt idx="0">
                  <c:v>-38</c:v>
                </c:pt>
                <c:pt idx="1">
                  <c:v>-40</c:v>
                </c:pt>
                <c:pt idx="2">
                  <c:v>-40</c:v>
                </c:pt>
                <c:pt idx="3">
                  <c:v>-36.5</c:v>
                </c:pt>
                <c:pt idx="4">
                  <c:v>-46.5</c:v>
                </c:pt>
                <c:pt idx="5">
                  <c:v>-44</c:v>
                </c:pt>
                <c:pt idx="6">
                  <c:v>-43</c:v>
                </c:pt>
                <c:pt idx="7">
                  <c:v>-41</c:v>
                </c:pt>
                <c:pt idx="8">
                  <c:v>-45.5</c:v>
                </c:pt>
                <c:pt idx="9">
                  <c:v>-53.5</c:v>
                </c:pt>
                <c:pt idx="10">
                  <c:v>-48</c:v>
                </c:pt>
                <c:pt idx="11">
                  <c:v>-48</c:v>
                </c:pt>
                <c:pt idx="12">
                  <c:v>-48</c:v>
                </c:pt>
                <c:pt idx="13">
                  <c:v>-39</c:v>
                </c:pt>
                <c:pt idx="14">
                  <c:v>-36.5</c:v>
                </c:pt>
                <c:pt idx="15">
                  <c:v>-30</c:v>
                </c:pt>
                <c:pt idx="16">
                  <c:v>-20.5</c:v>
                </c:pt>
                <c:pt idx="17">
                  <c:v>-16</c:v>
                </c:pt>
                <c:pt idx="18">
                  <c:v>-20</c:v>
                </c:pt>
                <c:pt idx="19">
                  <c:v>-16</c:v>
                </c:pt>
                <c:pt idx="20">
                  <c:v>-14.5</c:v>
                </c:pt>
                <c:pt idx="21">
                  <c:v>-21.5</c:v>
                </c:pt>
                <c:pt idx="22">
                  <c:v>-26</c:v>
                </c:pt>
                <c:pt idx="23">
                  <c:v>-27.5</c:v>
                </c:pt>
                <c:pt idx="24">
                  <c:v>-27</c:v>
                </c:pt>
                <c:pt idx="25">
                  <c:v>-23</c:v>
                </c:pt>
                <c:pt idx="26">
                  <c:v>-24</c:v>
                </c:pt>
                <c:pt idx="27">
                  <c:v>-17.5</c:v>
                </c:pt>
                <c:pt idx="28">
                  <c:v>-14.5</c:v>
                </c:pt>
                <c:pt idx="29">
                  <c:v>-5.5</c:v>
                </c:pt>
                <c:pt idx="30">
                  <c:v>-5</c:v>
                </c:pt>
                <c:pt idx="31">
                  <c:v>-1.5</c:v>
                </c:pt>
                <c:pt idx="32">
                  <c:v>5.5</c:v>
                </c:pt>
                <c:pt idx="33">
                  <c:v>3</c:v>
                </c:pt>
                <c:pt idx="34">
                  <c:v>2</c:v>
                </c:pt>
                <c:pt idx="35">
                  <c:v>1.5</c:v>
                </c:pt>
                <c:pt idx="36">
                  <c:v>1</c:v>
                </c:pt>
                <c:pt idx="37">
                  <c:v>-12.5</c:v>
                </c:pt>
                <c:pt idx="38">
                  <c:v>-16</c:v>
                </c:pt>
              </c:numCache>
            </c:numRef>
          </c:val>
          <c:smooth val="0"/>
          <c:extLst>
            <c:ext xmlns:c16="http://schemas.microsoft.com/office/drawing/2014/chart" uri="{C3380CC4-5D6E-409C-BE32-E72D297353CC}">
              <c16:uniqueId val="{00000006-2BB8-4627-BCD3-32B4AFC96A05}"/>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Příspěvky</a:t>
                </a:r>
                <a:r>
                  <a:rPr lang="cs-CZ" baseline="0"/>
                  <a:t> ke změně stavební produkce</a:t>
                </a:r>
                <a:endParaRPr lang="cs-CZ"/>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86714554937397748"/>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2096235494860583"/>
        </c:manualLayout>
      </c:layout>
      <c:barChart>
        <c:barDir val="col"/>
        <c:grouping val="stacked"/>
        <c:varyColors val="0"/>
        <c:ser>
          <c:idx val="0"/>
          <c:order val="1"/>
          <c:tx>
            <c:strRef>
              <c:f>'Služby-příspěvkyk růstu'!$D$25</c:f>
              <c:strCache>
                <c:ptCount val="1"/>
                <c:pt idx="0">
                  <c:v>Doprava a skladování</c:v>
                </c:pt>
              </c:strCache>
            </c:strRef>
          </c:tx>
          <c:spPr>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růstu'!$D$26:$D$60</c:f>
              <c:numCache>
                <c:formatCode>0.0</c:formatCode>
                <c:ptCount val="35"/>
                <c:pt idx="0">
                  <c:v>0.43250355480835656</c:v>
                </c:pt>
                <c:pt idx="1">
                  <c:v>0.66710922477796986</c:v>
                </c:pt>
                <c:pt idx="2">
                  <c:v>1.2810740041826509</c:v>
                </c:pt>
                <c:pt idx="3">
                  <c:v>-0.53452520432314288</c:v>
                </c:pt>
                <c:pt idx="4">
                  <c:v>0.90431756716453426</c:v>
                </c:pt>
                <c:pt idx="5">
                  <c:v>0.8070031938602803</c:v>
                </c:pt>
                <c:pt idx="6">
                  <c:v>0.57330492199423877</c:v>
                </c:pt>
                <c:pt idx="7">
                  <c:v>2.8078133034979835</c:v>
                </c:pt>
                <c:pt idx="8">
                  <c:v>0.97825827078215699</c:v>
                </c:pt>
                <c:pt idx="9">
                  <c:v>0.72315708551034086</c:v>
                </c:pt>
                <c:pt idx="10">
                  <c:v>1.2171504933227022</c:v>
                </c:pt>
                <c:pt idx="11">
                  <c:v>-0.13022666291925639</c:v>
                </c:pt>
                <c:pt idx="12">
                  <c:v>0.17664665608652994</c:v>
                </c:pt>
                <c:pt idx="13">
                  <c:v>-4.1191806268856823E-2</c:v>
                </c:pt>
                <c:pt idx="14">
                  <c:v>0.20050592493597819</c:v>
                </c:pt>
                <c:pt idx="15">
                  <c:v>4.2621733225056455E-2</c:v>
                </c:pt>
                <c:pt idx="16">
                  <c:v>0.2847890086816679</c:v>
                </c:pt>
                <c:pt idx="17">
                  <c:v>0.2013437768354992</c:v>
                </c:pt>
                <c:pt idx="18">
                  <c:v>0.13973435240156135</c:v>
                </c:pt>
                <c:pt idx="19">
                  <c:v>0.86054675864751384</c:v>
                </c:pt>
                <c:pt idx="20">
                  <c:v>1.6292630224051583</c:v>
                </c:pt>
                <c:pt idx="21">
                  <c:v>1.0923510311792821</c:v>
                </c:pt>
                <c:pt idx="22">
                  <c:v>1.1372534149644835</c:v>
                </c:pt>
                <c:pt idx="23">
                  <c:v>0.60479588760532188</c:v>
                </c:pt>
                <c:pt idx="24">
                  <c:v>1.7511692205268421</c:v>
                </c:pt>
                <c:pt idx="25">
                  <c:v>1.919432195003689</c:v>
                </c:pt>
                <c:pt idx="26">
                  <c:v>1.468778873734859</c:v>
                </c:pt>
                <c:pt idx="27">
                  <c:v>0.4982794536687275</c:v>
                </c:pt>
                <c:pt idx="28">
                  <c:v>0.78783162617261848</c:v>
                </c:pt>
                <c:pt idx="29">
                  <c:v>-7.9684741233977965E-2</c:v>
                </c:pt>
                <c:pt idx="30">
                  <c:v>-0.67460760242187034</c:v>
                </c:pt>
                <c:pt idx="31">
                  <c:v>-0.53847934288416444</c:v>
                </c:pt>
                <c:pt idx="32">
                  <c:v>-1.8202064381633429</c:v>
                </c:pt>
                <c:pt idx="33">
                  <c:v>-6.9006102563318397</c:v>
                </c:pt>
              </c:numCache>
            </c:numRef>
          </c:val>
          <c:extLst>
            <c:ext xmlns:c16="http://schemas.microsoft.com/office/drawing/2014/chart" uri="{C3380CC4-5D6E-409C-BE32-E72D297353CC}">
              <c16:uniqueId val="{00000000-FBBE-41AF-B9EB-C82AFCF2774D}"/>
            </c:ext>
          </c:extLst>
        </c:ser>
        <c:ser>
          <c:idx val="1"/>
          <c:order val="2"/>
          <c:tx>
            <c:strRef>
              <c:f>'Služby-příspěvkyk růstu'!$E$25</c:f>
              <c:strCache>
                <c:ptCount val="1"/>
                <c:pt idx="0">
                  <c:v>Ubytování, stravování a pohostinství</c:v>
                </c:pt>
              </c:strCache>
            </c:strRef>
          </c:tx>
          <c:spPr>
            <a:solidFill>
              <a:srgbClr val="FF2525"/>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růstu'!$E$26:$E$60</c:f>
              <c:numCache>
                <c:formatCode>0.0</c:formatCode>
                <c:ptCount val="35"/>
                <c:pt idx="0">
                  <c:v>-0.18595640865133076</c:v>
                </c:pt>
                <c:pt idx="1">
                  <c:v>-0.23369100363405482</c:v>
                </c:pt>
                <c:pt idx="2">
                  <c:v>-0.16641354323754717</c:v>
                </c:pt>
                <c:pt idx="3">
                  <c:v>-0.30755374216978426</c:v>
                </c:pt>
                <c:pt idx="4">
                  <c:v>4.282103578544303E-2</c:v>
                </c:pt>
                <c:pt idx="5">
                  <c:v>3.8782132313988714E-2</c:v>
                </c:pt>
                <c:pt idx="6">
                  <c:v>0.1379529668215739</c:v>
                </c:pt>
                <c:pt idx="7">
                  <c:v>5.4285433713091295E-2</c:v>
                </c:pt>
                <c:pt idx="8">
                  <c:v>-8.1292792613758116E-2</c:v>
                </c:pt>
                <c:pt idx="9">
                  <c:v>-5.1930094471250646E-2</c:v>
                </c:pt>
                <c:pt idx="10">
                  <c:v>-7.8120503560380292E-2</c:v>
                </c:pt>
                <c:pt idx="11">
                  <c:v>0.62816109127223863</c:v>
                </c:pt>
                <c:pt idx="12">
                  <c:v>0.23129656285271435</c:v>
                </c:pt>
                <c:pt idx="13">
                  <c:v>0.65512527744013138</c:v>
                </c:pt>
                <c:pt idx="14">
                  <c:v>0.65435384244755412</c:v>
                </c:pt>
                <c:pt idx="15">
                  <c:v>0.4022878434054255</c:v>
                </c:pt>
                <c:pt idx="16">
                  <c:v>0.42778529924397274</c:v>
                </c:pt>
                <c:pt idx="17">
                  <c:v>0.19282991881639683</c:v>
                </c:pt>
                <c:pt idx="18">
                  <c:v>0.56722386353934195</c:v>
                </c:pt>
                <c:pt idx="19">
                  <c:v>0.59850713498642405</c:v>
                </c:pt>
                <c:pt idx="20">
                  <c:v>0.95344619394002372</c:v>
                </c:pt>
                <c:pt idx="21">
                  <c:v>1.2083424521444015</c:v>
                </c:pt>
                <c:pt idx="22">
                  <c:v>0.55138916431274998</c:v>
                </c:pt>
                <c:pt idx="23">
                  <c:v>0.45464922880720454</c:v>
                </c:pt>
                <c:pt idx="24">
                  <c:v>0.18144865877241922</c:v>
                </c:pt>
                <c:pt idx="25">
                  <c:v>6.8047966010392827E-2</c:v>
                </c:pt>
                <c:pt idx="26">
                  <c:v>5.8849522681225439E-2</c:v>
                </c:pt>
                <c:pt idx="27">
                  <c:v>-3.63484737997853E-2</c:v>
                </c:pt>
                <c:pt idx="28">
                  <c:v>0.21874428606442176</c:v>
                </c:pt>
                <c:pt idx="29">
                  <c:v>0.16786751321595339</c:v>
                </c:pt>
                <c:pt idx="30">
                  <c:v>-1.62262007320669E-2</c:v>
                </c:pt>
                <c:pt idx="31">
                  <c:v>-1.9909725695237513E-2</c:v>
                </c:pt>
                <c:pt idx="32">
                  <c:v>-1.0877903639291033</c:v>
                </c:pt>
                <c:pt idx="33">
                  <c:v>-4.953438114611</c:v>
                </c:pt>
              </c:numCache>
            </c:numRef>
          </c:val>
          <c:extLst>
            <c:ext xmlns:c16="http://schemas.microsoft.com/office/drawing/2014/chart" uri="{C3380CC4-5D6E-409C-BE32-E72D297353CC}">
              <c16:uniqueId val="{00000001-FBBE-41AF-B9EB-C82AFCF2774D}"/>
            </c:ext>
          </c:extLst>
        </c:ser>
        <c:ser>
          <c:idx val="2"/>
          <c:order val="3"/>
          <c:tx>
            <c:strRef>
              <c:f>'Služby-příspěvkyk růstu'!$F$25</c:f>
              <c:strCache>
                <c:ptCount val="1"/>
                <c:pt idx="0">
                  <c:v>Informační a komunikační činnosti</c:v>
                </c:pt>
              </c:strCache>
            </c:strRef>
          </c:tx>
          <c:spPr>
            <a:solidFill>
              <a:srgbClr val="92D050"/>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růstu'!$F$26:$F$60</c:f>
              <c:numCache>
                <c:formatCode>0.0</c:formatCode>
                <c:ptCount val="35"/>
                <c:pt idx="0">
                  <c:v>0.14688752851300535</c:v>
                </c:pt>
                <c:pt idx="1">
                  <c:v>-1.2165780077942969E-2</c:v>
                </c:pt>
                <c:pt idx="2">
                  <c:v>0.26678466181917887</c:v>
                </c:pt>
                <c:pt idx="3">
                  <c:v>-6.6241709196293921E-2</c:v>
                </c:pt>
                <c:pt idx="4">
                  <c:v>-0.355941591832305</c:v>
                </c:pt>
                <c:pt idx="5">
                  <c:v>5.0506014828826556E-4</c:v>
                </c:pt>
                <c:pt idx="6">
                  <c:v>-0.43952535721592695</c:v>
                </c:pt>
                <c:pt idx="7">
                  <c:v>6.4906590241254072E-2</c:v>
                </c:pt>
                <c:pt idx="8">
                  <c:v>5.5030325289738329E-2</c:v>
                </c:pt>
                <c:pt idx="9">
                  <c:v>0.20771805886687944</c:v>
                </c:pt>
                <c:pt idx="10">
                  <c:v>0.5544641813467347</c:v>
                </c:pt>
                <c:pt idx="11">
                  <c:v>0.39028735795878133</c:v>
                </c:pt>
                <c:pt idx="12">
                  <c:v>1.406135426754914</c:v>
                </c:pt>
                <c:pt idx="13">
                  <c:v>0.82436921704224986</c:v>
                </c:pt>
                <c:pt idx="14">
                  <c:v>0.81882390944147387</c:v>
                </c:pt>
                <c:pt idx="15">
                  <c:v>1.3066587801814382</c:v>
                </c:pt>
                <c:pt idx="16">
                  <c:v>0.37006165311793565</c:v>
                </c:pt>
                <c:pt idx="17">
                  <c:v>0.13188818524752718</c:v>
                </c:pt>
                <c:pt idx="18">
                  <c:v>0.33340534388535614</c:v>
                </c:pt>
                <c:pt idx="19">
                  <c:v>0.17729116925865968</c:v>
                </c:pt>
                <c:pt idx="20">
                  <c:v>0.73514247229341834</c:v>
                </c:pt>
                <c:pt idx="21">
                  <c:v>1.0091673493229187</c:v>
                </c:pt>
                <c:pt idx="22">
                  <c:v>0.7782751393660321</c:v>
                </c:pt>
                <c:pt idx="23">
                  <c:v>0.59050679451815402</c:v>
                </c:pt>
                <c:pt idx="24">
                  <c:v>1.4571786542074963</c:v>
                </c:pt>
                <c:pt idx="25">
                  <c:v>0.76023226586947656</c:v>
                </c:pt>
                <c:pt idx="26">
                  <c:v>1.4180945031018091</c:v>
                </c:pt>
                <c:pt idx="27">
                  <c:v>0.98127037080708135</c:v>
                </c:pt>
                <c:pt idx="28">
                  <c:v>1.2376549564823249</c:v>
                </c:pt>
                <c:pt idx="29">
                  <c:v>1.1682128839304382</c:v>
                </c:pt>
                <c:pt idx="30">
                  <c:v>0.89301215449621985</c:v>
                </c:pt>
                <c:pt idx="31">
                  <c:v>1.1680607244795</c:v>
                </c:pt>
                <c:pt idx="32">
                  <c:v>0.70143991010007567</c:v>
                </c:pt>
                <c:pt idx="33">
                  <c:v>-1.2424728309274571E-2</c:v>
                </c:pt>
              </c:numCache>
            </c:numRef>
          </c:val>
          <c:extLst>
            <c:ext xmlns:c16="http://schemas.microsoft.com/office/drawing/2014/chart" uri="{C3380CC4-5D6E-409C-BE32-E72D297353CC}">
              <c16:uniqueId val="{00000002-FBBE-41AF-B9EB-C82AFCF2774D}"/>
            </c:ext>
          </c:extLst>
        </c:ser>
        <c:ser>
          <c:idx val="4"/>
          <c:order val="4"/>
          <c:tx>
            <c:strRef>
              <c:f>'Služby-příspěvkyk růstu'!$G$25</c:f>
              <c:strCache>
                <c:ptCount val="1"/>
                <c:pt idx="0">
                  <c:v>Činnosti v oblasti nemovitostí</c:v>
                </c:pt>
              </c:strCache>
            </c:strRef>
          </c:tx>
          <c:spPr>
            <a:solidFill>
              <a:srgbClr val="7030A0"/>
            </a:solidFill>
            <a:ln>
              <a:noFill/>
              <a:prstDash val="sysDash"/>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růstu'!$G$26:$G$60</c:f>
              <c:numCache>
                <c:formatCode>0.0</c:formatCode>
                <c:ptCount val="35"/>
                <c:pt idx="0">
                  <c:v>-0.34137236158909179</c:v>
                </c:pt>
                <c:pt idx="1">
                  <c:v>-0.32388973194562126</c:v>
                </c:pt>
                <c:pt idx="2">
                  <c:v>-0.37058828980655789</c:v>
                </c:pt>
                <c:pt idx="3">
                  <c:v>-0.30099897115709839</c:v>
                </c:pt>
                <c:pt idx="4">
                  <c:v>-0.12420970825265641</c:v>
                </c:pt>
                <c:pt idx="5">
                  <c:v>-0.28603737777812438</c:v>
                </c:pt>
                <c:pt idx="6">
                  <c:v>0.14203788124466329</c:v>
                </c:pt>
                <c:pt idx="7">
                  <c:v>-0.4964721024754466</c:v>
                </c:pt>
                <c:pt idx="8">
                  <c:v>-0.27243920620683193</c:v>
                </c:pt>
                <c:pt idx="9">
                  <c:v>0.13121599842368425</c:v>
                </c:pt>
                <c:pt idx="10">
                  <c:v>-2.3565265518776128E-2</c:v>
                </c:pt>
                <c:pt idx="11">
                  <c:v>-0.14403624877141019</c:v>
                </c:pt>
                <c:pt idx="12">
                  <c:v>4.5114687229023245E-2</c:v>
                </c:pt>
                <c:pt idx="13">
                  <c:v>-4.6332032044239775E-3</c:v>
                </c:pt>
                <c:pt idx="14">
                  <c:v>8.501573906631088E-2</c:v>
                </c:pt>
                <c:pt idx="15">
                  <c:v>4.2208307670905748E-2</c:v>
                </c:pt>
                <c:pt idx="16">
                  <c:v>0.22367935728325808</c:v>
                </c:pt>
                <c:pt idx="17">
                  <c:v>6.8179121728202077E-2</c:v>
                </c:pt>
                <c:pt idx="18">
                  <c:v>0.11569139996329859</c:v>
                </c:pt>
                <c:pt idx="19">
                  <c:v>-7.0466111464403208E-2</c:v>
                </c:pt>
                <c:pt idx="20">
                  <c:v>0.28170347429286569</c:v>
                </c:pt>
                <c:pt idx="21">
                  <c:v>0.36183937476132333</c:v>
                </c:pt>
                <c:pt idx="22">
                  <c:v>-3.8722622297636566E-2</c:v>
                </c:pt>
                <c:pt idx="23">
                  <c:v>0.13751786345915923</c:v>
                </c:pt>
                <c:pt idx="24">
                  <c:v>-1.6524920273683675E-2</c:v>
                </c:pt>
                <c:pt idx="25">
                  <c:v>-0.22648211104296087</c:v>
                </c:pt>
                <c:pt idx="26">
                  <c:v>-0.12424593628184907</c:v>
                </c:pt>
                <c:pt idx="27">
                  <c:v>-0.20693626254554429</c:v>
                </c:pt>
                <c:pt idx="28">
                  <c:v>0.14696794950550035</c:v>
                </c:pt>
                <c:pt idx="29">
                  <c:v>-2.7570979798889395E-2</c:v>
                </c:pt>
                <c:pt idx="30">
                  <c:v>-0.16565733749784456</c:v>
                </c:pt>
                <c:pt idx="31">
                  <c:v>-0.11837811878645006</c:v>
                </c:pt>
                <c:pt idx="32">
                  <c:v>0.19249038617600897</c:v>
                </c:pt>
                <c:pt idx="33">
                  <c:v>-0.41025731878421701</c:v>
                </c:pt>
              </c:numCache>
            </c:numRef>
          </c:val>
          <c:extLst>
            <c:ext xmlns:c16="http://schemas.microsoft.com/office/drawing/2014/chart" uri="{C3380CC4-5D6E-409C-BE32-E72D297353CC}">
              <c16:uniqueId val="{00000003-FBBE-41AF-B9EB-C82AFCF2774D}"/>
            </c:ext>
          </c:extLst>
        </c:ser>
        <c:ser>
          <c:idx val="5"/>
          <c:order val="5"/>
          <c:tx>
            <c:strRef>
              <c:f>'Služby-příspěvkyk růstu'!$H$25</c:f>
              <c:strCache>
                <c:ptCount val="1"/>
                <c:pt idx="0">
                  <c:v>Profesní, vědecké a technické činnosti</c:v>
                </c:pt>
              </c:strCache>
            </c:strRef>
          </c:tx>
          <c:spPr>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růstu'!$H$26:$H$60</c:f>
              <c:numCache>
                <c:formatCode>0.0</c:formatCode>
                <c:ptCount val="35"/>
                <c:pt idx="0">
                  <c:v>0.26095144122624392</c:v>
                </c:pt>
                <c:pt idx="1">
                  <c:v>-1.2761261764398377</c:v>
                </c:pt>
                <c:pt idx="2">
                  <c:v>-0.34687216013581235</c:v>
                </c:pt>
                <c:pt idx="3">
                  <c:v>5.1433001103990822E-3</c:v>
                </c:pt>
                <c:pt idx="4">
                  <c:v>-1.0934860836771783</c:v>
                </c:pt>
                <c:pt idx="5">
                  <c:v>-1.5487628894732857</c:v>
                </c:pt>
                <c:pt idx="6">
                  <c:v>-1.8262585690782731</c:v>
                </c:pt>
                <c:pt idx="7">
                  <c:v>-1.3231901294817801</c:v>
                </c:pt>
                <c:pt idx="8">
                  <c:v>-1.4955642892436161</c:v>
                </c:pt>
                <c:pt idx="9">
                  <c:v>0.15973936238801459</c:v>
                </c:pt>
                <c:pt idx="10">
                  <c:v>0.74595859727617964</c:v>
                </c:pt>
                <c:pt idx="11">
                  <c:v>-0.99979833905942905</c:v>
                </c:pt>
                <c:pt idx="12">
                  <c:v>1.0479591562413866</c:v>
                </c:pt>
                <c:pt idx="13">
                  <c:v>0.71969962293987355</c:v>
                </c:pt>
                <c:pt idx="14">
                  <c:v>1.1295672614701802</c:v>
                </c:pt>
                <c:pt idx="15">
                  <c:v>-6.0066108957639967E-2</c:v>
                </c:pt>
                <c:pt idx="16">
                  <c:v>-0.35082040507946849</c:v>
                </c:pt>
                <c:pt idx="17">
                  <c:v>-1.3959582370116637</c:v>
                </c:pt>
                <c:pt idx="18">
                  <c:v>2.5986068888917958E-2</c:v>
                </c:pt>
                <c:pt idx="19">
                  <c:v>-0.33300568911978784</c:v>
                </c:pt>
                <c:pt idx="20">
                  <c:v>0.85547754285117605</c:v>
                </c:pt>
                <c:pt idx="21">
                  <c:v>0.67059702934732313</c:v>
                </c:pt>
                <c:pt idx="22">
                  <c:v>0.30942289865299605</c:v>
                </c:pt>
                <c:pt idx="23">
                  <c:v>0.4286605627369825</c:v>
                </c:pt>
                <c:pt idx="24">
                  <c:v>1.1045103780905805</c:v>
                </c:pt>
                <c:pt idx="25">
                  <c:v>0.53164385977728257</c:v>
                </c:pt>
                <c:pt idx="26">
                  <c:v>0.35977038412315243</c:v>
                </c:pt>
                <c:pt idx="27">
                  <c:v>-0.26571599613923336</c:v>
                </c:pt>
                <c:pt idx="28">
                  <c:v>0.75328605452031216</c:v>
                </c:pt>
                <c:pt idx="29">
                  <c:v>0.6104400615647213</c:v>
                </c:pt>
                <c:pt idx="30">
                  <c:v>-0.82295233758345143</c:v>
                </c:pt>
                <c:pt idx="31">
                  <c:v>-0.54798296545929903</c:v>
                </c:pt>
                <c:pt idx="32">
                  <c:v>-0.34767767576626724</c:v>
                </c:pt>
                <c:pt idx="33">
                  <c:v>-3.2743486437706193</c:v>
                </c:pt>
              </c:numCache>
            </c:numRef>
          </c:val>
          <c:extLst>
            <c:ext xmlns:c16="http://schemas.microsoft.com/office/drawing/2014/chart" uri="{C3380CC4-5D6E-409C-BE32-E72D297353CC}">
              <c16:uniqueId val="{00000004-FBBE-41AF-B9EB-C82AFCF2774D}"/>
            </c:ext>
          </c:extLst>
        </c:ser>
        <c:ser>
          <c:idx val="6"/>
          <c:order val="6"/>
          <c:tx>
            <c:strRef>
              <c:f>'Služby-příspěvkyk růstu'!$I$25</c:f>
              <c:strCache>
                <c:ptCount val="1"/>
                <c:pt idx="0">
                  <c:v>Administrativní a podpůrné činnosti</c:v>
                </c:pt>
              </c:strCache>
            </c:strRef>
          </c:tx>
          <c:spPr>
            <a:solidFill>
              <a:srgbClr val="A8B9D8"/>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růstu'!$I$26:$I$60</c:f>
              <c:numCache>
                <c:formatCode>0.0</c:formatCode>
                <c:ptCount val="35"/>
                <c:pt idx="0">
                  <c:v>0.5093792525943468</c:v>
                </c:pt>
                <c:pt idx="1">
                  <c:v>0.24610790591298709</c:v>
                </c:pt>
                <c:pt idx="2">
                  <c:v>0.43289250594228512</c:v>
                </c:pt>
                <c:pt idx="3">
                  <c:v>-0.19574201571646982</c:v>
                </c:pt>
                <c:pt idx="4">
                  <c:v>-4.5930733129257675E-2</c:v>
                </c:pt>
                <c:pt idx="5">
                  <c:v>0.11161152934719085</c:v>
                </c:pt>
                <c:pt idx="6">
                  <c:v>9.4969838881061877E-2</c:v>
                </c:pt>
                <c:pt idx="7">
                  <c:v>0.39285183218946634</c:v>
                </c:pt>
                <c:pt idx="8">
                  <c:v>-0.17140946223459813</c:v>
                </c:pt>
                <c:pt idx="9">
                  <c:v>0.54518014457247954</c:v>
                </c:pt>
                <c:pt idx="10">
                  <c:v>0.386531836524309</c:v>
                </c:pt>
                <c:pt idx="11">
                  <c:v>0.5290022333733051</c:v>
                </c:pt>
                <c:pt idx="12">
                  <c:v>0.51440215318243465</c:v>
                </c:pt>
                <c:pt idx="13">
                  <c:v>0.62115960470863207</c:v>
                </c:pt>
                <c:pt idx="14">
                  <c:v>0.43401453891286046</c:v>
                </c:pt>
                <c:pt idx="15">
                  <c:v>0.50281220016564265</c:v>
                </c:pt>
                <c:pt idx="16">
                  <c:v>0.52419839920051392</c:v>
                </c:pt>
                <c:pt idx="17">
                  <c:v>0.16599789347818159</c:v>
                </c:pt>
                <c:pt idx="18">
                  <c:v>0.26955520094101676</c:v>
                </c:pt>
                <c:pt idx="19">
                  <c:v>0.51433346571065852</c:v>
                </c:pt>
                <c:pt idx="20">
                  <c:v>1.2357717194790949</c:v>
                </c:pt>
                <c:pt idx="21">
                  <c:v>1.0863857236804175</c:v>
                </c:pt>
                <c:pt idx="22">
                  <c:v>0.64106908989186184</c:v>
                </c:pt>
                <c:pt idx="23">
                  <c:v>0.30440747123981599</c:v>
                </c:pt>
                <c:pt idx="24">
                  <c:v>0.53272062163062639</c:v>
                </c:pt>
                <c:pt idx="25">
                  <c:v>0.37833296302356378</c:v>
                </c:pt>
                <c:pt idx="26">
                  <c:v>0.43545533031232775</c:v>
                </c:pt>
                <c:pt idx="27">
                  <c:v>-1.2584742734802987E-2</c:v>
                </c:pt>
                <c:pt idx="28">
                  <c:v>0.48672782972125456</c:v>
                </c:pt>
                <c:pt idx="29">
                  <c:v>0.12967209975939339</c:v>
                </c:pt>
                <c:pt idx="30">
                  <c:v>-0.12264649424558488</c:v>
                </c:pt>
                <c:pt idx="31">
                  <c:v>-0.21576986456963893</c:v>
                </c:pt>
                <c:pt idx="32">
                  <c:v>-1.17918936432502</c:v>
                </c:pt>
                <c:pt idx="33">
                  <c:v>-4.4490618763164536</c:v>
                </c:pt>
              </c:numCache>
            </c:numRef>
          </c:val>
          <c:extLst>
            <c:ext xmlns:c16="http://schemas.microsoft.com/office/drawing/2014/chart" uri="{C3380CC4-5D6E-409C-BE32-E72D297353CC}">
              <c16:uniqueId val="{00000005-FBBE-41AF-B9EB-C82AFCF2774D}"/>
            </c:ext>
          </c:extLst>
        </c:ser>
        <c:dLbls>
          <c:showLegendKey val="0"/>
          <c:showVal val="0"/>
          <c:showCatName val="0"/>
          <c:showSerName val="0"/>
          <c:showPercent val="0"/>
          <c:showBubbleSize val="0"/>
        </c:dLbls>
        <c:gapWidth val="32"/>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růstu'!$C$26:$C$60</c:f>
              <c:numCache>
                <c:formatCode>0.0</c:formatCode>
                <c:ptCount val="35"/>
                <c:pt idx="0">
                  <c:v>0.44963721183368932</c:v>
                </c:pt>
                <c:pt idx="1">
                  <c:v>-1.2180166338930718</c:v>
                </c:pt>
                <c:pt idx="2">
                  <c:v>1.1048392019405071</c:v>
                </c:pt>
                <c:pt idx="3">
                  <c:v>-1.3666360726043365</c:v>
                </c:pt>
                <c:pt idx="4">
                  <c:v>-0.23113332649610641</c:v>
                </c:pt>
                <c:pt idx="5">
                  <c:v>-0.88454578849733423</c:v>
                </c:pt>
                <c:pt idx="6">
                  <c:v>-1.3424601583175928</c:v>
                </c:pt>
                <c:pt idx="7">
                  <c:v>1.6230087206376993</c:v>
                </c:pt>
                <c:pt idx="8">
                  <c:v>-0.7830856818772105</c:v>
                </c:pt>
                <c:pt idx="9">
                  <c:v>1.5830850388114186</c:v>
                </c:pt>
                <c:pt idx="10">
                  <c:v>2.5910000544725023</c:v>
                </c:pt>
                <c:pt idx="11">
                  <c:v>0.42786697654824479</c:v>
                </c:pt>
                <c:pt idx="12">
                  <c:v>3.2630436418782125</c:v>
                </c:pt>
                <c:pt idx="13">
                  <c:v>2.7083930316927507</c:v>
                </c:pt>
                <c:pt idx="14">
                  <c:v>3.2834766720431787</c:v>
                </c:pt>
                <c:pt idx="15">
                  <c:v>2.1952204214378668</c:v>
                </c:pt>
                <c:pt idx="16">
                  <c:v>1.4416768598931355</c:v>
                </c:pt>
                <c:pt idx="17">
                  <c:v>-0.87800438726691254</c:v>
                </c:pt>
                <c:pt idx="18">
                  <c:v>1.4338212037315827</c:v>
                </c:pt>
                <c:pt idx="19">
                  <c:v>1.5962966747226091</c:v>
                </c:pt>
                <c:pt idx="20">
                  <c:v>5.5396791241765868</c:v>
                </c:pt>
                <c:pt idx="21">
                  <c:v>5.4410534556716499</c:v>
                </c:pt>
                <c:pt idx="22">
                  <c:v>3.3891437532498117</c:v>
                </c:pt>
                <c:pt idx="23">
                  <c:v>2.5129490213521706</c:v>
                </c:pt>
                <c:pt idx="24">
                  <c:v>5.0690832594039676</c:v>
                </c:pt>
                <c:pt idx="25">
                  <c:v>3.5044634886154569</c:v>
                </c:pt>
                <c:pt idx="26">
                  <c:v>3.6982171521688656</c:v>
                </c:pt>
                <c:pt idx="27">
                  <c:v>1.0797281635264397</c:v>
                </c:pt>
                <c:pt idx="28">
                  <c:v>3.6898776025982443</c:v>
                </c:pt>
                <c:pt idx="29">
                  <c:v>1.9603423994405205</c:v>
                </c:pt>
                <c:pt idx="30">
                  <c:v>-0.82019941806260022</c:v>
                </c:pt>
                <c:pt idx="31">
                  <c:v>-0.14219947543891465</c:v>
                </c:pt>
                <c:pt idx="32">
                  <c:v>-3.5762066775777583</c:v>
                </c:pt>
                <c:pt idx="33">
                  <c:v>-20.010501209194601</c:v>
                </c:pt>
              </c:numCache>
            </c:numRef>
          </c:val>
          <c:smooth val="0"/>
          <c:extLst>
            <c:ext xmlns:c16="http://schemas.microsoft.com/office/drawing/2014/chart" uri="{C3380CC4-5D6E-409C-BE32-E72D297353CC}">
              <c16:uniqueId val="{00000006-FBBE-41AF-B9EB-C82AFCF2774D}"/>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růstu'!$J$26:$J$60</c:f>
              <c:numCache>
                <c:formatCode>0.0</c:formatCode>
                <c:ptCount val="35"/>
                <c:pt idx="0">
                  <c:v>24</c:v>
                </c:pt>
                <c:pt idx="1">
                  <c:v>27</c:v>
                </c:pt>
                <c:pt idx="2">
                  <c:v>22.3</c:v>
                </c:pt>
                <c:pt idx="3">
                  <c:v>23</c:v>
                </c:pt>
                <c:pt idx="4">
                  <c:v>24.6</c:v>
                </c:pt>
                <c:pt idx="5">
                  <c:v>21.7</c:v>
                </c:pt>
                <c:pt idx="6">
                  <c:v>19.7</c:v>
                </c:pt>
                <c:pt idx="7">
                  <c:v>26</c:v>
                </c:pt>
                <c:pt idx="8">
                  <c:v>26.7</c:v>
                </c:pt>
                <c:pt idx="9">
                  <c:v>26</c:v>
                </c:pt>
                <c:pt idx="10">
                  <c:v>27.7</c:v>
                </c:pt>
                <c:pt idx="11">
                  <c:v>29</c:v>
                </c:pt>
                <c:pt idx="12">
                  <c:v>32</c:v>
                </c:pt>
                <c:pt idx="13">
                  <c:v>27</c:v>
                </c:pt>
                <c:pt idx="14">
                  <c:v>29.3</c:v>
                </c:pt>
                <c:pt idx="15">
                  <c:v>31</c:v>
                </c:pt>
                <c:pt idx="16">
                  <c:v>34.700000000000003</c:v>
                </c:pt>
                <c:pt idx="17">
                  <c:v>32</c:v>
                </c:pt>
                <c:pt idx="18">
                  <c:v>33.299999999999997</c:v>
                </c:pt>
                <c:pt idx="19">
                  <c:v>34.700000000000003</c:v>
                </c:pt>
                <c:pt idx="20">
                  <c:v>37.299999999999997</c:v>
                </c:pt>
                <c:pt idx="21">
                  <c:v>37.700000000000003</c:v>
                </c:pt>
                <c:pt idx="22">
                  <c:v>37.299999999999997</c:v>
                </c:pt>
                <c:pt idx="23">
                  <c:v>35.700000000000003</c:v>
                </c:pt>
                <c:pt idx="24">
                  <c:v>37</c:v>
                </c:pt>
                <c:pt idx="25">
                  <c:v>37.700000000000003</c:v>
                </c:pt>
                <c:pt idx="26">
                  <c:v>37.299999999999997</c:v>
                </c:pt>
                <c:pt idx="27">
                  <c:v>38</c:v>
                </c:pt>
                <c:pt idx="28">
                  <c:v>36.700000000000003</c:v>
                </c:pt>
                <c:pt idx="29">
                  <c:v>37.299999999999997</c:v>
                </c:pt>
                <c:pt idx="30">
                  <c:v>32</c:v>
                </c:pt>
                <c:pt idx="31">
                  <c:v>33</c:v>
                </c:pt>
                <c:pt idx="32">
                  <c:v>32.6</c:v>
                </c:pt>
                <c:pt idx="33">
                  <c:v>-6</c:v>
                </c:pt>
                <c:pt idx="34">
                  <c:v>2.7</c:v>
                </c:pt>
              </c:numCache>
            </c:numRef>
          </c:val>
          <c:smooth val="0"/>
          <c:extLst>
            <c:ext xmlns:c16="http://schemas.microsoft.com/office/drawing/2014/chart" uri="{C3380CC4-5D6E-409C-BE32-E72D297353CC}">
              <c16:uniqueId val="{00000007-FBBE-41AF-B9EB-C82AFCF2774D}"/>
            </c:ext>
          </c:extLst>
        </c:ser>
        <c:ser>
          <c:idx val="8"/>
          <c:order val="8"/>
          <c:tx>
            <c:strRef>
              <c:f>'Služby-příspěvkyk růstu'!$K$25</c:f>
              <c:strCache>
                <c:ptCount val="1"/>
                <c:pt idx="0">
                  <c:v>Bariéra růstu: nedost. poptávka (pr. osa)</c:v>
                </c:pt>
              </c:strCache>
            </c:strRef>
          </c:tx>
          <c:spPr>
            <a:ln w="19050">
              <a:solidFill>
                <a:srgbClr val="00B050"/>
              </a:solidFill>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růstu'!$K$26:$K$60</c:f>
              <c:numCache>
                <c:formatCode>#\ ##0.0</c:formatCode>
                <c:ptCount val="35"/>
                <c:pt idx="0">
                  <c:v>32.200000000000003</c:v>
                </c:pt>
                <c:pt idx="1">
                  <c:v>27.5</c:v>
                </c:pt>
                <c:pt idx="2">
                  <c:v>25.1</c:v>
                </c:pt>
                <c:pt idx="3">
                  <c:v>38.299999999999997</c:v>
                </c:pt>
                <c:pt idx="4">
                  <c:v>37.200000000000003</c:v>
                </c:pt>
                <c:pt idx="5">
                  <c:v>34.5</c:v>
                </c:pt>
                <c:pt idx="6">
                  <c:v>37.4</c:v>
                </c:pt>
                <c:pt idx="7">
                  <c:v>35.5</c:v>
                </c:pt>
                <c:pt idx="8">
                  <c:v>33.9</c:v>
                </c:pt>
                <c:pt idx="9">
                  <c:v>34.200000000000003</c:v>
                </c:pt>
                <c:pt idx="10">
                  <c:v>31.4</c:v>
                </c:pt>
                <c:pt idx="11">
                  <c:v>24.7</c:v>
                </c:pt>
                <c:pt idx="12">
                  <c:v>26.2</c:v>
                </c:pt>
                <c:pt idx="13">
                  <c:v>29</c:v>
                </c:pt>
                <c:pt idx="14">
                  <c:v>26.9</c:v>
                </c:pt>
                <c:pt idx="15">
                  <c:v>23.3</c:v>
                </c:pt>
                <c:pt idx="16">
                  <c:v>24</c:v>
                </c:pt>
                <c:pt idx="17">
                  <c:v>24.5</c:v>
                </c:pt>
                <c:pt idx="18">
                  <c:v>21</c:v>
                </c:pt>
                <c:pt idx="19">
                  <c:v>23.3</c:v>
                </c:pt>
                <c:pt idx="20">
                  <c:v>26.2</c:v>
                </c:pt>
                <c:pt idx="21">
                  <c:v>20.5</c:v>
                </c:pt>
                <c:pt idx="22">
                  <c:v>19.899999999999999</c:v>
                </c:pt>
                <c:pt idx="23">
                  <c:v>20.9</c:v>
                </c:pt>
                <c:pt idx="24">
                  <c:v>17.3</c:v>
                </c:pt>
                <c:pt idx="25">
                  <c:v>18.600000000000001</c:v>
                </c:pt>
                <c:pt idx="26">
                  <c:v>18.899999999999999</c:v>
                </c:pt>
                <c:pt idx="27">
                  <c:v>19.8</c:v>
                </c:pt>
                <c:pt idx="28">
                  <c:v>20.7</c:v>
                </c:pt>
                <c:pt idx="29">
                  <c:v>17.100000000000001</c:v>
                </c:pt>
                <c:pt idx="30">
                  <c:v>21.7</c:v>
                </c:pt>
                <c:pt idx="31">
                  <c:v>14.1</c:v>
                </c:pt>
                <c:pt idx="32">
                  <c:v>20.399999999999999</c:v>
                </c:pt>
                <c:pt idx="33">
                  <c:v>29.1</c:v>
                </c:pt>
                <c:pt idx="34" formatCode="0.0">
                  <c:v>30.9</c:v>
                </c:pt>
              </c:numCache>
            </c:numRef>
          </c:val>
          <c:smooth val="0"/>
          <c:extLst>
            <c:ext xmlns:c16="http://schemas.microsoft.com/office/drawing/2014/chart" uri="{C3380CC4-5D6E-409C-BE32-E72D297353CC}">
              <c16:uniqueId val="{00000008-FBBE-41AF-B9EB-C82AFCF2774D}"/>
            </c:ext>
          </c:extLst>
        </c:ser>
        <c:ser>
          <c:idx val="9"/>
          <c:order val="9"/>
          <c:tx>
            <c:strRef>
              <c:f>'Služby-příspěvkyk růstu'!$L$25</c:f>
              <c:strCache>
                <c:ptCount val="1"/>
                <c:pt idx="0">
                  <c:v>Bariéra růstu: nedost. pracovníků (pr. osa)</c:v>
                </c:pt>
              </c:strCache>
            </c:strRef>
          </c:tx>
          <c:spPr>
            <a:ln w="19050">
              <a:solidFill>
                <a:srgbClr val="00B050"/>
              </a:solidFill>
              <a:prstDash val="sysDash"/>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růstu'!$L$26:$L$60</c:f>
              <c:numCache>
                <c:formatCode>#\ ##0.0</c:formatCode>
                <c:ptCount val="35"/>
                <c:pt idx="0">
                  <c:v>0.8</c:v>
                </c:pt>
                <c:pt idx="1">
                  <c:v>2.6</c:v>
                </c:pt>
                <c:pt idx="2">
                  <c:v>3.7</c:v>
                </c:pt>
                <c:pt idx="3">
                  <c:v>1.5</c:v>
                </c:pt>
                <c:pt idx="4">
                  <c:v>0.8</c:v>
                </c:pt>
                <c:pt idx="5">
                  <c:v>0.3</c:v>
                </c:pt>
                <c:pt idx="6">
                  <c:v>0.1</c:v>
                </c:pt>
                <c:pt idx="7">
                  <c:v>2.1</c:v>
                </c:pt>
                <c:pt idx="8">
                  <c:v>0.8</c:v>
                </c:pt>
                <c:pt idx="9">
                  <c:v>2.6</c:v>
                </c:pt>
                <c:pt idx="10">
                  <c:v>2.5</c:v>
                </c:pt>
                <c:pt idx="11">
                  <c:v>3.8</c:v>
                </c:pt>
                <c:pt idx="12">
                  <c:v>2.8</c:v>
                </c:pt>
                <c:pt idx="13">
                  <c:v>5.7</c:v>
                </c:pt>
                <c:pt idx="14">
                  <c:v>5.9</c:v>
                </c:pt>
                <c:pt idx="15">
                  <c:v>5.8</c:v>
                </c:pt>
                <c:pt idx="16">
                  <c:v>8.6999999999999993</c:v>
                </c:pt>
                <c:pt idx="17">
                  <c:v>4.5999999999999996</c:v>
                </c:pt>
                <c:pt idx="18">
                  <c:v>7.1</c:v>
                </c:pt>
                <c:pt idx="19">
                  <c:v>9.1</c:v>
                </c:pt>
                <c:pt idx="20">
                  <c:v>10.1</c:v>
                </c:pt>
                <c:pt idx="21">
                  <c:v>10</c:v>
                </c:pt>
                <c:pt idx="22">
                  <c:v>9.3000000000000007</c:v>
                </c:pt>
                <c:pt idx="23">
                  <c:v>12.2</c:v>
                </c:pt>
                <c:pt idx="24">
                  <c:v>14.2</c:v>
                </c:pt>
                <c:pt idx="25">
                  <c:v>16.600000000000001</c:v>
                </c:pt>
                <c:pt idx="26">
                  <c:v>17.3</c:v>
                </c:pt>
                <c:pt idx="27">
                  <c:v>18.600000000000001</c:v>
                </c:pt>
                <c:pt idx="28">
                  <c:v>19.600000000000001</c:v>
                </c:pt>
                <c:pt idx="29">
                  <c:v>16.600000000000001</c:v>
                </c:pt>
                <c:pt idx="30">
                  <c:v>21.2</c:v>
                </c:pt>
                <c:pt idx="31">
                  <c:v>19.100000000000001</c:v>
                </c:pt>
                <c:pt idx="32">
                  <c:v>19.7</c:v>
                </c:pt>
                <c:pt idx="33">
                  <c:v>12.1</c:v>
                </c:pt>
                <c:pt idx="34" formatCode="0.0">
                  <c:v>9.8000000000000007</c:v>
                </c:pt>
              </c:numCache>
            </c:numRef>
          </c:val>
          <c:smooth val="0"/>
          <c:extLst>
            <c:ext xmlns:c16="http://schemas.microsoft.com/office/drawing/2014/chart" uri="{C3380CC4-5D6E-409C-BE32-E72D297353CC}">
              <c16:uniqueId val="{00000009-FBBE-41AF-B9EB-C82AFCF2774D}"/>
            </c:ext>
          </c:extLst>
        </c:ser>
        <c:ser>
          <c:idx val="10"/>
          <c:order val="10"/>
          <c:tx>
            <c:strRef>
              <c:f>'Služby-příspěvkyk růstu'!$M$25</c:f>
              <c:strCache>
                <c:ptCount val="1"/>
                <c:pt idx="0">
                  <c:v>Bariéry růstu podniků: žádné (pravá osa)</c:v>
                </c:pt>
              </c:strCache>
            </c:strRef>
          </c:tx>
          <c:spPr>
            <a:ln w="19050">
              <a:solidFill>
                <a:srgbClr val="00B050"/>
              </a:solidFill>
              <a:prstDash val="sysDot"/>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růstu'!$M$26:$M$60</c:f>
              <c:numCache>
                <c:formatCode>#\ ##0.0</c:formatCode>
                <c:ptCount val="35"/>
                <c:pt idx="0">
                  <c:v>46.6</c:v>
                </c:pt>
                <c:pt idx="1">
                  <c:v>49.7</c:v>
                </c:pt>
                <c:pt idx="2">
                  <c:v>40</c:v>
                </c:pt>
                <c:pt idx="3">
                  <c:v>36.799999999999997</c:v>
                </c:pt>
                <c:pt idx="4">
                  <c:v>41.3</c:v>
                </c:pt>
                <c:pt idx="5">
                  <c:v>45.1</c:v>
                </c:pt>
                <c:pt idx="6">
                  <c:v>41</c:v>
                </c:pt>
                <c:pt idx="7">
                  <c:v>44.9</c:v>
                </c:pt>
                <c:pt idx="8">
                  <c:v>45.6</c:v>
                </c:pt>
                <c:pt idx="9">
                  <c:v>47.4</c:v>
                </c:pt>
                <c:pt idx="10">
                  <c:v>48.5</c:v>
                </c:pt>
                <c:pt idx="11">
                  <c:v>47.7</c:v>
                </c:pt>
                <c:pt idx="12">
                  <c:v>43.8</c:v>
                </c:pt>
                <c:pt idx="13">
                  <c:v>42.8</c:v>
                </c:pt>
                <c:pt idx="14">
                  <c:v>46.2</c:v>
                </c:pt>
                <c:pt idx="15">
                  <c:v>50.3</c:v>
                </c:pt>
                <c:pt idx="16">
                  <c:v>47</c:v>
                </c:pt>
                <c:pt idx="17">
                  <c:v>46.5</c:v>
                </c:pt>
                <c:pt idx="18">
                  <c:v>51.8</c:v>
                </c:pt>
                <c:pt idx="19">
                  <c:v>48.6</c:v>
                </c:pt>
                <c:pt idx="20">
                  <c:v>45.5</c:v>
                </c:pt>
                <c:pt idx="21">
                  <c:v>47.7</c:v>
                </c:pt>
                <c:pt idx="22">
                  <c:v>48.2</c:v>
                </c:pt>
                <c:pt idx="23">
                  <c:v>46.6</c:v>
                </c:pt>
                <c:pt idx="24">
                  <c:v>49.6</c:v>
                </c:pt>
                <c:pt idx="25">
                  <c:v>45.4</c:v>
                </c:pt>
                <c:pt idx="26">
                  <c:v>43.4</c:v>
                </c:pt>
                <c:pt idx="27">
                  <c:v>46.4</c:v>
                </c:pt>
                <c:pt idx="28">
                  <c:v>45</c:v>
                </c:pt>
                <c:pt idx="29">
                  <c:v>46.4</c:v>
                </c:pt>
                <c:pt idx="30">
                  <c:v>45.9</c:v>
                </c:pt>
                <c:pt idx="31">
                  <c:v>47.5</c:v>
                </c:pt>
                <c:pt idx="32">
                  <c:v>44.4</c:v>
                </c:pt>
                <c:pt idx="33">
                  <c:v>32.9</c:v>
                </c:pt>
                <c:pt idx="34" formatCode="0.0">
                  <c:v>27.1</c:v>
                </c:pt>
              </c:numCache>
            </c:numRef>
          </c:val>
          <c:smooth val="0"/>
          <c:extLst>
            <c:ext xmlns:c16="http://schemas.microsoft.com/office/drawing/2014/chart" uri="{C3380CC4-5D6E-409C-BE32-E72D297353CC}">
              <c16:uniqueId val="{0000000A-FBBE-41AF-B9EB-C82AFCF2774D}"/>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Příspěvěk k 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0"/>
        </c:scaling>
        <c:delete val="0"/>
        <c:axPos val="r"/>
        <c:title>
          <c:tx>
            <c:rich>
              <a:bodyPr/>
              <a:lstStyle/>
              <a:p>
                <a:pPr>
                  <a:defRPr sz="700" b="0" i="1"/>
                </a:pPr>
                <a:r>
                  <a:rPr lang="cs-CZ" sz="700" b="0" i="1"/>
                  <a:t>Saldo indikátoru důvěry, Bariéry růstu</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8.0394178917537456E-3"/>
          <c:y val="0.82175247960207154"/>
          <c:w val="0.98850191565119605"/>
          <c:h val="0.16763527754636032"/>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-62.231999999999999</c:v>
                </c:pt>
                <c:pt idx="1">
                  <c:v>-20.748999999999999</c:v>
                </c:pt>
                <c:pt idx="2">
                  <c:v>-14.545</c:v>
                </c:pt>
                <c:pt idx="3">
                  <c:v>-11.065</c:v>
                </c:pt>
                <c:pt idx="4">
                  <c:v>-57.859000000000002</c:v>
                </c:pt>
                <c:pt idx="5">
                  <c:v>-26.305</c:v>
                </c:pt>
                <c:pt idx="6">
                  <c:v>11.78</c:v>
                </c:pt>
                <c:pt idx="7">
                  <c:v>-63.96</c:v>
                </c:pt>
                <c:pt idx="8">
                  <c:v>30.105</c:v>
                </c:pt>
                <c:pt idx="9">
                  <c:v>1.355</c:v>
                </c:pt>
                <c:pt idx="10">
                  <c:v>23.167000000000002</c:v>
                </c:pt>
                <c:pt idx="11">
                  <c:v>35.110999999999997</c:v>
                </c:pt>
                <c:pt idx="12">
                  <c:v>241.45599999999999</c:v>
                </c:pt>
              </c:numCache>
            </c:numRef>
          </c:val>
          <c:extLst>
            <c:ext xmlns:c16="http://schemas.microsoft.com/office/drawing/2014/chart" uri="{C3380CC4-5D6E-409C-BE32-E72D297353CC}">
              <c16:uniqueId val="{00000000-A67A-4CD4-B8D3-C11C08E1E48C}"/>
            </c:ext>
          </c:extLst>
        </c:ser>
        <c:ser>
          <c:idx val="1"/>
          <c:order val="1"/>
          <c:tx>
            <c:strRef>
              <c:f>'Vnější vztahy 2'!$A$7</c:f>
              <c:strCache>
                <c:ptCount val="1"/>
                <c:pt idx="0">
                  <c:v>2020</c:v>
                </c:pt>
              </c:strCache>
            </c:strRef>
          </c:tx>
          <c:spPr>
            <a:solidFill>
              <a:schemeClr val="bg1">
                <a:lumMod val="65000"/>
              </a:schemeClr>
            </a:solidFill>
          </c:spPr>
          <c:invertIfNegative val="0"/>
          <c:val>
            <c:numRef>
              <c:f>'Vnější vztahy 2'!$B$7:$N$7</c:f>
              <c:numCache>
                <c:formatCode>General</c:formatCode>
                <c:ptCount val="13"/>
                <c:pt idx="0">
                  <c:v>-33.6</c:v>
                </c:pt>
                <c:pt idx="1">
                  <c:v>-21.645</c:v>
                </c:pt>
                <c:pt idx="2">
                  <c:v>-13.169</c:v>
                </c:pt>
                <c:pt idx="3">
                  <c:v>-12.314</c:v>
                </c:pt>
                <c:pt idx="4">
                  <c:v>-49.216000000000001</c:v>
                </c:pt>
                <c:pt idx="5">
                  <c:v>-30.611000000000001</c:v>
                </c:pt>
                <c:pt idx="6">
                  <c:v>11.629</c:v>
                </c:pt>
                <c:pt idx="7">
                  <c:v>-47.884</c:v>
                </c:pt>
                <c:pt idx="8">
                  <c:v>27.850999999999999</c:v>
                </c:pt>
                <c:pt idx="9">
                  <c:v>-20.216999999999999</c:v>
                </c:pt>
                <c:pt idx="10">
                  <c:v>10.4</c:v>
                </c:pt>
                <c:pt idx="11">
                  <c:v>29.024000000000001</c:v>
                </c:pt>
                <c:pt idx="12">
                  <c:v>183.31700000000001</c:v>
                </c:pt>
              </c:numCache>
            </c:numRef>
          </c:val>
          <c:extLst>
            <c:ext xmlns:c16="http://schemas.microsoft.com/office/drawing/2014/chart" uri="{C3380CC4-5D6E-409C-BE32-E72D297353CC}">
              <c16:uniqueId val="{00000001-A67A-4CD4-B8D3-C11C08E1E48C}"/>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ax val="2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'[Makroanalýza grafy.xlsx]Ceny 2'!$C$5</c:f>
              <c:strCache>
                <c:ptCount val="1"/>
                <c:pt idx="0">
                  <c:v>Celkem</c:v>
                </c:pt>
              </c:strCache>
            </c:strRef>
          </c:tx>
          <c:spPr>
            <a:solidFill>
              <a:schemeClr val="bg1">
                <a:lumMod val="65000"/>
              </a:schemeClr>
            </a:solidFill>
            <a:ln w="19050">
              <a:noFill/>
            </a:ln>
          </c:spPr>
          <c:invertIfNegative val="0"/>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2'!$C$18:$C$39</c:f>
              <c:numCache>
                <c:formatCode>0.0</c:formatCode>
                <c:ptCount val="22"/>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pt idx="21">
                  <c:v>3.1</c:v>
                </c:pt>
              </c:numCache>
            </c:numRef>
          </c:val>
          <c:extLst>
            <c:ext xmlns:c16="http://schemas.microsoft.com/office/drawing/2014/chart" uri="{C3380CC4-5D6E-409C-BE32-E72D297353CC}">
              <c16:uniqueId val="{00000000-58A3-4B5C-BA22-76445118101A}"/>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'[Makroanalýza grafy.xlsx]Ceny 2'!$D$5</c:f>
              <c:strCache>
                <c:ptCount val="1"/>
                <c:pt idx="0">
                  <c:v>Potraviny a nealkoholické nápoje</c:v>
                </c:pt>
              </c:strCache>
            </c:strRef>
          </c:tx>
          <c:spPr>
            <a:ln w="19050">
              <a:solidFill>
                <a:srgbClr val="0071BC"/>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2'!$D$18:$D$39</c:f>
              <c:numCache>
                <c:formatCode>0.0</c:formatCode>
                <c:ptCount val="22"/>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 ##0.0_ ;\-#\ ##0.0\ ">
                  <c:v>2.2999999999999998</c:v>
                </c:pt>
                <c:pt idx="14">
                  <c:v>0.6</c:v>
                </c:pt>
                <c:pt idx="15">
                  <c:v>-0.5</c:v>
                </c:pt>
                <c:pt idx="16">
                  <c:v>1</c:v>
                </c:pt>
                <c:pt idx="17">
                  <c:v>2.5</c:v>
                </c:pt>
                <c:pt idx="18">
                  <c:v>3.5</c:v>
                </c:pt>
                <c:pt idx="19">
                  <c:v>4.3</c:v>
                </c:pt>
                <c:pt idx="20">
                  <c:v>6.1</c:v>
                </c:pt>
                <c:pt idx="21">
                  <c:v>6.5</c:v>
                </c:pt>
              </c:numCache>
            </c:numRef>
          </c:val>
          <c:smooth val="0"/>
          <c:extLst>
            <c:ext xmlns:c16="http://schemas.microsoft.com/office/drawing/2014/chart" uri="{C3380CC4-5D6E-409C-BE32-E72D297353CC}">
              <c16:uniqueId val="{00000001-58A3-4B5C-BA22-76445118101A}"/>
            </c:ext>
          </c:extLst>
        </c:ser>
        <c:ser>
          <c:idx val="3"/>
          <c:order val="2"/>
          <c:tx>
            <c:strRef>
              <c:f>'[Makroanalýza grafy.xlsx]Ceny 2'!$F$5</c:f>
              <c:strCache>
                <c:ptCount val="1"/>
                <c:pt idx="0">
                  <c:v>Bydlení a energie</c:v>
                </c:pt>
              </c:strCache>
            </c:strRef>
          </c:tx>
          <c:spPr>
            <a:ln w="19050">
              <a:solidFill>
                <a:srgbClr val="7DBB2D"/>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2'!$F$18:$F$39</c:f>
              <c:numCache>
                <c:formatCode>0.0</c:formatCode>
                <c:ptCount val="22"/>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pt idx="21">
                  <c:v>3.2</c:v>
                </c:pt>
              </c:numCache>
            </c:numRef>
          </c:val>
          <c:smooth val="0"/>
          <c:extLst>
            <c:ext xmlns:c16="http://schemas.microsoft.com/office/drawing/2014/chart" uri="{C3380CC4-5D6E-409C-BE32-E72D297353CC}">
              <c16:uniqueId val="{00000002-58A3-4B5C-BA22-76445118101A}"/>
            </c:ext>
          </c:extLst>
        </c:ser>
        <c:ser>
          <c:idx val="4"/>
          <c:order val="3"/>
          <c:tx>
            <c:strRef>
              <c:f>'[Makroanalýza grafy.xlsx]Ceny 2'!$G$5</c:f>
              <c:strCache>
                <c:ptCount val="1"/>
                <c:pt idx="0">
                  <c:v>Doprava</c:v>
                </c:pt>
              </c:strCache>
            </c:strRef>
          </c:tx>
          <c:spPr>
            <a:ln w="19050">
              <a:solidFill>
                <a:srgbClr val="FFC000"/>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2'!$G$18:$G$39</c:f>
              <c:numCache>
                <c:formatCode>General</c:formatCode>
                <c:ptCount val="22"/>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pt idx="21" formatCode="0.0">
                  <c:v>-3.4</c:v>
                </c:pt>
              </c:numCache>
            </c:numRef>
          </c:val>
          <c:smooth val="0"/>
          <c:extLst>
            <c:ext xmlns:c16="http://schemas.microsoft.com/office/drawing/2014/chart" uri="{C3380CC4-5D6E-409C-BE32-E72D297353CC}">
              <c16:uniqueId val="{00000003-58A3-4B5C-BA22-76445118101A}"/>
            </c:ext>
          </c:extLst>
        </c:ser>
        <c:ser>
          <c:idx val="2"/>
          <c:order val="4"/>
          <c:tx>
            <c:strRef>
              <c:f>'[Makroanalýza grafy.xlsx]Ceny 2'!$E$5</c:f>
              <c:strCache>
                <c:ptCount val="1"/>
                <c:pt idx="0">
                  <c:v>Alkoholické nápoje a tabák</c:v>
                </c:pt>
              </c:strCache>
            </c:strRef>
          </c:tx>
          <c:spPr>
            <a:ln w="19050">
              <a:solidFill>
                <a:schemeClr val="accent2"/>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2'!$E$18:$E$39</c:f>
              <c:numCache>
                <c:formatCode>0.0</c:formatCode>
                <c:ptCount val="22"/>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pt idx="21">
                  <c:v>6.6</c:v>
                </c:pt>
              </c:numCache>
            </c:numRef>
          </c:val>
          <c:smooth val="0"/>
          <c:extLst>
            <c:ext xmlns:c16="http://schemas.microsoft.com/office/drawing/2014/chart" uri="{C3380CC4-5D6E-409C-BE32-E72D297353CC}">
              <c16:uniqueId val="{00000004-58A3-4B5C-BA22-76445118101A}"/>
            </c:ext>
          </c:extLst>
        </c:ser>
        <c:ser>
          <c:idx val="5"/>
          <c:order val="5"/>
          <c:tx>
            <c:strRef>
              <c:f>'[Makroanalýza grafy.xlsx]Ceny 2'!$H$5</c:f>
              <c:strCache>
                <c:ptCount val="1"/>
                <c:pt idx="0">
                  <c:v>Stravování a ubytování</c:v>
                </c:pt>
              </c:strCache>
            </c:strRef>
          </c:tx>
          <c:spPr>
            <a:ln w="19050">
              <a:solidFill>
                <a:srgbClr val="7030A0"/>
              </a:solidFill>
            </a:ln>
          </c:spPr>
          <c:marker>
            <c:symbol val="none"/>
          </c:marker>
          <c:val>
            <c:numRef>
              <c:f>'[Makroanalýza grafy.xlsx]Ceny 2'!$H$18:$H$39</c:f>
              <c:numCache>
                <c:formatCode>###\ ###\ ##0.0</c:formatCode>
                <c:ptCount val="22"/>
                <c:pt idx="0">
                  <c:v>1.7000000000000028</c:v>
                </c:pt>
                <c:pt idx="1">
                  <c:v>1.5999999999999943</c:v>
                </c:pt>
                <c:pt idx="2">
                  <c:v>1.4000000000000057</c:v>
                </c:pt>
                <c:pt idx="3">
                  <c:v>1.2999999999999972</c:v>
                </c:pt>
                <c:pt idx="4">
                  <c:v>1.2000000000000028</c:v>
                </c:pt>
                <c:pt idx="5">
                  <c:v>1.0999999999999943</c:v>
                </c:pt>
                <c:pt idx="6">
                  <c:v>1.2000000000000028</c:v>
                </c:pt>
                <c:pt idx="7">
                  <c:v>2.7000000000000028</c:v>
                </c:pt>
                <c:pt idx="8">
                  <c:v>5.2000000000000028</c:v>
                </c:pt>
                <c:pt idx="9">
                  <c:v>5.7999999999999972</c:v>
                </c:pt>
                <c:pt idx="10">
                  <c:v>6.2999999999999972</c:v>
                </c:pt>
                <c:pt idx="11" formatCode="0.0">
                  <c:v>5.6</c:v>
                </c:pt>
                <c:pt idx="12" formatCode="0.0">
                  <c:v>3.5</c:v>
                </c:pt>
                <c:pt idx="13" formatCode="0.0">
                  <c:v>3.6</c:v>
                </c:pt>
                <c:pt idx="14" formatCode="0.0">
                  <c:v>3.5</c:v>
                </c:pt>
                <c:pt idx="15" formatCode="0.0">
                  <c:v>3.7</c:v>
                </c:pt>
                <c:pt idx="16" formatCode="0.0">
                  <c:v>3.8</c:v>
                </c:pt>
                <c:pt idx="17" formatCode="0.0">
                  <c:v>4</c:v>
                </c:pt>
                <c:pt idx="18" formatCode="0.0">
                  <c:v>4.5</c:v>
                </c:pt>
                <c:pt idx="19" formatCode="0.0">
                  <c:v>4.5999999999999996</c:v>
                </c:pt>
                <c:pt idx="20" formatCode="0.0">
                  <c:v>5.5</c:v>
                </c:pt>
                <c:pt idx="21" formatCode="0.0">
                  <c:v>5.0999999999999996</c:v>
                </c:pt>
              </c:numCache>
            </c:numRef>
          </c:val>
          <c:smooth val="0"/>
          <c:extLst>
            <c:ext xmlns:c16="http://schemas.microsoft.com/office/drawing/2014/chart" uri="{C3380CC4-5D6E-409C-BE32-E72D297353CC}">
              <c16:uniqueId val="{00000005-58A3-4B5C-BA22-76445118101A}"/>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0.85197</cdr:x>
      <cdr:y>0.72521</cdr:y>
    </cdr:from>
    <cdr:to>
      <cdr:x>0.91777</cdr:x>
      <cdr:y>0.7558</cdr:y>
    </cdr:to>
    <cdr:sp macro="" textlink="">
      <cdr:nvSpPr>
        <cdr:cNvPr id="2" name="Kosoúhelník 1"/>
        <cdr:cNvSpPr/>
      </cdr:nvSpPr>
      <cdr:spPr bwMode="auto">
        <a:xfrm xmlns:a="http://schemas.openxmlformats.org/drawingml/2006/main" rot="19738280">
          <a:off x="4054516" y="2552443"/>
          <a:ext cx="313154" cy="107681"/>
        </a:xfrm>
        <a:prstGeom xmlns:a="http://schemas.openxmlformats.org/drawingml/2006/main" prst="parallelogram">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0.8389</cdr:x>
      <cdr:y>0.78202</cdr:y>
    </cdr:from>
    <cdr:to>
      <cdr:x>0.87666</cdr:x>
      <cdr:y>0.78357</cdr:y>
    </cdr:to>
    <cdr:cxnSp macro="">
      <cdr:nvCxnSpPr>
        <cdr:cNvPr id="4" name="Přímá spojnice se šipkou 3"/>
        <cdr:cNvCxnSpPr/>
      </cdr:nvCxnSpPr>
      <cdr:spPr bwMode="auto">
        <a:xfrm xmlns:a="http://schemas.openxmlformats.org/drawingml/2006/main" flipV="1">
          <a:off x="3989614" y="2753375"/>
          <a:ext cx="179614" cy="5443"/>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dr:relSizeAnchor xmlns:cdr="http://schemas.openxmlformats.org/drawingml/2006/chartDrawing">
    <cdr:from>
      <cdr:x>0.85848</cdr:x>
      <cdr:y>0.81312</cdr:y>
    </cdr:from>
    <cdr:to>
      <cdr:x>0.9007</cdr:x>
      <cdr:y>0.81758</cdr:y>
    </cdr:to>
    <cdr:cxnSp macro="">
      <cdr:nvCxnSpPr>
        <cdr:cNvPr id="5" name="Přímá spojnice se šipkou 4"/>
        <cdr:cNvCxnSpPr/>
      </cdr:nvCxnSpPr>
      <cdr:spPr bwMode="auto">
        <a:xfrm xmlns:a="http://schemas.openxmlformats.org/drawingml/2006/main">
          <a:off x="4081564" y="2860495"/>
          <a:ext cx="200713" cy="15699"/>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4C13-4707-4E26-85EC-AB8EA14F1E42}">
  <ds:schemaRefs>
    <ds:schemaRef ds:uri="http://schemas.openxmlformats.org/officeDocument/2006/bibliography"/>
  </ds:schemaRefs>
</ds:datastoreItem>
</file>

<file path=customXml/itemProps2.xml><?xml version="1.0" encoding="utf-8"?>
<ds:datastoreItem xmlns:ds="http://schemas.openxmlformats.org/officeDocument/2006/customXml" ds:itemID="{32D5F267-8049-43F0-B9DA-6C3DD95D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33</Pages>
  <Words>13660</Words>
  <Characters>80596</Characters>
  <Application>Microsoft Office Word</Application>
  <DocSecurity>0</DocSecurity>
  <Lines>671</Lines>
  <Paragraphs>188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94068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2020-09-11T08:14:00Z</dcterms:created>
  <dcterms:modified xsi:type="dcterms:W3CDTF">2020-09-11T08:22:00Z</dcterms:modified>
</cp:coreProperties>
</file>