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01C57" w14:textId="77777777" w:rsidR="00EF23B5" w:rsidRPr="00C35A2A" w:rsidRDefault="00EF23B5" w:rsidP="00EF23B5">
      <w:pPr>
        <w:pStyle w:val="Nadpis11"/>
        <w:rPr>
          <w:sz w:val="2"/>
          <w:szCs w:val="2"/>
        </w:rPr>
      </w:pPr>
      <w:bookmarkStart w:id="0" w:name="_Toc532558284"/>
      <w:bookmarkStart w:id="1" w:name="_Toc26539341"/>
      <w:bookmarkStart w:id="2" w:name="_Toc11237634"/>
    </w:p>
    <w:p w14:paraId="718C3595" w14:textId="77777777" w:rsidR="00EF23B5" w:rsidRPr="009110F7" w:rsidRDefault="00EF23B5" w:rsidP="00EF23B5">
      <w:pPr>
        <w:pStyle w:val="Nadpis11"/>
      </w:pPr>
      <w:bookmarkStart w:id="3" w:name="_Toc42852410"/>
      <w:r w:rsidRPr="009110F7">
        <w:t>4.</w:t>
      </w:r>
      <w:r>
        <w:t> </w:t>
      </w:r>
      <w:r w:rsidRPr="009110F7">
        <w:t>Vnější vztahy</w:t>
      </w:r>
      <w:bookmarkEnd w:id="3"/>
    </w:p>
    <w:tbl>
      <w:tblPr>
        <w:tblW w:w="9639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6"/>
        <w:gridCol w:w="219"/>
        <w:gridCol w:w="7654"/>
      </w:tblGrid>
      <w:tr w:rsidR="00EF23B5" w:rsidRPr="009110F7" w14:paraId="2136697B" w14:textId="77777777" w:rsidTr="00441F8B">
        <w:trPr>
          <w:trHeight w:val="145"/>
        </w:trPr>
        <w:tc>
          <w:tcPr>
            <w:tcW w:w="1801" w:type="dxa"/>
            <w:shd w:val="clear" w:color="auto" w:fill="auto"/>
            <w:tcMar>
              <w:left w:w="0" w:type="dxa"/>
            </w:tcMar>
          </w:tcPr>
          <w:p w14:paraId="2AF07843" w14:textId="77777777" w:rsidR="00EF23B5" w:rsidRDefault="00EF23B5" w:rsidP="00441F8B">
            <w:pPr>
              <w:pStyle w:val="Marginlie"/>
            </w:pPr>
            <w:r>
              <w:t>Hodnota vývozu zboží se v 1. čtvrtletí výrazně propadla.</w:t>
            </w:r>
          </w:p>
        </w:tc>
        <w:tc>
          <w:tcPr>
            <w:tcW w:w="228" w:type="dxa"/>
            <w:shd w:val="clear" w:color="auto" w:fill="auto"/>
            <w:tcMar>
              <w:left w:w="0" w:type="dxa"/>
            </w:tcMar>
          </w:tcPr>
          <w:p w14:paraId="664261CD" w14:textId="77777777" w:rsidR="00EF23B5" w:rsidRDefault="00EF23B5" w:rsidP="00441F8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1BAEEFE8" w14:textId="77777777" w:rsidR="00EF23B5" w:rsidRPr="00AF6F98" w:rsidRDefault="00EF23B5" w:rsidP="00441F8B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>Celková hodnota vývozu zboží v 1. čtvrtletí 2020 dosáhla 890,8 mld. korun. To je o 40,9 mld. (-4,4 %) méně než ve stejném období předchozího roku. V absolutním i relativním pojetí jde o nejhorší meziroční propad od 1. čtvrtletí 2013. Meziroční snížení vývozu bylo zaznamenáno již ve 4. čtvrtletí 2019 v souvislosti s poklesem zahraniční poptávky a následným oslabením výkonu některých průmyslových odvětví. Export v lednu a únoru rovněž mírně meziročně klesal. Výrazný propad (o 11,7 %) ale přišel v březnu v souvislosti s opatřeními proti šíření koronaviru a omezením výroby v některých důležitých podnicích.</w:t>
            </w:r>
          </w:p>
        </w:tc>
      </w:tr>
      <w:tr w:rsidR="00EF23B5" w:rsidRPr="009110F7" w14:paraId="1C94525F" w14:textId="77777777" w:rsidTr="00441F8B">
        <w:trPr>
          <w:trHeight w:val="145"/>
        </w:trPr>
        <w:tc>
          <w:tcPr>
            <w:tcW w:w="1801" w:type="dxa"/>
            <w:shd w:val="clear" w:color="auto" w:fill="auto"/>
            <w:tcMar>
              <w:left w:w="0" w:type="dxa"/>
            </w:tcMar>
          </w:tcPr>
          <w:p w14:paraId="3F795120" w14:textId="77777777" w:rsidR="00EF23B5" w:rsidRDefault="00EF23B5" w:rsidP="00441F8B">
            <w:pPr>
              <w:pStyle w:val="Marginlie"/>
            </w:pPr>
            <w:r>
              <w:t>Meziroční pokles byl plošný. Ve větší míře klesal vývoz do EU.</w:t>
            </w:r>
          </w:p>
        </w:tc>
        <w:tc>
          <w:tcPr>
            <w:tcW w:w="228" w:type="dxa"/>
            <w:shd w:val="clear" w:color="auto" w:fill="auto"/>
            <w:tcMar>
              <w:left w:w="0" w:type="dxa"/>
            </w:tcMar>
          </w:tcPr>
          <w:p w14:paraId="2C2A105E" w14:textId="77777777" w:rsidR="00EF23B5" w:rsidRDefault="00EF23B5" w:rsidP="00441F8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4C2B486" w14:textId="77777777" w:rsidR="00EF23B5" w:rsidRPr="00AF6F98" w:rsidRDefault="00EF23B5" w:rsidP="00441F8B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>Z teritoriálního pohledu je patrné, že propad se dotkl vývozu v celém jeho spektru. To vyplývá z povahy situace, kdy většina zemí nějakým způsobem omezovala fungování společnosti a zaváděla mj. restriktivní ekonomická opatření. To vedlo k poklesu poptávky zejména ze strany uzavřených podniků, pro které jsou čeští vývozci subdodavateli. Výrazněji poklesl export do Evropské unie</w:t>
            </w:r>
            <w:r>
              <w:rPr>
                <w:rStyle w:val="Znakapoznpodarou"/>
                <w:spacing w:val="-4"/>
              </w:rPr>
              <w:footnoteReference w:id="1"/>
            </w:r>
            <w:r>
              <w:rPr>
                <w:spacing w:val="-4"/>
              </w:rPr>
              <w:t xml:space="preserve"> (meziroční propad o 36,8 mld. korun, –4,9 %) než mimo ni (–4,0 mld., –2,2 %). Nejvíce se snížila hodnota vývozu do Německa</w:t>
            </w:r>
            <w:r>
              <w:rPr>
                <w:spacing w:val="-4"/>
              </w:rPr>
              <w:br/>
              <w:t>(–15,6 mld. korun, –5,3 %), dále do Velké Británie (–7,2 mld., –16,3 %) a Francie</w:t>
            </w:r>
            <w:r>
              <w:rPr>
                <w:spacing w:val="-4"/>
              </w:rPr>
              <w:br/>
              <w:t>(–5,9 mld., –11,9 %). Negativně se vyvíjel rovněž vývoz do dalších sousedních zemí vedle Německa – do Rakouska (–4,5 mld. korun, –11,1 %), na Slovensko (–2,8 mld., –3,5 %) a do Polska (–1,5 mld., –2,6 %). Ačkoli jsou některé popsané propady srovnatelné s vývojem ve 4. kvartálu, bližší pohled na vývoj v jednotlivých měsících ukazuje, že naprostá většina meziročního poklesu se odehrála až v březnu. Stejné to bylo i u exportu do Španělska (–3,5 mld. korun, –10,6 %). Naopak propad vývozu do Nizozemska o 1,3 mld. korun (-3,8 %) byl rozložen do všech měsíců 1. čtvrtletí. Díky silnému lednu a únoru v 1. kvartálu úhrnně meziročně vzrostl vývoz do Turecka (2,6 mld. korun, 38,8 %), Maďarska (1,3 mld. korun, 4,2 %), Belgie (0,5 mld., 2,8 %) a Ruska (0,9 mld., 4,7 %).</w:t>
            </w:r>
          </w:p>
        </w:tc>
      </w:tr>
      <w:tr w:rsidR="00EF23B5" w:rsidRPr="009110F7" w14:paraId="207D8D0C" w14:textId="77777777" w:rsidTr="00441F8B">
        <w:trPr>
          <w:trHeight w:val="170"/>
        </w:trPr>
        <w:tc>
          <w:tcPr>
            <w:tcW w:w="1801" w:type="dxa"/>
            <w:shd w:val="clear" w:color="auto" w:fill="auto"/>
            <w:tcMar>
              <w:left w:w="0" w:type="dxa"/>
            </w:tcMar>
          </w:tcPr>
          <w:p w14:paraId="0128CA40" w14:textId="77777777" w:rsidR="00EF23B5" w:rsidRDefault="00EF23B5" w:rsidP="00441F8B">
            <w:pPr>
              <w:pStyle w:val="Marginlie"/>
            </w:pPr>
            <w:r>
              <w:t>Největší pokles proběhl u exportu motorových vozidel. Negativně se vyvíjel i export navazujících výrobků.</w:t>
            </w:r>
          </w:p>
        </w:tc>
        <w:tc>
          <w:tcPr>
            <w:tcW w:w="228" w:type="dxa"/>
            <w:shd w:val="clear" w:color="auto" w:fill="auto"/>
            <w:tcMar>
              <w:left w:w="0" w:type="dxa"/>
            </w:tcMar>
          </w:tcPr>
          <w:p w14:paraId="14E3B485" w14:textId="77777777" w:rsidR="00EF23B5" w:rsidRDefault="00EF23B5" w:rsidP="00441F8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7E911FCA" w14:textId="77777777" w:rsidR="00EF23B5" w:rsidRPr="00AF6F98" w:rsidRDefault="00EF23B5" w:rsidP="00441F8B">
            <w:pPr>
              <w:spacing w:after="200"/>
              <w:rPr>
                <w:spacing w:val="-4"/>
              </w:rPr>
            </w:pPr>
            <w:r>
              <w:rPr>
                <w:spacing w:val="-4"/>
              </w:rPr>
              <w:t>Mírné meziroční poklesy vývozu u klíčových artiklů byly patrné již před březnovým zastavením provozu v některých podnicích. Výjimkou byla motorová vozidla, u kterých se v lednu a únoru objevilo mírné oživení. V březnu se ale jejich vývoz propadl o čtvrtinu, což byl hlubší pokles i ve srovnání s ostatními druhy zboží. Celkem se v 1. čtvrtletí meziročně snížila hodnota vývozu motorových vozidel o 15,1 mld. korun (–5,9 %). Silný propad nastal také u strojů a zařízení (–8,3 mld. korun, –7,8 %), dále u elektrických zařízení (–3,8 mld.,</w:t>
            </w:r>
            <w:r>
              <w:rPr>
                <w:spacing w:val="-4"/>
              </w:rPr>
              <w:br/>
              <w:t>–4,8 %) a počítačů, elektronických a optických přístrojů (–3,2 mld., –3,4 %). I další výrobci navázaní na výrobu motorových vozidel zaznamenali v březnu silné propady, které ovlivnily výsledek v celém kvartálu. Byly to například kovodělné výrobky (–2,9 mld. v 1. čtvrtletí,</w:t>
            </w:r>
            <w:r>
              <w:rPr>
                <w:spacing w:val="-4"/>
              </w:rPr>
              <w:br/>
              <w:t>–5,0 %) nebo pryžové a plastové výrobky (–0,9 mld., –1,8 %). V 1. čtvrtletí se propadla také hodnota vývozu základních kovů (–4,0 mld. korun, –10,5 %), v tomto případě jde ale o vliv klesajících cen. Dále se výšila například hodnota exportu potravinářských výrobků (2,2 mld., 8,0 %) a oděvů (1,4 mld., 20,1 %).</w:t>
            </w:r>
          </w:p>
        </w:tc>
      </w:tr>
      <w:tr w:rsidR="00EF23B5" w:rsidRPr="009110F7" w14:paraId="65D9B1FE" w14:textId="77777777" w:rsidTr="00441F8B">
        <w:trPr>
          <w:trHeight w:val="145"/>
        </w:trPr>
        <w:tc>
          <w:tcPr>
            <w:tcW w:w="1801" w:type="dxa"/>
            <w:shd w:val="clear" w:color="auto" w:fill="auto"/>
            <w:tcMar>
              <w:left w:w="0" w:type="dxa"/>
            </w:tcMar>
          </w:tcPr>
          <w:p w14:paraId="0B98BC96" w14:textId="77777777" w:rsidR="00EF23B5" w:rsidRDefault="00EF23B5" w:rsidP="00441F8B">
            <w:pPr>
              <w:pStyle w:val="Marginlie"/>
            </w:pPr>
            <w:r>
              <w:t>Dovoz zboží se v 1. čtvrtletí rovněž plošně propadl.</w:t>
            </w:r>
          </w:p>
        </w:tc>
        <w:tc>
          <w:tcPr>
            <w:tcW w:w="228" w:type="dxa"/>
            <w:shd w:val="clear" w:color="auto" w:fill="auto"/>
            <w:tcMar>
              <w:left w:w="0" w:type="dxa"/>
            </w:tcMar>
          </w:tcPr>
          <w:p w14:paraId="7D8774F2" w14:textId="77777777" w:rsidR="00EF23B5" w:rsidRDefault="00EF23B5" w:rsidP="00441F8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09E596E" w14:textId="77777777" w:rsidR="00EF23B5" w:rsidRPr="00AF6F98" w:rsidRDefault="00EF23B5" w:rsidP="00441F8B">
            <w:pPr>
              <w:rPr>
                <w:spacing w:val="-4"/>
              </w:rPr>
            </w:pPr>
            <w:r>
              <w:rPr>
                <w:spacing w:val="-4"/>
              </w:rPr>
              <w:t xml:space="preserve">Hodnota dovozu zboží v 1. čtvrtletí dosáhla 849,9 mld. korun a meziročně se propadla o 33,1 mld. (3,7 %). </w:t>
            </w:r>
            <w:r w:rsidRPr="000A0F7E">
              <w:rPr>
                <w:spacing w:val="-4"/>
              </w:rPr>
              <w:t xml:space="preserve">Propad dovozu byl </w:t>
            </w:r>
            <w:r>
              <w:rPr>
                <w:spacing w:val="-4"/>
              </w:rPr>
              <w:t xml:space="preserve">v 1. čtvrtletí </w:t>
            </w:r>
            <w:r w:rsidRPr="000A0F7E">
              <w:rPr>
                <w:spacing w:val="-4"/>
              </w:rPr>
              <w:t>podobně jako u</w:t>
            </w:r>
            <w:r>
              <w:rPr>
                <w:spacing w:val="-4"/>
              </w:rPr>
              <w:t> </w:t>
            </w:r>
            <w:r w:rsidRPr="000A0F7E">
              <w:rPr>
                <w:spacing w:val="-4"/>
              </w:rPr>
              <w:t xml:space="preserve">vývozu plošný. </w:t>
            </w:r>
            <w:r>
              <w:rPr>
                <w:spacing w:val="-4"/>
              </w:rPr>
              <w:t xml:space="preserve">Pokles importu z EU činil 21,8 mld. korun (3,8 %) a ze zemí mimo Unii 11,2 mld. (3,7 %). </w:t>
            </w:r>
            <w:r w:rsidRPr="000A0F7E">
              <w:rPr>
                <w:spacing w:val="-4"/>
              </w:rPr>
              <w:t>Největší propad zaznamenala hodnota dovozu z</w:t>
            </w:r>
            <w:r>
              <w:rPr>
                <w:spacing w:val="-4"/>
              </w:rPr>
              <w:t> </w:t>
            </w:r>
            <w:r w:rsidRPr="000A0F7E">
              <w:rPr>
                <w:spacing w:val="-4"/>
              </w:rPr>
              <w:t>Německa (</w:t>
            </w:r>
            <w:r>
              <w:rPr>
                <w:spacing w:val="-4"/>
              </w:rPr>
              <w:t>–</w:t>
            </w:r>
            <w:r w:rsidRPr="000A0F7E">
              <w:rPr>
                <w:spacing w:val="-4"/>
              </w:rPr>
              <w:t>1</w:t>
            </w:r>
            <w:r>
              <w:rPr>
                <w:spacing w:val="-4"/>
              </w:rPr>
              <w:t>4,8 mld.</w:t>
            </w:r>
            <w:r w:rsidRPr="000A0F7E">
              <w:rPr>
                <w:spacing w:val="-4"/>
              </w:rPr>
              <w:t xml:space="preserve"> korun</w:t>
            </w:r>
            <w:r>
              <w:rPr>
                <w:spacing w:val="-4"/>
              </w:rPr>
              <w:t>, –6,3 %</w:t>
            </w:r>
            <w:r w:rsidRPr="000A0F7E">
              <w:rPr>
                <w:spacing w:val="-4"/>
              </w:rPr>
              <w:t>), z</w:t>
            </w:r>
            <w:r>
              <w:rPr>
                <w:spacing w:val="-4"/>
              </w:rPr>
              <w:t> </w:t>
            </w:r>
            <w:r w:rsidRPr="000A0F7E">
              <w:rPr>
                <w:spacing w:val="-4"/>
              </w:rPr>
              <w:t>Ruska</w:t>
            </w:r>
            <w:r>
              <w:rPr>
                <w:spacing w:val="-4"/>
              </w:rPr>
              <w:br/>
            </w:r>
            <w:r w:rsidRPr="000A0F7E">
              <w:rPr>
                <w:spacing w:val="-4"/>
              </w:rPr>
              <w:t>(</w:t>
            </w:r>
            <w:r>
              <w:rPr>
                <w:spacing w:val="-4"/>
              </w:rPr>
              <w:t>–9,8 </w:t>
            </w:r>
            <w:r w:rsidRPr="000A0F7E">
              <w:rPr>
                <w:spacing w:val="-4"/>
              </w:rPr>
              <w:t>mld</w:t>
            </w:r>
            <w:r>
              <w:rPr>
                <w:spacing w:val="-4"/>
              </w:rPr>
              <w:t>.</w:t>
            </w:r>
            <w:r w:rsidRPr="000A0F7E">
              <w:rPr>
                <w:spacing w:val="-4"/>
              </w:rPr>
              <w:t>,</w:t>
            </w:r>
            <w:r>
              <w:rPr>
                <w:spacing w:val="-4"/>
              </w:rPr>
              <w:t xml:space="preserve"> –34,0 %, </w:t>
            </w:r>
            <w:r w:rsidRPr="000A0F7E">
              <w:rPr>
                <w:spacing w:val="-4"/>
              </w:rPr>
              <w:t>z</w:t>
            </w:r>
            <w:r>
              <w:rPr>
                <w:spacing w:val="-4"/>
              </w:rPr>
              <w:t xml:space="preserve">de se projevil i výrazný propad cen </w:t>
            </w:r>
            <w:r w:rsidRPr="000A0F7E">
              <w:rPr>
                <w:spacing w:val="-4"/>
              </w:rPr>
              <w:t>rop</w:t>
            </w:r>
            <w:r>
              <w:rPr>
                <w:spacing w:val="-4"/>
              </w:rPr>
              <w:t>y</w:t>
            </w:r>
            <w:r w:rsidRPr="000A0F7E">
              <w:rPr>
                <w:spacing w:val="-4"/>
              </w:rPr>
              <w:t>)</w:t>
            </w:r>
            <w:r>
              <w:rPr>
                <w:spacing w:val="-4"/>
              </w:rPr>
              <w:t>. Dále v 1. čtvrtletí poměrně výrazně meziročně poklesl dovoz ze Slovenska (–3,5 mld. korun, –8,2 %), Korejské republiky (–2,6 mld., –12,6 %, propady se soustředily do ledna a února), Rakouska</w:t>
            </w:r>
            <w:r>
              <w:rPr>
                <w:spacing w:val="-4"/>
              </w:rPr>
              <w:br/>
              <w:t xml:space="preserve">(–2,3 mld., –8,3 %) nebo Itálie (–1,7 mld., –4,3 %). Meziročně se za celé čtvrtletí zvýšila mimo jiné hodnota importu z Nizozemska (2,4 mld. korun, 10,6 %) a Polska (2,7 mld., 3,7 %). V obou případech silný leden a únor převážil nad negativním vývojem v březnu. </w:t>
            </w:r>
            <w:r>
              <w:rPr>
                <w:spacing w:val="-4"/>
              </w:rPr>
              <w:lastRenderedPageBreak/>
              <w:t>Z hlediska zbožové struktury měly největší podíl na meziročním poklesu hodnoty dovozu zboží základní kovy (–9,0 mld. korun, –12,8 %), jejichž ceny se v 1. čtvrtletí výrazně snižovaly. Přímou souvislost se současnou krizí měl pokles importu motorových vozidel o 7,9 mld. korun (–5,8 %) a rovněž strojů a zařízení o 5,2 mld. (–6,1 %). Snížení cen, které dále prohloubil pokles poptávky, vyústilo v propad hodnoty dovozu ropy a zemního plynu o 7,7 mld. korun (–24,9 %). Dále se zvýšil dovoz počítačů, elektronických  a optických přístrojů (4,3 mld., 4,5 %), základních farmaceutických výrobků (4,0 mld., 15,2 %) a potravinářských výrobků (3,4 mld. korun, 8,9 %).</w:t>
            </w:r>
          </w:p>
        </w:tc>
      </w:tr>
      <w:tr w:rsidR="00EF23B5" w:rsidRPr="009110F7" w14:paraId="4F34DE5B" w14:textId="77777777" w:rsidTr="00441F8B">
        <w:trPr>
          <w:trHeight w:val="145"/>
        </w:trPr>
        <w:tc>
          <w:tcPr>
            <w:tcW w:w="1801" w:type="dxa"/>
            <w:shd w:val="clear" w:color="auto" w:fill="auto"/>
            <w:tcMar>
              <w:left w:w="0" w:type="dxa"/>
            </w:tcMar>
          </w:tcPr>
          <w:p w14:paraId="6B8E3FBA" w14:textId="77777777" w:rsidR="00EF23B5" w:rsidRDefault="00EF23B5" w:rsidP="00441F8B">
            <w:pPr>
              <w:pStyle w:val="Marginlie"/>
            </w:pPr>
            <w:r>
              <w:lastRenderedPageBreak/>
              <w:t>Zhoršila se bilance zahraničního obchodu se zbožím se státy EU.</w:t>
            </w:r>
          </w:p>
        </w:tc>
        <w:tc>
          <w:tcPr>
            <w:tcW w:w="228" w:type="dxa"/>
            <w:shd w:val="clear" w:color="auto" w:fill="auto"/>
            <w:tcMar>
              <w:left w:w="0" w:type="dxa"/>
            </w:tcMar>
          </w:tcPr>
          <w:p w14:paraId="4B2FB656" w14:textId="77777777" w:rsidR="00EF23B5" w:rsidRDefault="00EF23B5" w:rsidP="00441F8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0072CD26" w14:textId="77777777" w:rsidR="00EF23B5" w:rsidRPr="00AF6F98" w:rsidRDefault="00EF23B5" w:rsidP="00441F8B">
            <w:pPr>
              <w:rPr>
                <w:spacing w:val="-4"/>
              </w:rPr>
            </w:pPr>
            <w:r>
              <w:rPr>
                <w:spacing w:val="-4"/>
              </w:rPr>
              <w:t>Dynamika vývozu se v 1. čtvrtletí propadla výrazněji než import. Bilance zahraničního obchodu tak v 1. čtvrtletí sice dosáhla přebytku 40,9 mld. korun, ale ten se meziročně zhoršil o 7,8 mld. Z hlediska salda šlo o nejhorší výsledek v 1. čtvrtletí od roku 2013. Meziroční zhoršení přebytku bylo velmi výrazné v případě zemí EU (–15,0 mld. korun). Naopak existující deficit obchodu se státy mimo EU se v 1. čtvrtletí zmírnil o 7,2 mld. Největší zhoršení salda nastalo v rámci EU u Polska (–4,2 mld. korun), Francie (–3,8 mld.), Španělska (–3,8 mld.) a Nizozemska (–3,7 mld.). Zlepšila se zejména bilance obchodu s Ruskem o 10,7 mld. korun (poprvé v celé časové řadě bylo dosaženo přebytku). Je tedy zjevné, že podstatnou roli ve zlepšení bilance s mimounijními státy hrál propad cen ropy a zemního plynu, který se v 1. čtvrtletí odehrál. Ze zemí mimo EU se dále zlepšila bilance obchodu s Tureckem o 2,8 mld. korun a také s Korejskou republikou o 2,5 mld. Propadl se přebytek obchodu s Velkou Británií (–6,3 mld. korun).</w:t>
            </w:r>
          </w:p>
        </w:tc>
      </w:tr>
      <w:tr w:rsidR="00EF23B5" w:rsidRPr="009110F7" w14:paraId="2BA2E01F" w14:textId="77777777" w:rsidTr="00441F8B">
        <w:trPr>
          <w:trHeight w:val="145"/>
        </w:trPr>
        <w:tc>
          <w:tcPr>
            <w:tcW w:w="1801" w:type="dxa"/>
            <w:shd w:val="clear" w:color="auto" w:fill="auto"/>
            <w:tcMar>
              <w:left w:w="0" w:type="dxa"/>
            </w:tcMar>
          </w:tcPr>
          <w:p w14:paraId="3A4321B3" w14:textId="77777777" w:rsidR="00EF23B5" w:rsidRDefault="00EF23B5" w:rsidP="00441F8B">
            <w:pPr>
              <w:pStyle w:val="Marginlie"/>
            </w:pPr>
            <w:r>
              <w:t>Velkou roli ve změnách salda zahraničního obchodu hrály i ceny surovin.</w:t>
            </w:r>
          </w:p>
        </w:tc>
        <w:tc>
          <w:tcPr>
            <w:tcW w:w="228" w:type="dxa"/>
            <w:shd w:val="clear" w:color="auto" w:fill="auto"/>
            <w:tcMar>
              <w:left w:w="0" w:type="dxa"/>
            </w:tcMar>
          </w:tcPr>
          <w:p w14:paraId="3C70B0C3" w14:textId="77777777" w:rsidR="00EF23B5" w:rsidRDefault="00EF23B5" w:rsidP="00441F8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4A39EF6C" w14:textId="77777777" w:rsidR="00EF23B5" w:rsidRDefault="00EF23B5" w:rsidP="00441F8B">
            <w:pPr>
              <w:rPr>
                <w:spacing w:val="-4"/>
              </w:rPr>
            </w:pPr>
            <w:r>
              <w:rPr>
                <w:spacing w:val="-4"/>
              </w:rPr>
              <w:t>Ve směru deficitu bilance zahraničního obchodu se zbožím v 1. čtvrtletí nejvíce působily počítače, elektronické a optické přístroje (meziroční prohloubení deficitu o 7,5 mld. korun), dále motorová vozidla (–7,2 mld.), elektrická zařízení (–4,1 mld.), základní farmaceutické výrobky (–4,0 mld.) a stroje a zařízení (–3,1 mld.). Pokles cen a hodnoty dovozu naopak vedl ke zlepšení bilance obchodu s ropou a zemním plynem o 8,8 mld. korun a se základními kovy o 4,9 mld.</w:t>
            </w:r>
          </w:p>
        </w:tc>
      </w:tr>
      <w:tr w:rsidR="00EF23B5" w:rsidRPr="009110F7" w14:paraId="00A30D24" w14:textId="77777777" w:rsidTr="00441F8B">
        <w:trPr>
          <w:trHeight w:val="106"/>
        </w:trPr>
        <w:tc>
          <w:tcPr>
            <w:tcW w:w="1801" w:type="dxa"/>
            <w:vMerge w:val="restart"/>
            <w:shd w:val="clear" w:color="auto" w:fill="auto"/>
            <w:tcMar>
              <w:left w:w="0" w:type="dxa"/>
            </w:tcMar>
          </w:tcPr>
          <w:p w14:paraId="227CCF98" w14:textId="77777777" w:rsidR="00EF23B5" w:rsidRDefault="00EF23B5" w:rsidP="00441F8B">
            <w:pPr>
              <w:pStyle w:val="Marginlie"/>
            </w:pPr>
          </w:p>
        </w:tc>
        <w:tc>
          <w:tcPr>
            <w:tcW w:w="228" w:type="dxa"/>
            <w:vMerge w:val="restart"/>
            <w:shd w:val="clear" w:color="auto" w:fill="auto"/>
            <w:tcMar>
              <w:left w:w="0" w:type="dxa"/>
            </w:tcMar>
          </w:tcPr>
          <w:p w14:paraId="2934B4E4" w14:textId="77777777" w:rsidR="00EF23B5" w:rsidRDefault="00EF23B5" w:rsidP="00441F8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660C4AEB" w14:textId="77777777" w:rsidR="00EF23B5" w:rsidRPr="00D75AC1" w:rsidRDefault="00EF23B5" w:rsidP="00441F8B">
            <w:pPr>
              <w:spacing w:after="0"/>
              <w:rPr>
                <w:spacing w:val="-4"/>
                <w:szCs w:val="20"/>
              </w:rPr>
            </w:pPr>
            <w:r w:rsidRPr="00D75AC1">
              <w:rPr>
                <w:rFonts w:cs="Arial"/>
                <w:b/>
                <w:bCs/>
                <w:color w:val="000000"/>
                <w:szCs w:val="20"/>
              </w:rPr>
              <w:t>Graf č.</w:t>
            </w:r>
            <w:r>
              <w:rPr>
                <w:rFonts w:cs="Arial"/>
                <w:b/>
                <w:bCs/>
                <w:color w:val="000000"/>
                <w:szCs w:val="20"/>
              </w:rPr>
              <w:t> </w:t>
            </w:r>
            <w:r w:rsidRPr="00D75AC1">
              <w:rPr>
                <w:rFonts w:cs="Arial"/>
                <w:b/>
                <w:bCs/>
                <w:color w:val="000000"/>
                <w:szCs w:val="20"/>
              </w:rPr>
              <w:t>9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D75AC1"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  <w:r w:rsidRPr="00D75AC1">
              <w:rPr>
                <w:b/>
                <w:spacing w:val="-4"/>
                <w:szCs w:val="20"/>
              </w:rPr>
              <w:t xml:space="preserve">Bilance zahraničního obchodu </w:t>
            </w:r>
            <w:r>
              <w:rPr>
                <w:b/>
                <w:spacing w:val="-4"/>
                <w:szCs w:val="20"/>
              </w:rPr>
              <w:t xml:space="preserve">se zbožím </w:t>
            </w:r>
            <w:r w:rsidRPr="00D75AC1">
              <w:rPr>
                <w:b/>
                <w:spacing w:val="-4"/>
                <w:szCs w:val="20"/>
              </w:rPr>
              <w:t xml:space="preserve">ve statistice zahraničního obchodu </w:t>
            </w:r>
            <w:r w:rsidRPr="00D75AC1">
              <w:rPr>
                <w:spacing w:val="-4"/>
                <w:szCs w:val="20"/>
              </w:rPr>
              <w:t>(kumulace 1. čtvrtletí, v mld.</w:t>
            </w:r>
            <w:r>
              <w:rPr>
                <w:spacing w:val="-4"/>
                <w:szCs w:val="20"/>
              </w:rPr>
              <w:t xml:space="preserve"> </w:t>
            </w:r>
            <w:r w:rsidRPr="00D75AC1">
              <w:rPr>
                <w:spacing w:val="-4"/>
                <w:szCs w:val="20"/>
              </w:rPr>
              <w:t>korun, vybrané oddíly klasifikace CPA)</w:t>
            </w:r>
          </w:p>
        </w:tc>
      </w:tr>
      <w:tr w:rsidR="00EF23B5" w:rsidRPr="009110F7" w14:paraId="3E13E99B" w14:textId="77777777" w:rsidTr="00441F8B">
        <w:tblPrEx>
          <w:tblCellMar>
            <w:left w:w="70" w:type="dxa"/>
            <w:right w:w="70" w:type="dxa"/>
          </w:tblCellMar>
        </w:tblPrEx>
        <w:trPr>
          <w:trHeight w:val="106"/>
        </w:trPr>
        <w:tc>
          <w:tcPr>
            <w:tcW w:w="1801" w:type="dxa"/>
            <w:vMerge/>
            <w:shd w:val="clear" w:color="auto" w:fill="auto"/>
          </w:tcPr>
          <w:p w14:paraId="0A3BC38C" w14:textId="77777777" w:rsidR="00EF23B5" w:rsidRDefault="00EF23B5" w:rsidP="00441F8B">
            <w:pPr>
              <w:pStyle w:val="Marginlie"/>
            </w:pPr>
          </w:p>
        </w:tc>
        <w:tc>
          <w:tcPr>
            <w:tcW w:w="228" w:type="dxa"/>
            <w:vMerge/>
            <w:shd w:val="clear" w:color="auto" w:fill="auto"/>
          </w:tcPr>
          <w:p w14:paraId="31C97E72" w14:textId="77777777" w:rsidR="00EF23B5" w:rsidRDefault="00EF23B5" w:rsidP="00441F8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</w:tcPr>
          <w:p w14:paraId="1A049D51" w14:textId="77777777" w:rsidR="00EF23B5" w:rsidRPr="00AF6F98" w:rsidRDefault="00EF23B5" w:rsidP="00441F8B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08615E20" wp14:editId="0B2ACC75">
                  <wp:extent cx="4771467" cy="3553200"/>
                  <wp:effectExtent l="0" t="0" r="0" b="0"/>
                  <wp:docPr id="8" name="Graf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EF23B5" w:rsidRPr="009110F7" w14:paraId="093DC8A2" w14:textId="77777777" w:rsidTr="00441F8B">
        <w:trPr>
          <w:trHeight w:val="106"/>
        </w:trPr>
        <w:tc>
          <w:tcPr>
            <w:tcW w:w="1801" w:type="dxa"/>
            <w:vMerge/>
            <w:shd w:val="clear" w:color="auto" w:fill="auto"/>
            <w:tcMar>
              <w:left w:w="0" w:type="dxa"/>
            </w:tcMar>
          </w:tcPr>
          <w:p w14:paraId="1CF5B1D8" w14:textId="77777777" w:rsidR="00EF23B5" w:rsidRDefault="00EF23B5" w:rsidP="00441F8B">
            <w:pPr>
              <w:pStyle w:val="Marginlie"/>
            </w:pPr>
          </w:p>
        </w:tc>
        <w:tc>
          <w:tcPr>
            <w:tcW w:w="228" w:type="dxa"/>
            <w:vMerge/>
            <w:shd w:val="clear" w:color="auto" w:fill="auto"/>
            <w:tcMar>
              <w:left w:w="0" w:type="dxa"/>
            </w:tcMar>
          </w:tcPr>
          <w:p w14:paraId="18B4750D" w14:textId="77777777" w:rsidR="00EF23B5" w:rsidRDefault="00EF23B5" w:rsidP="00441F8B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10" w:type="dxa"/>
            <w:shd w:val="clear" w:color="auto" w:fill="auto"/>
            <w:tcMar>
              <w:left w:w="0" w:type="dxa"/>
            </w:tcMar>
          </w:tcPr>
          <w:p w14:paraId="5DFB356F" w14:textId="77777777" w:rsidR="00EF23B5" w:rsidRPr="00AF6F98" w:rsidRDefault="00EF23B5" w:rsidP="00441F8B">
            <w:pPr>
              <w:spacing w:after="0"/>
              <w:rPr>
                <w:spacing w:val="-4"/>
              </w:rPr>
            </w:pPr>
            <w:r>
              <w:rPr>
                <w:sz w:val="14"/>
                <w:szCs w:val="14"/>
              </w:rPr>
              <w:t>Zdroj: ČSÚ</w:t>
            </w:r>
          </w:p>
        </w:tc>
      </w:tr>
    </w:tbl>
    <w:p w14:paraId="400EECF4" w14:textId="3CAC1181" w:rsidR="00965797" w:rsidRPr="00C41D54" w:rsidRDefault="00965797" w:rsidP="0067514E">
      <w:pPr>
        <w:pStyle w:val="Nadpis11"/>
        <w:rPr>
          <w:b w:val="0"/>
          <w:sz w:val="2"/>
          <w:szCs w:val="2"/>
          <w:highlight w:val="yellow"/>
        </w:rPr>
      </w:pPr>
      <w:bookmarkStart w:id="4" w:name="_Toc511215218"/>
      <w:bookmarkStart w:id="5" w:name="_GoBack"/>
      <w:bookmarkEnd w:id="0"/>
      <w:bookmarkEnd w:id="1"/>
      <w:bookmarkEnd w:id="2"/>
      <w:bookmarkEnd w:id="4"/>
      <w:bookmarkEnd w:id="5"/>
    </w:p>
    <w:sectPr w:rsidR="00965797" w:rsidRPr="00C41D54" w:rsidSect="00813420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19713" w14:textId="77777777" w:rsidR="00BE3E2F" w:rsidRDefault="00BE3E2F" w:rsidP="00E71A58">
      <w:r>
        <w:separator/>
      </w:r>
    </w:p>
  </w:endnote>
  <w:endnote w:type="continuationSeparator" w:id="0">
    <w:p w14:paraId="2FDD1C11" w14:textId="77777777" w:rsidR="00BE3E2F" w:rsidRDefault="00BE3E2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1A0D" w14:textId="0F535CAD" w:rsidR="00441F8B" w:rsidRPr="00932443" w:rsidRDefault="00441F8B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34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813420">
      <w:rPr>
        <w:szCs w:val="16"/>
      </w:rPr>
      <w:t>16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čtvrtletí 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17E4B" w14:textId="262C57CB" w:rsidR="00441F8B" w:rsidRPr="00932443" w:rsidRDefault="00441F8B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 xml:space="preserve">1. čtvrtletí 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3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>
      <w:t>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813420">
      <w:rPr>
        <w:rStyle w:val="ZpatChar"/>
        <w:szCs w:val="16"/>
      </w:rPr>
      <w:t>17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EAE2F" w14:textId="77777777" w:rsidR="00BE3E2F" w:rsidRDefault="00BE3E2F" w:rsidP="00A21B4D">
      <w:pPr>
        <w:spacing w:after="0"/>
      </w:pPr>
      <w:r>
        <w:separator/>
      </w:r>
    </w:p>
  </w:footnote>
  <w:footnote w:type="continuationSeparator" w:id="0">
    <w:p w14:paraId="701D2602" w14:textId="77777777" w:rsidR="00BE3E2F" w:rsidRDefault="00BE3E2F" w:rsidP="00E71A58">
      <w:r>
        <w:continuationSeparator/>
      </w:r>
    </w:p>
  </w:footnote>
  <w:footnote w:id="1">
    <w:p w14:paraId="23385B72" w14:textId="77777777" w:rsidR="00441F8B" w:rsidRPr="00EB1E2B" w:rsidRDefault="00441F8B" w:rsidP="00EF23B5">
      <w:pPr>
        <w:pStyle w:val="Textpoznpodarou"/>
        <w:rPr>
          <w:sz w:val="16"/>
          <w:szCs w:val="16"/>
        </w:rPr>
      </w:pPr>
      <w:r w:rsidRPr="00EB1E2B">
        <w:rPr>
          <w:rStyle w:val="Znakapoznpodarou"/>
          <w:sz w:val="16"/>
          <w:szCs w:val="16"/>
        </w:rPr>
        <w:footnoteRef/>
      </w:r>
      <w:r w:rsidRPr="00EB1E2B">
        <w:rPr>
          <w:sz w:val="16"/>
          <w:szCs w:val="16"/>
        </w:rPr>
        <w:t xml:space="preserve"> EU27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85C8" w14:textId="77777777" w:rsidR="00441F8B" w:rsidRDefault="00441F8B" w:rsidP="00937AE2">
    <w:pPr>
      <w:pStyle w:val="Zhlav"/>
    </w:pPr>
    <w:r>
      <w:t>Vývoj ekonomiky České republiky</w:t>
    </w:r>
  </w:p>
  <w:p w14:paraId="675E4C41" w14:textId="77777777" w:rsidR="00441F8B" w:rsidRPr="006F5416" w:rsidRDefault="00441F8B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812FB" w14:textId="77777777" w:rsidR="00441F8B" w:rsidRDefault="00441F8B" w:rsidP="00937AE2">
    <w:pPr>
      <w:pStyle w:val="Zhlav"/>
    </w:pPr>
    <w:r>
      <w:t>Vývoj ekonomiky České republiky</w:t>
    </w:r>
  </w:p>
  <w:p w14:paraId="0CDCFD48" w14:textId="77777777" w:rsidR="00441F8B" w:rsidRPr="006F5416" w:rsidRDefault="00441F8B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14"/>
  </w:num>
  <w:num w:numId="17">
    <w:abstractNumId w:val="25"/>
  </w:num>
  <w:num w:numId="18">
    <w:abstractNumId w:val="19"/>
  </w:num>
  <w:num w:numId="19">
    <w:abstractNumId w:val="26"/>
  </w:num>
  <w:num w:numId="20">
    <w:abstractNumId w:val="27"/>
  </w:num>
  <w:num w:numId="21">
    <w:abstractNumId w:val="23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B55"/>
    <w:rsid w:val="0000209D"/>
    <w:rsid w:val="00002566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387D"/>
    <w:rsid w:val="00014ED0"/>
    <w:rsid w:val="00016420"/>
    <w:rsid w:val="00017B01"/>
    <w:rsid w:val="000205D1"/>
    <w:rsid w:val="00020F22"/>
    <w:rsid w:val="0002195D"/>
    <w:rsid w:val="000228AE"/>
    <w:rsid w:val="000233D1"/>
    <w:rsid w:val="000234D6"/>
    <w:rsid w:val="00023D29"/>
    <w:rsid w:val="00024348"/>
    <w:rsid w:val="00026389"/>
    <w:rsid w:val="0002669F"/>
    <w:rsid w:val="000279E5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4183"/>
    <w:rsid w:val="0004431D"/>
    <w:rsid w:val="0004694F"/>
    <w:rsid w:val="00046F2F"/>
    <w:rsid w:val="00047AD4"/>
    <w:rsid w:val="00047D54"/>
    <w:rsid w:val="0005054A"/>
    <w:rsid w:val="00051506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A75"/>
    <w:rsid w:val="00066558"/>
    <w:rsid w:val="00070A87"/>
    <w:rsid w:val="000712B3"/>
    <w:rsid w:val="00072FF5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3241"/>
    <w:rsid w:val="00094A84"/>
    <w:rsid w:val="00095025"/>
    <w:rsid w:val="00095135"/>
    <w:rsid w:val="0009626E"/>
    <w:rsid w:val="00097191"/>
    <w:rsid w:val="000974D1"/>
    <w:rsid w:val="00097784"/>
    <w:rsid w:val="0009799E"/>
    <w:rsid w:val="000A07CB"/>
    <w:rsid w:val="000A0BC0"/>
    <w:rsid w:val="000A1183"/>
    <w:rsid w:val="000A12ED"/>
    <w:rsid w:val="000A212B"/>
    <w:rsid w:val="000A242D"/>
    <w:rsid w:val="000A256D"/>
    <w:rsid w:val="000A3A2C"/>
    <w:rsid w:val="000A3D9E"/>
    <w:rsid w:val="000A4A54"/>
    <w:rsid w:val="000A4ED9"/>
    <w:rsid w:val="000A5DB7"/>
    <w:rsid w:val="000A6D94"/>
    <w:rsid w:val="000A7377"/>
    <w:rsid w:val="000A7FF4"/>
    <w:rsid w:val="000B03CC"/>
    <w:rsid w:val="000B4212"/>
    <w:rsid w:val="000C0EA8"/>
    <w:rsid w:val="000C13A2"/>
    <w:rsid w:val="000C21E7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98B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5313"/>
    <w:rsid w:val="00167485"/>
    <w:rsid w:val="00167B92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7BB"/>
    <w:rsid w:val="00184B08"/>
    <w:rsid w:val="00185010"/>
    <w:rsid w:val="00185C22"/>
    <w:rsid w:val="00186BA9"/>
    <w:rsid w:val="0019196C"/>
    <w:rsid w:val="00192F05"/>
    <w:rsid w:val="00194729"/>
    <w:rsid w:val="00194850"/>
    <w:rsid w:val="00195234"/>
    <w:rsid w:val="00196016"/>
    <w:rsid w:val="00196117"/>
    <w:rsid w:val="00197A70"/>
    <w:rsid w:val="00197C0F"/>
    <w:rsid w:val="001A0487"/>
    <w:rsid w:val="001A1F68"/>
    <w:rsid w:val="001A21FA"/>
    <w:rsid w:val="001A4EF0"/>
    <w:rsid w:val="001A552F"/>
    <w:rsid w:val="001A70B1"/>
    <w:rsid w:val="001B0738"/>
    <w:rsid w:val="001B2CA9"/>
    <w:rsid w:val="001B3110"/>
    <w:rsid w:val="001B3E38"/>
    <w:rsid w:val="001B40F5"/>
    <w:rsid w:val="001B4729"/>
    <w:rsid w:val="001B4F0E"/>
    <w:rsid w:val="001B6310"/>
    <w:rsid w:val="001B6C09"/>
    <w:rsid w:val="001B6E12"/>
    <w:rsid w:val="001C05CD"/>
    <w:rsid w:val="001C0F17"/>
    <w:rsid w:val="001C1B24"/>
    <w:rsid w:val="001C1B66"/>
    <w:rsid w:val="001C31A2"/>
    <w:rsid w:val="001C351D"/>
    <w:rsid w:val="001C4BB8"/>
    <w:rsid w:val="001C4FD0"/>
    <w:rsid w:val="001C5E46"/>
    <w:rsid w:val="001C6B3B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4EA6"/>
    <w:rsid w:val="00205186"/>
    <w:rsid w:val="00206516"/>
    <w:rsid w:val="002071D5"/>
    <w:rsid w:val="002111E5"/>
    <w:rsid w:val="002118B9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066"/>
    <w:rsid w:val="002316A8"/>
    <w:rsid w:val="002320C9"/>
    <w:rsid w:val="0023288F"/>
    <w:rsid w:val="0023359B"/>
    <w:rsid w:val="00233603"/>
    <w:rsid w:val="002340EF"/>
    <w:rsid w:val="00234B82"/>
    <w:rsid w:val="00236443"/>
    <w:rsid w:val="00236700"/>
    <w:rsid w:val="00240391"/>
    <w:rsid w:val="00240AF3"/>
    <w:rsid w:val="002418D5"/>
    <w:rsid w:val="00241B06"/>
    <w:rsid w:val="002436BA"/>
    <w:rsid w:val="00244652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575F3"/>
    <w:rsid w:val="002603E1"/>
    <w:rsid w:val="0026120E"/>
    <w:rsid w:val="00262582"/>
    <w:rsid w:val="0026291D"/>
    <w:rsid w:val="00262CF3"/>
    <w:rsid w:val="00264309"/>
    <w:rsid w:val="0026564B"/>
    <w:rsid w:val="00265C83"/>
    <w:rsid w:val="00265E85"/>
    <w:rsid w:val="00267B49"/>
    <w:rsid w:val="002700D9"/>
    <w:rsid w:val="0027025F"/>
    <w:rsid w:val="002709CC"/>
    <w:rsid w:val="00270D25"/>
    <w:rsid w:val="00271022"/>
    <w:rsid w:val="00271465"/>
    <w:rsid w:val="00271E47"/>
    <w:rsid w:val="002721F5"/>
    <w:rsid w:val="00272DF4"/>
    <w:rsid w:val="0027583D"/>
    <w:rsid w:val="00275DEF"/>
    <w:rsid w:val="002763A2"/>
    <w:rsid w:val="00276B33"/>
    <w:rsid w:val="002812E3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98D"/>
    <w:rsid w:val="002C40D2"/>
    <w:rsid w:val="002C43BD"/>
    <w:rsid w:val="002C5245"/>
    <w:rsid w:val="002C59D8"/>
    <w:rsid w:val="002D05CB"/>
    <w:rsid w:val="002D0E59"/>
    <w:rsid w:val="002D2C4F"/>
    <w:rsid w:val="002D3EBB"/>
    <w:rsid w:val="002D455C"/>
    <w:rsid w:val="002D6066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300C31"/>
    <w:rsid w:val="003017EC"/>
    <w:rsid w:val="00302165"/>
    <w:rsid w:val="00304771"/>
    <w:rsid w:val="003052D4"/>
    <w:rsid w:val="003060E9"/>
    <w:rsid w:val="00306C5B"/>
    <w:rsid w:val="00307529"/>
    <w:rsid w:val="00307DB3"/>
    <w:rsid w:val="00307ED2"/>
    <w:rsid w:val="0031076D"/>
    <w:rsid w:val="00311AA6"/>
    <w:rsid w:val="00311C4D"/>
    <w:rsid w:val="003121AB"/>
    <w:rsid w:val="00315169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2788F"/>
    <w:rsid w:val="00332190"/>
    <w:rsid w:val="00332A98"/>
    <w:rsid w:val="00333973"/>
    <w:rsid w:val="00333CD0"/>
    <w:rsid w:val="0033448D"/>
    <w:rsid w:val="00334AD2"/>
    <w:rsid w:val="00334CB6"/>
    <w:rsid w:val="0033709C"/>
    <w:rsid w:val="003370C5"/>
    <w:rsid w:val="003373C6"/>
    <w:rsid w:val="00340BF3"/>
    <w:rsid w:val="00341D26"/>
    <w:rsid w:val="00341F05"/>
    <w:rsid w:val="0034335E"/>
    <w:rsid w:val="00344668"/>
    <w:rsid w:val="00346234"/>
    <w:rsid w:val="003462D9"/>
    <w:rsid w:val="0034723F"/>
    <w:rsid w:val="00347247"/>
    <w:rsid w:val="003474B6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7B2E"/>
    <w:rsid w:val="003810F0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A04F6"/>
    <w:rsid w:val="003A0837"/>
    <w:rsid w:val="003A2B4D"/>
    <w:rsid w:val="003A2D12"/>
    <w:rsid w:val="003A2EBA"/>
    <w:rsid w:val="003A45E3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461F"/>
    <w:rsid w:val="003B483F"/>
    <w:rsid w:val="003B4998"/>
    <w:rsid w:val="003B5A32"/>
    <w:rsid w:val="003B7B50"/>
    <w:rsid w:val="003C0B07"/>
    <w:rsid w:val="003C2CE7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1EF8"/>
    <w:rsid w:val="003E2DFB"/>
    <w:rsid w:val="003E4C91"/>
    <w:rsid w:val="003E52D8"/>
    <w:rsid w:val="003E62F1"/>
    <w:rsid w:val="003F313C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30C96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EF1"/>
    <w:rsid w:val="00452E60"/>
    <w:rsid w:val="0045321B"/>
    <w:rsid w:val="00456FE5"/>
    <w:rsid w:val="00457490"/>
    <w:rsid w:val="00457953"/>
    <w:rsid w:val="004604D8"/>
    <w:rsid w:val="00460656"/>
    <w:rsid w:val="00460FB3"/>
    <w:rsid w:val="00463D3C"/>
    <w:rsid w:val="00464851"/>
    <w:rsid w:val="0046746A"/>
    <w:rsid w:val="00467B14"/>
    <w:rsid w:val="004707FE"/>
    <w:rsid w:val="00470EDC"/>
    <w:rsid w:val="0047276D"/>
    <w:rsid w:val="00472AF6"/>
    <w:rsid w:val="00473482"/>
    <w:rsid w:val="00474A04"/>
    <w:rsid w:val="00476240"/>
    <w:rsid w:val="00476439"/>
    <w:rsid w:val="00476450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372F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79A5"/>
    <w:rsid w:val="004A0144"/>
    <w:rsid w:val="004A036E"/>
    <w:rsid w:val="004A0498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DE6"/>
    <w:rsid w:val="004E765E"/>
    <w:rsid w:val="004E7815"/>
    <w:rsid w:val="004F06F5"/>
    <w:rsid w:val="004F12A4"/>
    <w:rsid w:val="004F253F"/>
    <w:rsid w:val="004F33A0"/>
    <w:rsid w:val="004F3BD2"/>
    <w:rsid w:val="004F46ED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0E"/>
    <w:rsid w:val="00557E45"/>
    <w:rsid w:val="00560C41"/>
    <w:rsid w:val="00561F44"/>
    <w:rsid w:val="00562B4D"/>
    <w:rsid w:val="00563EB8"/>
    <w:rsid w:val="005647BF"/>
    <w:rsid w:val="00564AF1"/>
    <w:rsid w:val="005655DB"/>
    <w:rsid w:val="00565E88"/>
    <w:rsid w:val="005678EE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3E52"/>
    <w:rsid w:val="00583FFD"/>
    <w:rsid w:val="00584252"/>
    <w:rsid w:val="0058519A"/>
    <w:rsid w:val="005856BD"/>
    <w:rsid w:val="00586BCA"/>
    <w:rsid w:val="00587038"/>
    <w:rsid w:val="00590B28"/>
    <w:rsid w:val="005911BE"/>
    <w:rsid w:val="00591273"/>
    <w:rsid w:val="00591E9E"/>
    <w:rsid w:val="005927A4"/>
    <w:rsid w:val="00593152"/>
    <w:rsid w:val="005956A3"/>
    <w:rsid w:val="00595958"/>
    <w:rsid w:val="00595CAB"/>
    <w:rsid w:val="0059622E"/>
    <w:rsid w:val="00597671"/>
    <w:rsid w:val="00597BBF"/>
    <w:rsid w:val="005A0948"/>
    <w:rsid w:val="005A0A03"/>
    <w:rsid w:val="005A10F2"/>
    <w:rsid w:val="005A21E0"/>
    <w:rsid w:val="005A28FF"/>
    <w:rsid w:val="005A2C09"/>
    <w:rsid w:val="005A3778"/>
    <w:rsid w:val="005A3DF8"/>
    <w:rsid w:val="005A5549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11B8"/>
    <w:rsid w:val="005C216C"/>
    <w:rsid w:val="005C2609"/>
    <w:rsid w:val="005C2B30"/>
    <w:rsid w:val="005C412B"/>
    <w:rsid w:val="005C43EC"/>
    <w:rsid w:val="005C45DD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D7F"/>
    <w:rsid w:val="005F7174"/>
    <w:rsid w:val="00601ADE"/>
    <w:rsid w:val="00601EEF"/>
    <w:rsid w:val="0060255A"/>
    <w:rsid w:val="00602EB3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0B77"/>
    <w:rsid w:val="0062131B"/>
    <w:rsid w:val="00621E26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179B"/>
    <w:rsid w:val="00642489"/>
    <w:rsid w:val="00644055"/>
    <w:rsid w:val="00644137"/>
    <w:rsid w:val="0064478C"/>
    <w:rsid w:val="00645160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2586"/>
    <w:rsid w:val="006741CD"/>
    <w:rsid w:val="00674D89"/>
    <w:rsid w:val="0067514E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109C"/>
    <w:rsid w:val="006A5F4B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5416"/>
    <w:rsid w:val="006F624B"/>
    <w:rsid w:val="006F6D87"/>
    <w:rsid w:val="0070398A"/>
    <w:rsid w:val="00705242"/>
    <w:rsid w:val="007055E0"/>
    <w:rsid w:val="007056ED"/>
    <w:rsid w:val="00705F4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E4D"/>
    <w:rsid w:val="0071677A"/>
    <w:rsid w:val="00716F48"/>
    <w:rsid w:val="00717114"/>
    <w:rsid w:val="0071779F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777"/>
    <w:rsid w:val="00770CFC"/>
    <w:rsid w:val="0077130E"/>
    <w:rsid w:val="007715EE"/>
    <w:rsid w:val="00771972"/>
    <w:rsid w:val="00772279"/>
    <w:rsid w:val="00772DAB"/>
    <w:rsid w:val="00772FF9"/>
    <w:rsid w:val="00774D2C"/>
    <w:rsid w:val="0077605B"/>
    <w:rsid w:val="00776169"/>
    <w:rsid w:val="00776527"/>
    <w:rsid w:val="00777040"/>
    <w:rsid w:val="00777CE6"/>
    <w:rsid w:val="00780EF1"/>
    <w:rsid w:val="00781A91"/>
    <w:rsid w:val="00781F3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782"/>
    <w:rsid w:val="007A516D"/>
    <w:rsid w:val="007A5E65"/>
    <w:rsid w:val="007A65E1"/>
    <w:rsid w:val="007A6AAA"/>
    <w:rsid w:val="007A7033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C10BD"/>
    <w:rsid w:val="007C1F0C"/>
    <w:rsid w:val="007C1FFB"/>
    <w:rsid w:val="007C2D94"/>
    <w:rsid w:val="007C5F92"/>
    <w:rsid w:val="007C6227"/>
    <w:rsid w:val="007C6BBD"/>
    <w:rsid w:val="007C6D89"/>
    <w:rsid w:val="007C6F5E"/>
    <w:rsid w:val="007D0382"/>
    <w:rsid w:val="007D1A1F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78B6"/>
    <w:rsid w:val="007E7E61"/>
    <w:rsid w:val="007F0845"/>
    <w:rsid w:val="007F20F3"/>
    <w:rsid w:val="007F2353"/>
    <w:rsid w:val="007F2390"/>
    <w:rsid w:val="007F2CAC"/>
    <w:rsid w:val="007F4740"/>
    <w:rsid w:val="007F595A"/>
    <w:rsid w:val="007F708D"/>
    <w:rsid w:val="008006B3"/>
    <w:rsid w:val="00800B63"/>
    <w:rsid w:val="0080158A"/>
    <w:rsid w:val="00801E13"/>
    <w:rsid w:val="00803008"/>
    <w:rsid w:val="00803069"/>
    <w:rsid w:val="0080346B"/>
    <w:rsid w:val="00804155"/>
    <w:rsid w:val="0080559E"/>
    <w:rsid w:val="00805AF3"/>
    <w:rsid w:val="0080734C"/>
    <w:rsid w:val="00807C82"/>
    <w:rsid w:val="008117CC"/>
    <w:rsid w:val="00813420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F77"/>
    <w:rsid w:val="00834304"/>
    <w:rsid w:val="00834FAA"/>
    <w:rsid w:val="008354FB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5408"/>
    <w:rsid w:val="00855D03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E83"/>
    <w:rsid w:val="008772BC"/>
    <w:rsid w:val="00880A0E"/>
    <w:rsid w:val="008817FE"/>
    <w:rsid w:val="00881CD7"/>
    <w:rsid w:val="00882911"/>
    <w:rsid w:val="00882F6E"/>
    <w:rsid w:val="00884E02"/>
    <w:rsid w:val="00885D40"/>
    <w:rsid w:val="008873D4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3537"/>
    <w:rsid w:val="008B3690"/>
    <w:rsid w:val="008B3A80"/>
    <w:rsid w:val="008B3AEC"/>
    <w:rsid w:val="008B3C07"/>
    <w:rsid w:val="008B3F7B"/>
    <w:rsid w:val="008B5324"/>
    <w:rsid w:val="008B6106"/>
    <w:rsid w:val="008B7C02"/>
    <w:rsid w:val="008B7D2B"/>
    <w:rsid w:val="008B7EF9"/>
    <w:rsid w:val="008C0049"/>
    <w:rsid w:val="008C0E88"/>
    <w:rsid w:val="008C1717"/>
    <w:rsid w:val="008C4B50"/>
    <w:rsid w:val="008C5A37"/>
    <w:rsid w:val="008C7569"/>
    <w:rsid w:val="008D033D"/>
    <w:rsid w:val="008D0DBD"/>
    <w:rsid w:val="008D117E"/>
    <w:rsid w:val="008D127E"/>
    <w:rsid w:val="008D1CA8"/>
    <w:rsid w:val="008D1E0A"/>
    <w:rsid w:val="008D1E6A"/>
    <w:rsid w:val="008D2A16"/>
    <w:rsid w:val="008D33F5"/>
    <w:rsid w:val="008D35E4"/>
    <w:rsid w:val="008D6C3A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0589"/>
    <w:rsid w:val="008F2A5D"/>
    <w:rsid w:val="008F3636"/>
    <w:rsid w:val="008F3FC9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292F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B7B"/>
    <w:rsid w:val="00954F39"/>
    <w:rsid w:val="009555FD"/>
    <w:rsid w:val="0095664B"/>
    <w:rsid w:val="009568DC"/>
    <w:rsid w:val="00957445"/>
    <w:rsid w:val="0095759C"/>
    <w:rsid w:val="009618EE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70A3"/>
    <w:rsid w:val="009674BE"/>
    <w:rsid w:val="00970FB5"/>
    <w:rsid w:val="00971710"/>
    <w:rsid w:val="00971B87"/>
    <w:rsid w:val="00971C77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2CF3"/>
    <w:rsid w:val="00993194"/>
    <w:rsid w:val="0099321E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982"/>
    <w:rsid w:val="009F4CA7"/>
    <w:rsid w:val="009F4F6A"/>
    <w:rsid w:val="009F55BA"/>
    <w:rsid w:val="009F7D36"/>
    <w:rsid w:val="009F7D61"/>
    <w:rsid w:val="00A00E71"/>
    <w:rsid w:val="00A0306F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E1"/>
    <w:rsid w:val="00A20FE1"/>
    <w:rsid w:val="00A21B4D"/>
    <w:rsid w:val="00A22073"/>
    <w:rsid w:val="00A223E0"/>
    <w:rsid w:val="00A23E43"/>
    <w:rsid w:val="00A24726"/>
    <w:rsid w:val="00A24DEB"/>
    <w:rsid w:val="00A24ED9"/>
    <w:rsid w:val="00A25216"/>
    <w:rsid w:val="00A2597D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81652"/>
    <w:rsid w:val="00A82C91"/>
    <w:rsid w:val="00A83150"/>
    <w:rsid w:val="00A83398"/>
    <w:rsid w:val="00A83D6E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F1A"/>
    <w:rsid w:val="00A96116"/>
    <w:rsid w:val="00A9614E"/>
    <w:rsid w:val="00A96422"/>
    <w:rsid w:val="00A96C0F"/>
    <w:rsid w:val="00AA0E80"/>
    <w:rsid w:val="00AA17CD"/>
    <w:rsid w:val="00AA1D85"/>
    <w:rsid w:val="00AA212F"/>
    <w:rsid w:val="00AA2996"/>
    <w:rsid w:val="00AA2AF4"/>
    <w:rsid w:val="00AA4282"/>
    <w:rsid w:val="00AA4790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0750D"/>
    <w:rsid w:val="00B0799C"/>
    <w:rsid w:val="00B102CE"/>
    <w:rsid w:val="00B10A4D"/>
    <w:rsid w:val="00B10C90"/>
    <w:rsid w:val="00B11002"/>
    <w:rsid w:val="00B1114F"/>
    <w:rsid w:val="00B121B2"/>
    <w:rsid w:val="00B141B6"/>
    <w:rsid w:val="00B14BC1"/>
    <w:rsid w:val="00B16DD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42C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7ACC"/>
    <w:rsid w:val="00B97FE2"/>
    <w:rsid w:val="00BA0E0B"/>
    <w:rsid w:val="00BA201A"/>
    <w:rsid w:val="00BA3787"/>
    <w:rsid w:val="00BA46E8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0930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3E2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493E"/>
    <w:rsid w:val="00C15DBD"/>
    <w:rsid w:val="00C2010D"/>
    <w:rsid w:val="00C20CB5"/>
    <w:rsid w:val="00C21430"/>
    <w:rsid w:val="00C216DF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70C9"/>
    <w:rsid w:val="00C81070"/>
    <w:rsid w:val="00C8174E"/>
    <w:rsid w:val="00C82191"/>
    <w:rsid w:val="00C83134"/>
    <w:rsid w:val="00C831E7"/>
    <w:rsid w:val="00C832F3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97588"/>
    <w:rsid w:val="00CA0346"/>
    <w:rsid w:val="00CA1BD6"/>
    <w:rsid w:val="00CA37FF"/>
    <w:rsid w:val="00CA423A"/>
    <w:rsid w:val="00CA47BC"/>
    <w:rsid w:val="00CA5EAD"/>
    <w:rsid w:val="00CA6AB4"/>
    <w:rsid w:val="00CA7255"/>
    <w:rsid w:val="00CB1BEE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834"/>
    <w:rsid w:val="00CC20FE"/>
    <w:rsid w:val="00CC2E7D"/>
    <w:rsid w:val="00CC612B"/>
    <w:rsid w:val="00CC655F"/>
    <w:rsid w:val="00CC66F9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020B"/>
    <w:rsid w:val="00CF2E4D"/>
    <w:rsid w:val="00CF4205"/>
    <w:rsid w:val="00CF4908"/>
    <w:rsid w:val="00CF51EC"/>
    <w:rsid w:val="00CF545D"/>
    <w:rsid w:val="00CF5873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35B7"/>
    <w:rsid w:val="00D23FAE"/>
    <w:rsid w:val="00D25F28"/>
    <w:rsid w:val="00D26071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60415"/>
    <w:rsid w:val="00D60E3C"/>
    <w:rsid w:val="00D61FAB"/>
    <w:rsid w:val="00D63BE5"/>
    <w:rsid w:val="00D6475F"/>
    <w:rsid w:val="00D66223"/>
    <w:rsid w:val="00D667B8"/>
    <w:rsid w:val="00D70289"/>
    <w:rsid w:val="00D70822"/>
    <w:rsid w:val="00D72076"/>
    <w:rsid w:val="00D726A9"/>
    <w:rsid w:val="00D72DBA"/>
    <w:rsid w:val="00D743E0"/>
    <w:rsid w:val="00D7490C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2E65"/>
    <w:rsid w:val="00DA544C"/>
    <w:rsid w:val="00DA5F8E"/>
    <w:rsid w:val="00DA6364"/>
    <w:rsid w:val="00DA7114"/>
    <w:rsid w:val="00DA7C0C"/>
    <w:rsid w:val="00DB03DD"/>
    <w:rsid w:val="00DB08A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5287"/>
    <w:rsid w:val="00DD5B36"/>
    <w:rsid w:val="00DE0D8B"/>
    <w:rsid w:val="00DE1237"/>
    <w:rsid w:val="00DE140F"/>
    <w:rsid w:val="00DE2491"/>
    <w:rsid w:val="00DE5CA6"/>
    <w:rsid w:val="00DE7AC8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1C0E"/>
    <w:rsid w:val="00E0368F"/>
    <w:rsid w:val="00E03D73"/>
    <w:rsid w:val="00E03F9A"/>
    <w:rsid w:val="00E040DA"/>
    <w:rsid w:val="00E04694"/>
    <w:rsid w:val="00E12191"/>
    <w:rsid w:val="00E129E7"/>
    <w:rsid w:val="00E12ABE"/>
    <w:rsid w:val="00E12B1E"/>
    <w:rsid w:val="00E1444C"/>
    <w:rsid w:val="00E17262"/>
    <w:rsid w:val="00E20016"/>
    <w:rsid w:val="00E2009B"/>
    <w:rsid w:val="00E20BB9"/>
    <w:rsid w:val="00E20BCC"/>
    <w:rsid w:val="00E2251C"/>
    <w:rsid w:val="00E2363D"/>
    <w:rsid w:val="00E23C6A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A53"/>
    <w:rsid w:val="00E3656B"/>
    <w:rsid w:val="00E3724A"/>
    <w:rsid w:val="00E378B1"/>
    <w:rsid w:val="00E417BE"/>
    <w:rsid w:val="00E41CD5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3470"/>
    <w:rsid w:val="00E539F6"/>
    <w:rsid w:val="00E54698"/>
    <w:rsid w:val="00E54FB4"/>
    <w:rsid w:val="00E5539A"/>
    <w:rsid w:val="00E55791"/>
    <w:rsid w:val="00E55E1A"/>
    <w:rsid w:val="00E578A2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C5F"/>
    <w:rsid w:val="00E71A58"/>
    <w:rsid w:val="00E72A26"/>
    <w:rsid w:val="00E72A7A"/>
    <w:rsid w:val="00E7335A"/>
    <w:rsid w:val="00E747DC"/>
    <w:rsid w:val="00E74A2D"/>
    <w:rsid w:val="00E75C94"/>
    <w:rsid w:val="00E76B9B"/>
    <w:rsid w:val="00E76E61"/>
    <w:rsid w:val="00E77CC0"/>
    <w:rsid w:val="00E80B3D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97BB5"/>
    <w:rsid w:val="00EA0C68"/>
    <w:rsid w:val="00EA1D0E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F10"/>
    <w:rsid w:val="00ED4D04"/>
    <w:rsid w:val="00ED566D"/>
    <w:rsid w:val="00ED5907"/>
    <w:rsid w:val="00ED5F5B"/>
    <w:rsid w:val="00ED62C6"/>
    <w:rsid w:val="00ED64C1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0D90"/>
    <w:rsid w:val="00EF150D"/>
    <w:rsid w:val="00EF1F5A"/>
    <w:rsid w:val="00EF23B5"/>
    <w:rsid w:val="00EF47BF"/>
    <w:rsid w:val="00EF59B1"/>
    <w:rsid w:val="00EF5A13"/>
    <w:rsid w:val="00EF5FF9"/>
    <w:rsid w:val="00EF77D4"/>
    <w:rsid w:val="00EF7CC7"/>
    <w:rsid w:val="00F00853"/>
    <w:rsid w:val="00F00866"/>
    <w:rsid w:val="00F0160B"/>
    <w:rsid w:val="00F0193E"/>
    <w:rsid w:val="00F03E2F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E60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B1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EDC"/>
    <w:rsid w:val="00F437CC"/>
    <w:rsid w:val="00F44537"/>
    <w:rsid w:val="00F46185"/>
    <w:rsid w:val="00F46423"/>
    <w:rsid w:val="00F4696A"/>
    <w:rsid w:val="00F47067"/>
    <w:rsid w:val="00F525AB"/>
    <w:rsid w:val="00F525EB"/>
    <w:rsid w:val="00F52CB5"/>
    <w:rsid w:val="00F53378"/>
    <w:rsid w:val="00F53A68"/>
    <w:rsid w:val="00F54934"/>
    <w:rsid w:val="00F55A92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82D14"/>
    <w:rsid w:val="00F84E7D"/>
    <w:rsid w:val="00F85066"/>
    <w:rsid w:val="00F87A4D"/>
    <w:rsid w:val="00F93688"/>
    <w:rsid w:val="00F939F3"/>
    <w:rsid w:val="00F93C6E"/>
    <w:rsid w:val="00F93F2C"/>
    <w:rsid w:val="00F9644E"/>
    <w:rsid w:val="00FA0105"/>
    <w:rsid w:val="00FA05A0"/>
    <w:rsid w:val="00FA0AEF"/>
    <w:rsid w:val="00FA17CC"/>
    <w:rsid w:val="00FA1F01"/>
    <w:rsid w:val="00FA26DF"/>
    <w:rsid w:val="00FA32BC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0Q1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481551840594413E-2"/>
          <c:y val="2.3304908251716772E-2"/>
          <c:w val="0.90781408308004052"/>
          <c:h val="0.612553754362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'Vnější vztahy 2'!$A$6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</c:spPr>
          <c:invertIfNegative val="0"/>
          <c:cat>
            <c:strRef>
              <c:f>'Vnější vztahy 2'!$B$5:$N$5</c:f>
              <c:strCache>
                <c:ptCount val="13"/>
                <c:pt idx="0">
                  <c:v>Ropa a zemní plyn</c:v>
                </c:pt>
                <c:pt idx="1">
                  <c:v>Potrav. výrobky</c:v>
                </c:pt>
                <c:pt idx="2">
                  <c:v>Oděvy</c:v>
                </c:pt>
                <c:pt idx="3">
                  <c:v>Koks, raf. ropné prod.</c:v>
                </c:pt>
                <c:pt idx="4">
                  <c:v>Chem. látky a přípr.</c:v>
                </c:pt>
                <c:pt idx="5">
                  <c:v>Farmac. výrobky</c:v>
                </c:pt>
                <c:pt idx="6">
                  <c:v>Ostat. nekov. minerály</c:v>
                </c:pt>
                <c:pt idx="7">
                  <c:v>Základní kovy</c:v>
                </c:pt>
                <c:pt idx="8">
                  <c:v>Kovodělné výrobky</c:v>
                </c:pt>
                <c:pt idx="9">
                  <c:v>Počítače, opt.                                          a elektron. přístr.</c:v>
                </c:pt>
                <c:pt idx="10">
                  <c:v>Elektrická zařízení</c:v>
                </c:pt>
                <c:pt idx="11">
                  <c:v>Stroje a zařízení j. n.</c:v>
                </c:pt>
                <c:pt idx="12">
                  <c:v>Motorová vozidla</c:v>
                </c:pt>
              </c:strCache>
            </c:strRef>
          </c:cat>
          <c:val>
            <c:numRef>
              <c:f>'Vnější vztahy 2'!$B$6:$N$6</c:f>
              <c:numCache>
                <c:formatCode>General</c:formatCode>
                <c:ptCount val="13"/>
                <c:pt idx="0">
                  <c:v>-30.757999999999999</c:v>
                </c:pt>
                <c:pt idx="1">
                  <c:v>-9.8420000000000005</c:v>
                </c:pt>
                <c:pt idx="2">
                  <c:v>-8.1189999999999998</c:v>
                </c:pt>
                <c:pt idx="3">
                  <c:v>-5.2720000000000002</c:v>
                </c:pt>
                <c:pt idx="4">
                  <c:v>-29.686</c:v>
                </c:pt>
                <c:pt idx="5">
                  <c:v>-13.507999999999999</c:v>
                </c:pt>
                <c:pt idx="6">
                  <c:v>5.8310000000000004</c:v>
                </c:pt>
                <c:pt idx="7">
                  <c:v>-31.405999999999999</c:v>
                </c:pt>
                <c:pt idx="8">
                  <c:v>15.021000000000001</c:v>
                </c:pt>
                <c:pt idx="9">
                  <c:v>-3.6150000000000002</c:v>
                </c:pt>
                <c:pt idx="10">
                  <c:v>12.052</c:v>
                </c:pt>
                <c:pt idx="11">
                  <c:v>20.138999999999999</c:v>
                </c:pt>
                <c:pt idx="12">
                  <c:v>121.57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40-45A1-A3BB-A10179D3999F}"/>
            </c:ext>
          </c:extLst>
        </c:ser>
        <c:ser>
          <c:idx val="1"/>
          <c:order val="1"/>
          <c:tx>
            <c:strRef>
              <c:f>'Vnější vztahy 2'!$A$7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val>
            <c:numRef>
              <c:f>'Vnější vztahy 2'!$B$7:$N$7</c:f>
              <c:numCache>
                <c:formatCode>General</c:formatCode>
                <c:ptCount val="13"/>
                <c:pt idx="0">
                  <c:v>-21.937999999999999</c:v>
                </c:pt>
                <c:pt idx="1">
                  <c:v>-10.981999999999999</c:v>
                </c:pt>
                <c:pt idx="2">
                  <c:v>-7.5430000000000001</c:v>
                </c:pt>
                <c:pt idx="3">
                  <c:v>-5.9889999999999999</c:v>
                </c:pt>
                <c:pt idx="4">
                  <c:v>-27.922999999999998</c:v>
                </c:pt>
                <c:pt idx="5">
                  <c:v>-17.488</c:v>
                </c:pt>
                <c:pt idx="6">
                  <c:v>6.0830000000000002</c:v>
                </c:pt>
                <c:pt idx="7">
                  <c:v>-26.459</c:v>
                </c:pt>
                <c:pt idx="8">
                  <c:v>13.64</c:v>
                </c:pt>
                <c:pt idx="9">
                  <c:v>-11.093</c:v>
                </c:pt>
                <c:pt idx="10">
                  <c:v>7.9870000000000001</c:v>
                </c:pt>
                <c:pt idx="11">
                  <c:v>17.085999999999999</c:v>
                </c:pt>
                <c:pt idx="12">
                  <c:v>114.34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40-45A1-A3BB-A10179D399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7"/>
        <c:axId val="269967744"/>
        <c:axId val="269969280"/>
      </c:barChart>
      <c:catAx>
        <c:axId val="269967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cs-CZ"/>
          </a:p>
        </c:txPr>
        <c:crossAx val="269969280"/>
        <c:crosses val="autoZero"/>
        <c:auto val="1"/>
        <c:lblAlgn val="ctr"/>
        <c:lblOffset val="100"/>
        <c:noMultiLvlLbl val="0"/>
      </c:catAx>
      <c:valAx>
        <c:axId val="269969280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269967744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9999155690645057E-2"/>
          <c:y val="0.93271781816746591"/>
          <c:w val="0.90181273218507263"/>
          <c:h val="5.4750853511732103E-2"/>
        </c:manualLayout>
      </c:layout>
      <c:overlay val="1"/>
      <c:spPr>
        <a:ln w="6350">
          <a:solidFill>
            <a:sysClr val="windowText" lastClr="000000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050B-CBA7-42E5-9B7A-5DBACCD9A4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6FE9C-F67F-48EA-8C4D-55489C9E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1</TotalTime>
  <Pages>2</Pages>
  <Words>1026</Words>
  <Characters>5695</Characters>
  <Application>Microsoft Office Word</Application>
  <DocSecurity>0</DocSecurity>
  <Lines>96</Lines>
  <Paragraphs>30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6691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Mgr. Karolína Zábojníková</cp:lastModifiedBy>
  <cp:revision>3</cp:revision>
  <cp:lastPrinted>2019-04-08T10:52:00Z</cp:lastPrinted>
  <dcterms:created xsi:type="dcterms:W3CDTF">2020-06-12T09:08:00Z</dcterms:created>
  <dcterms:modified xsi:type="dcterms:W3CDTF">2020-06-12T09:20:00Z</dcterms:modified>
</cp:coreProperties>
</file>