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4D7F" w14:textId="77777777" w:rsidR="00800B63" w:rsidRDefault="00800B63" w:rsidP="00800B63">
      <w:pPr>
        <w:pStyle w:val="Nadpis11"/>
      </w:pPr>
      <w:bookmarkStart w:id="0" w:name="_Toc19090676"/>
      <w:bookmarkStart w:id="1" w:name="_Toc42852409"/>
      <w:r w:rsidRPr="009F2921">
        <w:t>3. </w:t>
      </w:r>
      <w:bookmarkStart w:id="2" w:name="_Toc454185150"/>
      <w:bookmarkStart w:id="3" w:name="_Toc493683635"/>
      <w:r w:rsidRPr="009F2921">
        <w:t>Výkonnost odvětví</w:t>
      </w:r>
      <w:bookmarkEnd w:id="1"/>
      <w:bookmarkEnd w:id="2"/>
      <w:bookmarkEnd w:id="3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12"/>
        <w:gridCol w:w="205"/>
        <w:gridCol w:w="7700"/>
        <w:gridCol w:w="20"/>
      </w:tblGrid>
      <w:tr w:rsidR="0002669F" w:rsidRPr="00DB613B" w14:paraId="7C3EAAF7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45413201" w14:textId="77777777" w:rsidR="0002669F" w:rsidRDefault="0002669F" w:rsidP="0002669F">
            <w:pPr>
              <w:pStyle w:val="Marginlie"/>
            </w:pPr>
            <w:r>
              <w:t>Hrubá přidaná hodnota v celé ekonomice zaznamenala druhý nejhlubší mezičtvrtletní propad v historii sledování,…</w:t>
            </w:r>
          </w:p>
          <w:p w14:paraId="71283224" w14:textId="784ACC5F" w:rsidR="0002669F" w:rsidRDefault="0002669F" w:rsidP="0002669F">
            <w:pPr>
              <w:pStyle w:val="Marginlie"/>
            </w:pPr>
          </w:p>
          <w:p w14:paraId="688F5F28" w14:textId="77777777" w:rsidR="0002669F" w:rsidRDefault="0002669F" w:rsidP="0002669F">
            <w:pPr>
              <w:pStyle w:val="Marginlie"/>
            </w:pPr>
          </w:p>
          <w:p w14:paraId="2E1890DB" w14:textId="77777777" w:rsidR="0002669F" w:rsidRDefault="0002669F" w:rsidP="0002669F">
            <w:pPr>
              <w:pStyle w:val="Marginlie"/>
            </w:pPr>
          </w:p>
          <w:p w14:paraId="7F79EC1C" w14:textId="77777777" w:rsidR="0002669F" w:rsidRDefault="0002669F" w:rsidP="0002669F">
            <w:pPr>
              <w:pStyle w:val="Marginlie"/>
            </w:pPr>
            <w:r>
              <w:t>… ten byl spolu se Slovenskem nejvyšší mezi novějšími členy EU, v rámci celé Unie však náležel k podprůměrným.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0363E41D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2A32DC6A" w14:textId="77777777" w:rsidR="0002669F" w:rsidRPr="00DB613B" w:rsidRDefault="0002669F" w:rsidP="0002669F">
            <w:pPr>
              <w:spacing w:after="220"/>
            </w:pPr>
            <w:r>
              <w:t>Přestože restriktivní protipandemická opatření zasáhla tuzemskou ekonomiku přímo až ve druhé polovině března, stačila již významně ovlivnit výkonnost odvětví v úhrnu za celé 1. čtvrtletí. Hrubá přidaná hodnota</w:t>
            </w:r>
            <w:r w:rsidRPr="00DB613B">
              <w:t xml:space="preserve"> (HPH)</w:t>
            </w:r>
            <w:r w:rsidRPr="00DB613B">
              <w:rPr>
                <w:rStyle w:val="Znakapoznpodarou"/>
              </w:rPr>
              <w:footnoteReference w:id="1"/>
            </w:r>
            <w:r>
              <w:t xml:space="preserve"> klesla oproti poslední čtvrtině loňského roku o 2,5 %. Vyšší propad byl ve 25leté řadě sledování zaznamenán jen uprostřed hluboké recese na konci předchozí dekády. Skončilo tak téměř sedmileté nepřerušené růstové období v éře samostatné ČR, které bylo zároveň druhé nejdelší</w:t>
            </w:r>
            <w:r w:rsidRPr="00DB613B">
              <w:rPr>
                <w:rStyle w:val="Znakapoznpodarou"/>
              </w:rPr>
              <w:footnoteReference w:id="2"/>
            </w:r>
            <w:r>
              <w:t xml:space="preserve">. HPH letos poklesla i v meziročním vyjádření (o 1,3 %) a dosáhla tak nejhoršího výsledku po roce 2013. Ačkoli mezičtvrtletní i meziroční pokles v Česku byl mezi státy, jež vstoupily do EU po roce 2000, druhý nejhlubší (po Slovensku: </w:t>
            </w:r>
            <w:r w:rsidRPr="00DB613B">
              <w:rPr>
                <w:color w:val="000000" w:themeColor="text1"/>
              </w:rPr>
              <w:t>–</w:t>
            </w:r>
            <w:r>
              <w:t xml:space="preserve">4,7 %, resp. </w:t>
            </w:r>
            <w:r w:rsidRPr="00DB613B">
              <w:rPr>
                <w:color w:val="000000" w:themeColor="text1"/>
              </w:rPr>
              <w:t>–</w:t>
            </w:r>
            <w:r>
              <w:t>3,6 %), šlo stále o příznivější výsledek než za celou EU (</w:t>
            </w:r>
            <w:r w:rsidRPr="00DB613B">
              <w:rPr>
                <w:color w:val="000000" w:themeColor="text1"/>
              </w:rPr>
              <w:t>–</w:t>
            </w:r>
            <w:r>
              <w:t>2,9 % a </w:t>
            </w:r>
            <w:r w:rsidRPr="00DB613B">
              <w:rPr>
                <w:color w:val="000000" w:themeColor="text1"/>
              </w:rPr>
              <w:t>–</w:t>
            </w:r>
            <w:r>
              <w:t>2,3 %). Tu táhly dolů zejména Itálie, Španělsko a Francie, v nichž mezičtvrtletní útlum čítal shodně okolo 5 %. HPH v Německu klesla o rovná 2 %. Růst si proti konci loňského roku v rámci Unie</w:t>
            </w:r>
            <w:r w:rsidRPr="00DB613B">
              <w:rPr>
                <w:rStyle w:val="Znakapoznpodarou"/>
              </w:rPr>
              <w:footnoteReference w:id="3"/>
            </w:r>
            <w:r>
              <w:t xml:space="preserve"> udržely jen Irsko, Švédsko, Estonsko a Bulharsko. Rozdíly mezi státy vypovídají primárně o postupném náběhu koronavirové nákazy napříč EU, rychlosti a intenzitě vládních restriktivních opatření a zčásti také o odlišné odvětvové skladbě ekonomik (např. vyšší zastoupení odvětví s vazbou na cestovní ruch v Itálii, Španělsku či Francii</w:t>
            </w:r>
            <w:r w:rsidRPr="00DB613B">
              <w:rPr>
                <w:rStyle w:val="Znakapoznpodarou"/>
              </w:rPr>
              <w:footnoteReference w:id="4"/>
            </w:r>
            <w:r>
              <w:t>).</w:t>
            </w:r>
          </w:p>
        </w:tc>
      </w:tr>
      <w:tr w:rsidR="0002669F" w:rsidRPr="00CB6E6F" w14:paraId="1674D4B8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0B31CB7B" w14:textId="77777777" w:rsidR="0002669F" w:rsidRDefault="0002669F" w:rsidP="0002669F">
            <w:pPr>
              <w:pStyle w:val="Marginlie"/>
              <w:rPr>
                <w:spacing w:val="-4"/>
              </w:rPr>
            </w:pPr>
            <w:r w:rsidRPr="00812A1E">
              <w:rPr>
                <w:spacing w:val="-4"/>
              </w:rPr>
              <w:t>K</w:t>
            </w:r>
            <w:r>
              <w:rPr>
                <w:spacing w:val="-4"/>
              </w:rPr>
              <w:t> </w:t>
            </w:r>
            <w:r w:rsidRPr="00812A1E">
              <w:rPr>
                <w:spacing w:val="-4"/>
              </w:rPr>
              <w:t>meziročnímu poklesu celkové HPH přispělo nejvíce odvětví obchod, doprava, ubytování a pohostinství. Silně zasažen byl v 1</w:t>
            </w:r>
            <w:r>
              <w:rPr>
                <w:spacing w:val="-4"/>
              </w:rPr>
              <w:t>. čtvrtlet</w:t>
            </w:r>
            <w:r w:rsidRPr="00812A1E">
              <w:rPr>
                <w:spacing w:val="-4"/>
              </w:rPr>
              <w:t>í také celý průmysl a</w:t>
            </w:r>
            <w:r>
              <w:rPr>
                <w:spacing w:val="-4"/>
              </w:rPr>
              <w:t xml:space="preserve"> rovněž </w:t>
            </w:r>
            <w:r w:rsidRPr="00812A1E">
              <w:rPr>
                <w:spacing w:val="-4"/>
              </w:rPr>
              <w:t>profesní, vědecké, technické a administrativní činnosti.</w:t>
            </w:r>
          </w:p>
          <w:p w14:paraId="1057EA01" w14:textId="77777777" w:rsidR="0002669F" w:rsidRDefault="0002669F" w:rsidP="0002669F">
            <w:pPr>
              <w:pStyle w:val="Marginlie"/>
              <w:rPr>
                <w:spacing w:val="-4"/>
              </w:rPr>
            </w:pPr>
          </w:p>
          <w:p w14:paraId="17B8E44F" w14:textId="77777777" w:rsidR="0002669F" w:rsidRDefault="0002669F" w:rsidP="0002669F">
            <w:pPr>
              <w:pStyle w:val="Marginlie"/>
              <w:rPr>
                <w:spacing w:val="-4"/>
              </w:rPr>
            </w:pPr>
          </w:p>
          <w:p w14:paraId="2B1B6A2A" w14:textId="77777777" w:rsidR="0002669F" w:rsidRDefault="0002669F" w:rsidP="0002669F">
            <w:pPr>
              <w:pStyle w:val="Marginlie"/>
              <w:rPr>
                <w:spacing w:val="-4"/>
              </w:rPr>
            </w:pPr>
          </w:p>
          <w:p w14:paraId="55C4A154" w14:textId="77777777" w:rsidR="0002669F" w:rsidRDefault="0002669F" w:rsidP="0002669F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Pokračoval rozvoj v oblasti IT, rostly výkony v oblasti veřejných služeb.</w:t>
            </w:r>
          </w:p>
          <w:p w14:paraId="736DE5B6" w14:textId="77777777" w:rsidR="0002669F" w:rsidRDefault="0002669F" w:rsidP="0002669F">
            <w:pPr>
              <w:pStyle w:val="Marginlie"/>
              <w:rPr>
                <w:spacing w:val="-4"/>
              </w:rPr>
            </w:pPr>
          </w:p>
          <w:p w14:paraId="5A125AEC" w14:textId="77777777" w:rsidR="0002669F" w:rsidRDefault="0002669F" w:rsidP="0002669F">
            <w:pPr>
              <w:pStyle w:val="Marginlie"/>
              <w:rPr>
                <w:spacing w:val="-4"/>
              </w:rPr>
            </w:pPr>
          </w:p>
          <w:p w14:paraId="0D36E77B" w14:textId="77777777" w:rsidR="0002669F" w:rsidRDefault="0002669F" w:rsidP="0002669F">
            <w:pPr>
              <w:pStyle w:val="Marginlie"/>
              <w:rPr>
                <w:spacing w:val="-4"/>
              </w:rPr>
            </w:pPr>
          </w:p>
          <w:p w14:paraId="0E5B01B3" w14:textId="77777777" w:rsidR="0002669F" w:rsidRDefault="0002669F" w:rsidP="0002669F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Výkony v primárním sektoru i ve stavebnictví nebyly zatím restriktivními opatřeními významněji zasaženy.</w:t>
            </w:r>
          </w:p>
          <w:p w14:paraId="545CE35A" w14:textId="77777777" w:rsidR="0002669F" w:rsidRPr="00812A1E" w:rsidRDefault="0002669F" w:rsidP="0002669F">
            <w:pPr>
              <w:pStyle w:val="Marginlie"/>
              <w:rPr>
                <w:spacing w:val="-4"/>
              </w:rPr>
            </w:pP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0A8ADDCC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C6B9662" w14:textId="77777777" w:rsidR="0002669F" w:rsidRPr="00CB6E6F" w:rsidRDefault="0002669F" w:rsidP="0002669F">
            <w:pPr>
              <w:spacing w:after="220"/>
              <w:rPr>
                <w:spacing w:val="-4"/>
              </w:rPr>
            </w:pPr>
            <w:r w:rsidRPr="0012427B">
              <w:rPr>
                <w:spacing w:val="-4"/>
              </w:rPr>
              <w:t>K</w:t>
            </w:r>
            <w:r>
              <w:rPr>
                <w:spacing w:val="-4"/>
              </w:rPr>
              <w:t> </w:t>
            </w:r>
            <w:r w:rsidRPr="0012427B">
              <w:rPr>
                <w:spacing w:val="-4"/>
              </w:rPr>
              <w:t xml:space="preserve">meziročnímu poklesu </w:t>
            </w:r>
            <w:r>
              <w:rPr>
                <w:spacing w:val="-4"/>
              </w:rPr>
              <w:t xml:space="preserve">hrubé </w:t>
            </w:r>
            <w:r w:rsidRPr="0012427B">
              <w:rPr>
                <w:spacing w:val="-4"/>
              </w:rPr>
              <w:t>přidané hodnoty v tuzemské ekonomice v 1</w:t>
            </w:r>
            <w:r>
              <w:rPr>
                <w:spacing w:val="-4"/>
              </w:rPr>
              <w:t>. čtvrtlet</w:t>
            </w:r>
            <w:r w:rsidRPr="0012427B">
              <w:rPr>
                <w:spacing w:val="-4"/>
              </w:rPr>
              <w:t>í 2020 přispěl nejvíce segment obchod, doprava, ubytování a</w:t>
            </w:r>
            <w:r>
              <w:rPr>
                <w:spacing w:val="-4"/>
              </w:rPr>
              <w:t> </w:t>
            </w:r>
            <w:r w:rsidRPr="0012427B">
              <w:rPr>
                <w:spacing w:val="-4"/>
              </w:rPr>
              <w:t>pohostinství (</w:t>
            </w:r>
            <w:r w:rsidRPr="0012427B">
              <w:rPr>
                <w:color w:val="000000" w:themeColor="text1"/>
                <w:spacing w:val="-4"/>
              </w:rPr>
              <w:t>–</w:t>
            </w:r>
            <w:r w:rsidRPr="0012427B">
              <w:rPr>
                <w:spacing w:val="-4"/>
              </w:rPr>
              <w:t>0,93</w:t>
            </w:r>
            <w:r>
              <w:rPr>
                <w:spacing w:val="-4"/>
              </w:rPr>
              <w:t> </w:t>
            </w:r>
            <w:r w:rsidRPr="0012427B">
              <w:rPr>
                <w:spacing w:val="-4"/>
              </w:rPr>
              <w:t>p.</w:t>
            </w:r>
            <w:r>
              <w:rPr>
                <w:spacing w:val="-4"/>
              </w:rPr>
              <w:t> </w:t>
            </w:r>
            <w:r w:rsidRPr="0012427B">
              <w:rPr>
                <w:spacing w:val="-4"/>
              </w:rPr>
              <w:t>b</w:t>
            </w:r>
            <w:r>
              <w:rPr>
                <w:spacing w:val="-4"/>
              </w:rPr>
              <w:t>.</w:t>
            </w:r>
            <w:r w:rsidRPr="0012427B">
              <w:rPr>
                <w:spacing w:val="-4"/>
              </w:rPr>
              <w:t>), jehož výkon propadl bezmála o</w:t>
            </w:r>
            <w:r>
              <w:rPr>
                <w:spacing w:val="-4"/>
              </w:rPr>
              <w:t> </w:t>
            </w:r>
            <w:r w:rsidRPr="0012427B">
              <w:rPr>
                <w:spacing w:val="-4"/>
              </w:rPr>
              <w:t>5</w:t>
            </w:r>
            <w:r>
              <w:rPr>
                <w:spacing w:val="-4"/>
              </w:rPr>
              <w:t> %</w:t>
            </w:r>
            <w:r w:rsidRPr="0012427B">
              <w:rPr>
                <w:spacing w:val="-4"/>
              </w:rPr>
              <w:t>. V těsném závěsu ná</w:t>
            </w:r>
            <w:r>
              <w:rPr>
                <w:spacing w:val="-4"/>
              </w:rPr>
              <w:t>sledoval zpracovatelský průmysl</w:t>
            </w:r>
            <w:r>
              <w:rPr>
                <w:spacing w:val="-4"/>
              </w:rPr>
              <w:br/>
            </w:r>
            <w:r w:rsidRPr="0012427B">
              <w:rPr>
                <w:spacing w:val="-4"/>
              </w:rPr>
              <w:t>(</w:t>
            </w:r>
            <w:r w:rsidRPr="0012427B">
              <w:rPr>
                <w:color w:val="000000" w:themeColor="text1"/>
                <w:spacing w:val="-4"/>
              </w:rPr>
              <w:t>–</w:t>
            </w:r>
            <w:r w:rsidRPr="0012427B">
              <w:rPr>
                <w:spacing w:val="-4"/>
              </w:rPr>
              <w:t>0,86</w:t>
            </w:r>
            <w:r>
              <w:rPr>
                <w:spacing w:val="-4"/>
              </w:rPr>
              <w:t> p. b.</w:t>
            </w:r>
            <w:r w:rsidRPr="0012427B">
              <w:rPr>
                <w:spacing w:val="-4"/>
              </w:rPr>
              <w:t>)</w:t>
            </w:r>
            <w:r>
              <w:rPr>
                <w:spacing w:val="-4"/>
              </w:rPr>
              <w:t>, jenž se v minulosti podílel na recesi ekonomiky zpravidla nejvíce. Hlubší propad výkonu registrovala nezpracovatelská průmyslová odvětví (o 5 %, příspěvek 0,23 p. b.), poznamenaná pokračujícím útlumem těžby uhlí i dočasnými odstávkami v elektrárnách. Silně byly zasaženy také p</w:t>
            </w:r>
            <w:r w:rsidRPr="000D0B52">
              <w:rPr>
                <w:spacing w:val="-4"/>
              </w:rPr>
              <w:t>rofesní, vědecké, technické a</w:t>
            </w:r>
            <w:r>
              <w:rPr>
                <w:spacing w:val="-4"/>
              </w:rPr>
              <w:t> </w:t>
            </w:r>
            <w:r w:rsidRPr="000D0B52">
              <w:rPr>
                <w:spacing w:val="-4"/>
              </w:rPr>
              <w:t>administrativní činnosti</w:t>
            </w:r>
            <w:r>
              <w:rPr>
                <w:spacing w:val="-4"/>
              </w:rPr>
              <w:t>, které přitom po celý loňský rok dynamicky rostly. Po pěti letech se zastavil růst i ve finančnictví (</w:t>
            </w:r>
            <w:r w:rsidRPr="0012427B">
              <w:rPr>
                <w:color w:val="000000" w:themeColor="text1"/>
                <w:spacing w:val="-4"/>
              </w:rPr>
              <w:t>–</w:t>
            </w:r>
            <w:r>
              <w:rPr>
                <w:spacing w:val="-4"/>
              </w:rPr>
              <w:t>0,6 %), kde došlo také k významné redukci počtu odpracovaných hodin (o 9 % meziročně). V rámci sektoru služeb se v 1. čtvrtletí, podobně jako v letech 2018 i 2019, dařilo nejvíce i</w:t>
            </w:r>
            <w:r w:rsidRPr="00C545DA">
              <w:rPr>
                <w:spacing w:val="-4"/>
              </w:rPr>
              <w:t>nformační</w:t>
            </w:r>
            <w:r>
              <w:rPr>
                <w:spacing w:val="-4"/>
              </w:rPr>
              <w:t>m</w:t>
            </w:r>
            <w:r w:rsidRPr="00C545DA">
              <w:rPr>
                <w:spacing w:val="-4"/>
              </w:rPr>
              <w:t xml:space="preserve"> a</w:t>
            </w:r>
            <w:r>
              <w:rPr>
                <w:spacing w:val="-4"/>
              </w:rPr>
              <w:t> </w:t>
            </w:r>
            <w:r w:rsidRPr="00C545DA">
              <w:rPr>
                <w:spacing w:val="-4"/>
              </w:rPr>
              <w:t>komunikační</w:t>
            </w:r>
            <w:r>
              <w:rPr>
                <w:spacing w:val="-4"/>
              </w:rPr>
              <w:t>m činnostem. Růstové tempo se zde ale proti loňsku snížilo o víc než polovinu (na 3,8 %). Toto odvětví spolu se segmentem veřejné správy, obrany</w:t>
            </w:r>
            <w:r w:rsidRPr="000573B6">
              <w:rPr>
                <w:spacing w:val="-4"/>
              </w:rPr>
              <w:t>, vzdělávání, zdravotní a</w:t>
            </w:r>
            <w:r>
              <w:rPr>
                <w:spacing w:val="-4"/>
              </w:rPr>
              <w:t> </w:t>
            </w:r>
            <w:r w:rsidRPr="000573B6">
              <w:rPr>
                <w:spacing w:val="-4"/>
              </w:rPr>
              <w:t>sociální péče</w:t>
            </w:r>
            <w:r>
              <w:rPr>
                <w:spacing w:val="-4"/>
              </w:rPr>
              <w:t xml:space="preserve"> (+1,5 %) se nejvíce zasloužily o to, že pokles HPH v celém terciárním sektoru byl v 1. čtvrtletí jen mírný (</w:t>
            </w:r>
            <w:r w:rsidRPr="0012427B">
              <w:rPr>
                <w:color w:val="000000" w:themeColor="text1"/>
                <w:spacing w:val="-4"/>
              </w:rPr>
              <w:t>–</w:t>
            </w:r>
            <w:r>
              <w:rPr>
                <w:spacing w:val="-4"/>
              </w:rPr>
              <w:t>0,7 %). V kontrastu s ostatními segmenty sekundárního sektoru se stále dařilo stavebnictví (+2,5 %). Díky vysoké zásobě veřejných zakázek i příznivému počasí zde nedošlo k poklesu výkonu ani v mezičtvrtletním srovnání. To platilo též o odvětví z</w:t>
            </w:r>
            <w:r w:rsidRPr="008F56B5">
              <w:rPr>
                <w:spacing w:val="-4"/>
              </w:rPr>
              <w:t>emědělství, lesnictví a</w:t>
            </w:r>
            <w:r>
              <w:rPr>
                <w:spacing w:val="-4"/>
              </w:rPr>
              <w:t> </w:t>
            </w:r>
            <w:r w:rsidRPr="008F56B5">
              <w:rPr>
                <w:spacing w:val="-4"/>
              </w:rPr>
              <w:t>rybářství</w:t>
            </w:r>
            <w:r>
              <w:rPr>
                <w:spacing w:val="-4"/>
              </w:rPr>
              <w:t>, jehož meziroční růst (+5,3 %) byl mezi hlavními odvětvími nejvyšší. Segment zemědělské prvovýroby nebyl (vyjma zpřísněných hygienických opatření) regulačními zásahy negativně dotčen. Výroba masa v 1. čtvrtletí vzrostla meziročně o 2,0 % (v březnu o 4,7 %). Tuzemští producenti prodali v naturálním vyjádření o 6,2 % více mléka. Růst celého primárního sektoru patrně podpořila i pokračují</w:t>
            </w:r>
            <w:r w:rsidRPr="009F4892">
              <w:rPr>
                <w:spacing w:val="-4"/>
              </w:rPr>
              <w:t>cí živelní těžba dřeva.</w:t>
            </w:r>
          </w:p>
        </w:tc>
      </w:tr>
      <w:tr w:rsidR="0002669F" w:rsidRPr="006E0405" w14:paraId="2843DCB1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1B114347" w14:textId="77777777" w:rsidR="0002669F" w:rsidRDefault="0002669F" w:rsidP="0002669F">
            <w:pPr>
              <w:pStyle w:val="Marginlie"/>
            </w:pPr>
            <w:r>
              <w:t>Mezičtvrtletní pokles průmyslové produkce se na počátku roku 2020 prohloubil. Pokračovala tak technická recese.</w:t>
            </w:r>
          </w:p>
          <w:p w14:paraId="004EC99F" w14:textId="77777777" w:rsidR="0002669F" w:rsidRDefault="0002669F" w:rsidP="0002669F">
            <w:pPr>
              <w:pStyle w:val="Marginlie"/>
            </w:pPr>
          </w:p>
          <w:p w14:paraId="69998F88" w14:textId="77777777" w:rsidR="0002669F" w:rsidRDefault="0002669F" w:rsidP="0002669F">
            <w:pPr>
              <w:pStyle w:val="Marginlie"/>
            </w:pPr>
            <w:r>
              <w:lastRenderedPageBreak/>
              <w:t>Během ledna a února vykázal průmysl náznaky mírného oživení, především vlivem automobilového průmyslu.</w:t>
            </w:r>
          </w:p>
          <w:p w14:paraId="43244C25" w14:textId="77777777" w:rsidR="0002669F" w:rsidRDefault="0002669F" w:rsidP="0002669F">
            <w:pPr>
              <w:pStyle w:val="Marginlie"/>
            </w:pPr>
          </w:p>
          <w:p w14:paraId="6289F358" w14:textId="77777777" w:rsidR="0002669F" w:rsidRDefault="0002669F" w:rsidP="0002669F">
            <w:pPr>
              <w:pStyle w:val="Marginlie"/>
            </w:pPr>
          </w:p>
          <w:p w14:paraId="54B0C6BE" w14:textId="4D81BC77" w:rsidR="0002669F" w:rsidRDefault="0002669F" w:rsidP="0002669F">
            <w:pPr>
              <w:pStyle w:val="Marginlie"/>
            </w:pPr>
          </w:p>
          <w:p w14:paraId="1CC53C4B" w14:textId="77777777" w:rsidR="0002669F" w:rsidRDefault="0002669F" w:rsidP="0002669F">
            <w:pPr>
              <w:pStyle w:val="Marginlie"/>
            </w:pPr>
            <w:r>
              <w:t>Nabídkový šok vyústil v březnu ve více než 10% propad průmyslové produkce.</w:t>
            </w:r>
          </w:p>
          <w:p w14:paraId="55A6D7D8" w14:textId="77777777" w:rsidR="0002669F" w:rsidRDefault="0002669F" w:rsidP="0002669F">
            <w:pPr>
              <w:pStyle w:val="Marginlie"/>
            </w:pP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7CB3680F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9AC0B8D" w14:textId="77777777" w:rsidR="0002669F" w:rsidRPr="006E0405" w:rsidRDefault="0002669F" w:rsidP="0002669F">
            <w:pPr>
              <w:spacing w:after="220"/>
              <w:rPr>
                <w:spacing w:val="-4"/>
              </w:rPr>
            </w:pPr>
            <w:r w:rsidRPr="006E0405">
              <w:rPr>
                <w:spacing w:val="-4"/>
              </w:rPr>
              <w:t xml:space="preserve">Citelné ochlazení výkonů tuzemského průmyslu v roce 2020 dokládají i podrobnější údaje z podnikových statistik. Jestliže v poslední čtvrtině loňského roku </w:t>
            </w:r>
            <w:r w:rsidRPr="006E0405">
              <w:rPr>
                <w:color w:val="000000" w:themeColor="text1"/>
                <w:spacing w:val="-4"/>
              </w:rPr>
              <w:t>klesla průmyslová produkce</w:t>
            </w:r>
            <w:r w:rsidRPr="006E0405">
              <w:rPr>
                <w:color w:val="000000" w:themeColor="text1"/>
                <w:spacing w:val="-4"/>
                <w:vertAlign w:val="superscript"/>
              </w:rPr>
              <w:footnoteReference w:id="5"/>
            </w:r>
            <w:r w:rsidRPr="006E0405">
              <w:rPr>
                <w:color w:val="000000" w:themeColor="text1"/>
                <w:spacing w:val="-4"/>
              </w:rPr>
              <w:t xml:space="preserve"> mezikvartálně „jen“ o 0,4 %, v 1. čtvrtletí došlo k prohloubení na 3,4 %. Průmysl </w:t>
            </w:r>
            <w:r w:rsidRPr="006E0405">
              <w:rPr>
                <w:rFonts w:cstheme="minorHAnsi"/>
                <w:spacing w:val="-4"/>
              </w:rPr>
              <w:t xml:space="preserve">na rozdíl od většiny ostatních odvětví směřoval v Česku k cyklickému útlumu (ve vazbě na dřívější pokles v eurozóně) již během loňského roku. Na jeho konci spadl poprvé od konce </w:t>
            </w:r>
            <w:r w:rsidRPr="006E0405">
              <w:rPr>
                <w:rFonts w:cstheme="minorHAnsi"/>
                <w:spacing w:val="-4"/>
              </w:rPr>
              <w:lastRenderedPageBreak/>
              <w:t xml:space="preserve">roku 2012 do technické recese, neboť </w:t>
            </w:r>
            <w:r w:rsidRPr="006E0405">
              <w:rPr>
                <w:color w:val="000000" w:themeColor="text1"/>
                <w:spacing w:val="-4"/>
              </w:rPr>
              <w:t xml:space="preserve">opakovaný pokles produkce byl v tomto odvětví doprovázen i redukcí zaměstnanosti. Tuzemští exportéři byli negativně ovlivněni oslabením dynamiky poptávky v asijských zemích i silnější recesí německého průmyslu, jež přesáhla délku (nikoli však intenzitu) útlumu z přelomu let 2008 a 2009. Přestože během ledna a února 2020 registroval průmysl náznak mírného oživení (meziměsíční pokles produkce se zejména vlivem vývoje v automobilovém průmyslu zastavil), pro celé 1. čtvrtletí byl určující prudký březnový zlom. Při něm došlo k téměř 11% meziměsíčnímu propadu, jenž byl oproti dosud rekordnímu (z ledna 2009) dvojnásobný. Meziroční útlum činil 12,5 % a snesl srovnání jen s rokem 2009. </w:t>
            </w:r>
            <w:r w:rsidRPr="006E0405">
              <w:rPr>
                <w:spacing w:val="-4"/>
              </w:rPr>
              <w:t>Opatření proti šíření koronaviru vedla postupně k narušení či k úplnému zpřetrhání dodavatelských řetězců. Během druhé poloviny března omezila řada podniků výrobu, někde ji prakticky zastavila (to se týkalo i klíčových exportních firem). Využití výrobních kapacit v průmyslu kleslo na počátku 2. čtvrtletí 2020 na 71 % (na začátku letošního roku činilo ještě „standardních“ 84 %, po sezónním očištění)</w:t>
            </w:r>
            <w:r w:rsidRPr="006E0405">
              <w:rPr>
                <w:color w:val="000000" w:themeColor="text1"/>
                <w:spacing w:val="-4"/>
                <w:vertAlign w:val="superscript"/>
              </w:rPr>
              <w:footnoteReference w:id="6"/>
            </w:r>
            <w:r w:rsidRPr="006E0405">
              <w:rPr>
                <w:spacing w:val="-4"/>
              </w:rPr>
              <w:t>.</w:t>
            </w:r>
          </w:p>
        </w:tc>
      </w:tr>
      <w:tr w:rsidR="0002669F" w:rsidRPr="00DB613B" w14:paraId="3A37C27E" w14:textId="77777777" w:rsidTr="00BE277D"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4E763C2E" w14:textId="77777777" w:rsidR="0002669F" w:rsidRDefault="0002669F" w:rsidP="0002669F">
            <w:pPr>
              <w:pStyle w:val="Marginlie"/>
            </w:pPr>
          </w:p>
        </w:tc>
        <w:tc>
          <w:tcPr>
            <w:tcW w:w="205" w:type="dxa"/>
            <w:vMerge w:val="restart"/>
            <w:shd w:val="clear" w:color="auto" w:fill="auto"/>
            <w:tcMar>
              <w:left w:w="0" w:type="dxa"/>
            </w:tcMar>
          </w:tcPr>
          <w:p w14:paraId="28EF8E4C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932CE6F" w14:textId="77777777" w:rsidR="0002669F" w:rsidRPr="00DB613B" w:rsidRDefault="0002669F" w:rsidP="0002669F">
            <w:pPr>
              <w:spacing w:after="0"/>
              <w:rPr>
                <w:b/>
              </w:rPr>
            </w:pPr>
            <w:r w:rsidRPr="00DB613B">
              <w:rPr>
                <w:rFonts w:cs="Arial"/>
                <w:b/>
                <w:bCs/>
                <w:color w:val="000000"/>
                <w:szCs w:val="20"/>
              </w:rPr>
              <w:t>Graf č. 4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B613B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B613B">
              <w:rPr>
                <w:b/>
              </w:rPr>
              <w:t>Příspěvky dílčích odvětví k meziroční změně průmyslové produkce</w:t>
            </w:r>
          </w:p>
          <w:p w14:paraId="7D261D1C" w14:textId="77777777" w:rsidR="0002669F" w:rsidRPr="00DB613B" w:rsidRDefault="0002669F" w:rsidP="0002669F">
            <w:pPr>
              <w:spacing w:after="0"/>
              <w:rPr>
                <w:b/>
              </w:rPr>
            </w:pPr>
            <w:r w:rsidRPr="00DB613B">
              <w:t>(v procentních bodech, očištěno o kalendářní vlivy)</w:t>
            </w:r>
          </w:p>
        </w:tc>
      </w:tr>
      <w:tr w:rsidR="0002669F" w:rsidRPr="00DB613B" w14:paraId="2C807489" w14:textId="77777777" w:rsidTr="00BE277D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/>
            <w:shd w:val="clear" w:color="auto" w:fill="auto"/>
          </w:tcPr>
          <w:p w14:paraId="082D376A" w14:textId="77777777" w:rsidR="0002669F" w:rsidRPr="009110F7" w:rsidRDefault="0002669F" w:rsidP="0002669F">
            <w:pPr>
              <w:pStyle w:val="Marginlie"/>
            </w:pPr>
          </w:p>
        </w:tc>
        <w:tc>
          <w:tcPr>
            <w:tcW w:w="205" w:type="dxa"/>
            <w:vMerge/>
            <w:shd w:val="clear" w:color="auto" w:fill="auto"/>
          </w:tcPr>
          <w:p w14:paraId="49B3969A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</w:tcPr>
          <w:p w14:paraId="09A57B86" w14:textId="77777777" w:rsidR="0002669F" w:rsidRPr="00DB613B" w:rsidRDefault="0002669F" w:rsidP="0002669F">
            <w:pPr>
              <w:spacing w:after="0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08D0B72" wp14:editId="6DFD11B1">
                  <wp:extent cx="4781551" cy="3552825"/>
                  <wp:effectExtent l="0" t="0" r="0" b="0"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2669F" w:rsidRPr="00DB613B" w14:paraId="76293C70" w14:textId="77777777" w:rsidTr="00BE277D"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/>
            <w:shd w:val="clear" w:color="auto" w:fill="auto"/>
            <w:tcMar>
              <w:left w:w="0" w:type="dxa"/>
            </w:tcMar>
          </w:tcPr>
          <w:p w14:paraId="57036FBA" w14:textId="77777777" w:rsidR="0002669F" w:rsidRPr="009110F7" w:rsidRDefault="0002669F" w:rsidP="0002669F">
            <w:pPr>
              <w:pStyle w:val="Marginlie"/>
            </w:pPr>
          </w:p>
        </w:tc>
        <w:tc>
          <w:tcPr>
            <w:tcW w:w="205" w:type="dxa"/>
            <w:vMerge/>
            <w:shd w:val="clear" w:color="auto" w:fill="auto"/>
            <w:tcMar>
              <w:left w:w="0" w:type="dxa"/>
            </w:tcMar>
          </w:tcPr>
          <w:p w14:paraId="39E2291C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344FD849" w14:textId="77777777" w:rsidR="0002669F" w:rsidRPr="00DB613B" w:rsidRDefault="0002669F" w:rsidP="0002669F">
            <w:pPr>
              <w:spacing w:after="120"/>
              <w:rPr>
                <w:color w:val="000000" w:themeColor="text1"/>
              </w:rPr>
            </w:pPr>
            <w:r w:rsidRPr="00DB613B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02669F" w:rsidRPr="00344DAD" w14:paraId="38D46292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27007F50" w14:textId="77777777" w:rsidR="0002669F" w:rsidRDefault="0002669F" w:rsidP="0002669F">
            <w:pPr>
              <w:pStyle w:val="Marginlie"/>
            </w:pPr>
            <w:r>
              <w:t>Průmyslová produkce se v 1. čtvrtletí snížila nejvíce od konce roku 2012. Dvě pětiny poklesu šly na vrub automobilového průmyslu a nejbližších návazných oborů.</w:t>
            </w:r>
          </w:p>
          <w:p w14:paraId="5920E5D2" w14:textId="77777777" w:rsidR="0002669F" w:rsidRDefault="0002669F" w:rsidP="0002669F">
            <w:pPr>
              <w:pStyle w:val="Marginlie"/>
            </w:pPr>
          </w:p>
          <w:p w14:paraId="5E1D873F" w14:textId="77777777" w:rsidR="0002669F" w:rsidRDefault="0002669F" w:rsidP="0002669F">
            <w:pPr>
              <w:pStyle w:val="Marginlie"/>
            </w:pPr>
          </w:p>
          <w:p w14:paraId="2DDA738C" w14:textId="77777777" w:rsidR="0002669F" w:rsidRDefault="0002669F" w:rsidP="0002669F">
            <w:pPr>
              <w:pStyle w:val="Marginlie"/>
            </w:pPr>
          </w:p>
          <w:p w14:paraId="308F9EC6" w14:textId="77777777" w:rsidR="0002669F" w:rsidRDefault="0002669F" w:rsidP="0002669F">
            <w:pPr>
              <w:pStyle w:val="Marginlie"/>
            </w:pPr>
            <w:r>
              <w:lastRenderedPageBreak/>
              <w:t>Hlubší pokles byl patrný i ve strojírenství, kovovýrobě, energetice a těžbě a dobývání.</w:t>
            </w:r>
          </w:p>
          <w:p w14:paraId="10CACE66" w14:textId="77777777" w:rsidR="0002669F" w:rsidRDefault="0002669F" w:rsidP="0002669F">
            <w:pPr>
              <w:pStyle w:val="Marginlie"/>
            </w:pPr>
          </w:p>
          <w:p w14:paraId="4F5CE8EF" w14:textId="77777777" w:rsidR="0002669F" w:rsidRDefault="0002669F" w:rsidP="0002669F">
            <w:pPr>
              <w:pStyle w:val="Marginlie"/>
            </w:pPr>
          </w:p>
          <w:p w14:paraId="3A60F669" w14:textId="77777777" w:rsidR="0002669F" w:rsidRDefault="0002669F" w:rsidP="0002669F">
            <w:pPr>
              <w:pStyle w:val="Marginlie"/>
            </w:pPr>
          </w:p>
          <w:p w14:paraId="27B144E3" w14:textId="648F04FD" w:rsidR="0002669F" w:rsidRDefault="0002669F" w:rsidP="0002669F">
            <w:pPr>
              <w:pStyle w:val="Marginlie"/>
            </w:pPr>
          </w:p>
          <w:p w14:paraId="56AC730F" w14:textId="77777777" w:rsidR="0002669F" w:rsidRDefault="0002669F" w:rsidP="0002669F">
            <w:pPr>
              <w:pStyle w:val="Marginlie"/>
            </w:pPr>
            <w:r>
              <w:t>Růst byl omezen především na odvětví, v nichž souvisel se specifickou skladbou poptávky v době pandemie.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30C6E1F0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58D685B5" w14:textId="77777777" w:rsidR="0002669F" w:rsidRPr="00344DAD" w:rsidRDefault="0002669F" w:rsidP="0002669F">
            <w:pPr>
              <w:spacing w:after="200"/>
              <w:rPr>
                <w:color w:val="0D0D0D" w:themeColor="text1" w:themeTint="F2"/>
                <w:spacing w:val="-3"/>
              </w:rPr>
            </w:pPr>
            <w:r w:rsidRPr="00344DAD">
              <w:rPr>
                <w:color w:val="0D0D0D" w:themeColor="text1" w:themeTint="F2"/>
                <w:spacing w:val="-3"/>
              </w:rPr>
              <w:t>V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344DAD">
              <w:rPr>
                <w:color w:val="0D0D0D" w:themeColor="text1" w:themeTint="F2"/>
                <w:spacing w:val="-3"/>
              </w:rPr>
              <w:t>1</w:t>
            </w:r>
            <w:r>
              <w:rPr>
                <w:color w:val="0D0D0D" w:themeColor="text1" w:themeTint="F2"/>
                <w:spacing w:val="-3"/>
              </w:rPr>
              <w:t>. čtvrtlet</w:t>
            </w:r>
            <w:r w:rsidRPr="00344DAD">
              <w:rPr>
                <w:color w:val="0D0D0D" w:themeColor="text1" w:themeTint="F2"/>
                <w:spacing w:val="-3"/>
              </w:rPr>
              <w:t>í 2020 klesla produkce průmyslu o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344DAD">
              <w:rPr>
                <w:color w:val="0D0D0D" w:themeColor="text1" w:themeTint="F2"/>
                <w:spacing w:val="-3"/>
              </w:rPr>
              <w:t>5,0</w:t>
            </w:r>
            <w:r>
              <w:rPr>
                <w:color w:val="0D0D0D" w:themeColor="text1" w:themeTint="F2"/>
                <w:spacing w:val="-3"/>
              </w:rPr>
              <w:t> %</w:t>
            </w:r>
            <w:r w:rsidRPr="00344DAD">
              <w:rPr>
                <w:color w:val="0D0D0D" w:themeColor="text1" w:themeTint="F2"/>
                <w:spacing w:val="-3"/>
              </w:rPr>
              <w:t xml:space="preserve"> (vyšší meziroční pokles se objevil naposledy ve 4</w:t>
            </w:r>
            <w:r>
              <w:rPr>
                <w:color w:val="0D0D0D" w:themeColor="text1" w:themeTint="F2"/>
                <w:spacing w:val="-3"/>
              </w:rPr>
              <w:t>. čtvrtlet</w:t>
            </w:r>
            <w:r w:rsidRPr="00344DAD">
              <w:rPr>
                <w:color w:val="0D0D0D" w:themeColor="text1" w:themeTint="F2"/>
                <w:spacing w:val="-3"/>
              </w:rPr>
              <w:t xml:space="preserve">í 2012). Průmysl táhl dolů hlavně nižší výkon ve výrobě motorových vozidel (příspěvek </w:t>
            </w:r>
            <w:r w:rsidRPr="00344DAD">
              <w:rPr>
                <w:color w:val="000000" w:themeColor="text1"/>
                <w:spacing w:val="-3"/>
              </w:rPr>
              <w:t>–</w:t>
            </w:r>
            <w:r w:rsidRPr="00344DAD">
              <w:rPr>
                <w:color w:val="0D0D0D" w:themeColor="text1" w:themeTint="F2"/>
                <w:spacing w:val="-3"/>
              </w:rPr>
              <w:t>1,6</w:t>
            </w:r>
            <w:r>
              <w:rPr>
                <w:color w:val="0D0D0D" w:themeColor="text1" w:themeTint="F2"/>
                <w:spacing w:val="-3"/>
              </w:rPr>
              <w:t> p. b.</w:t>
            </w:r>
            <w:r w:rsidRPr="00344DAD">
              <w:rPr>
                <w:color w:val="0D0D0D" w:themeColor="text1" w:themeTint="F2"/>
                <w:spacing w:val="-3"/>
              </w:rPr>
              <w:t xml:space="preserve"> při poklesu odvětví o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344DAD">
              <w:rPr>
                <w:color w:val="0D0D0D" w:themeColor="text1" w:themeTint="F2"/>
                <w:spacing w:val="-3"/>
              </w:rPr>
              <w:t>8,1</w:t>
            </w:r>
            <w:r>
              <w:rPr>
                <w:color w:val="0D0D0D" w:themeColor="text1" w:themeTint="F2"/>
                <w:spacing w:val="-3"/>
              </w:rPr>
              <w:t> %</w:t>
            </w:r>
            <w:r w:rsidRPr="00344DAD">
              <w:rPr>
                <w:rStyle w:val="Znakapoznpodarou"/>
                <w:spacing w:val="-3"/>
              </w:rPr>
              <w:footnoteReference w:id="7"/>
            </w:r>
            <w:r w:rsidRPr="00344DAD">
              <w:rPr>
                <w:spacing w:val="-3"/>
              </w:rPr>
              <w:t>)</w:t>
            </w:r>
            <w:r w:rsidRPr="00344DAD">
              <w:rPr>
                <w:color w:val="0D0D0D" w:themeColor="text1" w:themeTint="F2"/>
                <w:spacing w:val="-3"/>
              </w:rPr>
              <w:t xml:space="preserve">, dalších </w:t>
            </w:r>
            <w:r w:rsidRPr="00344DAD">
              <w:rPr>
                <w:color w:val="000000" w:themeColor="text1"/>
                <w:spacing w:val="-3"/>
              </w:rPr>
              <w:t>–</w:t>
            </w:r>
            <w:r w:rsidRPr="00344DAD">
              <w:rPr>
                <w:color w:val="0D0D0D" w:themeColor="text1" w:themeTint="F2"/>
                <w:spacing w:val="-3"/>
              </w:rPr>
              <w:t>0,5</w:t>
            </w:r>
            <w:r>
              <w:rPr>
                <w:color w:val="0D0D0D" w:themeColor="text1" w:themeTint="F2"/>
                <w:spacing w:val="-3"/>
              </w:rPr>
              <w:t> p. b.</w:t>
            </w:r>
            <w:r w:rsidRPr="00344DAD">
              <w:rPr>
                <w:color w:val="0D0D0D" w:themeColor="text1" w:themeTint="F2"/>
                <w:spacing w:val="-3"/>
              </w:rPr>
              <w:t xml:space="preserve"> přidaly navazující obory (výroba elektrických zařízení, gumárenství). Významný byl i</w:t>
            </w:r>
            <w:r w:rsidRPr="00344DAD">
              <w:rPr>
                <w:spacing w:val="-3"/>
              </w:rPr>
              <w:t> </w:t>
            </w:r>
            <w:r w:rsidRPr="00344DAD">
              <w:rPr>
                <w:color w:val="0D0D0D" w:themeColor="text1" w:themeTint="F2"/>
                <w:spacing w:val="-3"/>
              </w:rPr>
              <w:t>negativní vliv strojírenství (</w:t>
            </w:r>
            <w:r w:rsidRPr="00344DAD">
              <w:rPr>
                <w:color w:val="000000" w:themeColor="text1"/>
                <w:spacing w:val="-3"/>
              </w:rPr>
              <w:t>–0,8</w:t>
            </w:r>
            <w:r>
              <w:rPr>
                <w:color w:val="000000" w:themeColor="text1"/>
                <w:spacing w:val="-3"/>
              </w:rPr>
              <w:t> p. b.</w:t>
            </w:r>
            <w:r w:rsidRPr="00344DAD">
              <w:rPr>
                <w:color w:val="000000" w:themeColor="text1"/>
                <w:spacing w:val="-3"/>
              </w:rPr>
              <w:t>), neboť jeho pokles byl mezi váhově významnějšími průmyslovými obory nejhlubší (o</w:t>
            </w:r>
            <w:r>
              <w:rPr>
                <w:color w:val="000000" w:themeColor="text1"/>
                <w:spacing w:val="-3"/>
              </w:rPr>
              <w:t> </w:t>
            </w:r>
            <w:r w:rsidRPr="00344DAD">
              <w:rPr>
                <w:color w:val="000000" w:themeColor="text1"/>
                <w:spacing w:val="-3"/>
              </w:rPr>
              <w:t>9,3</w:t>
            </w:r>
            <w:r>
              <w:rPr>
                <w:color w:val="000000" w:themeColor="text1"/>
                <w:spacing w:val="-3"/>
              </w:rPr>
              <w:t> %</w:t>
            </w:r>
            <w:r w:rsidRPr="00344DAD">
              <w:rPr>
                <w:color w:val="000000" w:themeColor="text1"/>
                <w:spacing w:val="-3"/>
              </w:rPr>
              <w:t>). Jen s nepatrně slabší intenzitou působily při prakticky shodném 6,5% poklesu produkce kovodělný průmysl (–0,7</w:t>
            </w:r>
            <w:r>
              <w:rPr>
                <w:color w:val="000000" w:themeColor="text1"/>
                <w:spacing w:val="-3"/>
              </w:rPr>
              <w:t> p. b.</w:t>
            </w:r>
            <w:r w:rsidRPr="00344DAD">
              <w:rPr>
                <w:color w:val="000000" w:themeColor="text1"/>
                <w:spacing w:val="-3"/>
              </w:rPr>
              <w:t>) a</w:t>
            </w:r>
            <w:r>
              <w:rPr>
                <w:color w:val="000000" w:themeColor="text1"/>
                <w:spacing w:val="-3"/>
              </w:rPr>
              <w:t> </w:t>
            </w:r>
            <w:r w:rsidRPr="00344DAD">
              <w:rPr>
                <w:color w:val="000000" w:themeColor="text1"/>
                <w:spacing w:val="-3"/>
              </w:rPr>
              <w:t>energetika (–0,8</w:t>
            </w:r>
            <w:r>
              <w:rPr>
                <w:color w:val="000000" w:themeColor="text1"/>
                <w:spacing w:val="-3"/>
              </w:rPr>
              <w:t> p. b.</w:t>
            </w:r>
            <w:r w:rsidRPr="00344DAD">
              <w:rPr>
                <w:color w:val="000000" w:themeColor="text1"/>
                <w:spacing w:val="-3"/>
              </w:rPr>
              <w:t xml:space="preserve">), jejíž výkon byl utlumen dočasnými odstávkami zařízení v jaderných elektrárnách. Vliv dalších odvětví byl již řádově menší. Pokles </w:t>
            </w:r>
            <w:r>
              <w:rPr>
                <w:color w:val="000000" w:themeColor="text1"/>
                <w:spacing w:val="-3"/>
              </w:rPr>
              <w:t>v </w:t>
            </w:r>
            <w:r w:rsidRPr="00344DAD">
              <w:rPr>
                <w:color w:val="000000" w:themeColor="text1"/>
                <w:spacing w:val="-3"/>
              </w:rPr>
              <w:t>těžebním průmyslu se prohloubil (na –10,5</w:t>
            </w:r>
            <w:r>
              <w:rPr>
                <w:color w:val="000000" w:themeColor="text1"/>
                <w:spacing w:val="-3"/>
              </w:rPr>
              <w:t> %</w:t>
            </w:r>
            <w:r w:rsidRPr="00344DAD">
              <w:rPr>
                <w:color w:val="000000" w:themeColor="text1"/>
                <w:spacing w:val="-3"/>
              </w:rPr>
              <w:t xml:space="preserve">), primárně </w:t>
            </w:r>
            <w:r w:rsidRPr="00344DAD">
              <w:rPr>
                <w:color w:val="000000" w:themeColor="text1"/>
                <w:spacing w:val="-3"/>
              </w:rPr>
              <w:lastRenderedPageBreak/>
              <w:t>vinou dalšího útlumu těžby uhlí. Nižší produkci vykázal</w:t>
            </w:r>
            <w:r>
              <w:rPr>
                <w:color w:val="000000" w:themeColor="text1"/>
                <w:spacing w:val="-3"/>
              </w:rPr>
              <w:t>a</w:t>
            </w:r>
            <w:r w:rsidRPr="00344DAD">
              <w:rPr>
                <w:color w:val="000000" w:themeColor="text1"/>
                <w:spacing w:val="-3"/>
              </w:rPr>
              <w:t xml:space="preserve"> i</w:t>
            </w:r>
            <w:r>
              <w:rPr>
                <w:color w:val="000000" w:themeColor="text1"/>
                <w:spacing w:val="-3"/>
              </w:rPr>
              <w:t> </w:t>
            </w:r>
            <w:r w:rsidRPr="00344DAD">
              <w:rPr>
                <w:color w:val="000000" w:themeColor="text1"/>
                <w:spacing w:val="-3"/>
              </w:rPr>
              <w:t>těžba stavebních materiálů, jež nenavázala na velmi silný loňský růst (skoro o</w:t>
            </w:r>
            <w:r>
              <w:rPr>
                <w:color w:val="000000" w:themeColor="text1"/>
                <w:spacing w:val="-3"/>
              </w:rPr>
              <w:t> </w:t>
            </w:r>
            <w:r w:rsidRPr="00344DAD">
              <w:rPr>
                <w:color w:val="000000" w:themeColor="text1"/>
                <w:spacing w:val="-3"/>
              </w:rPr>
              <w:t>šestinu). Pokles zaznamenala většina menších výrazně proexportních odvětví, byť tuzemská poptávka v</w:t>
            </w:r>
            <w:r>
              <w:rPr>
                <w:color w:val="000000" w:themeColor="text1"/>
                <w:spacing w:val="-3"/>
              </w:rPr>
              <w:t> </w:t>
            </w:r>
            <w:r w:rsidRPr="00344DAD">
              <w:rPr>
                <w:color w:val="000000" w:themeColor="text1"/>
                <w:spacing w:val="-3"/>
              </w:rPr>
              <w:t>nich mnohdy negativní tendence nevykazovala (textilní či oděvní průmysl). Uzavření restauračních zařízení s faktickým zastavením příjezdového cestovního ruchu citelně dopadlo na výrobu nápojů. Bezmála 8% meziroční snížení představovalo v tomto odvětví nejhorší výsledek od konce roku 2010. Růst produkce se v 1</w:t>
            </w:r>
            <w:r>
              <w:rPr>
                <w:color w:val="000000" w:themeColor="text1"/>
                <w:spacing w:val="-3"/>
              </w:rPr>
              <w:t>. čtvrtlet</w:t>
            </w:r>
            <w:r w:rsidRPr="00344DAD">
              <w:rPr>
                <w:color w:val="000000" w:themeColor="text1"/>
                <w:spacing w:val="-3"/>
              </w:rPr>
              <w:t>í týkal pětiny zpracovatelských odvětví, byl z větší části ovlivněn specifickou skladbou poptávky během koronavirové krize. T</w:t>
            </w:r>
            <w:r>
              <w:rPr>
                <w:color w:val="000000" w:themeColor="text1"/>
                <w:spacing w:val="-3"/>
              </w:rPr>
              <w:t>a</w:t>
            </w:r>
            <w:r w:rsidRPr="00344DAD">
              <w:rPr>
                <w:color w:val="000000" w:themeColor="text1"/>
                <w:spacing w:val="-3"/>
              </w:rPr>
              <w:t>to odvětví ale v úhrnu přispěl</w:t>
            </w:r>
            <w:r>
              <w:rPr>
                <w:color w:val="000000" w:themeColor="text1"/>
                <w:spacing w:val="-3"/>
              </w:rPr>
              <w:t>a</w:t>
            </w:r>
            <w:r w:rsidRPr="00344DAD">
              <w:rPr>
                <w:color w:val="000000" w:themeColor="text1"/>
                <w:spacing w:val="-3"/>
              </w:rPr>
              <w:t xml:space="preserve"> k meziro</w:t>
            </w:r>
            <w:r>
              <w:rPr>
                <w:color w:val="000000" w:themeColor="text1"/>
                <w:spacing w:val="-3"/>
              </w:rPr>
              <w:t>čnímu pohybu celého průmyslu pouze</w:t>
            </w:r>
            <w:r w:rsidRPr="00344DAD">
              <w:rPr>
                <w:color w:val="000000" w:themeColor="text1"/>
                <w:spacing w:val="-3"/>
              </w:rPr>
              <w:t xml:space="preserve"> 0,5</w:t>
            </w:r>
            <w:r>
              <w:rPr>
                <w:color w:val="000000" w:themeColor="text1"/>
                <w:spacing w:val="-3"/>
              </w:rPr>
              <w:t> </w:t>
            </w:r>
            <w:r w:rsidRPr="00344DAD">
              <w:rPr>
                <w:color w:val="000000" w:themeColor="text1"/>
                <w:spacing w:val="-3"/>
              </w:rPr>
              <w:t>p.</w:t>
            </w:r>
            <w:r>
              <w:rPr>
                <w:color w:val="000000" w:themeColor="text1"/>
                <w:spacing w:val="-3"/>
              </w:rPr>
              <w:t> </w:t>
            </w:r>
            <w:r w:rsidRPr="00344DAD">
              <w:rPr>
                <w:color w:val="000000" w:themeColor="text1"/>
                <w:spacing w:val="-3"/>
              </w:rPr>
              <w:t>b. Jednalo se o potravinářství (+1,9</w:t>
            </w:r>
            <w:r>
              <w:rPr>
                <w:color w:val="000000" w:themeColor="text1"/>
                <w:spacing w:val="-3"/>
              </w:rPr>
              <w:t> %</w:t>
            </w:r>
            <w:r w:rsidRPr="00344DAD">
              <w:rPr>
                <w:color w:val="000000" w:themeColor="text1"/>
                <w:spacing w:val="-3"/>
              </w:rPr>
              <w:t>), farmaceutický průmysl (+7,9</w:t>
            </w:r>
            <w:r>
              <w:rPr>
                <w:color w:val="000000" w:themeColor="text1"/>
                <w:spacing w:val="-3"/>
              </w:rPr>
              <w:t> %</w:t>
            </w:r>
            <w:r w:rsidRPr="00344DAD">
              <w:rPr>
                <w:color w:val="000000" w:themeColor="text1"/>
                <w:spacing w:val="-3"/>
              </w:rPr>
              <w:t>). Nebývalý objem živelní těžby vyústil v téměř 13% růst v</w:t>
            </w:r>
            <w:r>
              <w:rPr>
                <w:color w:val="000000" w:themeColor="text1"/>
                <w:spacing w:val="-3"/>
              </w:rPr>
              <w:t xml:space="preserve">e </w:t>
            </w:r>
            <w:r w:rsidRPr="00344DAD">
              <w:rPr>
                <w:color w:val="000000" w:themeColor="text1"/>
                <w:spacing w:val="-3"/>
              </w:rPr>
              <w:t>dřevozpracujícím průmyslu, nejvyšší od konce roku 2013. Vyšší výkon zaznamenal návazný papírenský průmysl (</w:t>
            </w:r>
            <w:r>
              <w:rPr>
                <w:color w:val="000000" w:themeColor="text1"/>
                <w:spacing w:val="-3"/>
              </w:rPr>
              <w:t>nikoli však</w:t>
            </w:r>
            <w:r w:rsidRPr="00344DAD">
              <w:rPr>
                <w:color w:val="000000" w:themeColor="text1"/>
                <w:spacing w:val="-3"/>
              </w:rPr>
              <w:t xml:space="preserve"> nábytkářství). Po loňském zvolnění opět rostla produkce v</w:t>
            </w:r>
            <w:r>
              <w:rPr>
                <w:color w:val="000000" w:themeColor="text1"/>
                <w:spacing w:val="-3"/>
              </w:rPr>
              <w:t> </w:t>
            </w:r>
            <w:r w:rsidRPr="00344DAD">
              <w:rPr>
                <w:color w:val="000000" w:themeColor="text1"/>
                <w:spacing w:val="-3"/>
              </w:rPr>
              <w:t>odvětví ostatních nekovových minerálních výrobků, primárně vlivem rozvoje stavebnictví.</w:t>
            </w:r>
          </w:p>
        </w:tc>
      </w:tr>
      <w:tr w:rsidR="0002669F" w:rsidRPr="00E8182E" w14:paraId="17B592DF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46D65182" w14:textId="77777777" w:rsidR="0002669F" w:rsidRDefault="0002669F" w:rsidP="0002669F">
            <w:pPr>
              <w:pStyle w:val="Marginlie"/>
            </w:pPr>
            <w:r>
              <w:lastRenderedPageBreak/>
              <w:t>Tržby průmyslových podniků meziročně klesly druhé čtvrtletí v řadě. Nejvíce propadly v hutnictví a těžbě uhlí.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2701B33B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745B175" w14:textId="77777777" w:rsidR="0002669F" w:rsidRPr="00E8182E" w:rsidRDefault="0002669F" w:rsidP="0002669F">
            <w:pPr>
              <w:spacing w:after="200"/>
              <w:rPr>
                <w:spacing w:val="-3"/>
              </w:rPr>
            </w:pPr>
            <w:r w:rsidRPr="00E8182E">
              <w:rPr>
                <w:spacing w:val="-3"/>
              </w:rPr>
              <w:t>Nominální tržby podniků z</w:t>
            </w:r>
            <w:r>
              <w:rPr>
                <w:spacing w:val="-3"/>
              </w:rPr>
              <w:t> </w:t>
            </w:r>
            <w:r w:rsidRPr="00E8182E">
              <w:rPr>
                <w:spacing w:val="-3"/>
              </w:rPr>
              <w:t>průmyslové činnosti se v 1</w:t>
            </w:r>
            <w:r>
              <w:rPr>
                <w:spacing w:val="-3"/>
              </w:rPr>
              <w:t>. čtvrtlet</w:t>
            </w:r>
            <w:r w:rsidRPr="00E8182E">
              <w:rPr>
                <w:spacing w:val="-3"/>
              </w:rPr>
              <w:t>í meziročně snížily o</w:t>
            </w:r>
            <w:r>
              <w:rPr>
                <w:spacing w:val="-3"/>
              </w:rPr>
              <w:t> </w:t>
            </w:r>
            <w:r w:rsidRPr="00E8182E">
              <w:rPr>
                <w:spacing w:val="-3"/>
              </w:rPr>
              <w:t xml:space="preserve">3,1 % (navázaly </w:t>
            </w:r>
            <w:r>
              <w:rPr>
                <w:spacing w:val="-3"/>
              </w:rPr>
              <w:t xml:space="preserve">tak </w:t>
            </w:r>
            <w:r w:rsidRPr="00E8182E">
              <w:rPr>
                <w:spacing w:val="-3"/>
              </w:rPr>
              <w:t>na obdobný vývoj na konci loňského roku). Zatímco u</w:t>
            </w:r>
            <w:r>
              <w:rPr>
                <w:spacing w:val="-3"/>
              </w:rPr>
              <w:t> </w:t>
            </w:r>
            <w:r w:rsidRPr="00E8182E">
              <w:rPr>
                <w:spacing w:val="-3"/>
              </w:rPr>
              <w:t>přímého vývozu poklesly o</w:t>
            </w:r>
            <w:r>
              <w:rPr>
                <w:spacing w:val="-3"/>
              </w:rPr>
              <w:t> </w:t>
            </w:r>
            <w:r w:rsidRPr="00E8182E">
              <w:rPr>
                <w:spacing w:val="-3"/>
              </w:rPr>
              <w:t>rovných 5</w:t>
            </w:r>
            <w:r>
              <w:rPr>
                <w:spacing w:val="-3"/>
              </w:rPr>
              <w:t> %</w:t>
            </w:r>
            <w:r w:rsidRPr="00E8182E">
              <w:rPr>
                <w:spacing w:val="-3"/>
              </w:rPr>
              <w:t xml:space="preserve">, tržby z tuzemska stagnovaly. </w:t>
            </w:r>
            <w:r w:rsidRPr="00E8182E">
              <w:rPr>
                <w:rFonts w:cstheme="minorHAnsi"/>
                <w:spacing w:val="-3"/>
              </w:rPr>
              <w:t>Vyšší tempa domácích tržeb oproti zahraničním přetrvával</w:t>
            </w:r>
            <w:r>
              <w:rPr>
                <w:rFonts w:cstheme="minorHAnsi"/>
                <w:spacing w:val="-3"/>
              </w:rPr>
              <w:t>a</w:t>
            </w:r>
            <w:r w:rsidRPr="00E8182E">
              <w:rPr>
                <w:rFonts w:cstheme="minorHAnsi"/>
                <w:spacing w:val="-3"/>
              </w:rPr>
              <w:t xml:space="preserve"> v zásadě i</w:t>
            </w:r>
            <w:r>
              <w:rPr>
                <w:rFonts w:cstheme="minorHAnsi"/>
                <w:spacing w:val="-3"/>
              </w:rPr>
              <w:t> </w:t>
            </w:r>
            <w:r w:rsidRPr="00E8182E">
              <w:rPr>
                <w:rFonts w:cstheme="minorHAnsi"/>
                <w:spacing w:val="-3"/>
              </w:rPr>
              <w:t>v období 2017</w:t>
            </w:r>
            <w:r>
              <w:rPr>
                <w:rFonts w:cstheme="minorHAnsi"/>
                <w:spacing w:val="-3"/>
              </w:rPr>
              <w:t>–</w:t>
            </w:r>
            <w:r w:rsidRPr="00E8182E">
              <w:rPr>
                <w:rFonts w:cstheme="minorHAnsi"/>
                <w:spacing w:val="-3"/>
              </w:rPr>
              <w:t>2019. I</w:t>
            </w:r>
            <w:r>
              <w:rPr>
                <w:rFonts w:cstheme="minorHAnsi"/>
                <w:spacing w:val="-3"/>
              </w:rPr>
              <w:t> </w:t>
            </w:r>
            <w:r w:rsidRPr="00E8182E">
              <w:rPr>
                <w:rFonts w:cstheme="minorHAnsi"/>
                <w:spacing w:val="-3"/>
              </w:rPr>
              <w:t>navzdory slabší produkci posílily letos nejvíce tržby v energetice (+16,8</w:t>
            </w:r>
            <w:r>
              <w:rPr>
                <w:rFonts w:cstheme="minorHAnsi"/>
                <w:spacing w:val="-3"/>
              </w:rPr>
              <w:t> %</w:t>
            </w:r>
            <w:r w:rsidRPr="00E8182E">
              <w:rPr>
                <w:rFonts w:cstheme="minorHAnsi"/>
                <w:spacing w:val="-3"/>
              </w:rPr>
              <w:t>). Cenový růst v menší míře podpořil i</w:t>
            </w:r>
            <w:r w:rsidRPr="00E8182E">
              <w:rPr>
                <w:color w:val="000000" w:themeColor="text1"/>
                <w:spacing w:val="-3"/>
              </w:rPr>
              <w:t> </w:t>
            </w:r>
            <w:r w:rsidRPr="00E8182E">
              <w:rPr>
                <w:rFonts w:cstheme="minorHAnsi"/>
                <w:spacing w:val="-3"/>
              </w:rPr>
              <w:t>tržby v potravinářství (+7,8</w:t>
            </w:r>
            <w:r>
              <w:rPr>
                <w:rFonts w:cstheme="minorHAnsi"/>
                <w:spacing w:val="-3"/>
              </w:rPr>
              <w:t> %</w:t>
            </w:r>
            <w:r w:rsidRPr="00E8182E">
              <w:rPr>
                <w:rFonts w:cstheme="minorHAnsi"/>
                <w:spacing w:val="-3"/>
              </w:rPr>
              <w:t>). O</w:t>
            </w:r>
            <w:r>
              <w:rPr>
                <w:rFonts w:cstheme="minorHAnsi"/>
                <w:spacing w:val="-3"/>
              </w:rPr>
              <w:t> </w:t>
            </w:r>
            <w:r w:rsidRPr="00E8182E">
              <w:rPr>
                <w:rFonts w:cstheme="minorHAnsi"/>
                <w:spacing w:val="-3"/>
              </w:rPr>
              <w:t>8,2</w:t>
            </w:r>
            <w:r>
              <w:rPr>
                <w:rFonts w:cstheme="minorHAnsi"/>
                <w:spacing w:val="-3"/>
              </w:rPr>
              <w:t> %</w:t>
            </w:r>
            <w:r w:rsidRPr="00E8182E">
              <w:rPr>
                <w:rFonts w:cstheme="minorHAnsi"/>
                <w:spacing w:val="-3"/>
              </w:rPr>
              <w:t xml:space="preserve"> více stržil i</w:t>
            </w:r>
            <w:r>
              <w:rPr>
                <w:rFonts w:cstheme="minorHAnsi"/>
                <w:spacing w:val="-3"/>
              </w:rPr>
              <w:t> </w:t>
            </w:r>
            <w:r w:rsidRPr="00E8182E">
              <w:rPr>
                <w:rFonts w:cstheme="minorHAnsi"/>
                <w:spacing w:val="-3"/>
              </w:rPr>
              <w:t>farmaceutický průmysl, kde rostla dynamicky zejména tuzemská poptávka. Zatímco nepříznivý cenový vývoj v</w:t>
            </w:r>
            <w:r>
              <w:rPr>
                <w:rFonts w:cstheme="minorHAnsi"/>
                <w:spacing w:val="-3"/>
              </w:rPr>
              <w:t xml:space="preserve">e </w:t>
            </w:r>
            <w:r w:rsidRPr="00E8182E">
              <w:rPr>
                <w:rFonts w:cstheme="minorHAnsi"/>
                <w:spacing w:val="-3"/>
              </w:rPr>
              <w:t>dřevozpracujícím průmyslu růst tržeb jen ztlumil, v těžbě uhlí a</w:t>
            </w:r>
            <w:r>
              <w:rPr>
                <w:rFonts w:cstheme="minorHAnsi"/>
                <w:spacing w:val="-3"/>
              </w:rPr>
              <w:t> </w:t>
            </w:r>
            <w:r w:rsidRPr="00E8182E">
              <w:rPr>
                <w:rFonts w:cstheme="minorHAnsi"/>
                <w:spacing w:val="-3"/>
              </w:rPr>
              <w:t>hutni</w:t>
            </w:r>
            <w:r>
              <w:rPr>
                <w:rFonts w:cstheme="minorHAnsi"/>
                <w:spacing w:val="-3"/>
              </w:rPr>
              <w:t>ctví slabší vývoj produkce pokles tržeb umocnil (ty</w:t>
            </w:r>
            <w:r w:rsidRPr="00E8182E">
              <w:rPr>
                <w:rFonts w:cstheme="minorHAnsi"/>
                <w:spacing w:val="-3"/>
              </w:rPr>
              <w:t xml:space="preserve"> zde propadly nejvíce ze všech průmyslových odvětví</w:t>
            </w:r>
            <w:r>
              <w:rPr>
                <w:rFonts w:cstheme="minorHAnsi"/>
                <w:spacing w:val="-3"/>
              </w:rPr>
              <w:t> </w:t>
            </w:r>
            <w:r w:rsidRPr="00E8182E">
              <w:rPr>
                <w:rFonts w:cstheme="minorHAnsi"/>
                <w:spacing w:val="-3"/>
              </w:rPr>
              <w:t>– o 17,6</w:t>
            </w:r>
            <w:r>
              <w:rPr>
                <w:rFonts w:cstheme="minorHAnsi"/>
                <w:spacing w:val="-3"/>
              </w:rPr>
              <w:t> %</w:t>
            </w:r>
            <w:r w:rsidRPr="00E8182E">
              <w:rPr>
                <w:rFonts w:cstheme="minorHAnsi"/>
                <w:spacing w:val="-3"/>
              </w:rPr>
              <w:t>, resp. 14,9</w:t>
            </w:r>
            <w:r>
              <w:rPr>
                <w:rFonts w:cstheme="minorHAnsi"/>
                <w:spacing w:val="-3"/>
              </w:rPr>
              <w:t> %</w:t>
            </w:r>
            <w:r w:rsidRPr="00E8182E">
              <w:rPr>
                <w:rFonts w:cstheme="minorHAnsi"/>
                <w:spacing w:val="-3"/>
              </w:rPr>
              <w:t xml:space="preserve">). </w:t>
            </w:r>
          </w:p>
        </w:tc>
      </w:tr>
      <w:tr w:rsidR="0002669F" w:rsidRPr="002E3E92" w14:paraId="1A3F7FCC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2BD045C9" w14:textId="77777777" w:rsidR="0002669F" w:rsidRDefault="0002669F" w:rsidP="0002669F">
            <w:pPr>
              <w:pStyle w:val="Marginlie"/>
            </w:pPr>
            <w:r>
              <w:t>Pokles hodnoty nových průmyslových zakázek se v 1. čtvrtletí prohloubil na 5,5 %.</w:t>
            </w:r>
          </w:p>
          <w:p w14:paraId="70120283" w14:textId="77777777" w:rsidR="0002669F" w:rsidRDefault="0002669F" w:rsidP="0002669F">
            <w:pPr>
              <w:pStyle w:val="Marginlie"/>
            </w:pPr>
          </w:p>
          <w:p w14:paraId="7DF75B44" w14:textId="77777777" w:rsidR="0002669F" w:rsidRDefault="0002669F" w:rsidP="0002669F">
            <w:pPr>
              <w:pStyle w:val="Marginlie"/>
            </w:pPr>
          </w:p>
          <w:p w14:paraId="15752D53" w14:textId="77777777" w:rsidR="0002669F" w:rsidRDefault="0002669F" w:rsidP="0002669F">
            <w:pPr>
              <w:pStyle w:val="Marginlie"/>
            </w:pPr>
          </w:p>
          <w:p w14:paraId="4B58991A" w14:textId="77777777" w:rsidR="0002669F" w:rsidRDefault="0002669F" w:rsidP="0002669F">
            <w:pPr>
              <w:pStyle w:val="Marginlie"/>
            </w:pPr>
            <w:r>
              <w:t>Hlavní konjunkturní ukazatele průmyslu se v dubnu propadly na úroveň blízkou roku 2009. Nedostatečná poptávka sužovala tři pětiny podniků.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20F64D05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23F572BD" w14:textId="77777777" w:rsidR="0002669F" w:rsidRPr="002E3E92" w:rsidRDefault="0002669F" w:rsidP="0002669F">
            <w:pPr>
              <w:spacing w:after="200"/>
              <w:rPr>
                <w:spacing w:val="-4"/>
              </w:rPr>
            </w:pPr>
            <w:r w:rsidRPr="002E3E92">
              <w:rPr>
                <w:color w:val="0D0D0D" w:themeColor="text1" w:themeTint="F2"/>
                <w:spacing w:val="-4"/>
              </w:rPr>
              <w:t>Hodnota průmyslových zakázek</w:t>
            </w:r>
            <w:r w:rsidRPr="002E3E92">
              <w:rPr>
                <w:rStyle w:val="Znakapoznpodarou"/>
                <w:spacing w:val="-4"/>
              </w:rPr>
              <w:footnoteReference w:id="8"/>
            </w:r>
            <w:r w:rsidRPr="002E3E92">
              <w:rPr>
                <w:color w:val="0D0D0D" w:themeColor="text1" w:themeTint="F2"/>
                <w:spacing w:val="-4"/>
              </w:rPr>
              <w:t xml:space="preserve"> se v 1</w:t>
            </w:r>
            <w:r>
              <w:rPr>
                <w:color w:val="0D0D0D" w:themeColor="text1" w:themeTint="F2"/>
                <w:spacing w:val="-4"/>
              </w:rPr>
              <w:t>. čtvrtlet</w:t>
            </w:r>
            <w:r w:rsidRPr="002E3E92">
              <w:rPr>
                <w:color w:val="0D0D0D" w:themeColor="text1" w:themeTint="F2"/>
                <w:spacing w:val="-4"/>
              </w:rPr>
              <w:t>í meziročně snížila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2E3E92">
              <w:rPr>
                <w:color w:val="0D0D0D" w:themeColor="text1" w:themeTint="F2"/>
                <w:spacing w:val="-4"/>
              </w:rPr>
              <w:t>5,5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2E3E92">
              <w:rPr>
                <w:color w:val="0D0D0D" w:themeColor="text1" w:themeTint="F2"/>
                <w:spacing w:val="-4"/>
              </w:rPr>
              <w:t xml:space="preserve"> (jen v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2E3E92">
              <w:rPr>
                <w:color w:val="0D0D0D" w:themeColor="text1" w:themeTint="F2"/>
                <w:spacing w:val="-4"/>
              </w:rPr>
              <w:t>březnu o 15,5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2E3E92">
              <w:rPr>
                <w:rStyle w:val="Znakapoznpodarou"/>
                <w:spacing w:val="-4"/>
              </w:rPr>
              <w:footnoteReference w:id="9"/>
            </w:r>
            <w:r w:rsidRPr="002E3E92">
              <w:rPr>
                <w:color w:val="0D0D0D" w:themeColor="text1" w:themeTint="F2"/>
                <w:spacing w:val="-4"/>
              </w:rPr>
              <w:t>). Rozdíl v tempech mezi domácí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2E3E92">
              <w:rPr>
                <w:color w:val="0D0D0D" w:themeColor="text1" w:themeTint="F2"/>
                <w:spacing w:val="-4"/>
              </w:rPr>
              <w:t>zahraniční poptávkou nebyl významný. Zakázky rostly jen ve farmaceutickém průmyslu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2E3E92">
              <w:rPr>
                <w:color w:val="0D0D0D" w:themeColor="text1" w:themeTint="F2"/>
                <w:spacing w:val="-4"/>
              </w:rPr>
              <w:t>u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2E3E92">
              <w:rPr>
                <w:color w:val="0D0D0D" w:themeColor="text1" w:themeTint="F2"/>
                <w:spacing w:val="-4"/>
              </w:rPr>
              <w:t>výrobců ostatních (zejména kolejových) dopravních prostředků (v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2E3E92">
              <w:rPr>
                <w:color w:val="0D0D0D" w:themeColor="text1" w:themeTint="F2"/>
                <w:spacing w:val="-4"/>
              </w:rPr>
              <w:t xml:space="preserve">obou případech s významným </w:t>
            </w:r>
            <w:r>
              <w:rPr>
                <w:color w:val="0D0D0D" w:themeColor="text1" w:themeTint="F2"/>
                <w:spacing w:val="-4"/>
              </w:rPr>
              <w:t>vlivem</w:t>
            </w:r>
            <w:r w:rsidRPr="002E3E92">
              <w:rPr>
                <w:color w:val="0D0D0D" w:themeColor="text1" w:themeTint="F2"/>
                <w:spacing w:val="-4"/>
              </w:rPr>
              <w:t xml:space="preserve"> domácí poptávky). </w:t>
            </w:r>
            <w:r>
              <w:rPr>
                <w:color w:val="0D0D0D" w:themeColor="text1" w:themeTint="F2"/>
                <w:spacing w:val="-4"/>
              </w:rPr>
              <w:t>S</w:t>
            </w:r>
            <w:r w:rsidRPr="002E3E92">
              <w:rPr>
                <w:color w:val="0D0D0D" w:themeColor="text1" w:themeTint="F2"/>
                <w:spacing w:val="-4"/>
              </w:rPr>
              <w:t xml:space="preserve">aldo 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>indikát</w:t>
            </w:r>
            <w:r>
              <w:rPr>
                <w:rFonts w:cs="Arial"/>
                <w:color w:val="0D0D0D" w:themeColor="text1" w:themeTint="F2"/>
                <w:spacing w:val="-4"/>
              </w:rPr>
              <w:t>oru důvěry v průmyslu, které po téměř celý loňský rok stabilně dosahovalo mírně negativních hodnot,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v březnu pokleslo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 xml:space="preserve"> (na </w:t>
            </w:r>
            <w:r w:rsidRPr="002E3E92">
              <w:rPr>
                <w:color w:val="000000" w:themeColor="text1"/>
                <w:spacing w:val="-4"/>
              </w:rPr>
              <w:t>–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>9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 xml:space="preserve">bodů,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hodnotu 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>blízkou počátku roku 2013). Dubnová hodnota (</w:t>
            </w:r>
            <w:r w:rsidRPr="002E3E92">
              <w:rPr>
                <w:color w:val="000000" w:themeColor="text1"/>
                <w:spacing w:val="-4"/>
              </w:rPr>
              <w:t>–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26 bodů, 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>potvrzená i</w:t>
            </w:r>
            <w:r>
              <w:rPr>
                <w:rFonts w:cs="Arial"/>
                <w:color w:val="0D0D0D" w:themeColor="text1" w:themeTint="F2"/>
                <w:spacing w:val="-4"/>
              </w:rPr>
              <w:t> v 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 xml:space="preserve">květnu) snesla srovnání jen s nejhlubší </w:t>
            </w:r>
            <w:r>
              <w:rPr>
                <w:rFonts w:cs="Arial"/>
                <w:color w:val="0D0D0D" w:themeColor="text1" w:themeTint="F2"/>
                <w:spacing w:val="-4"/>
              </w:rPr>
              <w:t>recesí z</w:t>
            </w:r>
            <w:r w:rsidRPr="002E3E92">
              <w:rPr>
                <w:color w:val="0D0D0D" w:themeColor="text1" w:themeTint="F2"/>
                <w:spacing w:val="-4"/>
              </w:rPr>
              <w:t> 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>roku 2009, což platilo také o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>hodnocení současné poptávky i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2E3E92">
              <w:rPr>
                <w:rFonts w:cs="Arial"/>
                <w:color w:val="0D0D0D" w:themeColor="text1" w:themeTint="F2"/>
                <w:spacing w:val="-4"/>
              </w:rPr>
              <w:t xml:space="preserve">očekáváních zaměstnanosti. Hlavní </w:t>
            </w:r>
            <w:r w:rsidRPr="002E3E92">
              <w:rPr>
                <w:color w:val="0D0D0D" w:themeColor="text1" w:themeTint="F2"/>
                <w:spacing w:val="-4"/>
              </w:rPr>
              <w:t>bariérou růstu</w:t>
            </w:r>
            <w:r w:rsidRPr="002E3E92">
              <w:rPr>
                <w:rStyle w:val="Znakapoznpodarou"/>
                <w:spacing w:val="-4"/>
              </w:rPr>
              <w:footnoteReference w:id="10"/>
            </w:r>
            <w:r w:rsidRPr="002E3E92">
              <w:rPr>
                <w:color w:val="0D0D0D" w:themeColor="text1" w:themeTint="F2"/>
                <w:spacing w:val="-4"/>
              </w:rPr>
              <w:t xml:space="preserve"> průmyslových podniků zůstává od půle loňského roku nedostatečná poptávka. V dubnu 2020 ji zmiňovalo 58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2E3E92">
              <w:rPr>
                <w:color w:val="0D0D0D" w:themeColor="text1" w:themeTint="F2"/>
                <w:spacing w:val="-4"/>
              </w:rPr>
              <w:t xml:space="preserve"> respondentů (nejvíce od 3</w:t>
            </w:r>
            <w:r>
              <w:rPr>
                <w:color w:val="0D0D0D" w:themeColor="text1" w:themeTint="F2"/>
                <w:spacing w:val="-4"/>
              </w:rPr>
              <w:t>. čtvrtlet</w:t>
            </w:r>
            <w:r w:rsidRPr="002E3E92">
              <w:rPr>
                <w:color w:val="0D0D0D" w:themeColor="text1" w:themeTint="F2"/>
                <w:spacing w:val="-4"/>
              </w:rPr>
              <w:t>í 2013). Naopak role nedostatku zaměstnanců za poslední půlrok citelně klesla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2E3E92">
              <w:rPr>
                <w:color w:val="0D0D0D" w:themeColor="text1" w:themeTint="F2"/>
                <w:spacing w:val="-4"/>
              </w:rPr>
              <w:t>– z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2E3E92">
              <w:rPr>
                <w:color w:val="0D0D0D" w:themeColor="text1" w:themeTint="F2"/>
                <w:spacing w:val="-4"/>
              </w:rPr>
              <w:t>37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2E3E92">
              <w:rPr>
                <w:color w:val="0D0D0D" w:themeColor="text1" w:themeTint="F2"/>
                <w:spacing w:val="-4"/>
              </w:rPr>
              <w:t xml:space="preserve"> na 17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2E3E92">
              <w:rPr>
                <w:color w:val="0D0D0D" w:themeColor="text1" w:themeTint="F2"/>
                <w:spacing w:val="-4"/>
              </w:rPr>
              <w:t xml:space="preserve"> </w:t>
            </w:r>
            <w:r w:rsidRPr="003323AC">
              <w:rPr>
                <w:color w:val="0D0D0D" w:themeColor="text1" w:themeTint="F2"/>
                <w:spacing w:val="-5"/>
              </w:rPr>
              <w:t xml:space="preserve">(minimum od počátku roku 2016). Výrazně posílila váha ostatních blíže nespecifikovaných </w:t>
            </w:r>
            <w:r>
              <w:rPr>
                <w:color w:val="0D0D0D" w:themeColor="text1" w:themeTint="F2"/>
                <w:spacing w:val="-4"/>
              </w:rPr>
              <w:t>bariér (na 22 %). Mezi ně</w:t>
            </w:r>
            <w:r w:rsidRPr="003323AC">
              <w:rPr>
                <w:color w:val="0D0D0D" w:themeColor="text1" w:themeTint="F2"/>
                <w:spacing w:val="-4"/>
              </w:rPr>
              <w:t xml:space="preserve"> se řadí 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3323AC">
              <w:rPr>
                <w:color w:val="0D0D0D" w:themeColor="text1" w:themeTint="F2"/>
                <w:spacing w:val="-4"/>
              </w:rPr>
              <w:t>vládní opatření proti šíření koronaviru.</w:t>
            </w:r>
          </w:p>
        </w:tc>
      </w:tr>
      <w:tr w:rsidR="0002669F" w:rsidRPr="00B02201" w14:paraId="090B5A5C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1116855C" w14:textId="77777777" w:rsidR="0002669F" w:rsidRDefault="0002669F" w:rsidP="0002669F">
            <w:pPr>
              <w:pStyle w:val="Marginlie"/>
            </w:pPr>
            <w:r>
              <w:t>Meziroční pokles průmyslové produkce v Česku byl mírně nižší než v EU či zemích eurozóny.</w:t>
            </w:r>
          </w:p>
          <w:p w14:paraId="2806E281" w14:textId="77777777" w:rsidR="0002669F" w:rsidRDefault="0002669F" w:rsidP="0002669F">
            <w:pPr>
              <w:pStyle w:val="Marginlie"/>
            </w:pPr>
          </w:p>
          <w:p w14:paraId="2B2C3EAA" w14:textId="77777777" w:rsidR="0002669F" w:rsidRDefault="0002669F" w:rsidP="0002669F">
            <w:pPr>
              <w:pStyle w:val="Marginlie"/>
            </w:pPr>
          </w:p>
          <w:p w14:paraId="5B6CC464" w14:textId="77777777" w:rsidR="0002669F" w:rsidRDefault="0002669F" w:rsidP="0002669F">
            <w:pPr>
              <w:pStyle w:val="Marginlie"/>
            </w:pPr>
            <w:r>
              <w:t>Mezi novějšími členy Unie se produkce snížila nejvíce na Slovensku, naopak v Polsku dále mírně rostla.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76B718DA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69414BF1" w14:textId="145B85E7" w:rsidR="0002669F" w:rsidRPr="00B02201" w:rsidRDefault="0002669F" w:rsidP="001F6CD3">
            <w:pPr>
              <w:spacing w:after="0"/>
              <w:rPr>
                <w:color w:val="0D0D0D" w:themeColor="text1" w:themeTint="F2"/>
                <w:spacing w:val="-4"/>
              </w:rPr>
            </w:pPr>
            <w:r w:rsidRPr="00B02201">
              <w:rPr>
                <w:color w:val="0D0D0D" w:themeColor="text1" w:themeTint="F2"/>
                <w:spacing w:val="-4"/>
              </w:rPr>
              <w:t xml:space="preserve">V 1. čtvrtletí klesla průmyslová produkce v EU </w:t>
            </w:r>
            <w:r w:rsidRPr="00B02201">
              <w:rPr>
                <w:color w:val="0D0D0D" w:themeColor="text1" w:themeTint="F2"/>
                <w:spacing w:val="-5"/>
              </w:rPr>
              <w:t>meziročně</w:t>
            </w:r>
            <w:r w:rsidRPr="00B02201">
              <w:rPr>
                <w:color w:val="0D0D0D" w:themeColor="text1" w:themeTint="F2"/>
                <w:spacing w:val="-4"/>
              </w:rPr>
              <w:t xml:space="preserve"> o 5,2 % a v eurozóně o 6,0 %</w:t>
            </w:r>
            <w:r>
              <w:rPr>
                <w:color w:val="0D0D0D" w:themeColor="text1" w:themeTint="F2"/>
                <w:spacing w:val="-4"/>
              </w:rPr>
              <w:t>,</w:t>
            </w:r>
            <w:r w:rsidRPr="00B02201">
              <w:rPr>
                <w:color w:val="0D0D0D" w:themeColor="text1" w:themeTint="F2"/>
                <w:spacing w:val="-4"/>
              </w:rPr>
              <w:t xml:space="preserve"> tedy hlouběji </w:t>
            </w:r>
            <w:r w:rsidRPr="00B02201">
              <w:rPr>
                <w:color w:val="0D0D0D" w:themeColor="text1" w:themeTint="F2"/>
                <w:spacing w:val="-5"/>
              </w:rPr>
              <w:t>než v ČR.</w:t>
            </w:r>
            <w:r w:rsidRPr="00B02201">
              <w:rPr>
                <w:color w:val="0D0D0D" w:themeColor="text1" w:themeTint="F2"/>
                <w:spacing w:val="-4"/>
              </w:rPr>
              <w:t xml:space="preserve"> </w:t>
            </w:r>
            <w:r w:rsidRPr="00B02201">
              <w:rPr>
                <w:color w:val="0D0D0D" w:themeColor="text1" w:themeTint="F2"/>
                <w:spacing w:val="-5"/>
              </w:rPr>
              <w:t>Nejvíce se snížila v Itálii (–11,3 %), Lucembursku (–10,9 %) a Francii</w:t>
            </w:r>
            <w:r w:rsidRPr="00B02201">
              <w:rPr>
                <w:color w:val="0D0D0D" w:themeColor="text1" w:themeTint="F2"/>
                <w:spacing w:val="-5"/>
              </w:rPr>
              <w:br/>
              <w:t xml:space="preserve">(–7,5 %). </w:t>
            </w:r>
            <w:r>
              <w:rPr>
                <w:color w:val="0D0D0D" w:themeColor="text1" w:themeTint="F2"/>
                <w:spacing w:val="-4"/>
              </w:rPr>
              <w:t>Vě</w:t>
            </w:r>
            <w:r w:rsidR="001F6CD3">
              <w:rPr>
                <w:color w:val="0D0D0D" w:themeColor="text1" w:themeTint="F2"/>
                <w:spacing w:val="-4"/>
              </w:rPr>
              <w:t>t</w:t>
            </w:r>
            <w:r>
              <w:rPr>
                <w:color w:val="0D0D0D" w:themeColor="text1" w:themeTint="F2"/>
                <w:spacing w:val="-4"/>
              </w:rPr>
              <w:t>ší</w:t>
            </w:r>
            <w:r w:rsidRPr="00B02201">
              <w:rPr>
                <w:color w:val="0D0D0D" w:themeColor="text1" w:themeTint="F2"/>
                <w:spacing w:val="-4"/>
              </w:rPr>
              <w:t xml:space="preserve"> pokles postihl i většinu zemí střední Evropy (Slovensko –7,5 %, Německo –7,2 %, Rakousko –6,7 %) vyjma Polska (+0,4 %), kde se projevoval i vliv odlišnější skladby průmyslu (např. vyšší zastoupení odvětví navázaných na zemědělství). Výkon průmyslu rostl ještě ve Švédsku, Irsku a na Maltě. V ČR (–7,5 %) podobně jako v celé EU (–9,2 %) klesla nejvíce produkce v odvětvích vyrábějících produkty investiční povahy (např. stroje, dopravní prostředky). Pokračoval minimální růst v odvětvích s produkty pro krátkodobou spotřebu (+0,1 %, resp. +0,4 %). V březnu se celková produkce průmyslu v EU meziročně propadla o osminu, z toho v Německu o sedminu a na Slovensku skoro o pětinu).</w:t>
            </w:r>
          </w:p>
        </w:tc>
      </w:tr>
      <w:tr w:rsidR="0002669F" w:rsidRPr="00DB613B" w14:paraId="146432C1" w14:textId="77777777" w:rsidTr="00BE277D"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13962DED" w14:textId="77777777" w:rsidR="0002669F" w:rsidRDefault="0002669F" w:rsidP="0002669F">
            <w:pPr>
              <w:pStyle w:val="Marginlie"/>
            </w:pPr>
          </w:p>
        </w:tc>
        <w:tc>
          <w:tcPr>
            <w:tcW w:w="205" w:type="dxa"/>
            <w:vMerge w:val="restart"/>
            <w:shd w:val="clear" w:color="auto" w:fill="auto"/>
            <w:tcMar>
              <w:left w:w="0" w:type="dxa"/>
            </w:tcMar>
          </w:tcPr>
          <w:p w14:paraId="036CA0E9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7965CCE1" w14:textId="77777777" w:rsidR="0002669F" w:rsidRPr="00DB613B" w:rsidRDefault="0002669F" w:rsidP="0002669F">
            <w:pPr>
              <w:pStyle w:val="Textpoznpodarou"/>
              <w:spacing w:line="276" w:lineRule="auto"/>
              <w:rPr>
                <w:b/>
              </w:rPr>
            </w:pPr>
            <w:r w:rsidRPr="00DB613B">
              <w:rPr>
                <w:b/>
              </w:rPr>
              <w:t>Graf č. 5</w:t>
            </w:r>
            <w:r>
              <w:rPr>
                <w:b/>
              </w:rPr>
              <w:t xml:space="preserve"> </w:t>
            </w:r>
            <w:r w:rsidRPr="00DB613B">
              <w:rPr>
                <w:b/>
              </w:rPr>
              <w:t xml:space="preserve"> Nové zakázky v automobilovém průmyslu, v průmyslu celkem</w:t>
            </w:r>
          </w:p>
          <w:p w14:paraId="5171C375" w14:textId="77777777" w:rsidR="0002669F" w:rsidRPr="00DB613B" w:rsidRDefault="0002669F" w:rsidP="0002669F">
            <w:pPr>
              <w:spacing w:after="0"/>
              <w:rPr>
                <w:b/>
                <w:sz w:val="18"/>
                <w:szCs w:val="18"/>
              </w:rPr>
            </w:pPr>
            <w:r w:rsidRPr="00DB613B">
              <w:rPr>
                <w:bCs/>
              </w:rPr>
              <w:t xml:space="preserve">(v běžných cenách, </w:t>
            </w:r>
            <w:r w:rsidRPr="00DB613B">
              <w:t>meziročně</w:t>
            </w:r>
            <w:r w:rsidRPr="00DB613B">
              <w:rPr>
                <w:bCs/>
              </w:rPr>
              <w:t xml:space="preserve"> v %)</w:t>
            </w:r>
            <w:r w:rsidRPr="00DB613B">
              <w:rPr>
                <w:b/>
              </w:rPr>
              <w:t xml:space="preserve">, saldo indikátoru důvěry v průmyslu* </w:t>
            </w:r>
            <w:r w:rsidRPr="00DB613B">
              <w:t xml:space="preserve">(v p. b.) </w:t>
            </w:r>
            <w:r w:rsidRPr="00DB613B">
              <w:rPr>
                <w:b/>
              </w:rPr>
              <w:t>a využití výrobních kapacit v průmyslu*</w:t>
            </w:r>
            <w:r w:rsidRPr="00DB613B">
              <w:t xml:space="preserve"> (v %, pravá osa)</w:t>
            </w:r>
          </w:p>
        </w:tc>
      </w:tr>
      <w:tr w:rsidR="0002669F" w:rsidRPr="00DB613B" w14:paraId="68EF7F11" w14:textId="77777777" w:rsidTr="00BE277D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/>
            <w:shd w:val="clear" w:color="auto" w:fill="auto"/>
          </w:tcPr>
          <w:p w14:paraId="62FBC205" w14:textId="77777777" w:rsidR="0002669F" w:rsidRPr="009110F7" w:rsidRDefault="0002669F" w:rsidP="0002669F">
            <w:pPr>
              <w:pStyle w:val="Marginlie"/>
            </w:pPr>
          </w:p>
        </w:tc>
        <w:tc>
          <w:tcPr>
            <w:tcW w:w="205" w:type="dxa"/>
            <w:vMerge/>
            <w:shd w:val="clear" w:color="auto" w:fill="auto"/>
          </w:tcPr>
          <w:p w14:paraId="6F4F2496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</w:tcPr>
          <w:p w14:paraId="4A3B887A" w14:textId="77777777" w:rsidR="0002669F" w:rsidRPr="00DB613B" w:rsidRDefault="0002669F" w:rsidP="0002669F">
            <w:pPr>
              <w:spacing w:after="0" w:line="240" w:lineRule="auto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9CA81E" wp14:editId="34EA4145">
                  <wp:extent cx="4759325" cy="3610098"/>
                  <wp:effectExtent l="0" t="0" r="3175" b="0"/>
                  <wp:docPr id="43" name="Graf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2669F" w:rsidRPr="00DB613B" w14:paraId="62544ACF" w14:textId="77777777" w:rsidTr="00BE277D"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/>
            <w:shd w:val="clear" w:color="auto" w:fill="auto"/>
            <w:tcMar>
              <w:left w:w="0" w:type="dxa"/>
            </w:tcMar>
          </w:tcPr>
          <w:p w14:paraId="46EAABB5" w14:textId="77777777" w:rsidR="0002669F" w:rsidRPr="009110F7" w:rsidRDefault="0002669F" w:rsidP="0002669F">
            <w:pPr>
              <w:pStyle w:val="Marginlie"/>
            </w:pPr>
          </w:p>
        </w:tc>
        <w:tc>
          <w:tcPr>
            <w:tcW w:w="205" w:type="dxa"/>
            <w:vMerge/>
            <w:shd w:val="clear" w:color="auto" w:fill="auto"/>
            <w:tcMar>
              <w:left w:w="0" w:type="dxa"/>
            </w:tcMar>
          </w:tcPr>
          <w:p w14:paraId="33CA1440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6A779864" w14:textId="77777777" w:rsidR="0002669F" w:rsidRDefault="0002669F" w:rsidP="0002669F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*Saldo důvěry a využití průmyslových kapacit </w:t>
            </w:r>
            <w:r w:rsidRPr="00DB613B">
              <w:rPr>
                <w:rFonts w:cs="Arial"/>
                <w:sz w:val="14"/>
                <w:szCs w:val="14"/>
              </w:rPr>
              <w:t>jsou sezónně očišt</w:t>
            </w:r>
            <w:r>
              <w:rPr>
                <w:rFonts w:cs="Arial"/>
                <w:sz w:val="14"/>
                <w:szCs w:val="14"/>
              </w:rPr>
              <w:t>ěny a vyjadřují stav v prvním měsíci daného čtvrtletí.</w:t>
            </w:r>
          </w:p>
          <w:p w14:paraId="091E1690" w14:textId="77777777" w:rsidR="0002669F" w:rsidRPr="00DB613B" w:rsidRDefault="0002669F" w:rsidP="0002669F">
            <w:pPr>
              <w:spacing w:after="20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02669F" w:rsidRPr="00DB613B" w14:paraId="198DEC56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56C6BF64" w14:textId="77777777" w:rsidR="0002669F" w:rsidRDefault="0002669F" w:rsidP="0002669F">
            <w:pPr>
              <w:pStyle w:val="Marginlie"/>
            </w:pPr>
            <w:r>
              <w:t>Růst stavební produkce v 1. čtvrtletí přetrval, byť jen díky vysoké dynamice inženýrského stavitelství.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21A93127" w14:textId="77777777" w:rsidR="0002669F" w:rsidRPr="002A4B98" w:rsidRDefault="0002669F" w:rsidP="0002669F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72CF6621" w14:textId="77777777" w:rsidR="0002669F" w:rsidRPr="00DB613B" w:rsidRDefault="0002669F" w:rsidP="0002669F">
            <w:pPr>
              <w:pStyle w:val="Textpoznpodarou"/>
              <w:spacing w:after="200" w:line="276" w:lineRule="auto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Na </w:t>
            </w:r>
            <w:r w:rsidRPr="00D17511">
              <w:rPr>
                <w:color w:val="0D0D0D" w:themeColor="text1" w:themeTint="F2"/>
                <w:spacing w:val="-2"/>
              </w:rPr>
              <w:t>rozdíl od průmyslu nebylo stavebnictví hlubším pok</w:t>
            </w:r>
            <w:r>
              <w:rPr>
                <w:color w:val="0D0D0D" w:themeColor="text1" w:themeTint="F2"/>
                <w:spacing w:val="-2"/>
              </w:rPr>
              <w:t>lesem poptávky dosud zasaženo. Jak v </w:t>
            </w:r>
            <w:r w:rsidRPr="00D17511">
              <w:rPr>
                <w:color w:val="0D0D0D" w:themeColor="text1" w:themeTint="F2"/>
                <w:spacing w:val="-2"/>
              </w:rPr>
              <w:t>lednu</w:t>
            </w:r>
            <w:r>
              <w:rPr>
                <w:color w:val="0D0D0D" w:themeColor="text1" w:themeTint="F2"/>
                <w:spacing w:val="-2"/>
              </w:rPr>
              <w:t>, tak</w:t>
            </w:r>
            <w:r w:rsidRPr="00D17511">
              <w:rPr>
                <w:color w:val="0D0D0D" w:themeColor="text1" w:themeTint="F2"/>
                <w:spacing w:val="-2"/>
              </w:rPr>
              <w:t xml:space="preserve"> i</w:t>
            </w:r>
            <w:r>
              <w:rPr>
                <w:color w:val="0D0D0D" w:themeColor="text1" w:themeTint="F2"/>
                <w:spacing w:val="-2"/>
              </w:rPr>
              <w:t xml:space="preserve"> v </w:t>
            </w:r>
            <w:r w:rsidRPr="00D17511">
              <w:rPr>
                <w:color w:val="0D0D0D" w:themeColor="text1" w:themeTint="F2"/>
                <w:spacing w:val="-2"/>
              </w:rPr>
              <w:t xml:space="preserve">únoru </w:t>
            </w:r>
            <w:r>
              <w:rPr>
                <w:color w:val="0D0D0D" w:themeColor="text1" w:themeTint="F2"/>
                <w:spacing w:val="-2"/>
              </w:rPr>
              <w:t xml:space="preserve">2020 </w:t>
            </w:r>
            <w:r w:rsidRPr="00D17511">
              <w:rPr>
                <w:color w:val="0D0D0D" w:themeColor="text1" w:themeTint="F2"/>
                <w:spacing w:val="-2"/>
              </w:rPr>
              <w:t>se meziroční růst s</w:t>
            </w:r>
            <w:r w:rsidRPr="00D17511">
              <w:rPr>
                <w:spacing w:val="-2"/>
              </w:rPr>
              <w:t>tavební produkce</w:t>
            </w:r>
            <w:r w:rsidRPr="00D17511">
              <w:rPr>
                <w:rStyle w:val="Znakapoznpodarou"/>
                <w:spacing w:val="-2"/>
              </w:rPr>
              <w:footnoteReference w:id="11"/>
            </w:r>
            <w:r w:rsidRPr="00D17511">
              <w:rPr>
                <w:spacing w:val="-2"/>
              </w:rPr>
              <w:t xml:space="preserve"> pohyboval okolo 4</w:t>
            </w:r>
            <w:r>
              <w:rPr>
                <w:spacing w:val="-2"/>
              </w:rPr>
              <w:t> %, v</w:t>
            </w:r>
            <w:r w:rsidRPr="00D17511">
              <w:rPr>
                <w:spacing w:val="-2"/>
              </w:rPr>
              <w:t> březnu navzdory vyšší meziroční základně</w:t>
            </w:r>
            <w:r w:rsidRPr="00D17511">
              <w:rPr>
                <w:rStyle w:val="Znakapoznpodarou"/>
                <w:spacing w:val="-2"/>
              </w:rPr>
              <w:footnoteReference w:id="12"/>
            </w:r>
            <w:r>
              <w:rPr>
                <w:spacing w:val="-2"/>
              </w:rPr>
              <w:t xml:space="preserve"> činil pokles</w:t>
            </w:r>
            <w:r w:rsidRPr="00D17511">
              <w:rPr>
                <w:spacing w:val="-2"/>
              </w:rPr>
              <w:t xml:space="preserve"> jen 0,3</w:t>
            </w:r>
            <w:r>
              <w:rPr>
                <w:spacing w:val="-2"/>
              </w:rPr>
              <w:t> %</w:t>
            </w:r>
            <w:r w:rsidRPr="00D17511">
              <w:rPr>
                <w:spacing w:val="-2"/>
              </w:rPr>
              <w:t xml:space="preserve">. </w:t>
            </w:r>
            <w:r>
              <w:rPr>
                <w:spacing w:val="-2"/>
              </w:rPr>
              <w:t>A</w:t>
            </w:r>
            <w:r w:rsidRPr="00D17511">
              <w:rPr>
                <w:spacing w:val="-2"/>
              </w:rPr>
              <w:t>ni 1,7% meziměsíční březnový pokles nijak nevybočil z běžných výkyvů z posledních tří let, kdy odvětví v celoročním vyjádření rostlo. Stavebnictví po celé 1</w:t>
            </w:r>
            <w:r>
              <w:rPr>
                <w:spacing w:val="-2"/>
              </w:rPr>
              <w:t>. čtvrtlet</w:t>
            </w:r>
            <w:r w:rsidRPr="00D17511">
              <w:rPr>
                <w:spacing w:val="-2"/>
              </w:rPr>
              <w:t xml:space="preserve">í těžilo </w:t>
            </w:r>
            <w:r w:rsidRPr="00D17511">
              <w:rPr>
                <w:rFonts w:cstheme="minorHAnsi"/>
                <w:spacing w:val="-2"/>
              </w:rPr>
              <w:t>z vysoké zásoby zakázek i</w:t>
            </w:r>
            <w:r>
              <w:rPr>
                <w:rFonts w:cstheme="minorHAnsi"/>
                <w:spacing w:val="-2"/>
              </w:rPr>
              <w:t> </w:t>
            </w:r>
            <w:r w:rsidRPr="00D17511">
              <w:rPr>
                <w:rFonts w:cstheme="minorHAnsi"/>
                <w:spacing w:val="-2"/>
              </w:rPr>
              <w:t>příznivého počasí. To se odrazilo zejména v inženýrském stavitelství, jehož růst (o</w:t>
            </w:r>
            <w:r>
              <w:rPr>
                <w:rFonts w:cstheme="minorHAnsi"/>
                <w:spacing w:val="-2"/>
              </w:rPr>
              <w:t> </w:t>
            </w:r>
            <w:r w:rsidRPr="00D17511">
              <w:rPr>
                <w:rFonts w:cstheme="minorHAnsi"/>
                <w:spacing w:val="-2"/>
              </w:rPr>
              <w:t>15,5</w:t>
            </w:r>
            <w:r>
              <w:rPr>
                <w:rFonts w:cstheme="minorHAnsi"/>
                <w:spacing w:val="-2"/>
              </w:rPr>
              <w:t> %</w:t>
            </w:r>
            <w:r w:rsidRPr="00D17511">
              <w:rPr>
                <w:rFonts w:cstheme="minorHAnsi"/>
                <w:spacing w:val="-2"/>
              </w:rPr>
              <w:t xml:space="preserve">) snesl srovnání s rokem 2015, kdy probíhalo intenzivní čerpání prostředků na infrastrukturální projekty z rozpočtu EU na konci programového období. Ve váhově významnějším pozemním stavitelství </w:t>
            </w:r>
            <w:r>
              <w:rPr>
                <w:rFonts w:cstheme="minorHAnsi"/>
                <w:spacing w:val="-2"/>
              </w:rPr>
              <w:t>letos produkce jen nepatrně klesla</w:t>
            </w:r>
            <w:r w:rsidRPr="00D17511">
              <w:rPr>
                <w:rFonts w:cstheme="minorHAnsi"/>
                <w:spacing w:val="-2"/>
              </w:rPr>
              <w:t xml:space="preserve"> (</w:t>
            </w:r>
            <w:r w:rsidRPr="00D17511">
              <w:rPr>
                <w:spacing w:val="-2"/>
              </w:rPr>
              <w:t>–</w:t>
            </w:r>
            <w:r w:rsidRPr="00D17511">
              <w:rPr>
                <w:rFonts w:cstheme="minorHAnsi"/>
                <w:spacing w:val="-2"/>
              </w:rPr>
              <w:t>0,8</w:t>
            </w:r>
            <w:r>
              <w:rPr>
                <w:rFonts w:cstheme="minorHAnsi"/>
                <w:spacing w:val="-2"/>
              </w:rPr>
              <w:t> %</w:t>
            </w:r>
            <w:r w:rsidRPr="00D17511">
              <w:rPr>
                <w:rFonts w:cstheme="minorHAnsi"/>
                <w:spacing w:val="-2"/>
              </w:rPr>
              <w:t>)</w:t>
            </w:r>
            <w:r>
              <w:rPr>
                <w:rFonts w:cstheme="minorHAnsi"/>
                <w:spacing w:val="-2"/>
              </w:rPr>
              <w:t>, růst celého odvětví stavebnictví tak v 1. čtvrtletí přetrval (2,1 %).</w:t>
            </w:r>
          </w:p>
        </w:tc>
      </w:tr>
      <w:tr w:rsidR="0002669F" w:rsidRPr="00701F36" w14:paraId="6082B985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74B06BE4" w14:textId="77777777" w:rsidR="0002669F" w:rsidRDefault="0002669F" w:rsidP="0002669F">
            <w:pPr>
              <w:pStyle w:val="Marginlie"/>
            </w:pPr>
            <w:r>
              <w:t>Růst bytové výstavby se v 1. čtvrtletí zastavil.</w:t>
            </w:r>
          </w:p>
          <w:p w14:paraId="2F280310" w14:textId="77777777" w:rsidR="0002669F" w:rsidRDefault="0002669F" w:rsidP="0002669F">
            <w:pPr>
              <w:pStyle w:val="Marginlie"/>
            </w:pPr>
          </w:p>
          <w:p w14:paraId="2D0A52C2" w14:textId="77777777" w:rsidR="0002669F" w:rsidRDefault="0002669F" w:rsidP="0002669F">
            <w:pPr>
              <w:pStyle w:val="Marginlie"/>
            </w:pPr>
          </w:p>
          <w:p w14:paraId="00159D12" w14:textId="77777777" w:rsidR="0002669F" w:rsidRDefault="0002669F" w:rsidP="0002669F">
            <w:pPr>
              <w:pStyle w:val="Marginlie"/>
            </w:pPr>
          </w:p>
          <w:p w14:paraId="58375EAE" w14:textId="66EBDE51" w:rsidR="0002669F" w:rsidRDefault="0002669F" w:rsidP="0002669F">
            <w:pPr>
              <w:pStyle w:val="Marginlie"/>
            </w:pPr>
          </w:p>
          <w:p w14:paraId="01BCC729" w14:textId="77777777" w:rsidR="0002669F" w:rsidRDefault="0002669F" w:rsidP="0002669F">
            <w:pPr>
              <w:pStyle w:val="Marginlie"/>
            </w:pPr>
          </w:p>
          <w:p w14:paraId="5F381A51" w14:textId="77777777" w:rsidR="0002669F" w:rsidRDefault="0002669F" w:rsidP="0002669F">
            <w:pPr>
              <w:pStyle w:val="Marginlie"/>
            </w:pPr>
          </w:p>
          <w:p w14:paraId="06568C7E" w14:textId="77777777" w:rsidR="0002669F" w:rsidRDefault="0002669F" w:rsidP="0002669F">
            <w:pPr>
              <w:pStyle w:val="Marginlie"/>
            </w:pPr>
            <w:r>
              <w:t>Zavedení nouzového stavu mohlo ovlivnit také součinnost developerů s orgány veřejné správy.</w:t>
            </w:r>
          </w:p>
          <w:p w14:paraId="415862F0" w14:textId="77777777" w:rsidR="0002669F" w:rsidRDefault="0002669F" w:rsidP="0002669F">
            <w:pPr>
              <w:pStyle w:val="Marginlie"/>
            </w:pPr>
          </w:p>
          <w:p w14:paraId="76D86E9F" w14:textId="77777777" w:rsidR="0002669F" w:rsidRDefault="0002669F" w:rsidP="0002669F">
            <w:pPr>
              <w:pStyle w:val="Marginlie"/>
            </w:pPr>
          </w:p>
          <w:p w14:paraId="6818B701" w14:textId="77777777" w:rsidR="0002669F" w:rsidRDefault="0002669F" w:rsidP="0002669F">
            <w:pPr>
              <w:pStyle w:val="Marginlie"/>
            </w:pPr>
          </w:p>
          <w:p w14:paraId="17319B46" w14:textId="77777777" w:rsidR="0002669F" w:rsidRDefault="0002669F" w:rsidP="0002669F">
            <w:pPr>
              <w:pStyle w:val="Marginlie"/>
            </w:pPr>
          </w:p>
          <w:p w14:paraId="651E9436" w14:textId="77777777" w:rsidR="0002669F" w:rsidRDefault="0002669F" w:rsidP="0002669F">
            <w:pPr>
              <w:pStyle w:val="Marginlie"/>
            </w:pPr>
            <w:r>
              <w:lastRenderedPageBreak/>
              <w:t>Hodnota nových stavebních zakázek se snížila, celková zásoba práce stavebních podniků však dále rostla.</w:t>
            </w:r>
          </w:p>
          <w:p w14:paraId="6128B5E7" w14:textId="77777777" w:rsidR="0002669F" w:rsidRDefault="0002669F" w:rsidP="0002669F">
            <w:pPr>
              <w:pStyle w:val="Marginlie"/>
            </w:pPr>
          </w:p>
          <w:p w14:paraId="0F586CC2" w14:textId="6F49E0A4" w:rsidR="0002669F" w:rsidRDefault="0002669F" w:rsidP="0002669F">
            <w:pPr>
              <w:pStyle w:val="Marginlie"/>
            </w:pPr>
          </w:p>
          <w:p w14:paraId="6DB3E214" w14:textId="77777777" w:rsidR="0002669F" w:rsidRDefault="0002669F" w:rsidP="0002669F">
            <w:pPr>
              <w:pStyle w:val="Marginlie"/>
            </w:pPr>
            <w:r>
              <w:t xml:space="preserve">Souhrnný indikátor důvěry ve stavebnictví se v dubnu mírně zhoršil. 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28F5102E" w14:textId="77777777" w:rsidR="0002669F" w:rsidRPr="002A4B98" w:rsidRDefault="0002669F" w:rsidP="0002669F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5C7A7260" w14:textId="77777777" w:rsidR="0002669F" w:rsidRPr="00701F36" w:rsidRDefault="0002669F" w:rsidP="0002669F">
            <w:pPr>
              <w:pStyle w:val="Textpoznpodarou"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color w:val="0D0D0D" w:themeColor="text1" w:themeTint="F2"/>
              </w:rPr>
              <w:t>Růst bytové výstavby se v 1. čtvrtletí vinou slabších březnových výsledků zastavil. Počet dokončených bytů meziročně prakticky stagnoval (na 8,0 tis.). Zahájených bytů ubylo o</w:t>
            </w:r>
            <w:r w:rsidRPr="00D17511">
              <w:rPr>
                <w:color w:val="0D0D0D" w:themeColor="text1" w:themeTint="F2"/>
                <w:spacing w:val="-2"/>
              </w:rPr>
              <w:t> </w:t>
            </w:r>
            <w:r>
              <w:rPr>
                <w:color w:val="0D0D0D" w:themeColor="text1" w:themeTint="F2"/>
              </w:rPr>
              <w:t>4,5 % (při celkové výši 9,1 tis.), primárně vlivem bytů v </w:t>
            </w:r>
            <w:r w:rsidRPr="00477A99">
              <w:rPr>
                <w:color w:val="0D0D0D" w:themeColor="text1" w:themeTint="F2"/>
              </w:rPr>
              <w:t>nových bytových domech</w:t>
            </w:r>
            <w:r>
              <w:rPr>
                <w:color w:val="0D0D0D" w:themeColor="text1" w:themeTint="F2"/>
              </w:rPr>
              <w:t>. Naopak počet zahájených bytů v nových rodinných domech rostl šestým rokem v řadě a dosáhl 4,9 tis. (v rámci 1. čtvrtletí šlo o maximum v éře samostatné ČR). Nižší celkový počet zahájených bytů v březnu (meziročně o 1,3 tis.) mohl odrážet také slabší</w:t>
            </w:r>
            <w:r>
              <w:rPr>
                <w:rFonts w:cstheme="minorHAnsi"/>
              </w:rPr>
              <w:t xml:space="preserve"> součinnost developerů s úřady (omezení úředních hodin, obtížnější získávání povinných stanovisek</w:t>
            </w:r>
            <w:r w:rsidRPr="00DC3C31">
              <w:rPr>
                <w:rFonts w:cstheme="minorHAnsi"/>
              </w:rPr>
              <w:t xml:space="preserve"> dotčených orgánů</w:t>
            </w:r>
            <w:r>
              <w:rPr>
                <w:rFonts w:cstheme="minorHAnsi"/>
              </w:rPr>
              <w:t>). To nepřímo potvrzuje i pokles počtu všech vydaných stavebních povolení (v březnu meziročně o 14 %, za 1. čtvrtletí stagnace). Průměrná o</w:t>
            </w:r>
            <w:r w:rsidRPr="0055559A">
              <w:rPr>
                <w:rFonts w:cstheme="minorHAnsi"/>
              </w:rPr>
              <w:t xml:space="preserve">rientační hodnota </w:t>
            </w:r>
            <w:r>
              <w:rPr>
                <w:rFonts w:cstheme="minorHAnsi"/>
              </w:rPr>
              <w:t>stavebního povolení čítala v 1. čtvrtletí 4,6 mil. korun a meziročně téměř stagnovala. Hodnota nově uzavřených tuzemských zakázek</w:t>
            </w:r>
            <w:r w:rsidRPr="00D17511">
              <w:rPr>
                <w:rStyle w:val="Znakapoznpodarou"/>
                <w:spacing w:val="-2"/>
              </w:rPr>
              <w:footnoteReference w:id="13"/>
            </w:r>
            <w:r>
              <w:rPr>
                <w:rFonts w:cstheme="minorHAnsi"/>
              </w:rPr>
              <w:t xml:space="preserve"> klesla o</w:t>
            </w:r>
            <w:r w:rsidRPr="00D17511">
              <w:rPr>
                <w:color w:val="0D0D0D" w:themeColor="text1" w:themeTint="F2"/>
                <w:spacing w:val="-2"/>
              </w:rPr>
              <w:t> </w:t>
            </w:r>
            <w:r>
              <w:rPr>
                <w:rFonts w:cstheme="minorHAnsi"/>
              </w:rPr>
              <w:t xml:space="preserve">sedminu, a to výhradně vlivem inženýrského stavitelství (zčásti vlivem vysoké srovnávací základny). Roli mohlo sehrát i to, že po vyhlášení nouzového stavu došlo k pozastavení </w:t>
            </w:r>
            <w:r>
              <w:rPr>
                <w:rFonts w:cstheme="minorHAnsi"/>
              </w:rPr>
              <w:lastRenderedPageBreak/>
              <w:t>některých výběrových řízení. Celková zásoba práce (ve formě všech dosud nerealizovaných zakázek) ale rostla již třetím rokem v řadě. Na konci 1. čtvrtletí byla meziročně o desetinu vyšší, a to zásluhou jak veřejných, tak soukromých zakázek. Saldo indikátoru</w:t>
            </w:r>
            <w:r w:rsidRPr="009E5A74">
              <w:rPr>
                <w:rFonts w:cstheme="minorHAnsi"/>
              </w:rPr>
              <w:t xml:space="preserve"> důvěry</w:t>
            </w:r>
            <w:r w:rsidRPr="00DB613B">
              <w:rPr>
                <w:color w:val="0D0D0D" w:themeColor="text1" w:themeTint="F2"/>
              </w:rPr>
              <w:t xml:space="preserve"> manažerů stavebních podniků</w:t>
            </w:r>
            <w:r>
              <w:rPr>
                <w:color w:val="0D0D0D" w:themeColor="text1" w:themeTint="F2"/>
              </w:rPr>
              <w:t xml:space="preserve"> zůstalo po celý 1. kvartál bez větších změn. V dubnu se mírně zhoršilo na </w:t>
            </w:r>
            <w:r w:rsidRPr="00D17511">
              <w:rPr>
                <w:spacing w:val="-2"/>
              </w:rPr>
              <w:t>–</w:t>
            </w:r>
            <w:r>
              <w:rPr>
                <w:color w:val="0D0D0D" w:themeColor="text1" w:themeTint="F2"/>
              </w:rPr>
              <w:t>12,5 bodu (více než dvouleté minimum). O stabilizované situaci stavebnictví vypovídá i v posledních čtvrtletích neměnná skladba růstových bariér. Více než čtvrtinu podniků sužovala nedostatečná poptávka, téměř polovinu pak nedostupnost volné pracovní síly. Tento faktor zůstává silný i přesto, že počet zaměstnanců v tomto odvětví začal pozvolna klesat.</w:t>
            </w:r>
          </w:p>
        </w:tc>
      </w:tr>
      <w:tr w:rsidR="0002669F" w14:paraId="562534B8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12140BB2" w14:textId="77777777" w:rsidR="0002669F" w:rsidRDefault="0002669F" w:rsidP="0002669F">
            <w:pPr>
              <w:pStyle w:val="Marginlie"/>
            </w:pPr>
            <w:r>
              <w:lastRenderedPageBreak/>
              <w:t>Pokles stavební produkce v EU se v březnu citelně prohloubil.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2611601E" w14:textId="77777777" w:rsidR="0002669F" w:rsidRPr="002A4B98" w:rsidRDefault="0002669F" w:rsidP="0002669F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3A11813" w14:textId="77777777" w:rsidR="0002669F" w:rsidRDefault="0002669F" w:rsidP="0002669F">
            <w:pPr>
              <w:pStyle w:val="Textpoznpodarou"/>
              <w:spacing w:after="200" w:line="276" w:lineRule="auto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Stavební produkce v EU klesla v 1. čtvrtletí meziročně o 2,9 % (v samotném březnu o</w:t>
            </w:r>
            <w:r>
              <w:rPr>
                <w:rFonts w:cstheme="minorHAnsi"/>
              </w:rPr>
              <w:t> </w:t>
            </w:r>
            <w:r>
              <w:rPr>
                <w:color w:val="0D0D0D" w:themeColor="text1" w:themeTint="F2"/>
              </w:rPr>
              <w:t>13,4 %). Růst si přesto udržela většina jejích členských států, především ze střední a</w:t>
            </w:r>
            <w:r>
              <w:rPr>
                <w:rFonts w:cstheme="minorHAnsi"/>
              </w:rPr>
              <w:t> </w:t>
            </w:r>
            <w:r>
              <w:rPr>
                <w:color w:val="0D0D0D" w:themeColor="text1" w:themeTint="F2"/>
              </w:rPr>
              <w:t>východní Evropy (zejména Rumunsko +32,8 %), dále také Irsko (+15,6 %), Německo (+7,6 %) či Finsko (+3,8 %). Naopak o více než desetinu klesl výkon ve Francii a Itálii, o více než 5 % také v Belgii, Španělsku a Lucembursku. Tak jako v Česku i ve většině států Unie si inženýrské stavitelství vedlo lépe než pozemní.</w:t>
            </w:r>
          </w:p>
        </w:tc>
      </w:tr>
      <w:tr w:rsidR="0002669F" w:rsidRPr="00DB613B" w14:paraId="7B84DF5B" w14:textId="77777777" w:rsidTr="00BE277D"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6C6449F0" w14:textId="77777777" w:rsidR="0002669F" w:rsidRDefault="0002669F" w:rsidP="0002669F">
            <w:pPr>
              <w:pStyle w:val="Marginlie"/>
            </w:pPr>
          </w:p>
        </w:tc>
        <w:tc>
          <w:tcPr>
            <w:tcW w:w="205" w:type="dxa"/>
            <w:vMerge w:val="restart"/>
            <w:shd w:val="clear" w:color="auto" w:fill="auto"/>
            <w:tcMar>
              <w:left w:w="0" w:type="dxa"/>
            </w:tcMar>
          </w:tcPr>
          <w:p w14:paraId="5E7566E2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58F8DF1E" w14:textId="77777777" w:rsidR="0002669F" w:rsidRDefault="0002669F" w:rsidP="0002669F">
            <w:pPr>
              <w:spacing w:after="0"/>
              <w:jc w:val="left"/>
              <w:rPr>
                <w:b/>
                <w:bCs/>
              </w:rPr>
            </w:pPr>
            <w:r w:rsidRPr="00DB613B">
              <w:rPr>
                <w:b/>
              </w:rPr>
              <w:t>Graf č. 6</w:t>
            </w:r>
            <w:r>
              <w:rPr>
                <w:b/>
              </w:rPr>
              <w:t xml:space="preserve"> </w:t>
            </w:r>
            <w:r w:rsidRPr="00DB613B">
              <w:rPr>
                <w:b/>
              </w:rPr>
              <w:t xml:space="preserve"> Příspěvky odvětví k meziroční změně stavební produkce </w:t>
            </w:r>
            <w:r w:rsidRPr="00DB613B">
              <w:t>(v p. b.)</w:t>
            </w:r>
            <w:r w:rsidRPr="00DB613B">
              <w:rPr>
                <w:b/>
                <w:bCs/>
              </w:rPr>
              <w:t>,</w:t>
            </w:r>
          </w:p>
          <w:p w14:paraId="5E9454C5" w14:textId="77777777" w:rsidR="0002669F" w:rsidRPr="00DB613B" w:rsidRDefault="0002669F" w:rsidP="0002669F">
            <w:pPr>
              <w:spacing w:after="0"/>
              <w:jc w:val="left"/>
              <w:rPr>
                <w:b/>
              </w:rPr>
            </w:pPr>
            <w:r w:rsidRPr="00DB613B">
              <w:rPr>
                <w:b/>
              </w:rPr>
              <w:t xml:space="preserve">nové </w:t>
            </w:r>
            <w:r>
              <w:rPr>
                <w:b/>
              </w:rPr>
              <w:t xml:space="preserve">stavební </w:t>
            </w:r>
            <w:r w:rsidRPr="00DB613B">
              <w:rPr>
                <w:b/>
              </w:rPr>
              <w:t xml:space="preserve">zakázky </w:t>
            </w:r>
            <w:r w:rsidRPr="00DB613B">
              <w:rPr>
                <w:bCs/>
              </w:rPr>
              <w:t>(</w:t>
            </w:r>
            <w:r w:rsidRPr="00DB613B">
              <w:t>meziročně</w:t>
            </w:r>
            <w:r w:rsidRPr="00DB613B">
              <w:rPr>
                <w:bCs/>
              </w:rPr>
              <w:t xml:space="preserve"> v %</w:t>
            </w:r>
            <w:r w:rsidRPr="00DB613B">
              <w:t>, pravá osa</w:t>
            </w:r>
            <w:r w:rsidRPr="00DB613B">
              <w:rPr>
                <w:bCs/>
              </w:rPr>
              <w:t>)</w:t>
            </w:r>
            <w:r w:rsidRPr="00DB613B">
              <w:rPr>
                <w:b/>
              </w:rPr>
              <w:t>, saldo indikátoru důvěry ve stavebnictví*</w:t>
            </w:r>
            <w:r w:rsidRPr="00DB613B">
              <w:t xml:space="preserve"> (v p. b., pravá osa) </w:t>
            </w:r>
            <w:r w:rsidRPr="00DB613B">
              <w:rPr>
                <w:b/>
              </w:rPr>
              <w:t>a vybrané bariéry růstu</w:t>
            </w:r>
            <w:r w:rsidRPr="00DB613B">
              <w:t>* (v %, pravá osa)</w:t>
            </w:r>
          </w:p>
        </w:tc>
      </w:tr>
      <w:tr w:rsidR="0002669F" w:rsidRPr="00DB613B" w14:paraId="6A6360AD" w14:textId="77777777" w:rsidTr="00BE277D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/>
            <w:shd w:val="clear" w:color="auto" w:fill="auto"/>
          </w:tcPr>
          <w:p w14:paraId="3379A570" w14:textId="77777777" w:rsidR="0002669F" w:rsidRPr="009110F7" w:rsidRDefault="0002669F" w:rsidP="0002669F">
            <w:pPr>
              <w:pStyle w:val="Marginlie"/>
            </w:pPr>
          </w:p>
        </w:tc>
        <w:tc>
          <w:tcPr>
            <w:tcW w:w="205" w:type="dxa"/>
            <w:vMerge/>
            <w:shd w:val="clear" w:color="auto" w:fill="auto"/>
          </w:tcPr>
          <w:p w14:paraId="5CCC8B6F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</w:tcPr>
          <w:p w14:paraId="2E0E01AF" w14:textId="77777777" w:rsidR="0002669F" w:rsidRPr="00DB613B" w:rsidRDefault="0002669F" w:rsidP="0002669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9D6BAA7" wp14:editId="5DC35030">
                  <wp:extent cx="4748530" cy="3645725"/>
                  <wp:effectExtent l="0" t="0" r="0" b="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2669F" w:rsidRPr="00DB613B" w14:paraId="2B00CB6F" w14:textId="77777777" w:rsidTr="00BE277D"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/>
            <w:shd w:val="clear" w:color="auto" w:fill="auto"/>
            <w:tcMar>
              <w:left w:w="0" w:type="dxa"/>
            </w:tcMar>
          </w:tcPr>
          <w:p w14:paraId="0180BF58" w14:textId="77777777" w:rsidR="0002669F" w:rsidRPr="009110F7" w:rsidRDefault="0002669F" w:rsidP="0002669F">
            <w:pPr>
              <w:pStyle w:val="Marginlie"/>
            </w:pPr>
          </w:p>
        </w:tc>
        <w:tc>
          <w:tcPr>
            <w:tcW w:w="205" w:type="dxa"/>
            <w:vMerge/>
            <w:shd w:val="clear" w:color="auto" w:fill="auto"/>
            <w:tcMar>
              <w:left w:w="0" w:type="dxa"/>
            </w:tcMar>
          </w:tcPr>
          <w:p w14:paraId="43393510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4B57318" w14:textId="77777777" w:rsidR="0002669F" w:rsidRPr="00DB613B" w:rsidRDefault="0002669F" w:rsidP="0002669F">
            <w:pPr>
              <w:spacing w:after="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Údaje o stavební produkci jsou očištěny o kalendářní vlivy.</w:t>
            </w:r>
          </w:p>
          <w:p w14:paraId="400D1B36" w14:textId="77777777" w:rsidR="0002669F" w:rsidRDefault="0002669F" w:rsidP="0002669F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</w:t>
            </w:r>
            <w:r w:rsidRPr="00937931">
              <w:rPr>
                <w:rFonts w:cs="Arial"/>
                <w:spacing w:val="-2"/>
                <w:sz w:val="14"/>
                <w:szCs w:val="14"/>
              </w:rPr>
              <w:t>Saldo důvěry i</w:t>
            </w:r>
            <w:r>
              <w:rPr>
                <w:rFonts w:cs="Arial"/>
                <w:spacing w:val="-2"/>
                <w:sz w:val="14"/>
                <w:szCs w:val="14"/>
              </w:rPr>
              <w:t> </w:t>
            </w:r>
            <w:r w:rsidRPr="00937931">
              <w:rPr>
                <w:rFonts w:cs="Arial"/>
                <w:spacing w:val="-2"/>
                <w:sz w:val="14"/>
                <w:szCs w:val="14"/>
              </w:rPr>
              <w:t>bariéry růstu jsou sezónně očištěny a</w:t>
            </w:r>
            <w:r>
              <w:rPr>
                <w:rFonts w:cs="Arial"/>
                <w:spacing w:val="-2"/>
                <w:sz w:val="14"/>
                <w:szCs w:val="14"/>
              </w:rPr>
              <w:t> </w:t>
            </w:r>
            <w:r w:rsidRPr="00937931">
              <w:rPr>
                <w:rFonts w:cs="Arial"/>
                <w:spacing w:val="-2"/>
                <w:sz w:val="14"/>
                <w:szCs w:val="14"/>
              </w:rPr>
              <w:t>vyjadřují stav v prvním měsíci daného čtvrtletí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51D9C8FF" w14:textId="77777777" w:rsidR="0002669F" w:rsidRPr="00DB613B" w:rsidRDefault="0002669F" w:rsidP="0002669F">
            <w:pPr>
              <w:spacing w:after="20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02669F" w:rsidRPr="00281CBA" w14:paraId="4F58D8A8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58893146" w14:textId="77777777" w:rsidR="0002669F" w:rsidRDefault="0002669F" w:rsidP="0002669F">
            <w:pPr>
              <w:pStyle w:val="Marginlie"/>
            </w:pPr>
            <w:r>
              <w:t>Mezičtvrtletní pokles tržeb ve službách se na počátku roku 2020 prohloubil na 2,5 %.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22341D01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44496948" w14:textId="77777777" w:rsidR="0002669F" w:rsidRPr="00281CBA" w:rsidRDefault="0002669F" w:rsidP="0002669F">
            <w:pPr>
              <w:spacing w:after="200"/>
              <w:rPr>
                <w:spacing w:val="-2"/>
              </w:rPr>
            </w:pPr>
            <w:r w:rsidRPr="00281CBA">
              <w:rPr>
                <w:spacing w:val="-2"/>
              </w:rPr>
              <w:t xml:space="preserve">Tržby </w:t>
            </w:r>
            <w:r w:rsidRPr="00281CBA">
              <w:rPr>
                <w:color w:val="0D0D0D" w:themeColor="text1" w:themeTint="F2"/>
                <w:spacing w:val="-2"/>
              </w:rPr>
              <w:t>ve vybraných službách</w:t>
            </w:r>
            <w:r w:rsidRPr="00281CBA">
              <w:rPr>
                <w:color w:val="0D0D0D" w:themeColor="text1" w:themeTint="F2"/>
                <w:spacing w:val="-2"/>
                <w:vertAlign w:val="superscript"/>
              </w:rPr>
              <w:footnoteReference w:id="14"/>
            </w:r>
            <w:r w:rsidRPr="00281CBA">
              <w:rPr>
                <w:color w:val="0D0D0D" w:themeColor="text1" w:themeTint="F2"/>
                <w:spacing w:val="-2"/>
              </w:rPr>
              <w:t xml:space="preserve"> klesly během 1</w:t>
            </w:r>
            <w:r>
              <w:rPr>
                <w:color w:val="0D0D0D" w:themeColor="text1" w:themeTint="F2"/>
                <w:spacing w:val="-2"/>
              </w:rPr>
              <w:t>. čtvrtlet</w:t>
            </w:r>
            <w:r w:rsidRPr="00281CBA">
              <w:rPr>
                <w:color w:val="0D0D0D" w:themeColor="text1" w:themeTint="F2"/>
                <w:spacing w:val="-2"/>
              </w:rPr>
              <w:t xml:space="preserve">í 2020 </w:t>
            </w:r>
            <w:r>
              <w:rPr>
                <w:color w:val="0D0D0D" w:themeColor="text1" w:themeTint="F2"/>
                <w:spacing w:val="-2"/>
              </w:rPr>
              <w:t>mezikvartálně</w:t>
            </w:r>
            <w:r w:rsidRPr="00281CBA">
              <w:rPr>
                <w:color w:val="0D0D0D" w:themeColor="text1" w:themeTint="F2"/>
                <w:spacing w:val="-2"/>
              </w:rPr>
              <w:t xml:space="preserve"> o</w:t>
            </w:r>
            <w:r>
              <w:rPr>
                <w:color w:val="0D0D0D" w:themeColor="text1" w:themeTint="F2"/>
                <w:spacing w:val="-2"/>
              </w:rPr>
              <w:t> 2,5 %</w:t>
            </w:r>
            <w:r w:rsidRPr="00281CBA">
              <w:rPr>
                <w:color w:val="0D0D0D" w:themeColor="text1" w:themeTint="F2"/>
                <w:spacing w:val="-2"/>
              </w:rPr>
              <w:t>. Zaznamen</w:t>
            </w:r>
            <w:r>
              <w:rPr>
                <w:color w:val="0D0D0D" w:themeColor="text1" w:themeTint="F2"/>
                <w:spacing w:val="-2"/>
              </w:rPr>
              <w:t xml:space="preserve">aly tak již čtvrtý </w:t>
            </w:r>
            <w:r w:rsidRPr="00281CBA">
              <w:rPr>
                <w:color w:val="0D0D0D" w:themeColor="text1" w:themeTint="F2"/>
                <w:spacing w:val="-2"/>
              </w:rPr>
              <w:t xml:space="preserve">pokles v řadě. Zatímco vývoj po většinu loňského roku byl negativně ovlivněn především odvětvími reagujícími na slábnoucí dynamiku průmyslu, letošní pokles měl převážně plošný charakter (jen mírný růst byl registrován </w:t>
            </w:r>
            <w:r>
              <w:rPr>
                <w:color w:val="0D0D0D" w:themeColor="text1" w:themeTint="F2"/>
                <w:spacing w:val="-2"/>
              </w:rPr>
              <w:t>pouze</w:t>
            </w:r>
            <w:r w:rsidRPr="00281CBA">
              <w:rPr>
                <w:color w:val="0D0D0D" w:themeColor="text1" w:themeTint="F2"/>
                <w:spacing w:val="-2"/>
              </w:rPr>
              <w:t xml:space="preserve"> v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281CBA">
              <w:rPr>
                <w:color w:val="0D0D0D" w:themeColor="text1" w:themeTint="F2"/>
                <w:spacing w:val="-2"/>
              </w:rPr>
              <w:t>oblasti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281CBA">
              <w:rPr>
                <w:color w:val="0D0D0D" w:themeColor="text1" w:themeTint="F2"/>
                <w:spacing w:val="-2"/>
              </w:rPr>
              <w:t>I</w:t>
            </w:r>
            <w:r>
              <w:rPr>
                <w:color w:val="0D0D0D" w:themeColor="text1" w:themeTint="F2"/>
                <w:spacing w:val="-2"/>
              </w:rPr>
              <w:t>C</w:t>
            </w:r>
            <w:r w:rsidRPr="00281CBA">
              <w:rPr>
                <w:color w:val="0D0D0D" w:themeColor="text1" w:themeTint="F2"/>
                <w:spacing w:val="-2"/>
              </w:rPr>
              <w:t>T a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281CBA">
              <w:rPr>
                <w:color w:val="0D0D0D" w:themeColor="text1" w:themeTint="F2"/>
                <w:spacing w:val="-2"/>
              </w:rPr>
              <w:t>také u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281CBA">
              <w:rPr>
                <w:color w:val="0D0D0D" w:themeColor="text1" w:themeTint="F2"/>
                <w:spacing w:val="-2"/>
              </w:rPr>
              <w:t>nemovitostí). Meziroční pokles ve službách dosáhl letos 3,6</w:t>
            </w:r>
            <w:r>
              <w:rPr>
                <w:color w:val="0D0D0D" w:themeColor="text1" w:themeTint="F2"/>
                <w:spacing w:val="-2"/>
              </w:rPr>
              <w:t> %, což byl nejhlubší útlum</w:t>
            </w:r>
            <w:r w:rsidRPr="00281CBA">
              <w:rPr>
                <w:color w:val="0D0D0D" w:themeColor="text1" w:themeTint="F2"/>
                <w:spacing w:val="-2"/>
              </w:rPr>
              <w:t xml:space="preserve"> v období po 3</w:t>
            </w:r>
            <w:r>
              <w:rPr>
                <w:color w:val="0D0D0D" w:themeColor="text1" w:themeTint="F2"/>
                <w:spacing w:val="-2"/>
              </w:rPr>
              <w:t>. čtvrtlet</w:t>
            </w:r>
            <w:r w:rsidRPr="00281CBA">
              <w:rPr>
                <w:color w:val="0D0D0D" w:themeColor="text1" w:themeTint="F2"/>
                <w:spacing w:val="-2"/>
              </w:rPr>
              <w:t>í 2011. V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281CBA">
              <w:rPr>
                <w:color w:val="0D0D0D" w:themeColor="text1" w:themeTint="F2"/>
                <w:spacing w:val="-2"/>
              </w:rPr>
              <w:t xml:space="preserve">samotném březnu, kdy </w:t>
            </w:r>
            <w:r>
              <w:rPr>
                <w:color w:val="0D0D0D" w:themeColor="text1" w:themeTint="F2"/>
                <w:spacing w:val="-2"/>
              </w:rPr>
              <w:t xml:space="preserve">se </w:t>
            </w:r>
            <w:r w:rsidRPr="00281CBA">
              <w:rPr>
                <w:color w:val="0D0D0D" w:themeColor="text1" w:themeTint="F2"/>
                <w:spacing w:val="-2"/>
              </w:rPr>
              <w:t xml:space="preserve">již citelně projevily důsledky protipandemických opatření, se celkové tržby snížily o více než </w:t>
            </w:r>
            <w:r w:rsidRPr="00281CBA">
              <w:rPr>
                <w:color w:val="0D0D0D" w:themeColor="text1" w:themeTint="F2"/>
                <w:spacing w:val="-2"/>
              </w:rPr>
              <w:lastRenderedPageBreak/>
              <w:t>desetinu. V dílčích odvětvích navázaných na cestovní ruch byl propad až na polovinu, neboť činnost podniků v nich působících se prakticky omezila jen na první půli měsíce.</w:t>
            </w:r>
          </w:p>
        </w:tc>
      </w:tr>
      <w:tr w:rsidR="0002669F" w:rsidRPr="00281CBA" w14:paraId="3B1E2F41" w14:textId="77777777" w:rsidTr="00BE277D">
        <w:trPr>
          <w:gridAfter w:val="1"/>
          <w:wAfter w:w="20" w:type="dxa"/>
          <w:trHeight w:val="145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1E7C7548" w14:textId="77777777" w:rsidR="0002669F" w:rsidRDefault="0002669F" w:rsidP="0002669F">
            <w:pPr>
              <w:pStyle w:val="Marginlie"/>
            </w:pPr>
            <w:r>
              <w:lastRenderedPageBreak/>
              <w:t>Ze služeb byly restriktivními opatřeními zasaženy nejvíce odvětví a činnosti spjaté s cestovním ruchem.</w:t>
            </w:r>
          </w:p>
          <w:p w14:paraId="27AC133D" w14:textId="0B068A50" w:rsidR="0002669F" w:rsidRDefault="0002669F" w:rsidP="0002669F">
            <w:pPr>
              <w:pStyle w:val="Marginlie"/>
            </w:pPr>
          </w:p>
          <w:p w14:paraId="14F4DFF4" w14:textId="77777777" w:rsidR="0002669F" w:rsidRDefault="0002669F" w:rsidP="0002669F">
            <w:pPr>
              <w:pStyle w:val="Marginlie"/>
            </w:pPr>
          </w:p>
          <w:p w14:paraId="0F6ADAF6" w14:textId="77777777" w:rsidR="0002669F" w:rsidRDefault="0002669F" w:rsidP="0002669F">
            <w:pPr>
              <w:pStyle w:val="Marginlie"/>
            </w:pPr>
          </w:p>
          <w:p w14:paraId="115ED401" w14:textId="77777777" w:rsidR="0002669F" w:rsidRDefault="0002669F" w:rsidP="0002669F">
            <w:pPr>
              <w:pStyle w:val="Marginlie"/>
            </w:pPr>
            <w:r>
              <w:t>Silnějšímu poklesu tržeb čelily i pracovní agentury či pozemní doprava a skladování.</w:t>
            </w:r>
          </w:p>
          <w:p w14:paraId="7DF7EC86" w14:textId="6D140E72" w:rsidR="0002669F" w:rsidRDefault="0002669F" w:rsidP="0002669F">
            <w:pPr>
              <w:pStyle w:val="Marginlie"/>
            </w:pPr>
          </w:p>
          <w:p w14:paraId="357B2E9E" w14:textId="77777777" w:rsidR="0002669F" w:rsidRDefault="0002669F" w:rsidP="0002669F">
            <w:pPr>
              <w:pStyle w:val="Marginlie"/>
            </w:pPr>
          </w:p>
          <w:p w14:paraId="2B39B96E" w14:textId="77777777" w:rsidR="0002669F" w:rsidRDefault="0002669F" w:rsidP="0002669F">
            <w:pPr>
              <w:pStyle w:val="Marginlie"/>
            </w:pPr>
          </w:p>
          <w:p w14:paraId="608B8867" w14:textId="77777777" w:rsidR="0002669F" w:rsidRDefault="0002669F" w:rsidP="0002669F">
            <w:pPr>
              <w:pStyle w:val="Marginlie"/>
            </w:pPr>
            <w:r>
              <w:t>Poptávka rostla v telekomunikacích, u poštovních a kurýrních činností či u právních a účetnických činností.</w:t>
            </w:r>
          </w:p>
          <w:p w14:paraId="63FCB048" w14:textId="77777777" w:rsidR="0002669F" w:rsidRDefault="0002669F" w:rsidP="0002669F">
            <w:pPr>
              <w:pStyle w:val="Marginlie"/>
            </w:pP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7003A454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56C4131D" w14:textId="77777777" w:rsidR="0002669F" w:rsidRPr="00281CBA" w:rsidRDefault="0002669F" w:rsidP="0002669F">
            <w:pPr>
              <w:spacing w:after="200"/>
              <w:rPr>
                <w:spacing w:val="-2"/>
              </w:rPr>
            </w:pPr>
            <w:r w:rsidRPr="00281CBA">
              <w:rPr>
                <w:spacing w:val="-2"/>
              </w:rPr>
              <w:t>K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meziročnímu po</w:t>
            </w:r>
            <w:r>
              <w:rPr>
                <w:spacing w:val="-2"/>
              </w:rPr>
              <w:t>klesu tržeb ve službách přispěla</w:t>
            </w:r>
            <w:r w:rsidRPr="00281CBA">
              <w:rPr>
                <w:spacing w:val="-2"/>
              </w:rPr>
              <w:t xml:space="preserve"> v 1</w:t>
            </w:r>
            <w:r>
              <w:rPr>
                <w:spacing w:val="-2"/>
              </w:rPr>
              <w:t>. čtvrtlet</w:t>
            </w:r>
            <w:r w:rsidRPr="00281CBA">
              <w:rPr>
                <w:spacing w:val="-2"/>
              </w:rPr>
              <w:t>í nejvíce odvětvová sekce doprav</w:t>
            </w:r>
            <w:r>
              <w:rPr>
                <w:spacing w:val="-2"/>
              </w:rPr>
              <w:t>a</w:t>
            </w:r>
            <w:r w:rsidRPr="00281CBA">
              <w:rPr>
                <w:spacing w:val="-2"/>
              </w:rPr>
              <w:t xml:space="preserve"> a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skladování (o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téměř 2</w:t>
            </w:r>
            <w:r>
              <w:rPr>
                <w:spacing w:val="-2"/>
              </w:rPr>
              <w:t> p. b.</w:t>
            </w:r>
            <w:r w:rsidRPr="00281CBA">
              <w:rPr>
                <w:spacing w:val="-2"/>
              </w:rPr>
              <w:t xml:space="preserve"> při poklesu odvětví o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6,3</w:t>
            </w:r>
            <w:r>
              <w:rPr>
                <w:spacing w:val="-2"/>
              </w:rPr>
              <w:t> %</w:t>
            </w:r>
            <w:r w:rsidRPr="00281CBA">
              <w:rPr>
                <w:spacing w:val="-2"/>
              </w:rPr>
              <w:t>). K více než čtvrtinovému propadu tržeb došlo v letecké i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 xml:space="preserve">vodní dopravě, klíčovým byl ale více než 6% útlum pozemní dopravy (vlivem </w:t>
            </w:r>
            <w:r>
              <w:rPr>
                <w:spacing w:val="-2"/>
              </w:rPr>
              <w:t>snížené poptávky zejména po náklad</w:t>
            </w:r>
            <w:r w:rsidRPr="00281CBA">
              <w:rPr>
                <w:spacing w:val="-2"/>
              </w:rPr>
              <w:t>ní dopravě). Dílčí kompenzací byla vyšší poptávka po poštovních a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kurýrních činnostech, kde tržby rostly skoro o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desetinu (což platilo i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pro samotný březen). V sekci ubytování, stravování a pohostinství tržby klesly o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více než sedminu. V samotném ubytování činil propad 21,3 %</w:t>
            </w:r>
            <w:r w:rsidRPr="00281CBA">
              <w:rPr>
                <w:color w:val="0D0D0D" w:themeColor="text1" w:themeTint="F2"/>
                <w:spacing w:val="-2"/>
                <w:vertAlign w:val="superscript"/>
              </w:rPr>
              <w:footnoteReference w:id="15"/>
            </w:r>
            <w:r w:rsidRPr="00281CBA">
              <w:rPr>
                <w:spacing w:val="-2"/>
              </w:rPr>
              <w:t>. Silnější útlum postihl v 1</w:t>
            </w:r>
            <w:r>
              <w:rPr>
                <w:spacing w:val="-2"/>
              </w:rPr>
              <w:t>. čtvrtlet</w:t>
            </w:r>
            <w:r w:rsidRPr="00281CBA">
              <w:rPr>
                <w:spacing w:val="-2"/>
              </w:rPr>
              <w:t>í i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sekci administrativní a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podpůrné činnosti (o desetinu). Projevil se očekávaný hluboký pokles výkonů cestovních kanceláří a agentur (o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 xml:space="preserve">čtvrtinu), </w:t>
            </w:r>
            <w:r>
              <w:rPr>
                <w:spacing w:val="-2"/>
              </w:rPr>
              <w:t>skoro o </w:t>
            </w:r>
            <w:r w:rsidRPr="00281CBA">
              <w:rPr>
                <w:spacing w:val="-2"/>
              </w:rPr>
              <w:t>sedminu se snížily i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tržby pracovn</w:t>
            </w:r>
            <w:r>
              <w:rPr>
                <w:spacing w:val="-2"/>
              </w:rPr>
              <w:t>ím agenturám. Mírný růst přetrvá</w:t>
            </w:r>
            <w:r w:rsidRPr="00281CBA">
              <w:rPr>
                <w:spacing w:val="-2"/>
              </w:rPr>
              <w:t xml:space="preserve">val jen </w:t>
            </w:r>
            <w:r>
              <w:rPr>
                <w:spacing w:val="-2"/>
              </w:rPr>
              <w:t>v </w:t>
            </w:r>
            <w:r w:rsidRPr="00281CBA">
              <w:rPr>
                <w:spacing w:val="-2"/>
              </w:rPr>
              <w:t>bez</w:t>
            </w:r>
            <w:r>
              <w:rPr>
                <w:spacing w:val="-2"/>
              </w:rPr>
              <w:t>pečnostních a pátracích činnostech</w:t>
            </w:r>
            <w:r w:rsidRPr="00281CBA">
              <w:rPr>
                <w:spacing w:val="-2"/>
              </w:rPr>
              <w:t xml:space="preserve"> (i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v samotném březnu). V sekci profesní, vědecké a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 xml:space="preserve">technické činnosti došlo jen </w:t>
            </w:r>
            <w:r>
              <w:rPr>
                <w:spacing w:val="-2"/>
              </w:rPr>
              <w:t>k </w:t>
            </w:r>
            <w:r w:rsidRPr="00281CBA">
              <w:rPr>
                <w:spacing w:val="-2"/>
              </w:rPr>
              <w:t>mírnému poklesu (o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1,6</w:t>
            </w:r>
            <w:r>
              <w:rPr>
                <w:spacing w:val="-2"/>
              </w:rPr>
              <w:t> %</w:t>
            </w:r>
            <w:r w:rsidRPr="00281CBA">
              <w:rPr>
                <w:spacing w:val="-2"/>
              </w:rPr>
              <w:t>). Negativně působily hlavně nižší výkony architektonických a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inženýrských činností (</w:t>
            </w:r>
            <w:r w:rsidRPr="00281CBA">
              <w:rPr>
                <w:color w:val="000000" w:themeColor="text1"/>
                <w:spacing w:val="-2"/>
              </w:rPr>
              <w:t>–</w:t>
            </w:r>
            <w:r w:rsidRPr="00281CBA">
              <w:rPr>
                <w:spacing w:val="-2"/>
              </w:rPr>
              <w:t>4,3</w:t>
            </w:r>
            <w:r>
              <w:rPr>
                <w:spacing w:val="-2"/>
              </w:rPr>
              <w:t> %</w:t>
            </w:r>
            <w:r w:rsidRPr="00281CBA">
              <w:rPr>
                <w:spacing w:val="-2"/>
              </w:rPr>
              <w:t>)</w:t>
            </w:r>
            <w:r>
              <w:rPr>
                <w:spacing w:val="-2"/>
              </w:rPr>
              <w:t xml:space="preserve">, poptávka mírně klesla rovněž </w:t>
            </w:r>
            <w:r w:rsidRPr="00281CBA">
              <w:rPr>
                <w:spacing w:val="-2"/>
              </w:rPr>
              <w:t>u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činností vedení podniků, poradenství v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oblasti řízení a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také u reklamy. Růst tržeb naopak pokračov</w:t>
            </w:r>
            <w:r>
              <w:rPr>
                <w:spacing w:val="-2"/>
              </w:rPr>
              <w:t>al u právních činností, v menší intenzitě také</w:t>
            </w:r>
            <w:r w:rsidRPr="00281CBA">
              <w:rPr>
                <w:spacing w:val="-2"/>
              </w:rPr>
              <w:t xml:space="preserve"> v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oblasti ú</w:t>
            </w:r>
            <w:r>
              <w:rPr>
                <w:spacing w:val="-2"/>
              </w:rPr>
              <w:t>četnictví a</w:t>
            </w:r>
            <w:r w:rsidRPr="00281CBA">
              <w:rPr>
                <w:spacing w:val="-2"/>
              </w:rPr>
              <w:t> auditu, daňové</w:t>
            </w:r>
            <w:r>
              <w:rPr>
                <w:spacing w:val="-2"/>
              </w:rPr>
              <w:t>ho</w:t>
            </w:r>
            <w:r w:rsidRPr="00281CBA">
              <w:rPr>
                <w:spacing w:val="-2"/>
              </w:rPr>
              <w:t xml:space="preserve"> poradenství či průzkumu trhu a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veřejného mínění.</w:t>
            </w:r>
          </w:p>
        </w:tc>
      </w:tr>
      <w:tr w:rsidR="0002669F" w:rsidRPr="00DB613B" w14:paraId="6B924DD1" w14:textId="77777777" w:rsidTr="00BE277D"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1007A3C9" w14:textId="77777777" w:rsidR="0002669F" w:rsidRDefault="0002669F" w:rsidP="0002669F">
            <w:pPr>
              <w:pStyle w:val="Marginlie"/>
            </w:pPr>
          </w:p>
        </w:tc>
        <w:tc>
          <w:tcPr>
            <w:tcW w:w="205" w:type="dxa"/>
            <w:vMerge w:val="restart"/>
            <w:shd w:val="clear" w:color="auto" w:fill="auto"/>
            <w:tcMar>
              <w:left w:w="0" w:type="dxa"/>
            </w:tcMar>
          </w:tcPr>
          <w:p w14:paraId="10232153" w14:textId="77777777" w:rsidR="0002669F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2EC235AF" w14:textId="77777777" w:rsidR="0002669F" w:rsidRPr="00DB613B" w:rsidRDefault="0002669F" w:rsidP="0002669F">
            <w:pPr>
              <w:pStyle w:val="Textpoznpodarou"/>
              <w:spacing w:line="276" w:lineRule="auto"/>
              <w:rPr>
                <w:b/>
              </w:rPr>
            </w:pPr>
            <w:r w:rsidRPr="00DB613B">
              <w:rPr>
                <w:b/>
              </w:rPr>
              <w:t>Graf č. 7</w:t>
            </w:r>
            <w:r>
              <w:rPr>
                <w:b/>
              </w:rPr>
              <w:t xml:space="preserve"> </w:t>
            </w:r>
            <w:r w:rsidRPr="00DB613B">
              <w:rPr>
                <w:b/>
              </w:rPr>
              <w:t xml:space="preserve"> Příspěvky odvětví k meziroční změně tržeb ve službách* </w:t>
            </w:r>
            <w:r w:rsidRPr="00DB613B">
              <w:t>(v</w:t>
            </w:r>
            <w:r>
              <w:t> p. b.</w:t>
            </w:r>
            <w:r w:rsidRPr="00DB613B">
              <w:t>, očištěno o</w:t>
            </w:r>
            <w:r>
              <w:t> </w:t>
            </w:r>
            <w:r w:rsidRPr="00DB613B">
              <w:t xml:space="preserve">kalendářní vlivy) </w:t>
            </w:r>
            <w:r w:rsidRPr="00DB613B">
              <w:rPr>
                <w:b/>
              </w:rPr>
              <w:t>a</w:t>
            </w:r>
            <w:r>
              <w:rPr>
                <w:b/>
              </w:rPr>
              <w:t> </w:t>
            </w:r>
            <w:r w:rsidRPr="00DB613B">
              <w:rPr>
                <w:b/>
              </w:rPr>
              <w:t xml:space="preserve">saldo indikátoru důvěry ve službách** </w:t>
            </w:r>
            <w:r w:rsidRPr="00DB613B">
              <w:t>(v p. b., pravá osa)</w:t>
            </w:r>
            <w:r w:rsidRPr="00DB613B">
              <w:rPr>
                <w:b/>
              </w:rPr>
              <w:t xml:space="preserve"> a vybrané bariéry růstu*</w:t>
            </w:r>
            <w:r w:rsidRPr="00DB613B">
              <w:t>* (v %, pravá osa)</w:t>
            </w:r>
          </w:p>
        </w:tc>
      </w:tr>
      <w:tr w:rsidR="0002669F" w:rsidRPr="00DB613B" w14:paraId="1A44AAB3" w14:textId="77777777" w:rsidTr="00BE277D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/>
            <w:shd w:val="clear" w:color="auto" w:fill="auto"/>
          </w:tcPr>
          <w:p w14:paraId="66C0438F" w14:textId="77777777" w:rsidR="0002669F" w:rsidRPr="009110F7" w:rsidRDefault="0002669F" w:rsidP="0002669F">
            <w:pPr>
              <w:pStyle w:val="Marginlie"/>
            </w:pPr>
          </w:p>
        </w:tc>
        <w:tc>
          <w:tcPr>
            <w:tcW w:w="205" w:type="dxa"/>
            <w:vMerge/>
            <w:shd w:val="clear" w:color="auto" w:fill="auto"/>
          </w:tcPr>
          <w:p w14:paraId="78ECAFDE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</w:tcPr>
          <w:p w14:paraId="2B23DF92" w14:textId="77777777" w:rsidR="0002669F" w:rsidRPr="00DB613B" w:rsidRDefault="0002669F" w:rsidP="0002669F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8E83222" wp14:editId="6ED7FD05">
                  <wp:extent cx="4777105" cy="3616036"/>
                  <wp:effectExtent l="0" t="0" r="4445" b="3810"/>
                  <wp:docPr id="44" name="Graf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2669F" w:rsidRPr="00DB613B" w14:paraId="73F53BAD" w14:textId="77777777" w:rsidTr="00BE277D">
        <w:trPr>
          <w:gridAfter w:val="1"/>
          <w:wAfter w:w="20" w:type="dxa"/>
          <w:trHeight w:val="170"/>
        </w:trPr>
        <w:tc>
          <w:tcPr>
            <w:tcW w:w="1744" w:type="dxa"/>
            <w:gridSpan w:val="2"/>
            <w:vMerge/>
            <w:shd w:val="clear" w:color="auto" w:fill="auto"/>
            <w:tcMar>
              <w:left w:w="0" w:type="dxa"/>
            </w:tcMar>
          </w:tcPr>
          <w:p w14:paraId="57555384" w14:textId="77777777" w:rsidR="0002669F" w:rsidRPr="009110F7" w:rsidRDefault="0002669F" w:rsidP="0002669F">
            <w:pPr>
              <w:pStyle w:val="Marginlie"/>
            </w:pPr>
          </w:p>
        </w:tc>
        <w:tc>
          <w:tcPr>
            <w:tcW w:w="205" w:type="dxa"/>
            <w:vMerge/>
            <w:shd w:val="clear" w:color="auto" w:fill="auto"/>
            <w:tcMar>
              <w:left w:w="0" w:type="dxa"/>
            </w:tcMar>
          </w:tcPr>
          <w:p w14:paraId="7F71DB85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4DFF8516" w14:textId="77777777" w:rsidR="0002669F" w:rsidRPr="00DB613B" w:rsidRDefault="0002669F" w:rsidP="0002669F">
            <w:pPr>
              <w:spacing w:after="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*</w:t>
            </w:r>
            <w:r w:rsidRPr="00DB613B">
              <w:rPr>
                <w:color w:val="0D0D0D" w:themeColor="text1" w:themeTint="F2"/>
                <w:sz w:val="14"/>
                <w:szCs w:val="14"/>
              </w:rPr>
              <w:t xml:space="preserve"> Bez odvětví obchodu, peněžnictví, pojišťovnictví, vědy, výzkumu a veřejných služeb.</w:t>
            </w:r>
          </w:p>
          <w:p w14:paraId="5EA17BED" w14:textId="77777777" w:rsidR="0002669F" w:rsidRDefault="0002669F" w:rsidP="0002669F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</w:t>
            </w:r>
            <w:r w:rsidRPr="00937931">
              <w:rPr>
                <w:rFonts w:cs="Arial"/>
                <w:spacing w:val="-2"/>
                <w:sz w:val="14"/>
                <w:szCs w:val="14"/>
              </w:rPr>
              <w:t>Zahrnuje i finanční sektor. Saldo důvěry i</w:t>
            </w:r>
            <w:r>
              <w:rPr>
                <w:rFonts w:cs="Arial"/>
                <w:spacing w:val="-2"/>
                <w:sz w:val="14"/>
                <w:szCs w:val="14"/>
              </w:rPr>
              <w:t> </w:t>
            </w:r>
            <w:r w:rsidRPr="00937931">
              <w:rPr>
                <w:rFonts w:cs="Arial"/>
                <w:spacing w:val="-2"/>
                <w:sz w:val="14"/>
                <w:szCs w:val="14"/>
              </w:rPr>
              <w:t>bariéry růstu jsou sezónně očištěny a</w:t>
            </w:r>
            <w:r>
              <w:rPr>
                <w:rFonts w:cs="Arial"/>
                <w:spacing w:val="-2"/>
                <w:sz w:val="14"/>
                <w:szCs w:val="14"/>
              </w:rPr>
              <w:t> </w:t>
            </w:r>
            <w:r w:rsidRPr="00937931">
              <w:rPr>
                <w:rFonts w:cs="Arial"/>
                <w:spacing w:val="-2"/>
                <w:sz w:val="14"/>
                <w:szCs w:val="14"/>
              </w:rPr>
              <w:t>vyjadřují stav v prvním měsíci daného čtvrtletí.</w:t>
            </w:r>
          </w:p>
          <w:p w14:paraId="741C1241" w14:textId="77777777" w:rsidR="0002669F" w:rsidRPr="00DB613B" w:rsidRDefault="0002669F" w:rsidP="0002669F">
            <w:pPr>
              <w:spacing w:after="180"/>
              <w:rPr>
                <w:rFonts w:cs="Arial"/>
                <w:sz w:val="14"/>
                <w:szCs w:val="14"/>
              </w:rPr>
            </w:pPr>
            <w:r w:rsidRPr="00DB613B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02669F" w:rsidRPr="00DB613B" w14:paraId="35E377A5" w14:textId="77777777" w:rsidTr="00BE277D">
        <w:trPr>
          <w:gridAfter w:val="1"/>
          <w:wAfter w:w="20" w:type="dxa"/>
          <w:trHeight w:val="80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21FF43A0" w14:textId="77777777" w:rsidR="0002669F" w:rsidRDefault="0002669F" w:rsidP="0002669F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lastRenderedPageBreak/>
              <w:t>Proti poklesu tržeb ve službách působily zejména informační a komunikační činnosti. Jejich síla se ale proti minulým rokům snížila.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58D21AA1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F547399" w14:textId="77777777" w:rsidR="0002669F" w:rsidRPr="00DB613B" w:rsidRDefault="0002669F" w:rsidP="0002669F">
            <w:pPr>
              <w:spacing w:after="220"/>
              <w:rPr>
                <w:rFonts w:cs="Arial"/>
                <w:szCs w:val="20"/>
              </w:rPr>
            </w:pPr>
            <w:r w:rsidRPr="00281CBA">
              <w:rPr>
                <w:spacing w:val="-2"/>
              </w:rPr>
              <w:t xml:space="preserve">Ve </w:t>
            </w:r>
            <w:r>
              <w:rPr>
                <w:spacing w:val="-2"/>
              </w:rPr>
              <w:t xml:space="preserve">směru růstu služeb působily </w:t>
            </w:r>
            <w:r w:rsidRPr="00281CBA">
              <w:rPr>
                <w:spacing w:val="-2"/>
              </w:rPr>
              <w:t>v 1</w:t>
            </w:r>
            <w:r>
              <w:rPr>
                <w:spacing w:val="-2"/>
              </w:rPr>
              <w:t>. čtvrtlet</w:t>
            </w:r>
            <w:r w:rsidRPr="00281CBA">
              <w:rPr>
                <w:spacing w:val="-2"/>
              </w:rPr>
              <w:t xml:space="preserve">í </w:t>
            </w:r>
            <w:r>
              <w:rPr>
                <w:spacing w:val="-2"/>
              </w:rPr>
              <w:t xml:space="preserve">jen </w:t>
            </w:r>
            <w:r w:rsidRPr="00281CBA">
              <w:rPr>
                <w:spacing w:val="-2"/>
              </w:rPr>
              <w:t xml:space="preserve">sekce informačních </w:t>
            </w:r>
            <w:r>
              <w:rPr>
                <w:spacing w:val="-2"/>
              </w:rPr>
              <w:t>a komunikačních činností a </w:t>
            </w:r>
            <w:r w:rsidRPr="00281CBA">
              <w:rPr>
                <w:spacing w:val="-2"/>
              </w:rPr>
              <w:t>aktivity v oblasti nemovitostí (souhrnný příspěvek necelý 1</w:t>
            </w:r>
            <w:r>
              <w:rPr>
                <w:spacing w:val="-2"/>
              </w:rPr>
              <w:t> p. b.</w:t>
            </w:r>
            <w:r w:rsidRPr="00281CBA">
              <w:rPr>
                <w:spacing w:val="-2"/>
              </w:rPr>
              <w:t>). Prosperovaly hlavně telekomunikační činnosti, jejich tržby byly v 1</w:t>
            </w:r>
            <w:r>
              <w:rPr>
                <w:spacing w:val="-2"/>
              </w:rPr>
              <w:t>. čtvrtlet</w:t>
            </w:r>
            <w:r w:rsidRPr="00281CBA">
              <w:rPr>
                <w:spacing w:val="-2"/>
              </w:rPr>
              <w:t>í meziročně o</w:t>
            </w:r>
            <w:r>
              <w:rPr>
                <w:spacing w:val="-2"/>
              </w:rPr>
              <w:t> </w:t>
            </w:r>
            <w:r w:rsidRPr="00281CBA">
              <w:rPr>
                <w:spacing w:val="-2"/>
              </w:rPr>
              <w:t>9,7</w:t>
            </w:r>
            <w:r>
              <w:rPr>
                <w:spacing w:val="-2"/>
              </w:rPr>
              <w:t> %</w:t>
            </w:r>
            <w:r w:rsidRPr="00281CBA">
              <w:rPr>
                <w:spacing w:val="-2"/>
              </w:rPr>
              <w:t xml:space="preserve"> vyšší (v březnu dokonce </w:t>
            </w:r>
            <w:r>
              <w:rPr>
                <w:spacing w:val="-2"/>
              </w:rPr>
              <w:t>o 10,5 %</w:t>
            </w:r>
            <w:r w:rsidRPr="00281CBA">
              <w:rPr>
                <w:spacing w:val="-2"/>
              </w:rPr>
              <w:t>). V os</w:t>
            </w:r>
            <w:r>
              <w:rPr>
                <w:spacing w:val="-2"/>
              </w:rPr>
              <w:t xml:space="preserve">tatních klíčových oblastech </w:t>
            </w:r>
            <w:r w:rsidRPr="00281CBA">
              <w:rPr>
                <w:spacing w:val="-2"/>
              </w:rPr>
              <w:t>byla</w:t>
            </w:r>
            <w:r>
              <w:rPr>
                <w:spacing w:val="-2"/>
              </w:rPr>
              <w:t xml:space="preserve"> ale</w:t>
            </w:r>
            <w:r w:rsidRPr="00281CBA">
              <w:rPr>
                <w:spacing w:val="-2"/>
              </w:rPr>
              <w:t xml:space="preserve"> dlouhodobě silná poptávka korigována. V č</w:t>
            </w:r>
            <w:r w:rsidRPr="00281CBA">
              <w:rPr>
                <w:color w:val="0D0D0D" w:themeColor="text1" w:themeTint="F2"/>
                <w:spacing w:val="-2"/>
                <w:szCs w:val="20"/>
              </w:rPr>
              <w:t>innostech v oblasti informačních technologií (zahrnujících programování, správu počítačového vybaven</w:t>
            </w:r>
            <w:r>
              <w:rPr>
                <w:color w:val="0D0D0D" w:themeColor="text1" w:themeTint="F2"/>
                <w:spacing w:val="-2"/>
                <w:szCs w:val="20"/>
              </w:rPr>
              <w:t>í či poradenství v oblasti IT) tempo tržeb zvolnilo na čtyřleté minimum (+2,3 %). Na silný rok 2019 příliš nenavázaly ani v</w:t>
            </w:r>
            <w:r w:rsidRPr="00F40425">
              <w:rPr>
                <w:color w:val="0D0D0D" w:themeColor="text1" w:themeTint="F2"/>
                <w:spacing w:val="-2"/>
                <w:szCs w:val="20"/>
              </w:rPr>
              <w:t>ydavatelské činnosti</w:t>
            </w:r>
            <w:r>
              <w:rPr>
                <w:color w:val="0D0D0D" w:themeColor="text1" w:themeTint="F2"/>
                <w:spacing w:val="-2"/>
                <w:szCs w:val="20"/>
              </w:rPr>
              <w:t xml:space="preserve"> (+1,1</w:t>
            </w:r>
            <w:r w:rsidRPr="00281CBA">
              <w:rPr>
                <w:spacing w:val="-2"/>
              </w:rPr>
              <w:t> </w:t>
            </w:r>
            <w:r>
              <w:rPr>
                <w:color w:val="0D0D0D" w:themeColor="text1" w:themeTint="F2"/>
                <w:spacing w:val="-2"/>
                <w:szCs w:val="20"/>
              </w:rPr>
              <w:t xml:space="preserve">%). Propad postihl </w:t>
            </w:r>
            <w:r w:rsidRPr="00DB613B">
              <w:rPr>
                <w:color w:val="0D0D0D" w:themeColor="text1" w:themeTint="F2"/>
                <w:szCs w:val="20"/>
              </w:rPr>
              <w:t>t</w:t>
            </w:r>
            <w:r w:rsidRPr="00DB613B">
              <w:rPr>
                <w:color w:val="0D0D0D" w:themeColor="text1" w:themeTint="F2"/>
              </w:rPr>
              <w:t>zv. filmový a hudební průmysl</w:t>
            </w:r>
            <w:r>
              <w:rPr>
                <w:color w:val="0D0D0D" w:themeColor="text1" w:themeTint="F2"/>
              </w:rPr>
              <w:t xml:space="preserve"> (</w:t>
            </w:r>
            <w:r w:rsidRPr="00281CBA">
              <w:rPr>
                <w:color w:val="000000" w:themeColor="text1"/>
                <w:spacing w:val="-2"/>
              </w:rPr>
              <w:t>–</w:t>
            </w:r>
            <w:r>
              <w:rPr>
                <w:color w:val="0D0D0D" w:themeColor="text1" w:themeTint="F2"/>
              </w:rPr>
              <w:t>24,1 %), podobně tomu však bylo i na konci roku 2019. Letošnímu výsledku nepomohl ani segment filmové distribuce</w:t>
            </w:r>
            <w:r w:rsidRPr="00DB613B">
              <w:rPr>
                <w:rStyle w:val="Znakapoznpodarou"/>
              </w:rPr>
              <w:footnoteReference w:id="16"/>
            </w:r>
            <w:r>
              <w:rPr>
                <w:color w:val="0D0D0D" w:themeColor="text1" w:themeTint="F2"/>
              </w:rPr>
              <w:t>.</w:t>
            </w:r>
          </w:p>
        </w:tc>
      </w:tr>
      <w:tr w:rsidR="0002669F" w:rsidRPr="00DB613B" w14:paraId="71EC2890" w14:textId="77777777" w:rsidTr="00BE277D">
        <w:trPr>
          <w:gridAfter w:val="1"/>
          <w:wAfter w:w="20" w:type="dxa"/>
          <w:trHeight w:val="80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7271BE38" w14:textId="77777777" w:rsidR="0002669F" w:rsidRDefault="0002669F" w:rsidP="0002669F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Maloobchodní tržby propadly v březnu meziročně o rekordních 6 %.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109B5CEA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33482625" w14:textId="77777777" w:rsidR="0002669F" w:rsidRPr="00DB613B" w:rsidRDefault="0002669F" w:rsidP="0002669F">
            <w:pPr>
              <w:spacing w:after="220"/>
              <w:rPr>
                <w:rFonts w:cs="Arial"/>
                <w:szCs w:val="20"/>
              </w:rPr>
            </w:pPr>
            <w:r w:rsidRPr="00DB613B">
              <w:rPr>
                <w:rFonts w:cs="Arial"/>
                <w:szCs w:val="20"/>
              </w:rPr>
              <w:t>Maloobchodních tržby</w:t>
            </w:r>
            <w:r w:rsidRPr="00DB613B">
              <w:rPr>
                <w:rStyle w:val="Znakapoznpodarou"/>
              </w:rPr>
              <w:footnoteReference w:id="17"/>
            </w:r>
            <w:r>
              <w:rPr>
                <w:rFonts w:cs="Arial"/>
                <w:szCs w:val="20"/>
              </w:rPr>
              <w:t xml:space="preserve"> během 1. čtvrtletí 2020 klesly mezikvartálně o 1,9 %. Šlo o první pokles od konce roku 2013. Tento výsledek, jenž byl ve shodě s trendy spotřebitelské důvěry, byl zásadně ovlivněn restriktivními opatřeními vlády</w:t>
            </w:r>
            <w:r w:rsidRPr="00DB613B">
              <w:rPr>
                <w:rStyle w:val="Znakapoznpodarou"/>
              </w:rPr>
              <w:footnoteReference w:id="18"/>
            </w:r>
            <w:r>
              <w:rPr>
                <w:rFonts w:cs="Arial"/>
                <w:szCs w:val="20"/>
              </w:rPr>
              <w:t>. Zatímco meziroční tempa tržeb v lednu (+4,7 %) ani v únoru (+3,7 %) nevybočila z dynamiky posledních let, březnový propad o rovných 6 % představoval minimum ve dvacetileté srovnatelné časové řadě.</w:t>
            </w:r>
          </w:p>
        </w:tc>
      </w:tr>
      <w:tr w:rsidR="0002669F" w:rsidRPr="00DB613B" w14:paraId="323A409B" w14:textId="77777777" w:rsidTr="00BE277D">
        <w:trPr>
          <w:gridAfter w:val="1"/>
          <w:wAfter w:w="20" w:type="dxa"/>
          <w:trHeight w:val="80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0BDD1553" w14:textId="77777777" w:rsidR="0002669F" w:rsidRDefault="0002669F" w:rsidP="0002669F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Dařilo se internetovému prodeji, obchodním řetězcům i specializovaným obchodům s farmaceutickým, zdravotnickým a drogistickým zbožím.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3B87D21E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64948EE1" w14:textId="77777777" w:rsidR="0002669F" w:rsidRPr="00DB613B" w:rsidRDefault="0002669F" w:rsidP="0002669F">
            <w:pPr>
              <w:spacing w:after="2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Růst si v březnu 2020 udržel jen m</w:t>
            </w:r>
            <w:r w:rsidRPr="006875C8">
              <w:rPr>
                <w:rFonts w:cs="Arial"/>
                <w:szCs w:val="20"/>
              </w:rPr>
              <w:t>aloobchod s</w:t>
            </w:r>
            <w:r>
              <w:rPr>
                <w:rFonts w:cs="Arial"/>
                <w:szCs w:val="20"/>
              </w:rPr>
              <w:t> </w:t>
            </w:r>
            <w:r w:rsidRPr="006875C8">
              <w:rPr>
                <w:rFonts w:cs="Arial"/>
                <w:szCs w:val="20"/>
              </w:rPr>
              <w:t>převahou potravin v</w:t>
            </w:r>
            <w:r>
              <w:rPr>
                <w:rFonts w:cs="Arial"/>
                <w:szCs w:val="20"/>
              </w:rPr>
              <w:t> </w:t>
            </w:r>
            <w:r w:rsidRPr="006875C8">
              <w:rPr>
                <w:rFonts w:cs="Arial"/>
                <w:szCs w:val="20"/>
              </w:rPr>
              <w:t>nespecializovaných prodejnách</w:t>
            </w:r>
            <w:r>
              <w:rPr>
                <w:rFonts w:cs="Arial"/>
                <w:szCs w:val="20"/>
              </w:rPr>
              <w:t xml:space="preserve"> (5,0 % meziročně)</w:t>
            </w:r>
            <w:r w:rsidRPr="00DB613B">
              <w:rPr>
                <w:rStyle w:val="Znakapoznpodarou"/>
              </w:rPr>
              <w:footnoteReference w:id="19"/>
            </w:r>
            <w:r>
              <w:rPr>
                <w:rFonts w:cs="Arial"/>
                <w:szCs w:val="20"/>
              </w:rPr>
              <w:t xml:space="preserve"> či prodej přes internet a zásilkovou službu (26,6 %). Zvýšila se též poptávka po f</w:t>
            </w:r>
            <w:r w:rsidRPr="006875C8">
              <w:rPr>
                <w:rFonts w:cs="Arial"/>
                <w:szCs w:val="20"/>
              </w:rPr>
              <w:t>armaceu</w:t>
            </w:r>
            <w:r>
              <w:rPr>
                <w:rFonts w:cs="Arial"/>
                <w:szCs w:val="20"/>
              </w:rPr>
              <w:t>tickém, zdravotnickém a drogistickém zboží. Za celé 1. čtvrtletí si m</w:t>
            </w:r>
            <w:r w:rsidRPr="006875C8">
              <w:rPr>
                <w:rFonts w:cs="Arial"/>
                <w:szCs w:val="20"/>
              </w:rPr>
              <w:t>aloobchod</w:t>
            </w:r>
            <w:r>
              <w:rPr>
                <w:rFonts w:cs="Arial"/>
                <w:szCs w:val="20"/>
              </w:rPr>
              <w:t xml:space="preserve"> udržel mírný meziroční růst (0,5 %), zejména zásluhou internetových prodejců. Celkové tržby za potraviny byly vyšší o 2,8 %, u nepotravinářského zboží fakticky stagnovaly. Ze specializovaných prodejen došlo k největšímu propadu u oděvů, obuvi a koženého zboží (</w:t>
            </w:r>
            <w:r w:rsidRPr="00DB613B">
              <w:rPr>
                <w:color w:val="000000" w:themeColor="text1"/>
              </w:rPr>
              <w:t>–</w:t>
            </w:r>
            <w:r>
              <w:rPr>
                <w:rFonts w:cs="Arial"/>
                <w:szCs w:val="20"/>
              </w:rPr>
              <w:t>24,2 %), výrobků pro kulturu a rekreaci (</w:t>
            </w:r>
            <w:r w:rsidRPr="00DB613B">
              <w:rPr>
                <w:color w:val="000000" w:themeColor="text1"/>
              </w:rPr>
              <w:t>–</w:t>
            </w:r>
            <w:r>
              <w:rPr>
                <w:rFonts w:cs="Arial"/>
                <w:szCs w:val="20"/>
              </w:rPr>
              <w:t>18,1 %). Významný byl i pokles u potravin (</w:t>
            </w:r>
            <w:r w:rsidRPr="00DB613B">
              <w:rPr>
                <w:color w:val="000000" w:themeColor="text1"/>
              </w:rPr>
              <w:t>–</w:t>
            </w:r>
            <w:r>
              <w:rPr>
                <w:rFonts w:cs="Arial"/>
                <w:szCs w:val="20"/>
              </w:rPr>
              <w:t xml:space="preserve">4,7 %, nejvíce po 3. čtvrtletí 2013). Obdobně na tom byli i prodejci pohonných hmot, celková poptávka zde klesla navzdory výraznějšímu březnovému snížení cen PHM, neboť převážil efekt nižších výkonů osobní i nákladní dopravy. Mnohem silněji byl poznamenán </w:t>
            </w:r>
            <w:r>
              <w:rPr>
                <w:color w:val="0D0D0D" w:themeColor="text1" w:themeTint="F2"/>
              </w:rPr>
              <w:t>motoristický segment</w:t>
            </w:r>
            <w:r w:rsidRPr="00DB613B">
              <w:rPr>
                <w:color w:val="0D0D0D" w:themeColor="text1" w:themeTint="F2"/>
              </w:rPr>
              <w:t xml:space="preserve"> obchodu</w:t>
            </w:r>
            <w:r>
              <w:rPr>
                <w:color w:val="0D0D0D" w:themeColor="text1" w:themeTint="F2"/>
              </w:rPr>
              <w:t>, kde tržby v 1. čtvrtletí klesly o sedminu, nejvíce za dobu sledování. Pokles o více než desetinu nastal i u o</w:t>
            </w:r>
            <w:r w:rsidRPr="00FD468B">
              <w:rPr>
                <w:color w:val="0D0D0D" w:themeColor="text1" w:themeTint="F2"/>
              </w:rPr>
              <w:t>p</w:t>
            </w:r>
            <w:r>
              <w:rPr>
                <w:color w:val="0D0D0D" w:themeColor="text1" w:themeTint="F2"/>
              </w:rPr>
              <w:t>rav a údržby vozidel, přestože tato činnost nebyla regulacemi významně omezena.</w:t>
            </w:r>
          </w:p>
        </w:tc>
      </w:tr>
      <w:tr w:rsidR="0002669F" w:rsidRPr="00DB613B" w14:paraId="4A1707A4" w14:textId="77777777" w:rsidTr="00BE277D">
        <w:trPr>
          <w:gridAfter w:val="1"/>
          <w:wAfter w:w="20" w:type="dxa"/>
          <w:trHeight w:val="80"/>
        </w:trPr>
        <w:tc>
          <w:tcPr>
            <w:tcW w:w="1744" w:type="dxa"/>
            <w:gridSpan w:val="2"/>
            <w:shd w:val="clear" w:color="auto" w:fill="auto"/>
            <w:tcMar>
              <w:left w:w="0" w:type="dxa"/>
            </w:tcMar>
          </w:tcPr>
          <w:p w14:paraId="7FCD3F3D" w14:textId="77777777" w:rsidR="0002669F" w:rsidRDefault="0002669F" w:rsidP="0002669F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Meziroční tempo tržeb za nepotravinářské zboží i</w:t>
            </w:r>
            <w:r>
              <w:t> </w:t>
            </w:r>
            <w:r>
              <w:rPr>
                <w:color w:val="0D0D0D" w:themeColor="text1" w:themeTint="F2"/>
                <w:spacing w:val="-4"/>
              </w:rPr>
              <w:t>za PHM v ČR zřetelně převyšovalo průměr EU, u potravin ale patřilo v 1.</w:t>
            </w:r>
            <w:r>
              <w:t> </w:t>
            </w:r>
            <w:r>
              <w:rPr>
                <w:color w:val="0D0D0D" w:themeColor="text1" w:themeTint="F2"/>
                <w:spacing w:val="-4"/>
              </w:rPr>
              <w:t>čtvrtletí k nejslabším.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00000B90" w14:textId="77777777" w:rsidR="0002669F" w:rsidRPr="009110F7" w:rsidRDefault="0002669F" w:rsidP="0002669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1CC8454B" w14:textId="77777777" w:rsidR="0002669F" w:rsidRPr="00DB613B" w:rsidRDefault="0002669F" w:rsidP="0002669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1. čtvrtletí klesly maloobchodní tržby v EU meziročně o 0,8 % (v samotném březnu o 7,6 %). Růst si udrželo 17 zemí, šlo hlavně o novější členské státy – Rumunsko (8,3 %), Maďarsko (7,2 %), Polsko (4,7 %). Výjimku představovalo Slovinsko (</w:t>
            </w:r>
            <w:r w:rsidRPr="00DB613B">
              <w:rPr>
                <w:color w:val="000000" w:themeColor="text1"/>
              </w:rPr>
              <w:t>–</w:t>
            </w:r>
            <w:r>
              <w:rPr>
                <w:rFonts w:cs="Arial"/>
                <w:szCs w:val="20"/>
              </w:rPr>
              <w:t>6,5 %), které však bylo s koronavirovou nákazou konfrontováno poměrně časně. Hlubšímu poklesu čelily rovněž Itálie (6,1 %), Španělsko a Francie (shodně 3,3 %). I v březnu si meziroční růst uchovaly jen čtyři státy – Maďarsko, Estonsko, Rumunsko a Irsko (shodně blízko 3 %). Jen mírně se tržby snížily v Polsku (</w:t>
            </w:r>
            <w:r w:rsidRPr="00DB613B">
              <w:rPr>
                <w:color w:val="000000" w:themeColor="text1"/>
              </w:rPr>
              <w:t>–</w:t>
            </w:r>
            <w:r>
              <w:rPr>
                <w:rFonts w:cs="Arial"/>
                <w:szCs w:val="20"/>
              </w:rPr>
              <w:t>0,4 %) a Německu (</w:t>
            </w:r>
            <w:r w:rsidRPr="00DB613B">
              <w:rPr>
                <w:color w:val="000000" w:themeColor="text1"/>
              </w:rPr>
              <w:t>–</w:t>
            </w:r>
            <w:r>
              <w:rPr>
                <w:rFonts w:cs="Arial"/>
                <w:szCs w:val="20"/>
              </w:rPr>
              <w:t>1,5 %), silněji klesly na Slovensku (</w:t>
            </w:r>
            <w:r w:rsidRPr="00DB613B">
              <w:rPr>
                <w:color w:val="000000" w:themeColor="text1"/>
              </w:rPr>
              <w:t>–</w:t>
            </w:r>
            <w:r>
              <w:rPr>
                <w:rFonts w:cs="Arial"/>
                <w:szCs w:val="20"/>
              </w:rPr>
              <w:t>3,5 %). V Itálii naopak propadly o více než pětinu. Tempo tržeb za potraviny bylo v Česku v 1. čtvrtletí v rámci EU čtvrté nejslabší, naproti tomu u nepotravinářského zboží i pohonných hmot zřetelně unijní průměr převyšovalo (o 3,7, resp. 3,4 p. b.).</w:t>
            </w:r>
          </w:p>
        </w:tc>
      </w:tr>
      <w:tr w:rsidR="00E66768" w14:paraId="1430B861" w14:textId="77777777" w:rsidTr="00BE277D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 w:val="restart"/>
            <w:shd w:val="clear" w:color="auto" w:fill="auto"/>
          </w:tcPr>
          <w:p w14:paraId="1BDBF359" w14:textId="77777777" w:rsidR="00E66768" w:rsidRDefault="00E66768" w:rsidP="00E66768">
            <w:pPr>
              <w:pStyle w:val="Marginlie"/>
            </w:pPr>
            <w:bookmarkStart w:id="4" w:name="_GoBack"/>
            <w:bookmarkEnd w:id="0"/>
            <w:bookmarkEnd w:id="4"/>
          </w:p>
        </w:tc>
        <w:tc>
          <w:tcPr>
            <w:tcW w:w="217" w:type="dxa"/>
            <w:gridSpan w:val="2"/>
            <w:vMerge w:val="restart"/>
            <w:shd w:val="clear" w:color="auto" w:fill="auto"/>
          </w:tcPr>
          <w:p w14:paraId="601352AC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gridSpan w:val="2"/>
            <w:shd w:val="clear" w:color="auto" w:fill="auto"/>
          </w:tcPr>
          <w:p w14:paraId="605767A9" w14:textId="1931D7E5" w:rsidR="00E66768" w:rsidRPr="0067514E" w:rsidRDefault="00E66768" w:rsidP="00E66768">
            <w:pPr>
              <w:spacing w:after="0"/>
              <w:rPr>
                <w:spacing w:val="-6"/>
              </w:rPr>
            </w:pPr>
          </w:p>
        </w:tc>
      </w:tr>
      <w:tr w:rsidR="00E66768" w:rsidRPr="00343AC1" w14:paraId="09E62E71" w14:textId="77777777" w:rsidTr="00BE277D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2C1E2FFD" w14:textId="77777777" w:rsidR="00E66768" w:rsidRDefault="00E66768" w:rsidP="00E66768">
            <w:pPr>
              <w:pStyle w:val="Marginlie"/>
            </w:pPr>
          </w:p>
        </w:tc>
        <w:tc>
          <w:tcPr>
            <w:tcW w:w="217" w:type="dxa"/>
            <w:gridSpan w:val="2"/>
            <w:vMerge/>
            <w:shd w:val="clear" w:color="auto" w:fill="auto"/>
            <w:tcMar>
              <w:left w:w="0" w:type="dxa"/>
            </w:tcMar>
          </w:tcPr>
          <w:p w14:paraId="1D23D315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gridSpan w:val="2"/>
            <w:shd w:val="clear" w:color="auto" w:fill="auto"/>
            <w:tcMar>
              <w:left w:w="0" w:type="dxa"/>
            </w:tcMar>
          </w:tcPr>
          <w:p w14:paraId="563D54AC" w14:textId="5B52B7BA" w:rsidR="00E66768" w:rsidRPr="0067514E" w:rsidRDefault="00E66768" w:rsidP="00E66768">
            <w:pPr>
              <w:spacing w:after="220" w:line="240" w:lineRule="auto"/>
              <w:rPr>
                <w:rFonts w:cs="Arial"/>
                <w:color w:val="0D0D0D" w:themeColor="text1" w:themeTint="F2"/>
                <w:spacing w:val="-6"/>
                <w:sz w:val="14"/>
                <w:szCs w:val="14"/>
              </w:rPr>
            </w:pPr>
          </w:p>
        </w:tc>
      </w:tr>
    </w:tbl>
    <w:p w14:paraId="400EECF4" w14:textId="3CAC1181" w:rsidR="00965797" w:rsidRPr="00C41D54" w:rsidRDefault="00965797" w:rsidP="0067514E">
      <w:pPr>
        <w:pStyle w:val="Nadpis11"/>
        <w:rPr>
          <w:b w:val="0"/>
          <w:sz w:val="2"/>
          <w:szCs w:val="2"/>
          <w:highlight w:val="yellow"/>
        </w:rPr>
      </w:pPr>
    </w:p>
    <w:sectPr w:rsidR="00965797" w:rsidRPr="00C41D54" w:rsidSect="00BE277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0ADA3" w14:textId="77777777" w:rsidR="009424D5" w:rsidRDefault="009424D5" w:rsidP="00E71A58">
      <w:r>
        <w:separator/>
      </w:r>
    </w:p>
  </w:endnote>
  <w:endnote w:type="continuationSeparator" w:id="0">
    <w:p w14:paraId="5DA35C16" w14:textId="77777777" w:rsidR="009424D5" w:rsidRDefault="009424D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0C14D72C" w:rsidR="00441F8B" w:rsidRPr="00932443" w:rsidRDefault="00441F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E277D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761A82C4" w:rsidR="00441F8B" w:rsidRPr="00932443" w:rsidRDefault="00441F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čtvrtletí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E277D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F087" w14:textId="77777777" w:rsidR="009424D5" w:rsidRDefault="009424D5" w:rsidP="00A21B4D">
      <w:pPr>
        <w:spacing w:after="0"/>
      </w:pPr>
      <w:r>
        <w:separator/>
      </w:r>
    </w:p>
  </w:footnote>
  <w:footnote w:type="continuationSeparator" w:id="0">
    <w:p w14:paraId="45C7DADE" w14:textId="77777777" w:rsidR="009424D5" w:rsidRDefault="009424D5" w:rsidP="00E71A58">
      <w:r>
        <w:continuationSeparator/>
      </w:r>
    </w:p>
  </w:footnote>
  <w:footnote w:id="1">
    <w:p w14:paraId="6F128B45" w14:textId="77777777" w:rsidR="00441F8B" w:rsidRPr="00FB58F4" w:rsidRDefault="00441F8B" w:rsidP="0002669F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HPH jsou vyjádřeny ve stálých cenách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 očištění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sezónní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2">
    <w:p w14:paraId="3575C9FB" w14:textId="77777777" w:rsidR="00441F8B" w:rsidRPr="00FB58F4" w:rsidRDefault="00441F8B" w:rsidP="0002669F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Mezi 1. čtvrtletím 2013 a 4. čtvrtletím 2019 vzrostla hrubá přidaná hodnota v úhrnu o 23,3 %. V dosud rekordní éře, orámované 1. čtvrtletím 1999 a 3. čtvrtletím 2008, činil nárůst HPH 51,3 %.</w:t>
      </w:r>
    </w:p>
  </w:footnote>
  <w:footnote w:id="3">
    <w:p w14:paraId="02D27C07" w14:textId="77777777" w:rsidR="00441F8B" w:rsidRPr="00FB58F4" w:rsidRDefault="00441F8B" w:rsidP="0002669F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HPH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za Rumunsko, Maltu a Lucembursko nebyly dostupné.</w:t>
      </w:r>
    </w:p>
  </w:footnote>
  <w:footnote w:id="4">
    <w:p w14:paraId="5FECC3DA" w14:textId="77777777" w:rsidR="00441F8B" w:rsidRPr="00FB58F4" w:rsidRDefault="00441F8B" w:rsidP="0002669F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Mezičtvrtletní pokles HPH v odvětví obchod, doprava, ubytování, stravování a pohostinství se v těchto státech v 1. čtvrtletí pohyboval mezi 8 až 11 %. K hlubšímu propadu došlo v tomto odvětví v EU pouze v Irsku (o 13 %).</w:t>
      </w:r>
    </w:p>
  </w:footnote>
  <w:footnote w:id="5">
    <w:p w14:paraId="19225B97" w14:textId="77777777" w:rsidR="00441F8B" w:rsidRPr="00FB58F4" w:rsidRDefault="00441F8B" w:rsidP="0002669F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Zahrnuje odvětví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těžby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dobývání,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zpracovatelského průmyslu a také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energetiky (zde pojímané jako odvětví výroby a rozvodu elektřiny, plynu, tepla a klimatizovaného vzduchu).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Všechna meziroční tempa produkce (na úrovni odvětvových sekcí 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oddílů) j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sou očištěna o kalendářní vlivy, m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ezičtvrtletní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i meziměsíční 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tempa pak také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vliv sezónnosti.</w:t>
      </w:r>
    </w:p>
  </w:footnote>
  <w:footnote w:id="6">
    <w:p w14:paraId="56206EB8" w14:textId="77777777" w:rsidR="00441F8B" w:rsidRPr="00FE2494" w:rsidRDefault="00441F8B" w:rsidP="0002669F">
      <w:pPr>
        <w:spacing w:after="0" w:line="259" w:lineRule="auto"/>
        <w:rPr>
          <w:rFonts w:cs="Arial"/>
          <w:color w:val="0D0D0D" w:themeColor="text1" w:themeTint="F2"/>
          <w:spacing w:val="-3"/>
          <w:sz w:val="16"/>
          <w:szCs w:val="16"/>
        </w:rPr>
      </w:pPr>
      <w:r w:rsidRPr="00FE2494">
        <w:rPr>
          <w:rStyle w:val="Znakapoznpodarou"/>
          <w:rFonts w:cs="Arial"/>
          <w:color w:val="0D0D0D" w:themeColor="text1" w:themeTint="F2"/>
          <w:spacing w:val="-3"/>
          <w:sz w:val="16"/>
          <w:szCs w:val="16"/>
        </w:rPr>
        <w:footnoteRef/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 xml:space="preserve"> Největší propad nastal v automobilovém průmyslu (z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>91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%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 xml:space="preserve"> na 51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%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>). Dvojciferný pokles byl rovněž v tiskárenství, chemickém průmyslu, farmacii a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 xml:space="preserve">výrobě počítačů, elektronických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a 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>optických přístrojů. V některých oborech byl ale pokles využití kapacit pozvolnější a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>dlouhodobější. Souvisel spíše s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déle trvajícím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 xml:space="preserve"> cyklickým útlumem (hutnictví, strojírenství). V některých odvětvích ale k výraznějším změnám u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>výrobních kapacit nedošlo (potravinářský, nápojový průmysl, výroba stavebních hmot, výroba dopravních prostředků mimo motorová vozidla) či jejich využití mírně vzrostlo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 xml:space="preserve">–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 xml:space="preserve">průmysl 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>oděvní (na 77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%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>), nábytkářský (79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%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>) a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>papírenský (93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% –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 xml:space="preserve"> nejvíce ze všech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zpracovatelských oborů</w:t>
      </w:r>
      <w:r w:rsidRPr="00FE2494">
        <w:rPr>
          <w:rFonts w:cs="Arial"/>
          <w:color w:val="0D0D0D" w:themeColor="text1" w:themeTint="F2"/>
          <w:spacing w:val="-3"/>
          <w:sz w:val="16"/>
          <w:szCs w:val="16"/>
        </w:rPr>
        <w:t>).</w:t>
      </w:r>
    </w:p>
  </w:footnote>
  <w:footnote w:id="7">
    <w:p w14:paraId="354471E5" w14:textId="77777777" w:rsidR="00441F8B" w:rsidRPr="00A608B0" w:rsidRDefault="00441F8B" w:rsidP="0002669F">
      <w:pPr>
        <w:pStyle w:val="Textpoznpodarou"/>
        <w:jc w:val="both"/>
        <w:rPr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z w:val="16"/>
          <w:szCs w:val="16"/>
        </w:rPr>
        <w:t>To potvrzují i data o fyzické produkci. Dle</w:t>
      </w:r>
      <w:r w:rsidRPr="009479CD">
        <w:rPr>
          <w:rFonts w:cs="Arial"/>
          <w:color w:val="0D0D0D" w:themeColor="text1" w:themeTint="F2"/>
          <w:sz w:val="16"/>
          <w:szCs w:val="16"/>
        </w:rPr>
        <w:t xml:space="preserve"> Sdružení automobilového průmyslu </w:t>
      </w:r>
      <w:r w:rsidRPr="00205ED6">
        <w:rPr>
          <w:rFonts w:cs="Arial"/>
          <w:color w:val="0D0D0D" w:themeColor="text1" w:themeTint="F2"/>
          <w:sz w:val="16"/>
          <w:szCs w:val="16"/>
        </w:rPr>
        <w:t xml:space="preserve">bylo </w:t>
      </w:r>
      <w:r>
        <w:rPr>
          <w:rFonts w:cs="Arial"/>
          <w:color w:val="0D0D0D" w:themeColor="text1" w:themeTint="F2"/>
          <w:sz w:val="16"/>
          <w:szCs w:val="16"/>
        </w:rPr>
        <w:t>v 1. čtvrtletí 2020</w:t>
      </w:r>
      <w:r w:rsidRPr="00205ED6">
        <w:rPr>
          <w:rFonts w:cs="Arial"/>
          <w:color w:val="0D0D0D" w:themeColor="text1" w:themeTint="F2"/>
          <w:sz w:val="16"/>
          <w:szCs w:val="16"/>
        </w:rPr>
        <w:t xml:space="preserve"> v ČR vyrobeno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z w:val="16"/>
          <w:szCs w:val="16"/>
        </w:rPr>
        <w:t>324,6 tis. motorových vozidel, meziročně o 11 % méně. Za první dva měsíce roku přitom výroba rostla (v úhrnu o 3 %).</w:t>
      </w:r>
    </w:p>
  </w:footnote>
  <w:footnote w:id="8">
    <w:p w14:paraId="1DD22AFF" w14:textId="77777777" w:rsidR="00441F8B" w:rsidRPr="00FB58F4" w:rsidRDefault="00441F8B" w:rsidP="0002669F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7A20EB">
        <w:rPr>
          <w:rFonts w:cs="Arial"/>
          <w:color w:val="0D0D0D" w:themeColor="text1" w:themeTint="F2"/>
          <w:sz w:val="16"/>
          <w:szCs w:val="16"/>
        </w:rPr>
        <w:t>Zjišťování zakázek probíhá pouze ve vybraných oddílech CZ</w:t>
      </w:r>
      <w:r>
        <w:rPr>
          <w:rFonts w:cs="Arial"/>
          <w:color w:val="0D0D0D" w:themeColor="text1" w:themeTint="F2"/>
          <w:sz w:val="16"/>
          <w:szCs w:val="16"/>
        </w:rPr>
        <w:noBreakHyphen/>
      </w:r>
      <w:r w:rsidRPr="007A20EB">
        <w:rPr>
          <w:rFonts w:cs="Arial"/>
          <w:color w:val="0D0D0D" w:themeColor="text1" w:themeTint="F2"/>
          <w:sz w:val="16"/>
          <w:szCs w:val="16"/>
        </w:rPr>
        <w:t>NACE (13, 14, 17, 20, 21, 24, 25, 26, 27, 28, 29, 30), které vyrábějí převážně na zakázku, s dlouhodobějším výrobním cyklem a s většími zásobami zakázek.</w:t>
      </w:r>
    </w:p>
  </w:footnote>
  <w:footnote w:id="9">
    <w:p w14:paraId="22C83315" w14:textId="77777777" w:rsidR="00441F8B" w:rsidRPr="00FB58F4" w:rsidRDefault="00441F8B" w:rsidP="0002669F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z w:val="16"/>
          <w:szCs w:val="16"/>
        </w:rPr>
        <w:t>V dubnu 2020 se meziroční propad prohloubil na 42 %. Dosud rekordní pokles z ledna 2009 činil necelých 30 %. Tyto hodnoty potvrzovaly silné narušení dodavatelských řetězců. Propad zakázek byl ovlivněn dočasným uzavřením některých podniků (zejména v automobilovém průmyslu).</w:t>
      </w:r>
    </w:p>
  </w:footnote>
  <w:footnote w:id="10">
    <w:p w14:paraId="755C7A2D" w14:textId="77777777" w:rsidR="00441F8B" w:rsidRPr="00FB58F4" w:rsidRDefault="00441F8B" w:rsidP="0002669F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z w:val="16"/>
          <w:szCs w:val="16"/>
        </w:rPr>
        <w:t>Podniky mohly uvést více hlavních bariér současně. Všechny údaje z konjunkturálních šetření jsou sezónně očištěny.</w:t>
      </w:r>
    </w:p>
  </w:footnote>
  <w:footnote w:id="11">
    <w:p w14:paraId="77C81079" w14:textId="77777777" w:rsidR="00441F8B" w:rsidRPr="00D85B50" w:rsidRDefault="00441F8B" w:rsidP="0002669F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Všechny meziroční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stavební produkci jsou očištěny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kalendářní vlivy, mezičtvrtletní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i meziměsíční 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tempa pak také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vliv sezónnosti.</w:t>
      </w:r>
    </w:p>
  </w:footnote>
  <w:footnote w:id="12">
    <w:p w14:paraId="512CE32C" w14:textId="77777777" w:rsidR="00441F8B" w:rsidRPr="00D85B50" w:rsidRDefault="00441F8B" w:rsidP="0002669F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V březnu 2019 vzrostlo stavebnictví meziročně bezmála o osminu, což představovalo nejvyšší tempo za všechny loňské měsíce.</w:t>
      </w:r>
    </w:p>
  </w:footnote>
  <w:footnote w:id="13">
    <w:p w14:paraId="4213FA82" w14:textId="77777777" w:rsidR="00441F8B" w:rsidRPr="00D85B50" w:rsidRDefault="00441F8B" w:rsidP="0002669F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Stavební zakázky jsou zjišťovány pouze u podniků s 50 a více zaměstnanci.</w:t>
      </w:r>
    </w:p>
  </w:footnote>
  <w:footnote w:id="14">
    <w:p w14:paraId="137E19CE" w14:textId="77777777" w:rsidR="00441F8B" w:rsidRPr="00DE38E6" w:rsidRDefault="00441F8B" w:rsidP="0002669F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</w:t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 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jsou očištěny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15">
    <w:p w14:paraId="67B0BFBC" w14:textId="77777777" w:rsidR="00441F8B" w:rsidRPr="007321F7" w:rsidRDefault="00441F8B" w:rsidP="0002669F">
      <w:pPr>
        <w:spacing w:after="0" w:line="240" w:lineRule="auto"/>
        <w:rPr>
          <w:color w:val="0D0D0D" w:themeColor="text1" w:themeTint="F2"/>
          <w:sz w:val="16"/>
          <w:szCs w:val="16"/>
        </w:rPr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Počet přenocování hostů v hromadných ubytovacích zařízeních se letos oproti 1. čtvrtletí 2019 snížil o 16,7 %, z toho u nerezidentů o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>
        <w:rPr>
          <w:color w:val="0D0D0D" w:themeColor="text1" w:themeTint="F2"/>
          <w:sz w:val="16"/>
          <w:szCs w:val="16"/>
        </w:rPr>
        <w:t>20,3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>
        <w:rPr>
          <w:color w:val="0D0D0D" w:themeColor="text1" w:themeTint="F2"/>
          <w:sz w:val="16"/>
          <w:szCs w:val="16"/>
        </w:rPr>
        <w:t xml:space="preserve">%. Útlum byl z velké části plošný, a to jak z hlediska typu zařízení, tak regionu ubytování. </w:t>
      </w:r>
      <w:r w:rsidRPr="007321F7">
        <w:rPr>
          <w:color w:val="0D0D0D" w:themeColor="text1" w:themeTint="F2"/>
          <w:sz w:val="16"/>
          <w:szCs w:val="16"/>
        </w:rPr>
        <w:t>Nejvíce byly postiženy oblasti spe</w:t>
      </w:r>
      <w:r>
        <w:rPr>
          <w:color w:val="0D0D0D" w:themeColor="text1" w:themeTint="F2"/>
          <w:sz w:val="16"/>
          <w:szCs w:val="16"/>
        </w:rPr>
        <w:t>cializované na městský turismus a </w:t>
      </w:r>
      <w:r w:rsidRPr="007321F7">
        <w:rPr>
          <w:color w:val="0D0D0D" w:themeColor="text1" w:themeTint="F2"/>
          <w:sz w:val="16"/>
          <w:szCs w:val="16"/>
        </w:rPr>
        <w:t>krátkodobé pobyty s vyšším zastoupením klientely ze vzdálenějších zemí (např. asijských, u</w:t>
      </w:r>
      <w:r>
        <w:rPr>
          <w:color w:val="0D0D0D" w:themeColor="text1" w:themeTint="F2"/>
          <w:sz w:val="16"/>
          <w:szCs w:val="16"/>
        </w:rPr>
        <w:t> </w:t>
      </w:r>
      <w:r w:rsidRPr="007321F7">
        <w:rPr>
          <w:color w:val="0D0D0D" w:themeColor="text1" w:themeTint="F2"/>
          <w:sz w:val="16"/>
          <w:szCs w:val="16"/>
        </w:rPr>
        <w:t xml:space="preserve">nichž se projevoval razantní pokles poptávky </w:t>
      </w:r>
      <w:r>
        <w:rPr>
          <w:color w:val="0D0D0D" w:themeColor="text1" w:themeTint="F2"/>
          <w:sz w:val="16"/>
          <w:szCs w:val="16"/>
        </w:rPr>
        <w:t>již</w:t>
      </w:r>
      <w:r w:rsidRPr="007321F7">
        <w:rPr>
          <w:color w:val="0D0D0D" w:themeColor="text1" w:themeTint="F2"/>
          <w:sz w:val="16"/>
          <w:szCs w:val="16"/>
        </w:rPr>
        <w:t xml:space="preserve"> na počátku roku).</w:t>
      </w:r>
      <w:r>
        <w:rPr>
          <w:color w:val="0D0D0D" w:themeColor="text1" w:themeTint="F2"/>
          <w:sz w:val="16"/>
          <w:szCs w:val="16"/>
        </w:rPr>
        <w:t xml:space="preserve"> Citelně byl</w:t>
      </w:r>
      <w:r w:rsidRPr="007321F7">
        <w:rPr>
          <w:color w:val="0D0D0D" w:themeColor="text1" w:themeTint="F2"/>
          <w:sz w:val="16"/>
          <w:szCs w:val="16"/>
        </w:rPr>
        <w:t xml:space="preserve"> postižen např. konferenční cestovní ruch (počet uskutečněných akcí v HUZ klesl v 1</w:t>
      </w:r>
      <w:r>
        <w:rPr>
          <w:color w:val="0D0D0D" w:themeColor="text1" w:themeTint="F2"/>
          <w:sz w:val="16"/>
          <w:szCs w:val="16"/>
        </w:rPr>
        <w:t>. čtvrtlet</w:t>
      </w:r>
      <w:r w:rsidRPr="007321F7">
        <w:rPr>
          <w:color w:val="0D0D0D" w:themeColor="text1" w:themeTint="F2"/>
          <w:sz w:val="16"/>
          <w:szCs w:val="16"/>
        </w:rPr>
        <w:t>í meziročně o</w:t>
      </w:r>
      <w:r>
        <w:rPr>
          <w:color w:val="0D0D0D" w:themeColor="text1" w:themeTint="F2"/>
          <w:sz w:val="16"/>
          <w:szCs w:val="16"/>
        </w:rPr>
        <w:t> </w:t>
      </w:r>
      <w:r w:rsidRPr="007321F7">
        <w:rPr>
          <w:color w:val="0D0D0D" w:themeColor="text1" w:themeTint="F2"/>
          <w:sz w:val="16"/>
          <w:szCs w:val="16"/>
        </w:rPr>
        <w:t>44</w:t>
      </w:r>
      <w:r>
        <w:rPr>
          <w:color w:val="0D0D0D" w:themeColor="text1" w:themeTint="F2"/>
          <w:sz w:val="16"/>
          <w:szCs w:val="16"/>
        </w:rPr>
        <w:t> %</w:t>
      </w:r>
      <w:r w:rsidRPr="007321F7">
        <w:rPr>
          <w:color w:val="0D0D0D" w:themeColor="text1" w:themeTint="F2"/>
          <w:sz w:val="16"/>
          <w:szCs w:val="16"/>
        </w:rPr>
        <w:t>, počet jejich účastníků o</w:t>
      </w:r>
      <w:r>
        <w:rPr>
          <w:color w:val="0D0D0D" w:themeColor="text1" w:themeTint="F2"/>
          <w:sz w:val="16"/>
          <w:szCs w:val="16"/>
        </w:rPr>
        <w:t> </w:t>
      </w:r>
      <w:r w:rsidRPr="007321F7">
        <w:rPr>
          <w:color w:val="0D0D0D" w:themeColor="text1" w:themeTint="F2"/>
          <w:sz w:val="16"/>
          <w:szCs w:val="16"/>
        </w:rPr>
        <w:t>38</w:t>
      </w:r>
      <w:r>
        <w:rPr>
          <w:color w:val="0D0D0D" w:themeColor="text1" w:themeTint="F2"/>
          <w:sz w:val="16"/>
          <w:szCs w:val="16"/>
        </w:rPr>
        <w:t> %</w:t>
      </w:r>
      <w:r w:rsidRPr="007321F7">
        <w:rPr>
          <w:color w:val="0D0D0D" w:themeColor="text1" w:themeTint="F2"/>
          <w:sz w:val="16"/>
          <w:szCs w:val="16"/>
        </w:rPr>
        <w:t xml:space="preserve">). Naopak </w:t>
      </w:r>
      <w:r>
        <w:rPr>
          <w:color w:val="0D0D0D" w:themeColor="text1" w:themeTint="F2"/>
          <w:sz w:val="16"/>
          <w:szCs w:val="16"/>
        </w:rPr>
        <w:t xml:space="preserve">hostů </w:t>
      </w:r>
      <w:r w:rsidRPr="007321F7">
        <w:rPr>
          <w:color w:val="0D0D0D" w:themeColor="text1" w:themeTint="F2"/>
          <w:sz w:val="16"/>
          <w:szCs w:val="16"/>
        </w:rPr>
        <w:t>v lázeňství</w:t>
      </w:r>
      <w:r>
        <w:rPr>
          <w:color w:val="0D0D0D" w:themeColor="text1" w:themeTint="F2"/>
          <w:sz w:val="16"/>
          <w:szCs w:val="16"/>
        </w:rPr>
        <w:t xml:space="preserve"> ubylo</w:t>
      </w:r>
      <w:r w:rsidRPr="007321F7">
        <w:rPr>
          <w:color w:val="0D0D0D" w:themeColor="text1" w:themeTint="F2"/>
          <w:sz w:val="16"/>
          <w:szCs w:val="16"/>
        </w:rPr>
        <w:t xml:space="preserve"> vlivem určité setrvačnosti v 1. čtvrtletí </w:t>
      </w:r>
      <w:r>
        <w:rPr>
          <w:color w:val="0D0D0D" w:themeColor="text1" w:themeTint="F2"/>
          <w:sz w:val="16"/>
          <w:szCs w:val="16"/>
        </w:rPr>
        <w:t>meziročně jen o desetinu. Úbytek se více týkal rezidentů</w:t>
      </w:r>
      <w:r w:rsidRPr="007321F7">
        <w:rPr>
          <w:color w:val="0D0D0D" w:themeColor="text1" w:themeTint="F2"/>
          <w:sz w:val="16"/>
          <w:szCs w:val="16"/>
        </w:rPr>
        <w:t xml:space="preserve"> (o</w:t>
      </w:r>
      <w:r>
        <w:rPr>
          <w:color w:val="0D0D0D" w:themeColor="text1" w:themeTint="F2"/>
          <w:sz w:val="16"/>
          <w:szCs w:val="16"/>
        </w:rPr>
        <w:t> </w:t>
      </w:r>
      <w:r w:rsidRPr="007321F7">
        <w:rPr>
          <w:color w:val="0D0D0D" w:themeColor="text1" w:themeTint="F2"/>
          <w:sz w:val="16"/>
          <w:szCs w:val="16"/>
        </w:rPr>
        <w:t>14</w:t>
      </w:r>
      <w:r>
        <w:rPr>
          <w:color w:val="0D0D0D" w:themeColor="text1" w:themeTint="F2"/>
          <w:sz w:val="16"/>
          <w:szCs w:val="16"/>
        </w:rPr>
        <w:t> %</w:t>
      </w:r>
      <w:r w:rsidRPr="007321F7">
        <w:rPr>
          <w:color w:val="0D0D0D" w:themeColor="text1" w:themeTint="F2"/>
          <w:sz w:val="16"/>
          <w:szCs w:val="16"/>
        </w:rPr>
        <w:t>)</w:t>
      </w:r>
      <w:r>
        <w:rPr>
          <w:color w:val="0D0D0D" w:themeColor="text1" w:themeTint="F2"/>
          <w:sz w:val="16"/>
          <w:szCs w:val="16"/>
        </w:rPr>
        <w:t xml:space="preserve"> ne</w:t>
      </w:r>
      <w:r w:rsidRPr="007321F7">
        <w:rPr>
          <w:color w:val="0D0D0D" w:themeColor="text1" w:themeTint="F2"/>
          <w:sz w:val="16"/>
          <w:szCs w:val="16"/>
        </w:rPr>
        <w:t>ž</w:t>
      </w:r>
      <w:r>
        <w:rPr>
          <w:color w:val="0D0D0D" w:themeColor="text1" w:themeTint="F2"/>
          <w:sz w:val="16"/>
          <w:szCs w:val="16"/>
        </w:rPr>
        <w:t>li</w:t>
      </w:r>
      <w:r w:rsidRPr="007321F7">
        <w:rPr>
          <w:color w:val="0D0D0D" w:themeColor="text1" w:themeTint="F2"/>
          <w:sz w:val="16"/>
          <w:szCs w:val="16"/>
        </w:rPr>
        <w:t xml:space="preserve"> zahraniční klientely (o</w:t>
      </w:r>
      <w:r>
        <w:rPr>
          <w:color w:val="0D0D0D" w:themeColor="text1" w:themeTint="F2"/>
          <w:sz w:val="16"/>
          <w:szCs w:val="16"/>
        </w:rPr>
        <w:t> </w:t>
      </w:r>
      <w:r w:rsidRPr="007321F7">
        <w:rPr>
          <w:color w:val="0D0D0D" w:themeColor="text1" w:themeTint="F2"/>
          <w:sz w:val="16"/>
          <w:szCs w:val="16"/>
        </w:rPr>
        <w:t>6</w:t>
      </w:r>
      <w:r>
        <w:rPr>
          <w:color w:val="0D0D0D" w:themeColor="text1" w:themeTint="F2"/>
          <w:sz w:val="16"/>
          <w:szCs w:val="16"/>
        </w:rPr>
        <w:t> %</w:t>
      </w:r>
      <w:r w:rsidRPr="007321F7">
        <w:rPr>
          <w:color w:val="0D0D0D" w:themeColor="text1" w:themeTint="F2"/>
          <w:sz w:val="16"/>
          <w:szCs w:val="16"/>
        </w:rPr>
        <w:t>).</w:t>
      </w:r>
    </w:p>
  </w:footnote>
  <w:footnote w:id="16">
    <w:p w14:paraId="02B88F94" w14:textId="77777777" w:rsidR="00441F8B" w:rsidRPr="000F615E" w:rsidRDefault="00441F8B" w:rsidP="0002669F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0F615E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0F615E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0F615E">
        <w:rPr>
          <w:color w:val="0D0D0D" w:themeColor="text1" w:themeTint="F2"/>
          <w:spacing w:val="-2"/>
          <w:sz w:val="16"/>
          <w:szCs w:val="16"/>
        </w:rPr>
        <w:t>Dle údajů Unie filmových distributorů klesly v 1</w:t>
      </w:r>
      <w:r>
        <w:rPr>
          <w:color w:val="0D0D0D" w:themeColor="text1" w:themeTint="F2"/>
          <w:spacing w:val="-2"/>
          <w:sz w:val="16"/>
          <w:szCs w:val="16"/>
        </w:rPr>
        <w:t>. čtvrtlet</w:t>
      </w:r>
      <w:r w:rsidRPr="000F615E">
        <w:rPr>
          <w:color w:val="0D0D0D" w:themeColor="text1" w:themeTint="F2"/>
          <w:spacing w:val="-2"/>
          <w:sz w:val="16"/>
          <w:szCs w:val="16"/>
        </w:rPr>
        <w:t>í 2020 tržby ze vstupného v kinech v ČR meziročně o 33 %, v březnu pak o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0F615E">
        <w:rPr>
          <w:color w:val="0D0D0D" w:themeColor="text1" w:themeTint="F2"/>
          <w:spacing w:val="-2"/>
          <w:sz w:val="16"/>
          <w:szCs w:val="16"/>
        </w:rPr>
        <w:t>71</w:t>
      </w:r>
      <w:r>
        <w:rPr>
          <w:color w:val="0D0D0D" w:themeColor="text1" w:themeTint="F2"/>
          <w:spacing w:val="-2"/>
          <w:sz w:val="16"/>
          <w:szCs w:val="16"/>
        </w:rPr>
        <w:t> %</w:t>
      </w:r>
      <w:r w:rsidRPr="000F615E">
        <w:rPr>
          <w:color w:val="0D0D0D" w:themeColor="text1" w:themeTint="F2"/>
          <w:spacing w:val="-2"/>
          <w:sz w:val="16"/>
          <w:szCs w:val="16"/>
        </w:rPr>
        <w:t>.</w:t>
      </w:r>
    </w:p>
  </w:footnote>
  <w:footnote w:id="17">
    <w:p w14:paraId="7D68D30A" w14:textId="77777777" w:rsidR="00441F8B" w:rsidRDefault="00441F8B" w:rsidP="0002669F">
      <w:pPr>
        <w:spacing w:after="0" w:line="240" w:lineRule="auto"/>
      </w:pPr>
      <w:r w:rsidRPr="000F615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0F615E">
        <w:rPr>
          <w:color w:val="0D0D0D" w:themeColor="text1" w:themeTint="F2"/>
          <w:sz w:val="16"/>
          <w:szCs w:val="16"/>
        </w:rPr>
        <w:t xml:space="preserve"> Všechna meziroční tempa tržeb za maloobchod jsou uvedena ve stálých cenách a očištěna o kalendářní vlivy, mezičtvrtletní tempa jsou očištěna o sezónní vlivy (včetně vlivu počtu pracovních dnů).</w:t>
      </w:r>
    </w:p>
  </w:footnote>
  <w:footnote w:id="18">
    <w:p w14:paraId="39752244" w14:textId="77777777" w:rsidR="00441F8B" w:rsidRDefault="00441F8B" w:rsidP="0002669F">
      <w:pPr>
        <w:spacing w:after="0" w:line="240" w:lineRule="auto"/>
      </w:pPr>
      <w:r w:rsidRPr="00A85D8E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D468B">
        <w:rPr>
          <w:spacing w:val="-2"/>
          <w:sz w:val="16"/>
          <w:szCs w:val="16"/>
        </w:rPr>
        <w:t>Od 14.</w:t>
      </w:r>
      <w:r>
        <w:rPr>
          <w:spacing w:val="-2"/>
          <w:sz w:val="16"/>
          <w:szCs w:val="16"/>
        </w:rPr>
        <w:t> </w:t>
      </w:r>
      <w:r w:rsidRPr="00FD468B">
        <w:rPr>
          <w:spacing w:val="-2"/>
          <w:sz w:val="16"/>
          <w:szCs w:val="16"/>
        </w:rPr>
        <w:t>března došlo k dočasnému uzavření většiny maloobchodních „kamenných“ provozoven vyjma těch, které poskytují zboží základní potřeby, většinou s krátkodobou trvanlivostí (potraviny, krmiva pro zvířata, léky, hygienické, zdravotnické, kosmetické a</w:t>
      </w:r>
      <w:r>
        <w:rPr>
          <w:spacing w:val="-2"/>
          <w:sz w:val="16"/>
          <w:szCs w:val="16"/>
        </w:rPr>
        <w:t> </w:t>
      </w:r>
      <w:r w:rsidRPr="00FD468B">
        <w:rPr>
          <w:spacing w:val="-2"/>
          <w:sz w:val="16"/>
          <w:szCs w:val="16"/>
        </w:rPr>
        <w:t xml:space="preserve">drogistické výrobky, </w:t>
      </w:r>
      <w:r w:rsidRPr="00FE126F">
        <w:rPr>
          <w:spacing w:val="-2"/>
          <w:sz w:val="16"/>
          <w:szCs w:val="16"/>
        </w:rPr>
        <w:t>brýle, kontaktní čočky, noviny</w:t>
      </w:r>
      <w:r w:rsidRPr="00FD468B">
        <w:rPr>
          <w:spacing w:val="-2"/>
          <w:sz w:val="16"/>
          <w:szCs w:val="16"/>
        </w:rPr>
        <w:t>, časopisy, tabákové výrobky, pohonné hmoty a</w:t>
      </w:r>
      <w:r>
        <w:rPr>
          <w:spacing w:val="-2"/>
          <w:sz w:val="16"/>
          <w:szCs w:val="16"/>
        </w:rPr>
        <w:t> </w:t>
      </w:r>
      <w:r w:rsidRPr="00FD468B">
        <w:rPr>
          <w:spacing w:val="-2"/>
          <w:sz w:val="16"/>
          <w:szCs w:val="16"/>
        </w:rPr>
        <w:t>paliva). Některé zavřené prodejny využily možnosti internetového prodeje. Na druh</w:t>
      </w:r>
      <w:r>
        <w:rPr>
          <w:spacing w:val="-2"/>
          <w:sz w:val="16"/>
          <w:szCs w:val="16"/>
        </w:rPr>
        <w:t>é</w:t>
      </w:r>
      <w:r w:rsidRPr="00FD468B">
        <w:rPr>
          <w:spacing w:val="-2"/>
          <w:sz w:val="16"/>
          <w:szCs w:val="16"/>
        </w:rPr>
        <w:t xml:space="preserve"> stran</w:t>
      </w:r>
      <w:r>
        <w:rPr>
          <w:spacing w:val="-2"/>
          <w:sz w:val="16"/>
          <w:szCs w:val="16"/>
        </w:rPr>
        <w:t>ě</w:t>
      </w:r>
      <w:r w:rsidRPr="00FD468B">
        <w:rPr>
          <w:spacing w:val="-2"/>
          <w:sz w:val="16"/>
          <w:szCs w:val="16"/>
        </w:rPr>
        <w:t xml:space="preserve"> mnohé zejména menší otevřené prodejny se i</w:t>
      </w:r>
      <w:r>
        <w:rPr>
          <w:spacing w:val="-2"/>
          <w:sz w:val="16"/>
          <w:szCs w:val="16"/>
        </w:rPr>
        <w:t> </w:t>
      </w:r>
      <w:r w:rsidRPr="00FD468B">
        <w:rPr>
          <w:spacing w:val="-2"/>
          <w:sz w:val="16"/>
          <w:szCs w:val="16"/>
        </w:rPr>
        <w:t>tak potýkaly s nízkým zájmem zákazníků (</w:t>
      </w:r>
      <w:r>
        <w:rPr>
          <w:spacing w:val="-2"/>
          <w:sz w:val="16"/>
          <w:szCs w:val="16"/>
        </w:rPr>
        <w:t>obava</w:t>
      </w:r>
      <w:r w:rsidRPr="00FD468B">
        <w:rPr>
          <w:spacing w:val="-2"/>
          <w:sz w:val="16"/>
          <w:szCs w:val="16"/>
        </w:rPr>
        <w:t xml:space="preserve"> před nákazou).</w:t>
      </w:r>
    </w:p>
  </w:footnote>
  <w:footnote w:id="19">
    <w:p w14:paraId="5DB07061" w14:textId="77777777" w:rsidR="00441F8B" w:rsidRDefault="00441F8B" w:rsidP="0002669F">
      <w:pPr>
        <w:spacing w:after="0" w:line="240" w:lineRule="auto"/>
      </w:pPr>
      <w:r w:rsidRPr="00A85D8E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Jednalo se zejména o velké obchodní řetězce, u nichž rostly v březnu svižně i tržby v doplňkovém segmentu nepotravinářského zboží.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441F8B" w:rsidRDefault="00441F8B" w:rsidP="00937AE2">
    <w:pPr>
      <w:pStyle w:val="Zhlav"/>
    </w:pPr>
    <w:r>
      <w:t>Vývoj ekonomiky České republiky</w:t>
    </w:r>
  </w:p>
  <w:p w14:paraId="675E4C41" w14:textId="77777777" w:rsidR="00441F8B" w:rsidRPr="006F5416" w:rsidRDefault="00441F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441F8B" w:rsidRDefault="00441F8B" w:rsidP="00937AE2">
    <w:pPr>
      <w:pStyle w:val="Zhlav"/>
    </w:pPr>
    <w:r>
      <w:t>Vývoj ekonomiky České republiky</w:t>
    </w:r>
  </w:p>
  <w:p w14:paraId="0CDCFD48" w14:textId="77777777" w:rsidR="00441F8B" w:rsidRPr="006F5416" w:rsidRDefault="00441F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24D5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277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656B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Odv&#283;tv&#237;\Odv&#283;tv&#237;%20grafy-rok-1q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-marko-1q-2020\Odv&#283;tv&#237;\Odv&#283;tv&#237;%20grafy-rok-1q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Odv&#283;tv&#237;\Odv&#283;tv&#237;%20grafy-rok-1q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-marko-1q-2020\Odv&#283;tv&#237;\Odv&#283;tv&#237;%20grafy-rok-1q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68470688525411E-2"/>
          <c:y val="1.6203558522131581E-2"/>
          <c:w val="0.94015567663973465"/>
          <c:h val="0.719505934107897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příspěvky IPP'!$A$27</c:f>
              <c:strCache>
                <c:ptCount val="1"/>
                <c:pt idx="0">
                  <c:v>Výroba dopravních prostředků (29, 30)</c:v>
                </c:pt>
              </c:strCache>
            </c:strRef>
          </c:tx>
          <c:spPr>
            <a:solidFill>
              <a:srgbClr val="E8AFB2"/>
            </a:solidFill>
          </c:spPr>
          <c:invertIfNegative val="0"/>
          <c:cat>
            <c:multiLvlStrRef>
              <c:f>'GRAF příspěvky IPP'!$B$25:$AL$26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'GRAF příspěvky IPP'!$B$27:$AL$27</c:f>
              <c:numCache>
                <c:formatCode>0.0</c:formatCode>
                <c:ptCount val="37"/>
                <c:pt idx="0">
                  <c:v>5.2078736853779173</c:v>
                </c:pt>
                <c:pt idx="1">
                  <c:v>4.1223648273779991</c:v>
                </c:pt>
                <c:pt idx="2">
                  <c:v>3.63477216157156</c:v>
                </c:pt>
                <c:pt idx="3">
                  <c:v>3.2216361743132538</c:v>
                </c:pt>
                <c:pt idx="4">
                  <c:v>2.2277089061298581</c:v>
                </c:pt>
                <c:pt idx="5">
                  <c:v>1.0445407965040034</c:v>
                </c:pt>
                <c:pt idx="6">
                  <c:v>-0.44415991740409522</c:v>
                </c:pt>
                <c:pt idx="7">
                  <c:v>-1.7046426167277111</c:v>
                </c:pt>
                <c:pt idx="8">
                  <c:v>-2.8402152771046563</c:v>
                </c:pt>
                <c:pt idx="9">
                  <c:v>-1.1163342815363446</c:v>
                </c:pt>
                <c:pt idx="10">
                  <c:v>0.6644282664004616</c:v>
                </c:pt>
                <c:pt idx="11">
                  <c:v>1.8881189084849743</c:v>
                </c:pt>
                <c:pt idx="12">
                  <c:v>3.5567942882522487</c:v>
                </c:pt>
                <c:pt idx="13">
                  <c:v>2.2505867525367846</c:v>
                </c:pt>
                <c:pt idx="14">
                  <c:v>1.7903943475924651</c:v>
                </c:pt>
                <c:pt idx="15">
                  <c:v>1.535644409665273</c:v>
                </c:pt>
                <c:pt idx="16">
                  <c:v>1.5449159659659168</c:v>
                </c:pt>
                <c:pt idx="17">
                  <c:v>2.1749281656592205</c:v>
                </c:pt>
                <c:pt idx="18">
                  <c:v>2.3300582377623109</c:v>
                </c:pt>
                <c:pt idx="19">
                  <c:v>2.8883547821003916</c:v>
                </c:pt>
                <c:pt idx="20">
                  <c:v>3.2974613335821723</c:v>
                </c:pt>
                <c:pt idx="21">
                  <c:v>2.7788016600022574</c:v>
                </c:pt>
                <c:pt idx="22">
                  <c:v>1.4641693240331413</c:v>
                </c:pt>
                <c:pt idx="23">
                  <c:v>1.0301621596218218</c:v>
                </c:pt>
                <c:pt idx="24">
                  <c:v>1.8188073708028707</c:v>
                </c:pt>
                <c:pt idx="25">
                  <c:v>2.0559452389437172</c:v>
                </c:pt>
                <c:pt idx="26">
                  <c:v>1.5681820744985684</c:v>
                </c:pt>
                <c:pt idx="27">
                  <c:v>1.6876490608562387</c:v>
                </c:pt>
                <c:pt idx="28">
                  <c:v>0.71498061102748001</c:v>
                </c:pt>
                <c:pt idx="29">
                  <c:v>0.55787229008071415</c:v>
                </c:pt>
                <c:pt idx="30">
                  <c:v>0.24148179021483879</c:v>
                </c:pt>
                <c:pt idx="31">
                  <c:v>0.98792003638593584</c:v>
                </c:pt>
                <c:pt idx="32">
                  <c:v>-0.22880012722901144</c:v>
                </c:pt>
                <c:pt idx="33">
                  <c:v>0.47557847335850179</c:v>
                </c:pt>
                <c:pt idx="34">
                  <c:v>0.85632252819942911</c:v>
                </c:pt>
                <c:pt idx="35">
                  <c:v>-1.1033344772796312</c:v>
                </c:pt>
                <c:pt idx="36">
                  <c:v>-1.6351485387866893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9E-4D2F-8C7C-CEDAF3388122}"/>
            </c:ext>
          </c:extLst>
        </c:ser>
        <c:ser>
          <c:idx val="1"/>
          <c:order val="1"/>
          <c:tx>
            <c:strRef>
              <c:f>'GRAF příspěvky IPP'!$A$28</c:f>
              <c:strCache>
                <c:ptCount val="1"/>
                <c:pt idx="0">
                  <c:v>Gumárenství, elektrotechnický pr. (22, 27)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'GRAF příspěvky IPP'!$B$25:$AL$26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'GRAF příspěvky IPP'!$B$28:$AL$28</c:f>
              <c:numCache>
                <c:formatCode>0.0</c:formatCode>
                <c:ptCount val="37"/>
                <c:pt idx="0">
                  <c:v>1.8195799141685121</c:v>
                </c:pt>
                <c:pt idx="1">
                  <c:v>1.4264054755235898</c:v>
                </c:pt>
                <c:pt idx="2">
                  <c:v>0.48607353269968806</c:v>
                </c:pt>
                <c:pt idx="3">
                  <c:v>0.58156552967788966</c:v>
                </c:pt>
                <c:pt idx="4">
                  <c:v>0.85798481430169571</c:v>
                </c:pt>
                <c:pt idx="5">
                  <c:v>0.68171577064529831</c:v>
                </c:pt>
                <c:pt idx="6">
                  <c:v>1.072037862747427</c:v>
                </c:pt>
                <c:pt idx="7">
                  <c:v>-0.46173310094024295</c:v>
                </c:pt>
                <c:pt idx="8">
                  <c:v>-0.34213672064681983</c:v>
                </c:pt>
                <c:pt idx="9">
                  <c:v>-0.29940942958869421</c:v>
                </c:pt>
                <c:pt idx="10">
                  <c:v>0.37461822657534871</c:v>
                </c:pt>
                <c:pt idx="11">
                  <c:v>0.67650313777163307</c:v>
                </c:pt>
                <c:pt idx="12">
                  <c:v>1.189030233896462</c:v>
                </c:pt>
                <c:pt idx="13">
                  <c:v>1.3176011911030265</c:v>
                </c:pt>
                <c:pt idx="14">
                  <c:v>0.16521296223436649</c:v>
                </c:pt>
                <c:pt idx="15">
                  <c:v>0.7937264559340933</c:v>
                </c:pt>
                <c:pt idx="16">
                  <c:v>1.0321564707423598</c:v>
                </c:pt>
                <c:pt idx="17">
                  <c:v>1.2396893147517036</c:v>
                </c:pt>
                <c:pt idx="18">
                  <c:v>1.4257126645761891</c:v>
                </c:pt>
                <c:pt idx="19">
                  <c:v>0.62646054654871031</c:v>
                </c:pt>
                <c:pt idx="20">
                  <c:v>0.70239864046330858</c:v>
                </c:pt>
                <c:pt idx="21">
                  <c:v>0.14957031030982187</c:v>
                </c:pt>
                <c:pt idx="22">
                  <c:v>0.27646532302098098</c:v>
                </c:pt>
                <c:pt idx="23">
                  <c:v>0.42916912474109054</c:v>
                </c:pt>
                <c:pt idx="24">
                  <c:v>0.91361476755678694</c:v>
                </c:pt>
                <c:pt idx="25">
                  <c:v>1.458720321695594</c:v>
                </c:pt>
                <c:pt idx="26">
                  <c:v>0.87170226971120912</c:v>
                </c:pt>
                <c:pt idx="27">
                  <c:v>1.646875240438054</c:v>
                </c:pt>
                <c:pt idx="28">
                  <c:v>0.99783080896461818</c:v>
                </c:pt>
                <c:pt idx="29">
                  <c:v>0.32761654080678082</c:v>
                </c:pt>
                <c:pt idx="30">
                  <c:v>0.42786481660655967</c:v>
                </c:pt>
                <c:pt idx="31">
                  <c:v>-5.3703633303731985E-2</c:v>
                </c:pt>
                <c:pt idx="32">
                  <c:v>0.49796786158713413</c:v>
                </c:pt>
                <c:pt idx="33">
                  <c:v>0.41570141309308034</c:v>
                </c:pt>
                <c:pt idx="34">
                  <c:v>0.20582062918485727</c:v>
                </c:pt>
                <c:pt idx="35">
                  <c:v>0.40696880957165538</c:v>
                </c:pt>
                <c:pt idx="36">
                  <c:v>-0.52971441870095359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9E-4D2F-8C7C-CEDAF3388122}"/>
            </c:ext>
          </c:extLst>
        </c:ser>
        <c:ser>
          <c:idx val="2"/>
          <c:order val="2"/>
          <c:tx>
            <c:strRef>
              <c:f>'GRAF příspěvky IPP'!$A$29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invertIfNegative val="0"/>
          <c:cat>
            <c:multiLvlStrRef>
              <c:f>'GRAF příspěvky IPP'!$B$25:$AL$26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'GRAF příspěvky IPP'!$B$29:$AL$29</c:f>
              <c:numCache>
                <c:formatCode>0.0</c:formatCode>
                <c:ptCount val="37"/>
                <c:pt idx="0">
                  <c:v>1.2645058188207068</c:v>
                </c:pt>
                <c:pt idx="1">
                  <c:v>1.2866524900119543</c:v>
                </c:pt>
                <c:pt idx="2">
                  <c:v>0.321758166889757</c:v>
                </c:pt>
                <c:pt idx="3">
                  <c:v>0.69985382932741536</c:v>
                </c:pt>
                <c:pt idx="4">
                  <c:v>0.51520520797066272</c:v>
                </c:pt>
                <c:pt idx="5">
                  <c:v>0.26610955621310539</c:v>
                </c:pt>
                <c:pt idx="6">
                  <c:v>0.23285855695515315</c:v>
                </c:pt>
                <c:pt idx="7">
                  <c:v>-0.14103398862933006</c:v>
                </c:pt>
                <c:pt idx="8">
                  <c:v>8.1772139521772438E-2</c:v>
                </c:pt>
                <c:pt idx="9">
                  <c:v>0.2046260235658918</c:v>
                </c:pt>
                <c:pt idx="10">
                  <c:v>-2.2418720279356572E-2</c:v>
                </c:pt>
                <c:pt idx="11">
                  <c:v>0.65142852885825009</c:v>
                </c:pt>
                <c:pt idx="12">
                  <c:v>0.21304347589519865</c:v>
                </c:pt>
                <c:pt idx="13">
                  <c:v>0.40549290927749476</c:v>
                </c:pt>
                <c:pt idx="14">
                  <c:v>0.20916730701816877</c:v>
                </c:pt>
                <c:pt idx="15">
                  <c:v>0.32933361982312465</c:v>
                </c:pt>
                <c:pt idx="16">
                  <c:v>0.27334106694035171</c:v>
                </c:pt>
                <c:pt idx="17">
                  <c:v>0.29428298533741609</c:v>
                </c:pt>
                <c:pt idx="18">
                  <c:v>0.38533015320769515</c:v>
                </c:pt>
                <c:pt idx="19">
                  <c:v>1.9183488529804775E-2</c:v>
                </c:pt>
                <c:pt idx="20">
                  <c:v>0.36307045023871931</c:v>
                </c:pt>
                <c:pt idx="21">
                  <c:v>-6.7572945378872373E-2</c:v>
                </c:pt>
                <c:pt idx="22">
                  <c:v>0.19574075945275773</c:v>
                </c:pt>
                <c:pt idx="23">
                  <c:v>0.31979046599858157</c:v>
                </c:pt>
                <c:pt idx="24">
                  <c:v>0.3600654733750322</c:v>
                </c:pt>
                <c:pt idx="25">
                  <c:v>1.0705741294559918</c:v>
                </c:pt>
                <c:pt idx="26">
                  <c:v>0.84942343358716554</c:v>
                </c:pt>
                <c:pt idx="27">
                  <c:v>0.80110319510701655</c:v>
                </c:pt>
                <c:pt idx="28">
                  <c:v>0.47293555109852903</c:v>
                </c:pt>
                <c:pt idx="29">
                  <c:v>0.1452079187580578</c:v>
                </c:pt>
                <c:pt idx="30">
                  <c:v>0.18970333111993243</c:v>
                </c:pt>
                <c:pt idx="31">
                  <c:v>-0.19465162699433602</c:v>
                </c:pt>
                <c:pt idx="32">
                  <c:v>0.14327265844637876</c:v>
                </c:pt>
                <c:pt idx="33">
                  <c:v>-1.7968040425448202E-2</c:v>
                </c:pt>
                <c:pt idx="34">
                  <c:v>-0.26715216579706247</c:v>
                </c:pt>
                <c:pt idx="35">
                  <c:v>-0.13564580462754863</c:v>
                </c:pt>
                <c:pt idx="36">
                  <c:v>-0.75785406754260254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9E-4D2F-8C7C-CEDAF3388122}"/>
            </c:ext>
          </c:extLst>
        </c:ser>
        <c:ser>
          <c:idx val="3"/>
          <c:order val="3"/>
          <c:tx>
            <c:strRef>
              <c:f>'GRAF příspěvky IPP'!$A$30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invertIfNegative val="0"/>
          <c:cat>
            <c:multiLvlStrRef>
              <c:f>'GRAF příspěvky IPP'!$B$25:$AL$26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'GRAF příspěvky IPP'!$B$30:$AL$30</c:f>
              <c:numCache>
                <c:formatCode>0.0</c:formatCode>
                <c:ptCount val="37"/>
                <c:pt idx="0">
                  <c:v>1.3551101221058057</c:v>
                </c:pt>
                <c:pt idx="1">
                  <c:v>0.61003571461144745</c:v>
                </c:pt>
                <c:pt idx="2">
                  <c:v>6.5190052068116996E-2</c:v>
                </c:pt>
                <c:pt idx="3">
                  <c:v>-5.751285551196901E-2</c:v>
                </c:pt>
                <c:pt idx="4">
                  <c:v>-6.6831949774716279E-2</c:v>
                </c:pt>
                <c:pt idx="5">
                  <c:v>-7.2108739074927916E-2</c:v>
                </c:pt>
                <c:pt idx="6">
                  <c:v>0.10129802746367376</c:v>
                </c:pt>
                <c:pt idx="7">
                  <c:v>-0.16202794402787471</c:v>
                </c:pt>
                <c:pt idx="8">
                  <c:v>-7.7218113950844339E-2</c:v>
                </c:pt>
                <c:pt idx="9">
                  <c:v>9.8842007123154413E-2</c:v>
                </c:pt>
                <c:pt idx="10">
                  <c:v>0.38425831802453603</c:v>
                </c:pt>
                <c:pt idx="11">
                  <c:v>0.56826070473463075</c:v>
                </c:pt>
                <c:pt idx="12">
                  <c:v>0.72466030311448937</c:v>
                </c:pt>
                <c:pt idx="13">
                  <c:v>0.64070763768823902</c:v>
                </c:pt>
                <c:pt idx="14">
                  <c:v>0.13471783746278831</c:v>
                </c:pt>
                <c:pt idx="15">
                  <c:v>0.34715049391068614</c:v>
                </c:pt>
                <c:pt idx="16">
                  <c:v>0.7002997305470311</c:v>
                </c:pt>
                <c:pt idx="17">
                  <c:v>0.78598516282691366</c:v>
                </c:pt>
                <c:pt idx="18">
                  <c:v>0.92607458938072496</c:v>
                </c:pt>
                <c:pt idx="19">
                  <c:v>0.625152359437114</c:v>
                </c:pt>
                <c:pt idx="20">
                  <c:v>0.76444806762191553</c:v>
                </c:pt>
                <c:pt idx="21">
                  <c:v>0.38468982602991308</c:v>
                </c:pt>
                <c:pt idx="22">
                  <c:v>0.20052528439839029</c:v>
                </c:pt>
                <c:pt idx="23">
                  <c:v>0.2505464784956295</c:v>
                </c:pt>
                <c:pt idx="24">
                  <c:v>0.5110945332466369</c:v>
                </c:pt>
                <c:pt idx="25">
                  <c:v>0.91827111587790722</c:v>
                </c:pt>
                <c:pt idx="26">
                  <c:v>0.82344311009183468</c:v>
                </c:pt>
                <c:pt idx="27">
                  <c:v>0.97625242210301566</c:v>
                </c:pt>
                <c:pt idx="28">
                  <c:v>0.6543071266859497</c:v>
                </c:pt>
                <c:pt idx="29">
                  <c:v>0.44399142916192974</c:v>
                </c:pt>
                <c:pt idx="30">
                  <c:v>0.43632885025014273</c:v>
                </c:pt>
                <c:pt idx="31">
                  <c:v>0.16425112174648246</c:v>
                </c:pt>
                <c:pt idx="32">
                  <c:v>0.22884068502186039</c:v>
                </c:pt>
                <c:pt idx="33">
                  <c:v>6.1996043783410862E-4</c:v>
                </c:pt>
                <c:pt idx="34">
                  <c:v>-0.21746811402817312</c:v>
                </c:pt>
                <c:pt idx="35">
                  <c:v>-0.36830591874447083</c:v>
                </c:pt>
                <c:pt idx="36">
                  <c:v>-0.68217949411889611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9E-4D2F-8C7C-CEDAF3388122}"/>
            </c:ext>
          </c:extLst>
        </c:ser>
        <c:ser>
          <c:idx val="4"/>
          <c:order val="4"/>
          <c:tx>
            <c:strRef>
              <c:f>'GRAF příspěvky IPP'!$A$31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invertIfNegative val="0"/>
          <c:cat>
            <c:multiLvlStrRef>
              <c:f>'GRAF příspěvky IPP'!$B$25:$AL$26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'GRAF příspěvky IPP'!$B$31:$AL$31</c:f>
              <c:numCache>
                <c:formatCode>0.0</c:formatCode>
                <c:ptCount val="37"/>
                <c:pt idx="0">
                  <c:v>0.46663673326552113</c:v>
                </c:pt>
                <c:pt idx="1">
                  <c:v>0.23034504225594873</c:v>
                </c:pt>
                <c:pt idx="2">
                  <c:v>-0.24128462562357822</c:v>
                </c:pt>
                <c:pt idx="3">
                  <c:v>-0.7801555412140766</c:v>
                </c:pt>
                <c:pt idx="4">
                  <c:v>-0.63255602460385418</c:v>
                </c:pt>
                <c:pt idx="5">
                  <c:v>-0.77384972458303802</c:v>
                </c:pt>
                <c:pt idx="6">
                  <c:v>-0.66432699677878693</c:v>
                </c:pt>
                <c:pt idx="7">
                  <c:v>-0.43948160779128104</c:v>
                </c:pt>
                <c:pt idx="8">
                  <c:v>0.1743274886505129</c:v>
                </c:pt>
                <c:pt idx="9">
                  <c:v>0.20848577844563423</c:v>
                </c:pt>
                <c:pt idx="10">
                  <c:v>0.28708284874337209</c:v>
                </c:pt>
                <c:pt idx="11">
                  <c:v>0.3710677945253662</c:v>
                </c:pt>
                <c:pt idx="12">
                  <c:v>0.25462016960863021</c:v>
                </c:pt>
                <c:pt idx="13">
                  <c:v>0.35946957764943493</c:v>
                </c:pt>
                <c:pt idx="14">
                  <c:v>0.24902596442701128</c:v>
                </c:pt>
                <c:pt idx="15">
                  <c:v>0.43266401321765158</c:v>
                </c:pt>
                <c:pt idx="16">
                  <c:v>0.10098933939964477</c:v>
                </c:pt>
                <c:pt idx="17">
                  <c:v>1.4989983457542287E-2</c:v>
                </c:pt>
                <c:pt idx="18">
                  <c:v>4.8131776575975969E-2</c:v>
                </c:pt>
                <c:pt idx="19">
                  <c:v>-7.7003986202186223E-2</c:v>
                </c:pt>
                <c:pt idx="20">
                  <c:v>2.5800791974177746E-4</c:v>
                </c:pt>
                <c:pt idx="21">
                  <c:v>4.8125354447826493E-2</c:v>
                </c:pt>
                <c:pt idx="22">
                  <c:v>5.4761934658599951E-2</c:v>
                </c:pt>
                <c:pt idx="23">
                  <c:v>0.16221619241546678</c:v>
                </c:pt>
                <c:pt idx="24">
                  <c:v>0.1266562574913582</c:v>
                </c:pt>
                <c:pt idx="25">
                  <c:v>0.37648265280216536</c:v>
                </c:pt>
                <c:pt idx="26">
                  <c:v>0.23505971681229232</c:v>
                </c:pt>
                <c:pt idx="27">
                  <c:v>0.23512493906047929</c:v>
                </c:pt>
                <c:pt idx="28">
                  <c:v>0.40852046691006588</c:v>
                </c:pt>
                <c:pt idx="29">
                  <c:v>0.15033665549578873</c:v>
                </c:pt>
                <c:pt idx="30">
                  <c:v>0.63742581900112127</c:v>
                </c:pt>
                <c:pt idx="31">
                  <c:v>0.30596497918419047</c:v>
                </c:pt>
                <c:pt idx="32">
                  <c:v>-0.11383317653190116</c:v>
                </c:pt>
                <c:pt idx="33">
                  <c:v>-3.9018091665557024E-2</c:v>
                </c:pt>
                <c:pt idx="34">
                  <c:v>-0.62641495568227556</c:v>
                </c:pt>
                <c:pt idx="35">
                  <c:v>-0.34107381568023526</c:v>
                </c:pt>
                <c:pt idx="36">
                  <c:v>-0.12767060849742898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9E-4D2F-8C7C-CEDAF3388122}"/>
            </c:ext>
          </c:extLst>
        </c:ser>
        <c:ser>
          <c:idx val="5"/>
          <c:order val="5"/>
          <c:tx>
            <c:strRef>
              <c:f>'GRAF příspěvky IPP'!$A$32</c:f>
              <c:strCache>
                <c:ptCount val="1"/>
                <c:pt idx="0">
                  <c:v>Chemický a farmaceutický pr. (20, 21)</c:v>
                </c:pt>
              </c:strCache>
            </c:strRef>
          </c:tx>
          <c:spPr>
            <a:solidFill>
              <a:srgbClr val="F8A124"/>
            </a:solidFill>
          </c:spPr>
          <c:invertIfNegative val="0"/>
          <c:cat>
            <c:multiLvlStrRef>
              <c:f>'GRAF příspěvky IPP'!$B$25:$AL$26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'GRAF příspěvky IPP'!$B$32:$AL$32</c:f>
              <c:numCache>
                <c:formatCode>0.0</c:formatCode>
                <c:ptCount val="37"/>
                <c:pt idx="0">
                  <c:v>0.11043784960432593</c:v>
                </c:pt>
                <c:pt idx="1">
                  <c:v>-0.10773555193592807</c:v>
                </c:pt>
                <c:pt idx="2">
                  <c:v>-0.35112289109297956</c:v>
                </c:pt>
                <c:pt idx="3">
                  <c:v>-0.27826739460014194</c:v>
                </c:pt>
                <c:pt idx="4">
                  <c:v>8.4154385689483149E-2</c:v>
                </c:pt>
                <c:pt idx="5">
                  <c:v>-9.8833863523717924E-2</c:v>
                </c:pt>
                <c:pt idx="6">
                  <c:v>0.29519930148431078</c:v>
                </c:pt>
                <c:pt idx="7">
                  <c:v>8.1663941155752748E-2</c:v>
                </c:pt>
                <c:pt idx="8">
                  <c:v>-0.16442793114609983</c:v>
                </c:pt>
                <c:pt idx="9">
                  <c:v>2.7522300233105406E-2</c:v>
                </c:pt>
                <c:pt idx="10">
                  <c:v>-0.19879397802963492</c:v>
                </c:pt>
                <c:pt idx="11">
                  <c:v>0.22116665497939436</c:v>
                </c:pt>
                <c:pt idx="12">
                  <c:v>0.41666566499041086</c:v>
                </c:pt>
                <c:pt idx="13">
                  <c:v>0.29995274809874523</c:v>
                </c:pt>
                <c:pt idx="14">
                  <c:v>0.37241621238378653</c:v>
                </c:pt>
                <c:pt idx="15">
                  <c:v>0.12288921584121683</c:v>
                </c:pt>
                <c:pt idx="16">
                  <c:v>7.7350431314437765E-2</c:v>
                </c:pt>
                <c:pt idx="17">
                  <c:v>0.23593761593130141</c:v>
                </c:pt>
                <c:pt idx="18">
                  <c:v>-0.16669952986343833</c:v>
                </c:pt>
                <c:pt idx="19">
                  <c:v>-0.33320285815360856</c:v>
                </c:pt>
                <c:pt idx="20">
                  <c:v>-0.42004567083081795</c:v>
                </c:pt>
                <c:pt idx="21">
                  <c:v>-0.42026397840181545</c:v>
                </c:pt>
                <c:pt idx="22">
                  <c:v>-0.10965943805062672</c:v>
                </c:pt>
                <c:pt idx="23">
                  <c:v>0.23764174190673226</c:v>
                </c:pt>
                <c:pt idx="24">
                  <c:v>0.52969781101036639</c:v>
                </c:pt>
                <c:pt idx="25">
                  <c:v>0.81629581332897672</c:v>
                </c:pt>
                <c:pt idx="26">
                  <c:v>0.6490077008448305</c:v>
                </c:pt>
                <c:pt idx="27">
                  <c:v>0.50550039995300478</c:v>
                </c:pt>
                <c:pt idx="28">
                  <c:v>0.39836280707384325</c:v>
                </c:pt>
                <c:pt idx="29">
                  <c:v>8.2769801878325527E-2</c:v>
                </c:pt>
                <c:pt idx="30">
                  <c:v>-5.1200962998572921E-2</c:v>
                </c:pt>
                <c:pt idx="31">
                  <c:v>-6.7051149583539513E-2</c:v>
                </c:pt>
                <c:pt idx="32">
                  <c:v>0.10394535647990913</c:v>
                </c:pt>
                <c:pt idx="33">
                  <c:v>4.718870838714137E-2</c:v>
                </c:pt>
                <c:pt idx="34">
                  <c:v>0.23278232679448085</c:v>
                </c:pt>
                <c:pt idx="35">
                  <c:v>2.9409676194365186E-2</c:v>
                </c:pt>
                <c:pt idx="36">
                  <c:v>-6.0439801034714316E-2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9E-4D2F-8C7C-CEDAF3388122}"/>
            </c:ext>
          </c:extLst>
        </c:ser>
        <c:ser>
          <c:idx val="6"/>
          <c:order val="6"/>
          <c:tx>
            <c:strRef>
              <c:f>'GRAF příspěvky IPP'!$A$33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'GRAF příspěvky IPP'!$B$25:$AL$26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'GRAF příspěvky IPP'!$B$33:$AL$33</c:f>
              <c:numCache>
                <c:formatCode>0.0</c:formatCode>
                <c:ptCount val="37"/>
                <c:pt idx="0">
                  <c:v>0.37508837128330441</c:v>
                </c:pt>
                <c:pt idx="1">
                  <c:v>-0.21037755903979605</c:v>
                </c:pt>
                <c:pt idx="2">
                  <c:v>-1.5665549835303916</c:v>
                </c:pt>
                <c:pt idx="3">
                  <c:v>-0.30113263223401887</c:v>
                </c:pt>
                <c:pt idx="4">
                  <c:v>-1.2532623819644968</c:v>
                </c:pt>
                <c:pt idx="5">
                  <c:v>-0.98265973266456974</c:v>
                </c:pt>
                <c:pt idx="6">
                  <c:v>-0.65808893522855183</c:v>
                </c:pt>
                <c:pt idx="7">
                  <c:v>-1.4388407277993178</c:v>
                </c:pt>
                <c:pt idx="8">
                  <c:v>-0.1559553406211569</c:v>
                </c:pt>
                <c:pt idx="9">
                  <c:v>-0.10101620467744854</c:v>
                </c:pt>
                <c:pt idx="10">
                  <c:v>0.61701582414311784</c:v>
                </c:pt>
                <c:pt idx="11">
                  <c:v>1.4236339159262827</c:v>
                </c:pt>
                <c:pt idx="12">
                  <c:v>1.236545341304258</c:v>
                </c:pt>
                <c:pt idx="13">
                  <c:v>1.2187062503030845</c:v>
                </c:pt>
                <c:pt idx="14">
                  <c:v>0.52934645905596056</c:v>
                </c:pt>
                <c:pt idx="15">
                  <c:v>1.351822855883333</c:v>
                </c:pt>
                <c:pt idx="16">
                  <c:v>0.99830218869293763</c:v>
                </c:pt>
                <c:pt idx="17">
                  <c:v>0.90243657634684393</c:v>
                </c:pt>
                <c:pt idx="18">
                  <c:v>0.97767572263990776</c:v>
                </c:pt>
                <c:pt idx="19">
                  <c:v>-0.22132414773784082</c:v>
                </c:pt>
                <c:pt idx="20">
                  <c:v>3.75697389584283E-2</c:v>
                </c:pt>
                <c:pt idx="21">
                  <c:v>-0.30016704241038428</c:v>
                </c:pt>
                <c:pt idx="22">
                  <c:v>4.1230596798872976E-2</c:v>
                </c:pt>
                <c:pt idx="23">
                  <c:v>0.57694869576717844</c:v>
                </c:pt>
                <c:pt idx="24">
                  <c:v>0.33188448583664354</c:v>
                </c:pt>
                <c:pt idx="25">
                  <c:v>1.4323707076505112</c:v>
                </c:pt>
                <c:pt idx="26">
                  <c:v>0.74281336901524031</c:v>
                </c:pt>
                <c:pt idx="27">
                  <c:v>0.99254851716260917</c:v>
                </c:pt>
                <c:pt idx="28">
                  <c:v>1.1174634788597515</c:v>
                </c:pt>
                <c:pt idx="29">
                  <c:v>0.68739640698572724</c:v>
                </c:pt>
                <c:pt idx="30">
                  <c:v>1.0605384736132097</c:v>
                </c:pt>
                <c:pt idx="31">
                  <c:v>0.51351046269380185</c:v>
                </c:pt>
                <c:pt idx="32">
                  <c:v>-9.3655196291256293E-2</c:v>
                </c:pt>
                <c:pt idx="33">
                  <c:v>-1.1851519643550315E-2</c:v>
                </c:pt>
                <c:pt idx="34">
                  <c:v>-0.52554657876638156</c:v>
                </c:pt>
                <c:pt idx="35">
                  <c:v>-0.24871313231403658</c:v>
                </c:pt>
                <c:pt idx="36">
                  <c:v>-0.20323559811783201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9E-4D2F-8C7C-CEDAF3388122}"/>
            </c:ext>
          </c:extLst>
        </c:ser>
        <c:ser>
          <c:idx val="7"/>
          <c:order val="7"/>
          <c:tx>
            <c:strRef>
              <c:f>'GRAF příspěvky IPP'!$A$34</c:f>
              <c:strCache>
                <c:ptCount val="1"/>
                <c:pt idx="0">
                  <c:v>Těžba a energetika (B, D)</c:v>
                </c:pt>
              </c:strCache>
            </c:strRef>
          </c:tx>
          <c:spPr>
            <a:solidFill>
              <a:srgbClr val="808080"/>
            </a:solidFill>
          </c:spPr>
          <c:invertIfNegative val="0"/>
          <c:cat>
            <c:multiLvlStrRef>
              <c:f>'GRAF příspěvky IPP'!$B$25:$AL$26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'GRAF příspěvky IPP'!$B$34:$AL$34</c:f>
              <c:numCache>
                <c:formatCode>0.0</c:formatCode>
                <c:ptCount val="37"/>
                <c:pt idx="0">
                  <c:v>-0.42452386212609627</c:v>
                </c:pt>
                <c:pt idx="1">
                  <c:v>0.37437263889478795</c:v>
                </c:pt>
                <c:pt idx="2">
                  <c:v>-0.30609467148217906</c:v>
                </c:pt>
                <c:pt idx="3">
                  <c:v>-6.2790064258354317E-2</c:v>
                </c:pt>
                <c:pt idx="4">
                  <c:v>4.5234196251372455E-2</c:v>
                </c:pt>
                <c:pt idx="5">
                  <c:v>0.33849893288383998</c:v>
                </c:pt>
                <c:pt idx="6">
                  <c:v>-0.14594055443913137</c:v>
                </c:pt>
                <c:pt idx="7">
                  <c:v>-1.0820656656400016</c:v>
                </c:pt>
                <c:pt idx="8">
                  <c:v>-0.90111641450271041</c:v>
                </c:pt>
                <c:pt idx="9">
                  <c:v>-1.4080716141653054</c:v>
                </c:pt>
                <c:pt idx="10">
                  <c:v>-0.87454103397784222</c:v>
                </c:pt>
                <c:pt idx="11">
                  <c:v>0.52275262781946252</c:v>
                </c:pt>
                <c:pt idx="12">
                  <c:v>-0.48831445126169903</c:v>
                </c:pt>
                <c:pt idx="13">
                  <c:v>-0.36279609225680959</c:v>
                </c:pt>
                <c:pt idx="14">
                  <c:v>-0.47490528997454834</c:v>
                </c:pt>
                <c:pt idx="15">
                  <c:v>-0.68045051057538275</c:v>
                </c:pt>
                <c:pt idx="16">
                  <c:v>0.14603886659731855</c:v>
                </c:pt>
                <c:pt idx="17">
                  <c:v>-0.34005382041093413</c:v>
                </c:pt>
                <c:pt idx="18">
                  <c:v>-0.37898483167936881</c:v>
                </c:pt>
                <c:pt idx="19">
                  <c:v>-1.1248323803223828</c:v>
                </c:pt>
                <c:pt idx="20">
                  <c:v>-0.66857701045346751</c:v>
                </c:pt>
                <c:pt idx="21">
                  <c:v>0.10137361870125999</c:v>
                </c:pt>
                <c:pt idx="22">
                  <c:v>-0.46808235891211047</c:v>
                </c:pt>
                <c:pt idx="23">
                  <c:v>0.50534236475350525</c:v>
                </c:pt>
                <c:pt idx="24">
                  <c:v>0.66795249028030279</c:v>
                </c:pt>
                <c:pt idx="25">
                  <c:v>-0.18424188685486914</c:v>
                </c:pt>
                <c:pt idx="26">
                  <c:v>0.78008174883886461</c:v>
                </c:pt>
                <c:pt idx="27">
                  <c:v>0.73049787951958134</c:v>
                </c:pt>
                <c:pt idx="28">
                  <c:v>-0.53969025522024028</c:v>
                </c:pt>
                <c:pt idx="29">
                  <c:v>9.9992532326696609E-3</c:v>
                </c:pt>
                <c:pt idx="30">
                  <c:v>0.78144454779276418</c:v>
                </c:pt>
                <c:pt idx="31">
                  <c:v>0.32566803227119129</c:v>
                </c:pt>
                <c:pt idx="32">
                  <c:v>0.21304456911688641</c:v>
                </c:pt>
                <c:pt idx="33">
                  <c:v>4.6743528258004319E-2</c:v>
                </c:pt>
                <c:pt idx="34">
                  <c:v>-0.66989173410487401</c:v>
                </c:pt>
                <c:pt idx="35">
                  <c:v>-0.32623135412009419</c:v>
                </c:pt>
                <c:pt idx="36">
                  <c:v>-0.97779300650087986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F9E-4D2F-8C7C-CEDAF33881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112768128"/>
        <c:axId val="112769664"/>
      </c:barChart>
      <c:lineChart>
        <c:grouping val="standard"/>
        <c:varyColors val="0"/>
        <c:ser>
          <c:idx val="8"/>
          <c:order val="8"/>
          <c:tx>
            <c:strRef>
              <c:f>'GRAF příspěvky IPP'!$A$35</c:f>
              <c:strCache>
                <c:ptCount val="1"/>
                <c:pt idx="0">
                  <c:v>Průmysl celkem (NACE B, C, D)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'GRAF příspěvky IPP'!$B$25:$AL$26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'GRAF příspěvky IPP'!$B$35:$AL$35</c:f>
              <c:numCache>
                <c:formatCode>#\ ##0.0</c:formatCode>
                <c:ptCount val="37"/>
                <c:pt idx="0">
                  <c:v>10.1747086325</c:v>
                </c:pt>
                <c:pt idx="1">
                  <c:v>7.7320630777000048</c:v>
                </c:pt>
                <c:pt idx="2">
                  <c:v>2.0427367414999935</c:v>
                </c:pt>
                <c:pt idx="3">
                  <c:v>3.0231970454999981</c:v>
                </c:pt>
                <c:pt idx="4">
                  <c:v>1.7776371540000042</c:v>
                </c:pt>
                <c:pt idx="5">
                  <c:v>0.40341299639999306</c:v>
                </c:pt>
                <c:pt idx="6">
                  <c:v>-0.21112265520000051</c:v>
                </c:pt>
                <c:pt idx="7">
                  <c:v>-5.3481617104000065</c:v>
                </c:pt>
                <c:pt idx="8">
                  <c:v>-4.2249701698000024</c:v>
                </c:pt>
                <c:pt idx="9">
                  <c:v>-2.3853554206000069</c:v>
                </c:pt>
                <c:pt idx="10">
                  <c:v>1.2316497516000027</c:v>
                </c:pt>
                <c:pt idx="11">
                  <c:v>6.3229322730999939</c:v>
                </c:pt>
                <c:pt idx="12">
                  <c:v>7.1030450258000002</c:v>
                </c:pt>
                <c:pt idx="13">
                  <c:v>6.1297209744000014</c:v>
                </c:pt>
                <c:pt idx="14">
                  <c:v>2.9753758001999984</c:v>
                </c:pt>
                <c:pt idx="15">
                  <c:v>4.2327805536999961</c:v>
                </c:pt>
                <c:pt idx="16">
                  <c:v>4.873394060199999</c:v>
                </c:pt>
                <c:pt idx="17">
                  <c:v>5.3081959839000064</c:v>
                </c:pt>
                <c:pt idx="18">
                  <c:v>5.5472987825999951</c:v>
                </c:pt>
                <c:pt idx="19">
                  <c:v>2.4027878042000026</c:v>
                </c:pt>
                <c:pt idx="20">
                  <c:v>4.0765835575000011</c:v>
                </c:pt>
                <c:pt idx="21">
                  <c:v>2.6745568033000069</c:v>
                </c:pt>
                <c:pt idx="22">
                  <c:v>1.6551514254000068</c:v>
                </c:pt>
                <c:pt idx="23">
                  <c:v>3.5118172237000067</c:v>
                </c:pt>
                <c:pt idx="24">
                  <c:v>5.2597731895999971</c:v>
                </c:pt>
                <c:pt idx="25">
                  <c:v>7.9444180928999941</c:v>
                </c:pt>
                <c:pt idx="26">
                  <c:v>6.519713423400006</c:v>
                </c:pt>
                <c:pt idx="27">
                  <c:v>7.5755516541999981</c:v>
                </c:pt>
                <c:pt idx="28">
                  <c:v>4.2247105953999977</c:v>
                </c:pt>
                <c:pt idx="29">
                  <c:v>2.4051902963999936</c:v>
                </c:pt>
                <c:pt idx="30">
                  <c:v>3.7235866655999956</c:v>
                </c:pt>
                <c:pt idx="31">
                  <c:v>1.9819082223999942</c:v>
                </c:pt>
                <c:pt idx="32">
                  <c:v>0.75078263059999983</c:v>
                </c:pt>
                <c:pt idx="33">
                  <c:v>0.91699443180000628</c:v>
                </c:pt>
                <c:pt idx="34">
                  <c:v>-1.0115480641999994</c:v>
                </c:pt>
                <c:pt idx="35">
                  <c:v>-2.0869260169999961</c:v>
                </c:pt>
                <c:pt idx="36">
                  <c:v>-4.9740355332999968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F9E-4D2F-8C7C-CEDAF33881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11"/>
          <c:min val="-6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8128"/>
        <c:crosses val="autoZero"/>
        <c:crossBetween val="between"/>
        <c:majorUnit val="1"/>
      </c:val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4.1134979005766119E-2"/>
          <c:y val="0.8280241779429045"/>
          <c:w val="0.94474742609667883"/>
          <c:h val="0.16188919209533759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015582501720615E-2"/>
          <c:y val="1.643251153889452E-2"/>
          <c:w val="0.86254083709606399"/>
          <c:h val="0.77409039738827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2'!$A$31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invertIfNegative val="0"/>
          <c:cat>
            <c:multiLvlStrRef>
              <c:f>'výkonnost odvětví 2'!$B$29:$AM$30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2'!$B$31:$AM$31</c:f>
              <c:numCache>
                <c:formatCode>#,##0.0__</c:formatCode>
                <c:ptCount val="38"/>
                <c:pt idx="0">
                  <c:v>12.043107093421796</c:v>
                </c:pt>
                <c:pt idx="1">
                  <c:v>5.329290402096305</c:v>
                </c:pt>
                <c:pt idx="2">
                  <c:v>-1.5038236293274423</c:v>
                </c:pt>
                <c:pt idx="3">
                  <c:v>0.49985199872995167</c:v>
                </c:pt>
                <c:pt idx="4">
                  <c:v>7.8919882289544319</c:v>
                </c:pt>
                <c:pt idx="5">
                  <c:v>0.24363263911027389</c:v>
                </c:pt>
                <c:pt idx="6">
                  <c:v>2.6780600325356119</c:v>
                </c:pt>
                <c:pt idx="7">
                  <c:v>-2.2927798243121345</c:v>
                </c:pt>
                <c:pt idx="8">
                  <c:v>-6.7566875441004868</c:v>
                </c:pt>
                <c:pt idx="9">
                  <c:v>-0.77743908810788298</c:v>
                </c:pt>
                <c:pt idx="10">
                  <c:v>12.110592029586002</c:v>
                </c:pt>
                <c:pt idx="11">
                  <c:v>12.611542535334834</c:v>
                </c:pt>
                <c:pt idx="12">
                  <c:v>18.454576257258609</c:v>
                </c:pt>
                <c:pt idx="13">
                  <c:v>13.812603337719324</c:v>
                </c:pt>
                <c:pt idx="14">
                  <c:v>11.164927309703884</c:v>
                </c:pt>
                <c:pt idx="15">
                  <c:v>7.3250322249586759</c:v>
                </c:pt>
                <c:pt idx="16">
                  <c:v>8.5397251010390391</c:v>
                </c:pt>
                <c:pt idx="17">
                  <c:v>6.4894834031568251</c:v>
                </c:pt>
                <c:pt idx="18">
                  <c:v>4.1045761314248068</c:v>
                </c:pt>
                <c:pt idx="19">
                  <c:v>6.0151063810169205</c:v>
                </c:pt>
                <c:pt idx="20">
                  <c:v>1.3550678522953064</c:v>
                </c:pt>
                <c:pt idx="21">
                  <c:v>10.856046878525433</c:v>
                </c:pt>
                <c:pt idx="22">
                  <c:v>1.6431282237439291</c:v>
                </c:pt>
                <c:pt idx="23">
                  <c:v>6.7220844736941103</c:v>
                </c:pt>
                <c:pt idx="24">
                  <c:v>10.841479121555906</c:v>
                </c:pt>
                <c:pt idx="25">
                  <c:v>4.5315942367003714</c:v>
                </c:pt>
                <c:pt idx="26">
                  <c:v>6.9082617878945598</c:v>
                </c:pt>
                <c:pt idx="27">
                  <c:v>7.5112613571588724</c:v>
                </c:pt>
                <c:pt idx="28">
                  <c:v>1.6339188767607453</c:v>
                </c:pt>
                <c:pt idx="29">
                  <c:v>4.6301209797549205</c:v>
                </c:pt>
                <c:pt idx="30">
                  <c:v>3.6945404784506337</c:v>
                </c:pt>
                <c:pt idx="31">
                  <c:v>4.2467023509658759</c:v>
                </c:pt>
                <c:pt idx="32">
                  <c:v>3.1606188967111279</c:v>
                </c:pt>
                <c:pt idx="33">
                  <c:v>0.64751028624945661</c:v>
                </c:pt>
                <c:pt idx="34">
                  <c:v>2.3396237152190054</c:v>
                </c:pt>
                <c:pt idx="35">
                  <c:v>-4.7962630249682121</c:v>
                </c:pt>
                <c:pt idx="36">
                  <c:v>-5.6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55-4210-B48E-0A5956557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28"/>
        <c:axId val="139174272"/>
        <c:axId val="139175808"/>
      </c:barChart>
      <c:lineChart>
        <c:grouping val="standard"/>
        <c:varyColors val="0"/>
        <c:ser>
          <c:idx val="2"/>
          <c:order val="1"/>
          <c:tx>
            <c:strRef>
              <c:f>'výkonnost odvětví 2'!$A$32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58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2'!$B$29:$AM$30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2'!$B$32:$AM$32</c:f>
              <c:numCache>
                <c:formatCode>#,##0.0__</c:formatCode>
                <c:ptCount val="38"/>
                <c:pt idx="0">
                  <c:v>2.8145814762462464</c:v>
                </c:pt>
                <c:pt idx="1">
                  <c:v>-0.65160361804250044</c:v>
                </c:pt>
                <c:pt idx="2">
                  <c:v>-11.671782921579478</c:v>
                </c:pt>
                <c:pt idx="3">
                  <c:v>-10.696553890943122</c:v>
                </c:pt>
                <c:pt idx="4">
                  <c:v>2.6214056871317126</c:v>
                </c:pt>
                <c:pt idx="5">
                  <c:v>-9.2467743432498821</c:v>
                </c:pt>
                <c:pt idx="6">
                  <c:v>-2.8571545096936291</c:v>
                </c:pt>
                <c:pt idx="7">
                  <c:v>-4.0487324448534139</c:v>
                </c:pt>
                <c:pt idx="8">
                  <c:v>-7.112663177047466</c:v>
                </c:pt>
                <c:pt idx="9">
                  <c:v>-0.59561460542927591</c:v>
                </c:pt>
                <c:pt idx="10">
                  <c:v>9.3847374388735147</c:v>
                </c:pt>
                <c:pt idx="11">
                  <c:v>7.0782158358476011</c:v>
                </c:pt>
                <c:pt idx="12">
                  <c:v>14.18383964594139</c:v>
                </c:pt>
                <c:pt idx="13">
                  <c:v>7.7929541685002164</c:v>
                </c:pt>
                <c:pt idx="14">
                  <c:v>16.845115352064937</c:v>
                </c:pt>
                <c:pt idx="15">
                  <c:v>9.6787104542652713</c:v>
                </c:pt>
                <c:pt idx="16">
                  <c:v>4.341961301010727</c:v>
                </c:pt>
                <c:pt idx="17">
                  <c:v>10.024449168168019</c:v>
                </c:pt>
                <c:pt idx="18">
                  <c:v>-4.7604240586837108</c:v>
                </c:pt>
                <c:pt idx="19">
                  <c:v>0.56107209694786775</c:v>
                </c:pt>
                <c:pt idx="20">
                  <c:v>0.20304376106223287</c:v>
                </c:pt>
                <c:pt idx="21">
                  <c:v>4.9376200007964286</c:v>
                </c:pt>
                <c:pt idx="22">
                  <c:v>-0.65834656713856532</c:v>
                </c:pt>
                <c:pt idx="23">
                  <c:v>2.873089889380708</c:v>
                </c:pt>
                <c:pt idx="24">
                  <c:v>16.722989365311648</c:v>
                </c:pt>
                <c:pt idx="25">
                  <c:v>11.567742610098009</c:v>
                </c:pt>
                <c:pt idx="26">
                  <c:v>14.702871802754672</c:v>
                </c:pt>
                <c:pt idx="27">
                  <c:v>15.641374658030259</c:v>
                </c:pt>
                <c:pt idx="28">
                  <c:v>-0.54655499165191657</c:v>
                </c:pt>
                <c:pt idx="29">
                  <c:v>3.3862320433243838</c:v>
                </c:pt>
                <c:pt idx="30">
                  <c:v>4.5707977831681177</c:v>
                </c:pt>
                <c:pt idx="31">
                  <c:v>4.8009732818449038</c:v>
                </c:pt>
                <c:pt idx="32">
                  <c:v>7.9996499678025543</c:v>
                </c:pt>
                <c:pt idx="33">
                  <c:v>4.4032972138640076</c:v>
                </c:pt>
                <c:pt idx="34">
                  <c:v>3.2463544454288211</c:v>
                </c:pt>
                <c:pt idx="35">
                  <c:v>-2.8341252038860461</c:v>
                </c:pt>
                <c:pt idx="36">
                  <c:v>-4.2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55-4210-B48E-0A5956557885}"/>
            </c:ext>
          </c:extLst>
        </c:ser>
        <c:ser>
          <c:idx val="5"/>
          <c:order val="2"/>
          <c:tx>
            <c:strRef>
              <c:f>'výkonnost odvětví 2'!$A$33</c:f>
              <c:strCache>
                <c:ptCount val="1"/>
                <c:pt idx="0">
                  <c:v>Celk. zakázky ve výrobě motor. voz.</c:v>
                </c:pt>
              </c:strCache>
            </c:strRef>
          </c:tx>
          <c:spPr>
            <a:ln w="15875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2'!$B$29:$AM$30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2'!$B$33:$AM$33</c:f>
              <c:numCache>
                <c:formatCode>#,##0.0__</c:formatCode>
                <c:ptCount val="38"/>
                <c:pt idx="0">
                  <c:v>11.429400379513879</c:v>
                </c:pt>
                <c:pt idx="1">
                  <c:v>9.2048286805521258</c:v>
                </c:pt>
                <c:pt idx="2">
                  <c:v>4.4139955552265207</c:v>
                </c:pt>
                <c:pt idx="3">
                  <c:v>5.3718735076924133</c:v>
                </c:pt>
                <c:pt idx="4">
                  <c:v>19.54636851917148</c:v>
                </c:pt>
                <c:pt idx="5">
                  <c:v>4.6887564118292033</c:v>
                </c:pt>
                <c:pt idx="6">
                  <c:v>1.3322326875189248</c:v>
                </c:pt>
                <c:pt idx="7">
                  <c:v>-2.0219087809167178</c:v>
                </c:pt>
                <c:pt idx="8">
                  <c:v>-15.423726227988496</c:v>
                </c:pt>
                <c:pt idx="9">
                  <c:v>-3.0233686336023169</c:v>
                </c:pt>
                <c:pt idx="10">
                  <c:v>24.654149056071944</c:v>
                </c:pt>
                <c:pt idx="11">
                  <c:v>18.470996489023392</c:v>
                </c:pt>
                <c:pt idx="12">
                  <c:v>33.791068906341536</c:v>
                </c:pt>
                <c:pt idx="13">
                  <c:v>22.39294364855138</c:v>
                </c:pt>
                <c:pt idx="14">
                  <c:v>16.969041222835131</c:v>
                </c:pt>
                <c:pt idx="15">
                  <c:v>12.211301534151133</c:v>
                </c:pt>
                <c:pt idx="16">
                  <c:v>15.316352438277931</c:v>
                </c:pt>
                <c:pt idx="17">
                  <c:v>5.584343456517459</c:v>
                </c:pt>
                <c:pt idx="18">
                  <c:v>13.898535777390734</c:v>
                </c:pt>
                <c:pt idx="19">
                  <c:v>18.975191723154538</c:v>
                </c:pt>
                <c:pt idx="20">
                  <c:v>11.460497347422447</c:v>
                </c:pt>
                <c:pt idx="21">
                  <c:v>33.085131031292235</c:v>
                </c:pt>
                <c:pt idx="22">
                  <c:v>5.912380139380474</c:v>
                </c:pt>
                <c:pt idx="23">
                  <c:v>12.001000805244416</c:v>
                </c:pt>
                <c:pt idx="24">
                  <c:v>7.9804719471503205</c:v>
                </c:pt>
                <c:pt idx="25">
                  <c:v>-1.7592612473364966</c:v>
                </c:pt>
                <c:pt idx="26">
                  <c:v>3.8626497182263222</c:v>
                </c:pt>
                <c:pt idx="27">
                  <c:v>0.37376710568412364</c:v>
                </c:pt>
                <c:pt idx="28">
                  <c:v>0.60861960894675349</c:v>
                </c:pt>
                <c:pt idx="29">
                  <c:v>3.6675371997157811</c:v>
                </c:pt>
                <c:pt idx="30">
                  <c:v>0.69699979014031044</c:v>
                </c:pt>
                <c:pt idx="31">
                  <c:v>1.0371076901644045</c:v>
                </c:pt>
                <c:pt idx="32">
                  <c:v>2.2598665379256744</c:v>
                </c:pt>
                <c:pt idx="33">
                  <c:v>3.066295979760298</c:v>
                </c:pt>
                <c:pt idx="34">
                  <c:v>7.9385289601149083</c:v>
                </c:pt>
                <c:pt idx="35">
                  <c:v>-0.36114579497152022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055-4210-B48E-0A5956557885}"/>
            </c:ext>
          </c:extLst>
        </c:ser>
        <c:ser>
          <c:idx val="3"/>
          <c:order val="3"/>
          <c:tx>
            <c:strRef>
              <c:f>'výkonnost odvětví 2'!$A$34</c:f>
              <c:strCache>
                <c:ptCount val="1"/>
                <c:pt idx="0">
                  <c:v>Saldo souhrn. indik. důvěry v průmyslu</c:v>
                </c:pt>
              </c:strCache>
            </c:strRef>
          </c:tx>
          <c:spPr>
            <a:ln w="6350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2'!$B$29:$AM$30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2'!$B$34:$AM$34</c:f>
              <c:numCache>
                <c:formatCode>0.0</c:formatCode>
                <c:ptCount val="38"/>
                <c:pt idx="0">
                  <c:v>15</c:v>
                </c:pt>
                <c:pt idx="1">
                  <c:v>7.7</c:v>
                </c:pt>
                <c:pt idx="2">
                  <c:v>4</c:v>
                </c:pt>
                <c:pt idx="3">
                  <c:v>4</c:v>
                </c:pt>
                <c:pt idx="4">
                  <c:v>1.3</c:v>
                </c:pt>
                <c:pt idx="5">
                  <c:v>-0.7</c:v>
                </c:pt>
                <c:pt idx="6">
                  <c:v>-8</c:v>
                </c:pt>
                <c:pt idx="7">
                  <c:v>-8.3000000000000007</c:v>
                </c:pt>
                <c:pt idx="8">
                  <c:v>-10.7</c:v>
                </c:pt>
                <c:pt idx="9">
                  <c:v>-11</c:v>
                </c:pt>
                <c:pt idx="10">
                  <c:v>-7.7</c:v>
                </c:pt>
                <c:pt idx="11">
                  <c:v>-0.3</c:v>
                </c:pt>
                <c:pt idx="12">
                  <c:v>1.3</c:v>
                </c:pt>
                <c:pt idx="13">
                  <c:v>3.3</c:v>
                </c:pt>
                <c:pt idx="14">
                  <c:v>2</c:v>
                </c:pt>
                <c:pt idx="15">
                  <c:v>3</c:v>
                </c:pt>
                <c:pt idx="16">
                  <c:v>2.7</c:v>
                </c:pt>
                <c:pt idx="17">
                  <c:v>3</c:v>
                </c:pt>
                <c:pt idx="18">
                  <c:v>5.3</c:v>
                </c:pt>
                <c:pt idx="19">
                  <c:v>0.3</c:v>
                </c:pt>
                <c:pt idx="20">
                  <c:v>3.7</c:v>
                </c:pt>
                <c:pt idx="21">
                  <c:v>1.7</c:v>
                </c:pt>
                <c:pt idx="22">
                  <c:v>2</c:v>
                </c:pt>
                <c:pt idx="23">
                  <c:v>3.7</c:v>
                </c:pt>
                <c:pt idx="24">
                  <c:v>5.3</c:v>
                </c:pt>
                <c:pt idx="25">
                  <c:v>0.7</c:v>
                </c:pt>
                <c:pt idx="26">
                  <c:v>3.3</c:v>
                </c:pt>
                <c:pt idx="27">
                  <c:v>6.7</c:v>
                </c:pt>
                <c:pt idx="28">
                  <c:v>4</c:v>
                </c:pt>
                <c:pt idx="29">
                  <c:v>4.3</c:v>
                </c:pt>
                <c:pt idx="30">
                  <c:v>1.3</c:v>
                </c:pt>
                <c:pt idx="31">
                  <c:v>3</c:v>
                </c:pt>
                <c:pt idx="32">
                  <c:v>0</c:v>
                </c:pt>
                <c:pt idx="33">
                  <c:v>0.3</c:v>
                </c:pt>
                <c:pt idx="34">
                  <c:v>-3</c:v>
                </c:pt>
                <c:pt idx="35">
                  <c:v>-6</c:v>
                </c:pt>
                <c:pt idx="36">
                  <c:v>-6.7</c:v>
                </c:pt>
                <c:pt idx="37">
                  <c:v>-26.3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055-4210-B48E-0A5956557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74272"/>
        <c:axId val="139175808"/>
      </c:lineChart>
      <c:lineChart>
        <c:grouping val="standard"/>
        <c:varyColors val="0"/>
        <c:ser>
          <c:idx val="1"/>
          <c:order val="4"/>
          <c:tx>
            <c:strRef>
              <c:f>'výkonnost odvětví 2'!$A$35</c:f>
              <c:strCache>
                <c:ptCount val="1"/>
                <c:pt idx="0">
                  <c:v>Využití výrob. kapacit v prům.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2'!$B$29:$AM$30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2'!$B$35:$AM$35</c:f>
              <c:numCache>
                <c:formatCode>#,##0.0</c:formatCode>
                <c:ptCount val="38"/>
                <c:pt idx="0">
                  <c:v>83.7</c:v>
                </c:pt>
                <c:pt idx="1">
                  <c:v>85.5</c:v>
                </c:pt>
                <c:pt idx="2">
                  <c:v>84.7</c:v>
                </c:pt>
                <c:pt idx="3">
                  <c:v>82.8</c:v>
                </c:pt>
                <c:pt idx="4">
                  <c:v>84.6</c:v>
                </c:pt>
                <c:pt idx="5">
                  <c:v>83.6</c:v>
                </c:pt>
                <c:pt idx="6">
                  <c:v>81.2</c:v>
                </c:pt>
                <c:pt idx="7">
                  <c:v>81.2</c:v>
                </c:pt>
                <c:pt idx="8">
                  <c:v>80.900000000000006</c:v>
                </c:pt>
                <c:pt idx="9">
                  <c:v>82.2</c:v>
                </c:pt>
                <c:pt idx="10">
                  <c:v>80.7</c:v>
                </c:pt>
                <c:pt idx="11">
                  <c:v>82.2</c:v>
                </c:pt>
                <c:pt idx="12">
                  <c:v>81.2</c:v>
                </c:pt>
                <c:pt idx="13">
                  <c:v>83.5</c:v>
                </c:pt>
                <c:pt idx="14">
                  <c:v>82.8</c:v>
                </c:pt>
                <c:pt idx="15">
                  <c:v>84.4</c:v>
                </c:pt>
                <c:pt idx="16">
                  <c:v>86.2</c:v>
                </c:pt>
                <c:pt idx="17">
                  <c:v>85</c:v>
                </c:pt>
                <c:pt idx="18">
                  <c:v>85.6</c:v>
                </c:pt>
                <c:pt idx="19">
                  <c:v>83.9</c:v>
                </c:pt>
                <c:pt idx="20">
                  <c:v>84.5</c:v>
                </c:pt>
                <c:pt idx="21">
                  <c:v>84.7</c:v>
                </c:pt>
                <c:pt idx="22">
                  <c:v>84.7</c:v>
                </c:pt>
                <c:pt idx="23">
                  <c:v>84.1</c:v>
                </c:pt>
                <c:pt idx="24">
                  <c:v>84.9</c:v>
                </c:pt>
                <c:pt idx="25">
                  <c:v>83.1</c:v>
                </c:pt>
                <c:pt idx="26">
                  <c:v>84.4</c:v>
                </c:pt>
                <c:pt idx="27">
                  <c:v>84.3</c:v>
                </c:pt>
                <c:pt idx="28">
                  <c:v>85.8</c:v>
                </c:pt>
                <c:pt idx="29">
                  <c:v>85.4</c:v>
                </c:pt>
                <c:pt idx="30">
                  <c:v>86.2</c:v>
                </c:pt>
                <c:pt idx="31">
                  <c:v>85.8</c:v>
                </c:pt>
                <c:pt idx="32">
                  <c:v>85.8</c:v>
                </c:pt>
                <c:pt idx="33">
                  <c:v>85.9</c:v>
                </c:pt>
                <c:pt idx="34">
                  <c:v>84.8</c:v>
                </c:pt>
                <c:pt idx="35">
                  <c:v>84.1</c:v>
                </c:pt>
                <c:pt idx="36">
                  <c:v>84.2</c:v>
                </c:pt>
                <c:pt idx="37">
                  <c:v>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055-4210-B48E-0A5956557885}"/>
            </c:ext>
          </c:extLst>
        </c:ser>
        <c:ser>
          <c:idx val="4"/>
          <c:order val="5"/>
          <c:tx>
            <c:strRef>
              <c:f>'výkonnost odvětví 2'!$A$36</c:f>
              <c:strCache>
                <c:ptCount val="1"/>
                <c:pt idx="0">
                  <c:v>Využití kapac. v automobil. pr.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2'!$B$29:$AM$30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2'!$B$36:$AM$36</c:f>
              <c:numCache>
                <c:formatCode>0.0</c:formatCode>
                <c:ptCount val="38"/>
                <c:pt idx="0">
                  <c:v>92.5</c:v>
                </c:pt>
                <c:pt idx="1">
                  <c:v>92.3</c:v>
                </c:pt>
                <c:pt idx="2">
                  <c:v>92.4</c:v>
                </c:pt>
                <c:pt idx="3">
                  <c:v>91.8</c:v>
                </c:pt>
                <c:pt idx="4">
                  <c:v>92.3</c:v>
                </c:pt>
                <c:pt idx="5">
                  <c:v>89.5</c:v>
                </c:pt>
                <c:pt idx="6">
                  <c:v>85.9</c:v>
                </c:pt>
                <c:pt idx="7">
                  <c:v>86.1</c:v>
                </c:pt>
                <c:pt idx="8">
                  <c:v>86.4</c:v>
                </c:pt>
                <c:pt idx="9">
                  <c:v>89.9</c:v>
                </c:pt>
                <c:pt idx="10">
                  <c:v>80.2</c:v>
                </c:pt>
                <c:pt idx="11">
                  <c:v>84.8</c:v>
                </c:pt>
                <c:pt idx="12">
                  <c:v>78.900000000000006</c:v>
                </c:pt>
                <c:pt idx="13">
                  <c:v>85</c:v>
                </c:pt>
                <c:pt idx="14">
                  <c:v>87.1</c:v>
                </c:pt>
                <c:pt idx="15">
                  <c:v>89.2</c:v>
                </c:pt>
                <c:pt idx="16">
                  <c:v>92.8</c:v>
                </c:pt>
                <c:pt idx="17">
                  <c:v>91.1</c:v>
                </c:pt>
                <c:pt idx="18">
                  <c:v>93.1</c:v>
                </c:pt>
                <c:pt idx="19">
                  <c:v>88.7</c:v>
                </c:pt>
                <c:pt idx="20">
                  <c:v>91.6</c:v>
                </c:pt>
                <c:pt idx="21">
                  <c:v>90.3</c:v>
                </c:pt>
                <c:pt idx="22">
                  <c:v>93.1</c:v>
                </c:pt>
                <c:pt idx="23">
                  <c:v>90.9</c:v>
                </c:pt>
                <c:pt idx="24">
                  <c:v>93.2</c:v>
                </c:pt>
                <c:pt idx="25">
                  <c:v>87.3</c:v>
                </c:pt>
                <c:pt idx="26">
                  <c:v>90.7</c:v>
                </c:pt>
                <c:pt idx="27">
                  <c:v>90.5</c:v>
                </c:pt>
                <c:pt idx="28">
                  <c:v>91.1</c:v>
                </c:pt>
                <c:pt idx="29">
                  <c:v>91.6</c:v>
                </c:pt>
                <c:pt idx="30">
                  <c:v>92.1</c:v>
                </c:pt>
                <c:pt idx="31">
                  <c:v>93</c:v>
                </c:pt>
                <c:pt idx="32">
                  <c:v>92.8</c:v>
                </c:pt>
                <c:pt idx="33">
                  <c:v>93.6</c:v>
                </c:pt>
                <c:pt idx="34">
                  <c:v>92.3</c:v>
                </c:pt>
                <c:pt idx="35">
                  <c:v>93.4</c:v>
                </c:pt>
                <c:pt idx="36">
                  <c:v>90.5</c:v>
                </c:pt>
                <c:pt idx="37">
                  <c:v>50.8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055-4210-B48E-0A5956557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478208"/>
        <c:axId val="139177344"/>
      </c:lineChart>
      <c:catAx>
        <c:axId val="13917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5808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39175808"/>
        <c:scaling>
          <c:orientation val="minMax"/>
          <c:max val="42"/>
          <c:min val="-2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i="1"/>
                  <a:t>Zakázky,</a:t>
                </a:r>
                <a:r>
                  <a:rPr lang="cs-CZ" sz="700" i="1" baseline="0"/>
                  <a:t> Saldo důvěry</a:t>
                </a:r>
                <a:endParaRPr lang="cs-CZ" sz="70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4272"/>
        <c:crosses val="autoZero"/>
        <c:crossBetween val="between"/>
        <c:majorUnit val="7"/>
      </c:valAx>
      <c:valAx>
        <c:axId val="139177344"/>
        <c:scaling>
          <c:orientation val="minMax"/>
          <c:max val="1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Využití výrobních kapacit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46478208"/>
        <c:crosses val="max"/>
        <c:crossBetween val="between"/>
      </c:valAx>
      <c:catAx>
        <c:axId val="146478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917734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2213918312822103E-2"/>
          <c:y val="0.87896093662051111"/>
          <c:w val="0.93380990509815121"/>
          <c:h val="0.10687971406056511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528655934435024E-2"/>
          <c:y val="1.6563187842952781E-2"/>
          <c:w val="0.85309492009152854"/>
          <c:h val="0.76133625371490121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v p. b.)</c:v>
                </c:pt>
              </c:strCache>
            </c:strRef>
          </c:tx>
          <c:spPr>
            <a:solidFill>
              <a:srgbClr val="A6CDE9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3'!$V$15:$W$52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3'!$Y$15:$Y$52</c:f>
              <c:numCache>
                <c:formatCode>0.0</c:formatCode>
                <c:ptCount val="38"/>
                <c:pt idx="0">
                  <c:v>6.2047732527820312</c:v>
                </c:pt>
                <c:pt idx="1">
                  <c:v>-1.142609385309763</c:v>
                </c:pt>
                <c:pt idx="2">
                  <c:v>-4.2496583310797469</c:v>
                </c:pt>
                <c:pt idx="3">
                  <c:v>1.4325486942131775</c:v>
                </c:pt>
                <c:pt idx="4">
                  <c:v>-5.3017304136874612</c:v>
                </c:pt>
                <c:pt idx="5">
                  <c:v>-1.5772154566583525</c:v>
                </c:pt>
                <c:pt idx="6">
                  <c:v>-3.5093635043390679</c:v>
                </c:pt>
                <c:pt idx="7">
                  <c:v>-6.7584810940500368</c:v>
                </c:pt>
                <c:pt idx="8">
                  <c:v>-7.3668578508046387</c:v>
                </c:pt>
                <c:pt idx="9">
                  <c:v>-7.3115997076220323</c:v>
                </c:pt>
                <c:pt idx="10">
                  <c:v>-1.046316947083143</c:v>
                </c:pt>
                <c:pt idx="11">
                  <c:v>-1.9461283088151891</c:v>
                </c:pt>
                <c:pt idx="12">
                  <c:v>12.371583397752481</c:v>
                </c:pt>
                <c:pt idx="13">
                  <c:v>3.6348701582896989</c:v>
                </c:pt>
                <c:pt idx="14">
                  <c:v>-0.4470402552287821</c:v>
                </c:pt>
                <c:pt idx="15">
                  <c:v>-0.35554011674100472</c:v>
                </c:pt>
                <c:pt idx="16">
                  <c:v>6.0406500842435085</c:v>
                </c:pt>
                <c:pt idx="17">
                  <c:v>5.0351990706688206</c:v>
                </c:pt>
                <c:pt idx="18">
                  <c:v>0.8190237902909806</c:v>
                </c:pt>
                <c:pt idx="19">
                  <c:v>-1.7586108979905719</c:v>
                </c:pt>
                <c:pt idx="20">
                  <c:v>-4.9770437869163535</c:v>
                </c:pt>
                <c:pt idx="21">
                  <c:v>-4.9700016274723584</c:v>
                </c:pt>
                <c:pt idx="22">
                  <c:v>0.78239199885766197</c:v>
                </c:pt>
                <c:pt idx="23">
                  <c:v>3.9332788568802517</c:v>
                </c:pt>
                <c:pt idx="24">
                  <c:v>2.3068633791469697</c:v>
                </c:pt>
                <c:pt idx="25">
                  <c:v>9.9255198092832533</c:v>
                </c:pt>
                <c:pt idx="26">
                  <c:v>3.4173683660831449</c:v>
                </c:pt>
                <c:pt idx="27">
                  <c:v>2.6449439222433253</c:v>
                </c:pt>
                <c:pt idx="28">
                  <c:v>13.611853478375235</c:v>
                </c:pt>
                <c:pt idx="29">
                  <c:v>6.2900956792886875</c:v>
                </c:pt>
                <c:pt idx="30">
                  <c:v>7.6969034240443159</c:v>
                </c:pt>
                <c:pt idx="31">
                  <c:v>2.4763373565569382</c:v>
                </c:pt>
                <c:pt idx="32">
                  <c:v>2.9012271914063752</c:v>
                </c:pt>
                <c:pt idx="33">
                  <c:v>2.4324724742263082</c:v>
                </c:pt>
                <c:pt idx="34">
                  <c:v>-0.71205347442938227</c:v>
                </c:pt>
                <c:pt idx="35">
                  <c:v>2.4332088670338217</c:v>
                </c:pt>
                <c:pt idx="36">
                  <c:v>-0.65663999999999767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A1-4C80-B1EC-027F27D680B2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 (příspěvek v p. b.)</c:v>
                </c:pt>
              </c:strCache>
            </c:strRef>
          </c:tx>
          <c:spPr>
            <a:solidFill>
              <a:srgbClr val="E8AFB2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3'!$V$15:$W$52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3'!$Z$15:$Z$52</c:f>
              <c:numCache>
                <c:formatCode>0.0</c:formatCode>
                <c:ptCount val="38"/>
                <c:pt idx="0">
                  <c:v>-0.79042212761240505</c:v>
                </c:pt>
                <c:pt idx="1">
                  <c:v>-4.1501396425306893</c:v>
                </c:pt>
                <c:pt idx="2">
                  <c:v>-4.845304760215198</c:v>
                </c:pt>
                <c:pt idx="3">
                  <c:v>-1.9017157182009561</c:v>
                </c:pt>
                <c:pt idx="4">
                  <c:v>-4.5301506238094307</c:v>
                </c:pt>
                <c:pt idx="5">
                  <c:v>-3.436948273961975</c:v>
                </c:pt>
                <c:pt idx="6">
                  <c:v>-2.1433566998748379</c:v>
                </c:pt>
                <c:pt idx="7">
                  <c:v>-2.7528798984220209</c:v>
                </c:pt>
                <c:pt idx="8">
                  <c:v>-3.2410153986319687</c:v>
                </c:pt>
                <c:pt idx="9">
                  <c:v>-4.3924048251383914</c:v>
                </c:pt>
                <c:pt idx="10">
                  <c:v>-4.1374576667557275</c:v>
                </c:pt>
                <c:pt idx="11">
                  <c:v>-0.65314984057794534</c:v>
                </c:pt>
                <c:pt idx="12">
                  <c:v>0.50263566485864819</c:v>
                </c:pt>
                <c:pt idx="13">
                  <c:v>1.9367914476888961</c:v>
                </c:pt>
                <c:pt idx="14">
                  <c:v>3.0475325886284614</c:v>
                </c:pt>
                <c:pt idx="15">
                  <c:v>1.5687973126903687</c:v>
                </c:pt>
                <c:pt idx="16">
                  <c:v>3.2355496515016471</c:v>
                </c:pt>
                <c:pt idx="17">
                  <c:v>7.2127365572123514</c:v>
                </c:pt>
                <c:pt idx="18">
                  <c:v>7.4049722612595534</c:v>
                </c:pt>
                <c:pt idx="19">
                  <c:v>2.8517321017249642</c:v>
                </c:pt>
                <c:pt idx="20">
                  <c:v>-1.2715496259536494</c:v>
                </c:pt>
                <c:pt idx="21">
                  <c:v>-5.4264140722862431</c:v>
                </c:pt>
                <c:pt idx="22">
                  <c:v>-7.0587854977868805</c:v>
                </c:pt>
                <c:pt idx="23">
                  <c:v>-5.9121381011794369</c:v>
                </c:pt>
                <c:pt idx="24">
                  <c:v>-3.4016080209496309</c:v>
                </c:pt>
                <c:pt idx="25">
                  <c:v>-1.1866728525072219</c:v>
                </c:pt>
                <c:pt idx="26">
                  <c:v>-1.5260463084640261</c:v>
                </c:pt>
                <c:pt idx="27">
                  <c:v>0.24705424395699707</c:v>
                </c:pt>
                <c:pt idx="28">
                  <c:v>1.7580186589547353</c:v>
                </c:pt>
                <c:pt idx="29">
                  <c:v>1.2030375486852778</c:v>
                </c:pt>
                <c:pt idx="30">
                  <c:v>4.716307137200463</c:v>
                </c:pt>
                <c:pt idx="31">
                  <c:v>1.893880018835757</c:v>
                </c:pt>
                <c:pt idx="32">
                  <c:v>0.7361981062889752</c:v>
                </c:pt>
                <c:pt idx="33">
                  <c:v>1.8748631261527227</c:v>
                </c:pt>
                <c:pt idx="34">
                  <c:v>0.74581313444005137</c:v>
                </c:pt>
                <c:pt idx="35">
                  <c:v>0.84928321883930058</c:v>
                </c:pt>
                <c:pt idx="36">
                  <c:v>2.7776000000000005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A1-4C80-B1EC-027F27D68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100"/>
        <c:axId val="147432960"/>
        <c:axId val="147434496"/>
      </c:barChart>
      <c:lineChart>
        <c:grouping val="standard"/>
        <c:varyColors val="0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Celková stavební produkce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'výkonnost odvětví 3'!$V$15:$W$52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3'!$X$15:$X$52</c:f>
              <c:numCache>
                <c:formatCode>0.0</c:formatCode>
                <c:ptCount val="38"/>
                <c:pt idx="0">
                  <c:v>5.449552626231366</c:v>
                </c:pt>
                <c:pt idx="1">
                  <c:v>-5.1742495430582807</c:v>
                </c:pt>
                <c:pt idx="2">
                  <c:v>-9.0574948964693647</c:v>
                </c:pt>
                <c:pt idx="3">
                  <c:v>-0.48980413887058205</c:v>
                </c:pt>
                <c:pt idx="4">
                  <c:v>-9.8142381556388472</c:v>
                </c:pt>
                <c:pt idx="5">
                  <c:v>-4.9279824117982827</c:v>
                </c:pt>
                <c:pt idx="6">
                  <c:v>-5.6445213670269254</c:v>
                </c:pt>
                <c:pt idx="7">
                  <c:v>-9.5084133075025932</c:v>
                </c:pt>
                <c:pt idx="8">
                  <c:v>-10.565899650388715</c:v>
                </c:pt>
                <c:pt idx="9">
                  <c:v>-11.626450345727534</c:v>
                </c:pt>
                <c:pt idx="10">
                  <c:v>-4.9557475457158091</c:v>
                </c:pt>
                <c:pt idx="11">
                  <c:v>-2.6129229379002652</c:v>
                </c:pt>
                <c:pt idx="12">
                  <c:v>13.065209405176972</c:v>
                </c:pt>
                <c:pt idx="13">
                  <c:v>5.5558831897877639</c:v>
                </c:pt>
                <c:pt idx="14">
                  <c:v>2.4409719869598234</c:v>
                </c:pt>
                <c:pt idx="15">
                  <c:v>1.1282392268827266</c:v>
                </c:pt>
                <c:pt idx="16">
                  <c:v>9.1934692334480417</c:v>
                </c:pt>
                <c:pt idx="17">
                  <c:v>11.978213260497213</c:v>
                </c:pt>
                <c:pt idx="18">
                  <c:v>7.8643449491626143</c:v>
                </c:pt>
                <c:pt idx="19">
                  <c:v>0.93025171200444845</c:v>
                </c:pt>
                <c:pt idx="20">
                  <c:v>-6.259378834780378</c:v>
                </c:pt>
                <c:pt idx="21">
                  <c:v>-10.250813266432374</c:v>
                </c:pt>
                <c:pt idx="22">
                  <c:v>-5.9054170412823055</c:v>
                </c:pt>
                <c:pt idx="23">
                  <c:v>-1.6501920995212487</c:v>
                </c:pt>
                <c:pt idx="24">
                  <c:v>-0.86803632191472957</c:v>
                </c:pt>
                <c:pt idx="25">
                  <c:v>9.0229519438482555</c:v>
                </c:pt>
                <c:pt idx="26">
                  <c:v>2.0635301151802281</c:v>
                </c:pt>
                <c:pt idx="27">
                  <c:v>2.9356341105847292</c:v>
                </c:pt>
                <c:pt idx="28">
                  <c:v>15.368475923945851</c:v>
                </c:pt>
                <c:pt idx="29">
                  <c:v>7.4934507683530569</c:v>
                </c:pt>
                <c:pt idx="30">
                  <c:v>12.408779797485622</c:v>
                </c:pt>
                <c:pt idx="31">
                  <c:v>4.2961492214048604</c:v>
                </c:pt>
                <c:pt idx="32">
                  <c:v>3.6370622013393756</c:v>
                </c:pt>
                <c:pt idx="33">
                  <c:v>4.3087555395366905</c:v>
                </c:pt>
                <c:pt idx="34">
                  <c:v>3.4829206961674686E-2</c:v>
                </c:pt>
                <c:pt idx="35">
                  <c:v>3.2825247381577611</c:v>
                </c:pt>
                <c:pt idx="36">
                  <c:v>2.0999999999999943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A1-4C80-B1EC-027F27D68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32960"/>
        <c:axId val="147434496"/>
      </c:lineChart>
      <c:lineChart>
        <c:grouping val="standard"/>
        <c:varyColors val="0"/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(pravá osa)</c:v>
                </c:pt>
              </c:strCache>
            </c:strRef>
          </c:tx>
          <c:spPr>
            <a:ln w="15875">
              <a:solidFill>
                <a:srgbClr val="98480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3'!$V$15:$W$52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3'!$AA$15:$AA$52</c:f>
              <c:numCache>
                <c:formatCode>0.0</c:formatCode>
                <c:ptCount val="38"/>
                <c:pt idx="0">
                  <c:v>37.795405718063137</c:v>
                </c:pt>
                <c:pt idx="1">
                  <c:v>-23.565672566981206</c:v>
                </c:pt>
                <c:pt idx="2">
                  <c:v>-23.360716461156017</c:v>
                </c:pt>
                <c:pt idx="3">
                  <c:v>-9.1653963414634205</c:v>
                </c:pt>
                <c:pt idx="4">
                  <c:v>-46.3220596465979</c:v>
                </c:pt>
                <c:pt idx="5">
                  <c:v>-13.7148006307727</c:v>
                </c:pt>
                <c:pt idx="6">
                  <c:v>-7.6729748888363787</c:v>
                </c:pt>
                <c:pt idx="7">
                  <c:v>7.5624082232011745</c:v>
                </c:pt>
                <c:pt idx="8">
                  <c:v>-17.695687793252404</c:v>
                </c:pt>
                <c:pt idx="9">
                  <c:v>-1.584773641063137</c:v>
                </c:pt>
                <c:pt idx="10">
                  <c:v>-1.3308205951467045</c:v>
                </c:pt>
                <c:pt idx="11">
                  <c:v>16.153096050706978</c:v>
                </c:pt>
                <c:pt idx="12">
                  <c:v>67.509727626459153</c:v>
                </c:pt>
                <c:pt idx="13">
                  <c:v>18.978644382544104</c:v>
                </c:pt>
                <c:pt idx="14">
                  <c:v>34.050931384107542</c:v>
                </c:pt>
                <c:pt idx="15">
                  <c:v>-1</c:v>
                </c:pt>
                <c:pt idx="16">
                  <c:v>-3.1547956675580053</c:v>
                </c:pt>
                <c:pt idx="17">
                  <c:v>9.7504961091663205</c:v>
                </c:pt>
                <c:pt idx="18">
                  <c:v>-1.097606022761255</c:v>
                </c:pt>
                <c:pt idx="19">
                  <c:v>-2.3987783410040464</c:v>
                </c:pt>
                <c:pt idx="20">
                  <c:v>-6.6406358945753823</c:v>
                </c:pt>
                <c:pt idx="21">
                  <c:v>-0.49977652269311079</c:v>
                </c:pt>
                <c:pt idx="22">
                  <c:v>-7.0322087253454839</c:v>
                </c:pt>
                <c:pt idx="23">
                  <c:v>10.122126124559955</c:v>
                </c:pt>
                <c:pt idx="24">
                  <c:v>16.177217458847437</c:v>
                </c:pt>
                <c:pt idx="25">
                  <c:v>9.5350878984013008</c:v>
                </c:pt>
                <c:pt idx="26">
                  <c:v>-1.2817324431350698</c:v>
                </c:pt>
                <c:pt idx="27">
                  <c:v>15.620806693503823</c:v>
                </c:pt>
                <c:pt idx="28">
                  <c:v>30.10697387368856</c:v>
                </c:pt>
                <c:pt idx="29">
                  <c:v>32.836878110611963</c:v>
                </c:pt>
                <c:pt idx="30">
                  <c:v>5.2768249907951201</c:v>
                </c:pt>
                <c:pt idx="31">
                  <c:v>1.8944565811032277</c:v>
                </c:pt>
                <c:pt idx="32">
                  <c:v>14.157245632065781</c:v>
                </c:pt>
                <c:pt idx="33">
                  <c:v>-9.3849543241233135</c:v>
                </c:pt>
                <c:pt idx="34">
                  <c:v>17.407871000993993</c:v>
                </c:pt>
                <c:pt idx="35">
                  <c:v>5.8323004254463768</c:v>
                </c:pt>
                <c:pt idx="36">
                  <c:v>-13.192451392856526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A1-4C80-B1EC-027F27D680B2}"/>
            </c:ext>
          </c:extLst>
        </c:ser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Bariéra růstu: nedost. poptávka (pr. osa)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'výkonnost odvětví 3'!$V$15:$W$52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3'!$AB$15:$AB$52</c:f>
              <c:numCache>
                <c:formatCode>#\ ##0.0</c:formatCode>
                <c:ptCount val="38"/>
                <c:pt idx="0">
                  <c:v>54.2</c:v>
                </c:pt>
                <c:pt idx="1">
                  <c:v>60.6</c:v>
                </c:pt>
                <c:pt idx="2">
                  <c:v>67.7</c:v>
                </c:pt>
                <c:pt idx="3">
                  <c:v>69.400000000000006</c:v>
                </c:pt>
                <c:pt idx="4">
                  <c:v>70.400000000000006</c:v>
                </c:pt>
                <c:pt idx="5">
                  <c:v>63.6</c:v>
                </c:pt>
                <c:pt idx="6">
                  <c:v>69.099999999999994</c:v>
                </c:pt>
                <c:pt idx="7">
                  <c:v>71</c:v>
                </c:pt>
                <c:pt idx="8">
                  <c:v>79.400000000000006</c:v>
                </c:pt>
                <c:pt idx="9">
                  <c:v>71.7</c:v>
                </c:pt>
                <c:pt idx="10">
                  <c:v>72.599999999999994</c:v>
                </c:pt>
                <c:pt idx="11">
                  <c:v>78.5</c:v>
                </c:pt>
                <c:pt idx="12">
                  <c:v>80.099999999999994</c:v>
                </c:pt>
                <c:pt idx="13">
                  <c:v>82.1</c:v>
                </c:pt>
                <c:pt idx="14">
                  <c:v>76.099999999999994</c:v>
                </c:pt>
                <c:pt idx="15">
                  <c:v>68.2</c:v>
                </c:pt>
                <c:pt idx="16">
                  <c:v>66.8</c:v>
                </c:pt>
                <c:pt idx="17">
                  <c:v>65.099999999999994</c:v>
                </c:pt>
                <c:pt idx="18">
                  <c:v>59.3</c:v>
                </c:pt>
                <c:pt idx="19">
                  <c:v>56.2</c:v>
                </c:pt>
                <c:pt idx="20">
                  <c:v>53.4</c:v>
                </c:pt>
                <c:pt idx="21">
                  <c:v>60.8</c:v>
                </c:pt>
                <c:pt idx="22">
                  <c:v>59.6</c:v>
                </c:pt>
                <c:pt idx="23">
                  <c:v>60.5</c:v>
                </c:pt>
                <c:pt idx="24">
                  <c:v>53.7</c:v>
                </c:pt>
                <c:pt idx="25">
                  <c:v>55</c:v>
                </c:pt>
                <c:pt idx="26">
                  <c:v>52.7</c:v>
                </c:pt>
                <c:pt idx="27">
                  <c:v>51.3</c:v>
                </c:pt>
                <c:pt idx="28">
                  <c:v>48.4</c:v>
                </c:pt>
                <c:pt idx="29">
                  <c:v>38.5</c:v>
                </c:pt>
                <c:pt idx="30">
                  <c:v>35.200000000000003</c:v>
                </c:pt>
                <c:pt idx="31">
                  <c:v>24.5</c:v>
                </c:pt>
                <c:pt idx="32">
                  <c:v>23.1</c:v>
                </c:pt>
                <c:pt idx="33">
                  <c:v>24.5</c:v>
                </c:pt>
                <c:pt idx="34">
                  <c:v>17.100000000000001</c:v>
                </c:pt>
                <c:pt idx="35">
                  <c:v>22.8</c:v>
                </c:pt>
                <c:pt idx="36">
                  <c:v>28.9</c:v>
                </c:pt>
                <c:pt idx="37">
                  <c:v>27.4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FA1-4C80-B1EC-027F27D680B2}"/>
            </c:ext>
          </c:extLst>
        </c:ser>
        <c:ser>
          <c:idx val="5"/>
          <c:order val="5"/>
          <c:tx>
            <c:strRef>
              <c:f>'výkonnost odvětví 3'!$AC$10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3'!$V$15:$W$52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3'!$AC$15:$AC$52</c:f>
              <c:numCache>
                <c:formatCode>#\ ##0.0</c:formatCode>
                <c:ptCount val="38"/>
                <c:pt idx="0">
                  <c:v>1</c:v>
                </c:pt>
                <c:pt idx="1">
                  <c:v>0.8</c:v>
                </c:pt>
                <c:pt idx="2">
                  <c:v>1.3</c:v>
                </c:pt>
                <c:pt idx="3">
                  <c:v>1.3</c:v>
                </c:pt>
                <c:pt idx="4">
                  <c:v>1.6</c:v>
                </c:pt>
                <c:pt idx="5">
                  <c:v>2.1</c:v>
                </c:pt>
                <c:pt idx="6">
                  <c:v>1.5</c:v>
                </c:pt>
                <c:pt idx="7">
                  <c:v>1.1000000000000001</c:v>
                </c:pt>
                <c:pt idx="8">
                  <c:v>1.2</c:v>
                </c:pt>
                <c:pt idx="9">
                  <c:v>1</c:v>
                </c:pt>
                <c:pt idx="10">
                  <c:v>0.8</c:v>
                </c:pt>
                <c:pt idx="11">
                  <c:v>1.1000000000000001</c:v>
                </c:pt>
                <c:pt idx="12">
                  <c:v>1.3</c:v>
                </c:pt>
                <c:pt idx="13">
                  <c:v>2</c:v>
                </c:pt>
                <c:pt idx="14">
                  <c:v>2.2999999999999998</c:v>
                </c:pt>
                <c:pt idx="15">
                  <c:v>2.5</c:v>
                </c:pt>
                <c:pt idx="16">
                  <c:v>6.4</c:v>
                </c:pt>
                <c:pt idx="17">
                  <c:v>7.4</c:v>
                </c:pt>
                <c:pt idx="18">
                  <c:v>7</c:v>
                </c:pt>
                <c:pt idx="19">
                  <c:v>7.1</c:v>
                </c:pt>
                <c:pt idx="20">
                  <c:v>6.5</c:v>
                </c:pt>
                <c:pt idx="21">
                  <c:v>5.9</c:v>
                </c:pt>
                <c:pt idx="22">
                  <c:v>8.1</c:v>
                </c:pt>
                <c:pt idx="23">
                  <c:v>8.4</c:v>
                </c:pt>
                <c:pt idx="24">
                  <c:v>11.4</c:v>
                </c:pt>
                <c:pt idx="25">
                  <c:v>14.1</c:v>
                </c:pt>
                <c:pt idx="26">
                  <c:v>18.399999999999999</c:v>
                </c:pt>
                <c:pt idx="27">
                  <c:v>22.2</c:v>
                </c:pt>
                <c:pt idx="28">
                  <c:v>25.4</c:v>
                </c:pt>
                <c:pt idx="29">
                  <c:v>25.9</c:v>
                </c:pt>
                <c:pt idx="30">
                  <c:v>30.7</c:v>
                </c:pt>
                <c:pt idx="31">
                  <c:v>40.4</c:v>
                </c:pt>
                <c:pt idx="32">
                  <c:v>40.4</c:v>
                </c:pt>
                <c:pt idx="33">
                  <c:v>42</c:v>
                </c:pt>
                <c:pt idx="34">
                  <c:v>53.7</c:v>
                </c:pt>
                <c:pt idx="35">
                  <c:v>50.2</c:v>
                </c:pt>
                <c:pt idx="36">
                  <c:v>48.4</c:v>
                </c:pt>
                <c:pt idx="37">
                  <c:v>50.4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FA1-4C80-B1EC-027F27D680B2}"/>
            </c:ext>
          </c:extLst>
        </c:ser>
        <c:ser>
          <c:idx val="6"/>
          <c:order val="6"/>
          <c:tx>
            <c:strRef>
              <c:f>'výkonnost odvětví 3'!$AD$10</c:f>
              <c:strCache>
                <c:ptCount val="1"/>
                <c:pt idx="0">
                  <c:v>Saldo indik.důvěry ve stavebnictví (pr.osa)</c:v>
                </c:pt>
              </c:strCache>
            </c:strRef>
          </c:tx>
          <c:spPr>
            <a:ln w="6350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3'!$V$15:$W$52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'výkonnost odvětví 3'!$AD$15:$AD$52</c:f>
              <c:numCache>
                <c:formatCode>0.0</c:formatCode>
                <c:ptCount val="38"/>
                <c:pt idx="0">
                  <c:v>-38</c:v>
                </c:pt>
                <c:pt idx="1">
                  <c:v>-40</c:v>
                </c:pt>
                <c:pt idx="2">
                  <c:v>-40</c:v>
                </c:pt>
                <c:pt idx="3">
                  <c:v>-36.5</c:v>
                </c:pt>
                <c:pt idx="4">
                  <c:v>-46.5</c:v>
                </c:pt>
                <c:pt idx="5">
                  <c:v>-44</c:v>
                </c:pt>
                <c:pt idx="6">
                  <c:v>-43</c:v>
                </c:pt>
                <c:pt idx="7">
                  <c:v>-41</c:v>
                </c:pt>
                <c:pt idx="8">
                  <c:v>-45.5</c:v>
                </c:pt>
                <c:pt idx="9">
                  <c:v>-53.5</c:v>
                </c:pt>
                <c:pt idx="10">
                  <c:v>-48</c:v>
                </c:pt>
                <c:pt idx="11">
                  <c:v>-48</c:v>
                </c:pt>
                <c:pt idx="12">
                  <c:v>-48</c:v>
                </c:pt>
                <c:pt idx="13">
                  <c:v>-39</c:v>
                </c:pt>
                <c:pt idx="14">
                  <c:v>-36.5</c:v>
                </c:pt>
                <c:pt idx="15">
                  <c:v>-30</c:v>
                </c:pt>
                <c:pt idx="16">
                  <c:v>-20.5</c:v>
                </c:pt>
                <c:pt idx="17">
                  <c:v>-16</c:v>
                </c:pt>
                <c:pt idx="18">
                  <c:v>-20</c:v>
                </c:pt>
                <c:pt idx="19">
                  <c:v>-16</c:v>
                </c:pt>
                <c:pt idx="20">
                  <c:v>-14.5</c:v>
                </c:pt>
                <c:pt idx="21">
                  <c:v>-21.5</c:v>
                </c:pt>
                <c:pt idx="22">
                  <c:v>-26</c:v>
                </c:pt>
                <c:pt idx="23">
                  <c:v>-27.5</c:v>
                </c:pt>
                <c:pt idx="24">
                  <c:v>-27</c:v>
                </c:pt>
                <c:pt idx="25">
                  <c:v>-23</c:v>
                </c:pt>
                <c:pt idx="26">
                  <c:v>-24</c:v>
                </c:pt>
                <c:pt idx="27">
                  <c:v>-17.5</c:v>
                </c:pt>
                <c:pt idx="28">
                  <c:v>-14.5</c:v>
                </c:pt>
                <c:pt idx="29">
                  <c:v>-5.5</c:v>
                </c:pt>
                <c:pt idx="30">
                  <c:v>-5</c:v>
                </c:pt>
                <c:pt idx="31">
                  <c:v>-1.5</c:v>
                </c:pt>
                <c:pt idx="32">
                  <c:v>5.5</c:v>
                </c:pt>
                <c:pt idx="33">
                  <c:v>3</c:v>
                </c:pt>
                <c:pt idx="34">
                  <c:v>2</c:v>
                </c:pt>
                <c:pt idx="35">
                  <c:v>1.5</c:v>
                </c:pt>
                <c:pt idx="36">
                  <c:v>1</c:v>
                </c:pt>
                <c:pt idx="37">
                  <c:v>-12.5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FA1-4C80-B1EC-027F27D68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50816"/>
        <c:axId val="147649280"/>
      </c:lineChart>
      <c:catAx>
        <c:axId val="1474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4496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47434496"/>
        <c:scaling>
          <c:orientation val="minMax"/>
          <c:max val="30"/>
          <c:min val="-2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/>
                  <a:t>Příspěvek</a:t>
                </a:r>
                <a:r>
                  <a:rPr lang="cs-CZ" baseline="0"/>
                  <a:t> k</a:t>
                </a:r>
                <a:r>
                  <a:rPr lang="cs-CZ" sz="700" b="0" i="1" u="none" strike="noStrike" kern="1200" baseline="0">
                    <a:solidFill>
                      <a:srgbClr val="000000"/>
                    </a:solidFill>
                    <a:latin typeface="Arial CE"/>
                    <a:cs typeface="Arial CE"/>
                  </a:rPr>
                  <a:t>  </a:t>
                </a:r>
                <a:r>
                  <a:rPr lang="cs-CZ" baseline="0"/>
                  <a:t>růstu s</a:t>
                </a:r>
                <a:r>
                  <a:rPr lang="cs-CZ"/>
                  <a:t>tavební produkce</a:t>
                </a:r>
              </a:p>
            </c:rich>
          </c:tx>
          <c:layout>
            <c:manualLayout>
              <c:xMode val="edge"/>
              <c:yMode val="edge"/>
              <c:x val="2.6741790744013471E-3"/>
              <c:y val="0.1822216788290748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2960"/>
        <c:crosses val="autoZero"/>
        <c:crossBetween val="between"/>
        <c:majorUnit val="5"/>
      </c:valAx>
      <c:valAx>
        <c:axId val="147649280"/>
        <c:scaling>
          <c:orientation val="minMax"/>
          <c:max val="90"/>
          <c:min val="-60"/>
        </c:scaling>
        <c:delete val="0"/>
        <c:axPos val="r"/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b="0" i="1" u="none" strike="noStrike" baseline="0">
                    <a:effectLst/>
                  </a:rPr>
                  <a:t>Zakázky, S</a:t>
                </a:r>
                <a:r>
                  <a:rPr lang="cs-CZ"/>
                  <a:t>aldo indikátoru důvěry, Bariéry růstu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47650816"/>
        <c:crosses val="max"/>
        <c:crossBetween val="between"/>
        <c:majorUnit val="15"/>
      </c:valAx>
      <c:catAx>
        <c:axId val="147650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7649280"/>
        <c:crosses val="autoZero"/>
        <c:auto val="0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8.0289395857067181E-3"/>
          <c:y val="0.86714554937397748"/>
          <c:w val="0.98289481343746343"/>
          <c:h val="0.1233574576253902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121841398004213E-2"/>
          <c:y val="1.5803328678987455E-2"/>
          <c:w val="0.86647319020345381"/>
          <c:h val="0.72803718351631797"/>
        </c:manualLayout>
      </c:layout>
      <c:barChart>
        <c:barDir val="col"/>
        <c:grouping val="stacked"/>
        <c:varyColors val="0"/>
        <c:ser>
          <c:idx val="0"/>
          <c:order val="1"/>
          <c:tx>
            <c:strRef>
              <c:f>'Služby-příspěvkyk růstu'!$D$25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'Služby-příspěvkyk růstu'!$A$26:$B$59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</c:lvl>
              </c:multiLvlStrCache>
            </c:multiLvlStrRef>
          </c:cat>
          <c:val>
            <c:numRef>
              <c:f>'Služby-příspěvkyk růstu'!$D$26:$D$59</c:f>
              <c:numCache>
                <c:formatCode>0.0</c:formatCode>
                <c:ptCount val="34"/>
                <c:pt idx="0">
                  <c:v>0.43250355480835656</c:v>
                </c:pt>
                <c:pt idx="1">
                  <c:v>0.66710922477796986</c:v>
                </c:pt>
                <c:pt idx="2">
                  <c:v>1.2810740041826509</c:v>
                </c:pt>
                <c:pt idx="3">
                  <c:v>-0.53452520432314288</c:v>
                </c:pt>
                <c:pt idx="4">
                  <c:v>0.90431756716453426</c:v>
                </c:pt>
                <c:pt idx="5">
                  <c:v>0.8070031938602803</c:v>
                </c:pt>
                <c:pt idx="6">
                  <c:v>0.57330492199423877</c:v>
                </c:pt>
                <c:pt idx="7">
                  <c:v>2.8078133034979835</c:v>
                </c:pt>
                <c:pt idx="8">
                  <c:v>0.97825827078215699</c:v>
                </c:pt>
                <c:pt idx="9">
                  <c:v>0.72315708551034086</c:v>
                </c:pt>
                <c:pt idx="10">
                  <c:v>1.2171504933227022</c:v>
                </c:pt>
                <c:pt idx="11">
                  <c:v>-0.13022666291925639</c:v>
                </c:pt>
                <c:pt idx="12">
                  <c:v>0.17664665608652994</c:v>
                </c:pt>
                <c:pt idx="13">
                  <c:v>-4.1191806268856823E-2</c:v>
                </c:pt>
                <c:pt idx="14">
                  <c:v>0.20050592493597819</c:v>
                </c:pt>
                <c:pt idx="15">
                  <c:v>4.2621733225056455E-2</c:v>
                </c:pt>
                <c:pt idx="16">
                  <c:v>0.2847890086816679</c:v>
                </c:pt>
                <c:pt idx="17">
                  <c:v>0.2013437768354992</c:v>
                </c:pt>
                <c:pt idx="18">
                  <c:v>0.13973435240156135</c:v>
                </c:pt>
                <c:pt idx="19">
                  <c:v>0.86054675864751384</c:v>
                </c:pt>
                <c:pt idx="20">
                  <c:v>1.6292630224051583</c:v>
                </c:pt>
                <c:pt idx="21">
                  <c:v>1.0923510311792821</c:v>
                </c:pt>
                <c:pt idx="22">
                  <c:v>1.1372534149644835</c:v>
                </c:pt>
                <c:pt idx="23">
                  <c:v>0.60479588760532188</c:v>
                </c:pt>
                <c:pt idx="24">
                  <c:v>1.7511692205268421</c:v>
                </c:pt>
                <c:pt idx="25">
                  <c:v>1.919432195003689</c:v>
                </c:pt>
                <c:pt idx="26">
                  <c:v>1.468778873734859</c:v>
                </c:pt>
                <c:pt idx="27">
                  <c:v>0.4982794536687275</c:v>
                </c:pt>
                <c:pt idx="28">
                  <c:v>0.78786729268569111</c:v>
                </c:pt>
                <c:pt idx="29">
                  <c:v>-8.1865073932434307E-2</c:v>
                </c:pt>
                <c:pt idx="30">
                  <c:v>-0.67186888081261231</c:v>
                </c:pt>
                <c:pt idx="31">
                  <c:v>-0.5386751997537248</c:v>
                </c:pt>
                <c:pt idx="32">
                  <c:v>-1.8121574699192173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8-4A9A-B29A-0CAC2FB66AF1}"/>
            </c:ext>
          </c:extLst>
        </c:ser>
        <c:ser>
          <c:idx val="1"/>
          <c:order val="2"/>
          <c:tx>
            <c:strRef>
              <c:f>'Služby-příspěvkyk růstu'!$E$25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'Služby-příspěvkyk růstu'!$A$26:$B$59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</c:lvl>
              </c:multiLvlStrCache>
            </c:multiLvlStrRef>
          </c:cat>
          <c:val>
            <c:numRef>
              <c:f>'Služby-příspěvkyk růstu'!$E$26:$E$59</c:f>
              <c:numCache>
                <c:formatCode>0.0</c:formatCode>
                <c:ptCount val="34"/>
                <c:pt idx="0">
                  <c:v>-0.18595640865133076</c:v>
                </c:pt>
                <c:pt idx="1">
                  <c:v>-0.23369100363405482</c:v>
                </c:pt>
                <c:pt idx="2">
                  <c:v>-0.16641354323754717</c:v>
                </c:pt>
                <c:pt idx="3">
                  <c:v>-0.30755374216978426</c:v>
                </c:pt>
                <c:pt idx="4">
                  <c:v>4.282103578544303E-2</c:v>
                </c:pt>
                <c:pt idx="5">
                  <c:v>3.8782132313988714E-2</c:v>
                </c:pt>
                <c:pt idx="6">
                  <c:v>0.1379529668215739</c:v>
                </c:pt>
                <c:pt idx="7">
                  <c:v>5.4285433713091295E-2</c:v>
                </c:pt>
                <c:pt idx="8">
                  <c:v>-8.1292792613758116E-2</c:v>
                </c:pt>
                <c:pt idx="9">
                  <c:v>-5.1930094471250646E-2</c:v>
                </c:pt>
                <c:pt idx="10">
                  <c:v>-7.8120503560380292E-2</c:v>
                </c:pt>
                <c:pt idx="11">
                  <c:v>0.62816109127223863</c:v>
                </c:pt>
                <c:pt idx="12">
                  <c:v>0.23129656285271435</c:v>
                </c:pt>
                <c:pt idx="13">
                  <c:v>0.65512527744013138</c:v>
                </c:pt>
                <c:pt idx="14">
                  <c:v>0.65435384244755412</c:v>
                </c:pt>
                <c:pt idx="15">
                  <c:v>0.4022878434054255</c:v>
                </c:pt>
                <c:pt idx="16">
                  <c:v>0.42778529924397274</c:v>
                </c:pt>
                <c:pt idx="17">
                  <c:v>0.19282991881639683</c:v>
                </c:pt>
                <c:pt idx="18">
                  <c:v>0.56722386353934195</c:v>
                </c:pt>
                <c:pt idx="19">
                  <c:v>0.59850713498642405</c:v>
                </c:pt>
                <c:pt idx="20">
                  <c:v>0.95344619394002372</c:v>
                </c:pt>
                <c:pt idx="21">
                  <c:v>1.2083424521444015</c:v>
                </c:pt>
                <c:pt idx="22">
                  <c:v>0.55138916431274998</c:v>
                </c:pt>
                <c:pt idx="23">
                  <c:v>0.45464922880720454</c:v>
                </c:pt>
                <c:pt idx="24">
                  <c:v>0.18144865877241922</c:v>
                </c:pt>
                <c:pt idx="25">
                  <c:v>6.8047966010392827E-2</c:v>
                </c:pt>
                <c:pt idx="26">
                  <c:v>5.8849522681225439E-2</c:v>
                </c:pt>
                <c:pt idx="27">
                  <c:v>-3.63484737997853E-2</c:v>
                </c:pt>
                <c:pt idx="28">
                  <c:v>0.21961986329357466</c:v>
                </c:pt>
                <c:pt idx="29">
                  <c:v>0.16890146560098387</c:v>
                </c:pt>
                <c:pt idx="30">
                  <c:v>-1.7417934057212849E-2</c:v>
                </c:pt>
                <c:pt idx="31">
                  <c:v>-1.9741157575900559E-2</c:v>
                </c:pt>
                <c:pt idx="32">
                  <c:v>-1.0900393524093599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98-4A9A-B29A-0CAC2FB66AF1}"/>
            </c:ext>
          </c:extLst>
        </c:ser>
        <c:ser>
          <c:idx val="2"/>
          <c:order val="3"/>
          <c:tx>
            <c:strRef>
              <c:f>'Služby-příspěvkyk růstu'!$F$25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'Služby-příspěvkyk růstu'!$A$26:$B$59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</c:lvl>
              </c:multiLvlStrCache>
            </c:multiLvlStrRef>
          </c:cat>
          <c:val>
            <c:numRef>
              <c:f>'Služby-příspěvkyk růstu'!$F$26:$F$59</c:f>
              <c:numCache>
                <c:formatCode>0.0</c:formatCode>
                <c:ptCount val="34"/>
                <c:pt idx="0">
                  <c:v>0.14688752851300535</c:v>
                </c:pt>
                <c:pt idx="1">
                  <c:v>-1.2165780077942969E-2</c:v>
                </c:pt>
                <c:pt idx="2">
                  <c:v>0.26678466181917887</c:v>
                </c:pt>
                <c:pt idx="3">
                  <c:v>-6.6241709196293921E-2</c:v>
                </c:pt>
                <c:pt idx="4">
                  <c:v>-0.355941591832305</c:v>
                </c:pt>
                <c:pt idx="5">
                  <c:v>5.0506014828826556E-4</c:v>
                </c:pt>
                <c:pt idx="6">
                  <c:v>-0.43952535721592695</c:v>
                </c:pt>
                <c:pt idx="7">
                  <c:v>6.4906590241254072E-2</c:v>
                </c:pt>
                <c:pt idx="8">
                  <c:v>5.5030325289738329E-2</c:v>
                </c:pt>
                <c:pt idx="9">
                  <c:v>0.20771805886687944</c:v>
                </c:pt>
                <c:pt idx="10">
                  <c:v>0.5544641813467347</c:v>
                </c:pt>
                <c:pt idx="11">
                  <c:v>0.39028735795878133</c:v>
                </c:pt>
                <c:pt idx="12">
                  <c:v>1.406135426754914</c:v>
                </c:pt>
                <c:pt idx="13">
                  <c:v>0.82436921704224986</c:v>
                </c:pt>
                <c:pt idx="14">
                  <c:v>0.81882390944147387</c:v>
                </c:pt>
                <c:pt idx="15">
                  <c:v>1.3066587801814382</c:v>
                </c:pt>
                <c:pt idx="16">
                  <c:v>0.37006165311793565</c:v>
                </c:pt>
                <c:pt idx="17">
                  <c:v>0.13188818524752718</c:v>
                </c:pt>
                <c:pt idx="18">
                  <c:v>0.33340534388535614</c:v>
                </c:pt>
                <c:pt idx="19">
                  <c:v>0.17729116925865968</c:v>
                </c:pt>
                <c:pt idx="20">
                  <c:v>0.73514247229341834</c:v>
                </c:pt>
                <c:pt idx="21">
                  <c:v>1.0091673493229187</c:v>
                </c:pt>
                <c:pt idx="22">
                  <c:v>0.7782751393660321</c:v>
                </c:pt>
                <c:pt idx="23">
                  <c:v>0.59050679451815402</c:v>
                </c:pt>
                <c:pt idx="24">
                  <c:v>1.4571786542074963</c:v>
                </c:pt>
                <c:pt idx="25">
                  <c:v>0.76023226586947656</c:v>
                </c:pt>
                <c:pt idx="26">
                  <c:v>1.4180945031018091</c:v>
                </c:pt>
                <c:pt idx="27">
                  <c:v>0.98127037080708135</c:v>
                </c:pt>
                <c:pt idx="28">
                  <c:v>1.2375825569244812</c:v>
                </c:pt>
                <c:pt idx="29">
                  <c:v>1.1668639499828164</c:v>
                </c:pt>
                <c:pt idx="30">
                  <c:v>0.89461879893220009</c:v>
                </c:pt>
                <c:pt idx="31">
                  <c:v>1.1674875045498843</c:v>
                </c:pt>
                <c:pt idx="32">
                  <c:v>0.71317069759100526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98-4A9A-B29A-0CAC2FB66AF1}"/>
            </c:ext>
          </c:extLst>
        </c:ser>
        <c:ser>
          <c:idx val="4"/>
          <c:order val="4"/>
          <c:tx>
            <c:strRef>
              <c:f>'Služby-příspěvkyk růstu'!$G$25</c:f>
              <c:strCache>
                <c:ptCount val="1"/>
                <c:pt idx="0">
                  <c:v>Činnosti v oblasti nemovitostí</c:v>
                </c:pt>
              </c:strCache>
            </c:strRef>
          </c:tx>
          <c:spPr>
            <a:solidFill>
              <a:srgbClr val="7030A0"/>
            </a:solidFill>
            <a:ln>
              <a:noFill/>
              <a:prstDash val="sysDash"/>
            </a:ln>
          </c:spPr>
          <c:invertIfNegative val="0"/>
          <c:cat>
            <c:multiLvlStrRef>
              <c:f>'Služby-příspěvkyk růstu'!$A$26:$B$59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</c:lvl>
              </c:multiLvlStrCache>
            </c:multiLvlStrRef>
          </c:cat>
          <c:val>
            <c:numRef>
              <c:f>'Služby-příspěvkyk růstu'!$G$26:$G$59</c:f>
              <c:numCache>
                <c:formatCode>0.0</c:formatCode>
                <c:ptCount val="34"/>
                <c:pt idx="0">
                  <c:v>-0.34137236158909179</c:v>
                </c:pt>
                <c:pt idx="1">
                  <c:v>-0.32388973194562126</c:v>
                </c:pt>
                <c:pt idx="2">
                  <c:v>-0.37058828980655789</c:v>
                </c:pt>
                <c:pt idx="3">
                  <c:v>-0.30099897115709839</c:v>
                </c:pt>
                <c:pt idx="4">
                  <c:v>-0.12420970825265641</c:v>
                </c:pt>
                <c:pt idx="5">
                  <c:v>-0.28603737777812438</c:v>
                </c:pt>
                <c:pt idx="6">
                  <c:v>0.14203788124466329</c:v>
                </c:pt>
                <c:pt idx="7">
                  <c:v>-0.4964721024754466</c:v>
                </c:pt>
                <c:pt idx="8">
                  <c:v>-0.27243920620683193</c:v>
                </c:pt>
                <c:pt idx="9">
                  <c:v>0.13121599842368425</c:v>
                </c:pt>
                <c:pt idx="10">
                  <c:v>-2.3565265518776128E-2</c:v>
                </c:pt>
                <c:pt idx="11">
                  <c:v>-0.14403624877141019</c:v>
                </c:pt>
                <c:pt idx="12">
                  <c:v>4.5114687229023245E-2</c:v>
                </c:pt>
                <c:pt idx="13">
                  <c:v>-4.6332032044239775E-3</c:v>
                </c:pt>
                <c:pt idx="14">
                  <c:v>8.501573906631088E-2</c:v>
                </c:pt>
                <c:pt idx="15">
                  <c:v>4.2208307670905748E-2</c:v>
                </c:pt>
                <c:pt idx="16">
                  <c:v>0.22367935728325808</c:v>
                </c:pt>
                <c:pt idx="17">
                  <c:v>6.8179121728202077E-2</c:v>
                </c:pt>
                <c:pt idx="18">
                  <c:v>0.11569139996329859</c:v>
                </c:pt>
                <c:pt idx="19">
                  <c:v>-7.0466111464403208E-2</c:v>
                </c:pt>
                <c:pt idx="20">
                  <c:v>0.28170347429286569</c:v>
                </c:pt>
                <c:pt idx="21">
                  <c:v>0.36183937476132333</c:v>
                </c:pt>
                <c:pt idx="22">
                  <c:v>-3.8722622297636566E-2</c:v>
                </c:pt>
                <c:pt idx="23">
                  <c:v>0.13751786345915923</c:v>
                </c:pt>
                <c:pt idx="24">
                  <c:v>-1.6524920273683675E-2</c:v>
                </c:pt>
                <c:pt idx="25">
                  <c:v>-0.22648211104296087</c:v>
                </c:pt>
                <c:pt idx="26">
                  <c:v>-0.12424593628184907</c:v>
                </c:pt>
                <c:pt idx="27">
                  <c:v>-0.20693626254554429</c:v>
                </c:pt>
                <c:pt idx="28">
                  <c:v>0.14696794950550035</c:v>
                </c:pt>
                <c:pt idx="29">
                  <c:v>-2.7570979798889395E-2</c:v>
                </c:pt>
                <c:pt idx="30">
                  <c:v>-0.16565733749784456</c:v>
                </c:pt>
                <c:pt idx="31">
                  <c:v>-0.11837811878645006</c:v>
                </c:pt>
                <c:pt idx="32">
                  <c:v>0.19249038617600897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98-4A9A-B29A-0CAC2FB66AF1}"/>
            </c:ext>
          </c:extLst>
        </c:ser>
        <c:ser>
          <c:idx val="5"/>
          <c:order val="5"/>
          <c:tx>
            <c:strRef>
              <c:f>'Služby-příspěvkyk růstu'!$H$25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'Služby-příspěvkyk růstu'!$A$26:$B$59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</c:lvl>
              </c:multiLvlStrCache>
            </c:multiLvlStrRef>
          </c:cat>
          <c:val>
            <c:numRef>
              <c:f>'Služby-příspěvkyk růstu'!$H$26:$H$59</c:f>
              <c:numCache>
                <c:formatCode>0.0</c:formatCode>
                <c:ptCount val="34"/>
                <c:pt idx="0">
                  <c:v>0.26095144122624392</c:v>
                </c:pt>
                <c:pt idx="1">
                  <c:v>-1.2761261764398377</c:v>
                </c:pt>
                <c:pt idx="2">
                  <c:v>-0.34687216013581235</c:v>
                </c:pt>
                <c:pt idx="3">
                  <c:v>5.1433001103990822E-3</c:v>
                </c:pt>
                <c:pt idx="4">
                  <c:v>-1.0934860836771783</c:v>
                </c:pt>
                <c:pt idx="5">
                  <c:v>-1.5487628894732857</c:v>
                </c:pt>
                <c:pt idx="6">
                  <c:v>-1.8262585690782731</c:v>
                </c:pt>
                <c:pt idx="7">
                  <c:v>-1.3231901294817801</c:v>
                </c:pt>
                <c:pt idx="8">
                  <c:v>-1.4955642892436161</c:v>
                </c:pt>
                <c:pt idx="9">
                  <c:v>0.15973936238801459</c:v>
                </c:pt>
                <c:pt idx="10">
                  <c:v>0.74595859727617964</c:v>
                </c:pt>
                <c:pt idx="11">
                  <c:v>-0.99979833905942905</c:v>
                </c:pt>
                <c:pt idx="12">
                  <c:v>1.0479591562413866</c:v>
                </c:pt>
                <c:pt idx="13">
                  <c:v>0.71969962293987355</c:v>
                </c:pt>
                <c:pt idx="14">
                  <c:v>1.1295672614701802</c:v>
                </c:pt>
                <c:pt idx="15">
                  <c:v>-6.0066108957639967E-2</c:v>
                </c:pt>
                <c:pt idx="16">
                  <c:v>-0.35082040507946849</c:v>
                </c:pt>
                <c:pt idx="17">
                  <c:v>-1.3959582370116637</c:v>
                </c:pt>
                <c:pt idx="18">
                  <c:v>2.5986068888917958E-2</c:v>
                </c:pt>
                <c:pt idx="19">
                  <c:v>-0.33300568911978784</c:v>
                </c:pt>
                <c:pt idx="20">
                  <c:v>0.85547754285117605</c:v>
                </c:pt>
                <c:pt idx="21">
                  <c:v>0.67059702934732313</c:v>
                </c:pt>
                <c:pt idx="22">
                  <c:v>0.30942289865299605</c:v>
                </c:pt>
                <c:pt idx="23">
                  <c:v>0.4286605627369825</c:v>
                </c:pt>
                <c:pt idx="24">
                  <c:v>1.1045103780905805</c:v>
                </c:pt>
                <c:pt idx="25">
                  <c:v>0.53164385977728257</c:v>
                </c:pt>
                <c:pt idx="26">
                  <c:v>0.35977038412315243</c:v>
                </c:pt>
                <c:pt idx="27">
                  <c:v>-0.26571599613923336</c:v>
                </c:pt>
                <c:pt idx="28">
                  <c:v>0.75182310328848201</c:v>
                </c:pt>
                <c:pt idx="29">
                  <c:v>0.61117105365699509</c:v>
                </c:pt>
                <c:pt idx="30">
                  <c:v>-0.82409851267383694</c:v>
                </c:pt>
                <c:pt idx="31">
                  <c:v>-0.54874950278593504</c:v>
                </c:pt>
                <c:pt idx="32">
                  <c:v>-0.34209274569548204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98-4A9A-B29A-0CAC2FB66AF1}"/>
            </c:ext>
          </c:extLst>
        </c:ser>
        <c:ser>
          <c:idx val="6"/>
          <c:order val="6"/>
          <c:tx>
            <c:strRef>
              <c:f>'Služby-příspěvkyk růstu'!$I$25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solidFill>
              <a:srgbClr val="A8B9D8"/>
            </a:solidFill>
            <a:ln>
              <a:noFill/>
            </a:ln>
          </c:spPr>
          <c:invertIfNegative val="0"/>
          <c:cat>
            <c:multiLvlStrRef>
              <c:f>'Služby-příspěvkyk růstu'!$A$26:$B$59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</c:lvl>
              </c:multiLvlStrCache>
            </c:multiLvlStrRef>
          </c:cat>
          <c:val>
            <c:numRef>
              <c:f>'Služby-příspěvkyk růstu'!$I$26:$I$59</c:f>
              <c:numCache>
                <c:formatCode>0.0</c:formatCode>
                <c:ptCount val="34"/>
                <c:pt idx="0">
                  <c:v>0.5093792525943468</c:v>
                </c:pt>
                <c:pt idx="1">
                  <c:v>0.24610790591298709</c:v>
                </c:pt>
                <c:pt idx="2">
                  <c:v>0.43289250594228512</c:v>
                </c:pt>
                <c:pt idx="3">
                  <c:v>-0.19574201571646982</c:v>
                </c:pt>
                <c:pt idx="4">
                  <c:v>-4.5930733129257675E-2</c:v>
                </c:pt>
                <c:pt idx="5">
                  <c:v>0.11161152934719085</c:v>
                </c:pt>
                <c:pt idx="6">
                  <c:v>9.4969838881061877E-2</c:v>
                </c:pt>
                <c:pt idx="7">
                  <c:v>0.39285183218946634</c:v>
                </c:pt>
                <c:pt idx="8">
                  <c:v>-0.17140946223459813</c:v>
                </c:pt>
                <c:pt idx="9">
                  <c:v>0.54518014457247954</c:v>
                </c:pt>
                <c:pt idx="10">
                  <c:v>0.386531836524309</c:v>
                </c:pt>
                <c:pt idx="11">
                  <c:v>0.5290022333733051</c:v>
                </c:pt>
                <c:pt idx="12">
                  <c:v>0.51440215318243465</c:v>
                </c:pt>
                <c:pt idx="13">
                  <c:v>0.62115960470863207</c:v>
                </c:pt>
                <c:pt idx="14">
                  <c:v>0.43401453891286046</c:v>
                </c:pt>
                <c:pt idx="15">
                  <c:v>0.50281220016564265</c:v>
                </c:pt>
                <c:pt idx="16">
                  <c:v>0.52419839920051392</c:v>
                </c:pt>
                <c:pt idx="17">
                  <c:v>0.16599789347818159</c:v>
                </c:pt>
                <c:pt idx="18">
                  <c:v>0.26955520094101676</c:v>
                </c:pt>
                <c:pt idx="19">
                  <c:v>0.51433346571065852</c:v>
                </c:pt>
                <c:pt idx="20">
                  <c:v>1.2357717194790949</c:v>
                </c:pt>
                <c:pt idx="21">
                  <c:v>1.0863857236804175</c:v>
                </c:pt>
                <c:pt idx="22">
                  <c:v>0.64106908989186184</c:v>
                </c:pt>
                <c:pt idx="23">
                  <c:v>0.30440747123981599</c:v>
                </c:pt>
                <c:pt idx="24">
                  <c:v>0.53272062163062639</c:v>
                </c:pt>
                <c:pt idx="25">
                  <c:v>0.37833296302356378</c:v>
                </c:pt>
                <c:pt idx="26">
                  <c:v>0.43545533031232775</c:v>
                </c:pt>
                <c:pt idx="27">
                  <c:v>-1.2584742734802987E-2</c:v>
                </c:pt>
                <c:pt idx="28">
                  <c:v>0.48618067365735995</c:v>
                </c:pt>
                <c:pt idx="29">
                  <c:v>0.12828362454618286</c:v>
                </c:pt>
                <c:pt idx="30">
                  <c:v>-0.12105786917041823</c:v>
                </c:pt>
                <c:pt idx="31">
                  <c:v>-0.21588203143381254</c:v>
                </c:pt>
                <c:pt idx="32">
                  <c:v>-1.1829265522680095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98-4A9A-B29A-0CAC2FB66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156100864"/>
        <c:axId val="156573696"/>
      </c:barChart>
      <c:lineChart>
        <c:grouping val="standard"/>
        <c:varyColors val="0"/>
        <c:ser>
          <c:idx val="3"/>
          <c:order val="0"/>
          <c:tx>
            <c:strRef>
              <c:f>'Služby-příspěvkyk růstu'!$C$25</c:f>
              <c:strCache>
                <c:ptCount val="1"/>
                <c:pt idx="0">
                  <c:v>Služby celkem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0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'Služby-příspěvkyk růstu'!$A$26:$B$59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</c:lvl>
              </c:multiLvlStrCache>
            </c:multiLvlStrRef>
          </c:cat>
          <c:val>
            <c:numRef>
              <c:f>'Služby-příspěvkyk růstu'!$C$26:$C$59</c:f>
              <c:numCache>
                <c:formatCode>0.0</c:formatCode>
                <c:ptCount val="34"/>
                <c:pt idx="0">
                  <c:v>0.44963721183368932</c:v>
                </c:pt>
                <c:pt idx="1">
                  <c:v>-1.2180166338930718</c:v>
                </c:pt>
                <c:pt idx="2">
                  <c:v>1.1048392019405071</c:v>
                </c:pt>
                <c:pt idx="3">
                  <c:v>-1.3666360726043365</c:v>
                </c:pt>
                <c:pt idx="4">
                  <c:v>-0.23113332649610641</c:v>
                </c:pt>
                <c:pt idx="5">
                  <c:v>-0.88454578849733423</c:v>
                </c:pt>
                <c:pt idx="6">
                  <c:v>-1.3424601583175928</c:v>
                </c:pt>
                <c:pt idx="7">
                  <c:v>1.6230087206376993</c:v>
                </c:pt>
                <c:pt idx="8">
                  <c:v>-0.7830856818772105</c:v>
                </c:pt>
                <c:pt idx="9">
                  <c:v>1.5830850388114186</c:v>
                </c:pt>
                <c:pt idx="10">
                  <c:v>2.5910000544725023</c:v>
                </c:pt>
                <c:pt idx="11">
                  <c:v>0.42786697654824479</c:v>
                </c:pt>
                <c:pt idx="12">
                  <c:v>3.2630436418782125</c:v>
                </c:pt>
                <c:pt idx="13">
                  <c:v>2.7083930316927507</c:v>
                </c:pt>
                <c:pt idx="14">
                  <c:v>3.2834766720431787</c:v>
                </c:pt>
                <c:pt idx="15">
                  <c:v>2.1952204214378668</c:v>
                </c:pt>
                <c:pt idx="16">
                  <c:v>1.4416768598931355</c:v>
                </c:pt>
                <c:pt idx="17">
                  <c:v>-0.87800438726691254</c:v>
                </c:pt>
                <c:pt idx="18">
                  <c:v>1.4338212037315827</c:v>
                </c:pt>
                <c:pt idx="19">
                  <c:v>1.5962966747226091</c:v>
                </c:pt>
                <c:pt idx="20">
                  <c:v>5.5396791241765868</c:v>
                </c:pt>
                <c:pt idx="21">
                  <c:v>5.4410534556716499</c:v>
                </c:pt>
                <c:pt idx="22">
                  <c:v>3.3891437532498117</c:v>
                </c:pt>
                <c:pt idx="23">
                  <c:v>2.5129490213521706</c:v>
                </c:pt>
                <c:pt idx="24">
                  <c:v>5.0690832594039676</c:v>
                </c:pt>
                <c:pt idx="25">
                  <c:v>3.5044634886154569</c:v>
                </c:pt>
                <c:pt idx="26">
                  <c:v>3.6982171521688656</c:v>
                </c:pt>
                <c:pt idx="27">
                  <c:v>1.0797281635264397</c:v>
                </c:pt>
                <c:pt idx="28">
                  <c:v>3.6886709445896031</c:v>
                </c:pt>
                <c:pt idx="29">
                  <c:v>1.9569203215385613</c:v>
                </c:pt>
                <c:pt idx="30">
                  <c:v>-0.81600975572972345</c:v>
                </c:pt>
                <c:pt idx="31">
                  <c:v>-0.14379184927273059</c:v>
                </c:pt>
                <c:pt idx="32">
                  <c:v>-3.5564036542816666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A98-4A9A-B29A-0CAC2FB66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100864"/>
        <c:axId val="156573696"/>
      </c:lineChart>
      <c:lineChart>
        <c:grouping val="standard"/>
        <c:varyColors val="0"/>
        <c:ser>
          <c:idx val="7"/>
          <c:order val="7"/>
          <c:tx>
            <c:strRef>
              <c:f>'Služby-příspěvkyk růstu'!$J$25</c:f>
              <c:strCache>
                <c:ptCount val="1"/>
                <c:pt idx="0">
                  <c:v>Saldo indik.důvěry ve službách (pr. osa)</c:v>
                </c:pt>
              </c:strCache>
            </c:strRef>
          </c:tx>
          <c:spPr>
            <a:ln w="3175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'Služby-příspěvkyk růstu'!$A$26:$B$59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</c:lvl>
              </c:multiLvlStrCache>
            </c:multiLvlStrRef>
          </c:cat>
          <c:val>
            <c:numRef>
              <c:f>'Služby-příspěvkyk růstu'!$J$26:$J$59</c:f>
              <c:numCache>
                <c:formatCode>0.0</c:formatCode>
                <c:ptCount val="34"/>
                <c:pt idx="0">
                  <c:v>24</c:v>
                </c:pt>
                <c:pt idx="1">
                  <c:v>27</c:v>
                </c:pt>
                <c:pt idx="2">
                  <c:v>22.3</c:v>
                </c:pt>
                <c:pt idx="3">
                  <c:v>23</c:v>
                </c:pt>
                <c:pt idx="4">
                  <c:v>24.6</c:v>
                </c:pt>
                <c:pt idx="5">
                  <c:v>21.7</c:v>
                </c:pt>
                <c:pt idx="6">
                  <c:v>19.7</c:v>
                </c:pt>
                <c:pt idx="7">
                  <c:v>26</c:v>
                </c:pt>
                <c:pt idx="8">
                  <c:v>26.7</c:v>
                </c:pt>
                <c:pt idx="9">
                  <c:v>26</c:v>
                </c:pt>
                <c:pt idx="10">
                  <c:v>27.7</c:v>
                </c:pt>
                <c:pt idx="11">
                  <c:v>29</c:v>
                </c:pt>
                <c:pt idx="12">
                  <c:v>32</c:v>
                </c:pt>
                <c:pt idx="13">
                  <c:v>27</c:v>
                </c:pt>
                <c:pt idx="14">
                  <c:v>29.3</c:v>
                </c:pt>
                <c:pt idx="15">
                  <c:v>31</c:v>
                </c:pt>
                <c:pt idx="16">
                  <c:v>34.700000000000003</c:v>
                </c:pt>
                <c:pt idx="17">
                  <c:v>32</c:v>
                </c:pt>
                <c:pt idx="18">
                  <c:v>33.299999999999997</c:v>
                </c:pt>
                <c:pt idx="19">
                  <c:v>34.700000000000003</c:v>
                </c:pt>
                <c:pt idx="20">
                  <c:v>37.299999999999997</c:v>
                </c:pt>
                <c:pt idx="21">
                  <c:v>37.700000000000003</c:v>
                </c:pt>
                <c:pt idx="22">
                  <c:v>37.299999999999997</c:v>
                </c:pt>
                <c:pt idx="23">
                  <c:v>35.700000000000003</c:v>
                </c:pt>
                <c:pt idx="24">
                  <c:v>37</c:v>
                </c:pt>
                <c:pt idx="25">
                  <c:v>37.700000000000003</c:v>
                </c:pt>
                <c:pt idx="26">
                  <c:v>37.299999999999997</c:v>
                </c:pt>
                <c:pt idx="27">
                  <c:v>38</c:v>
                </c:pt>
                <c:pt idx="28">
                  <c:v>36.700000000000003</c:v>
                </c:pt>
                <c:pt idx="29">
                  <c:v>37.299999999999997</c:v>
                </c:pt>
                <c:pt idx="30">
                  <c:v>32</c:v>
                </c:pt>
                <c:pt idx="31">
                  <c:v>33</c:v>
                </c:pt>
                <c:pt idx="32">
                  <c:v>32.6</c:v>
                </c:pt>
                <c:pt idx="33">
                  <c:v>-6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A98-4A9A-B29A-0CAC2FB66AF1}"/>
            </c:ext>
          </c:extLst>
        </c:ser>
        <c:ser>
          <c:idx val="8"/>
          <c:order val="8"/>
          <c:tx>
            <c:strRef>
              <c:f>'Služby-příspěvkyk růstu'!$K$25</c:f>
              <c:strCache>
                <c:ptCount val="1"/>
                <c:pt idx="0">
                  <c:v>Bariéra růstu: nedost. poptávka (pr. osa)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'Služby-příspěvkyk růstu'!$A$26:$B$59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</c:lvl>
              </c:multiLvlStrCache>
            </c:multiLvlStrRef>
          </c:cat>
          <c:val>
            <c:numRef>
              <c:f>'Služby-příspěvkyk růstu'!$K$26:$K$59</c:f>
              <c:numCache>
                <c:formatCode>#,##0.0</c:formatCode>
                <c:ptCount val="34"/>
                <c:pt idx="0">
                  <c:v>32.200000000000003</c:v>
                </c:pt>
                <c:pt idx="1">
                  <c:v>27.5</c:v>
                </c:pt>
                <c:pt idx="2">
                  <c:v>25.1</c:v>
                </c:pt>
                <c:pt idx="3">
                  <c:v>38.299999999999997</c:v>
                </c:pt>
                <c:pt idx="4">
                  <c:v>37.200000000000003</c:v>
                </c:pt>
                <c:pt idx="5">
                  <c:v>34.5</c:v>
                </c:pt>
                <c:pt idx="6">
                  <c:v>37.4</c:v>
                </c:pt>
                <c:pt idx="7">
                  <c:v>35.5</c:v>
                </c:pt>
                <c:pt idx="8">
                  <c:v>33.9</c:v>
                </c:pt>
                <c:pt idx="9">
                  <c:v>34.200000000000003</c:v>
                </c:pt>
                <c:pt idx="10">
                  <c:v>31.4</c:v>
                </c:pt>
                <c:pt idx="11">
                  <c:v>24.7</c:v>
                </c:pt>
                <c:pt idx="12">
                  <c:v>26.2</c:v>
                </c:pt>
                <c:pt idx="13">
                  <c:v>29</c:v>
                </c:pt>
                <c:pt idx="14">
                  <c:v>26.9</c:v>
                </c:pt>
                <c:pt idx="15">
                  <c:v>23.3</c:v>
                </c:pt>
                <c:pt idx="16">
                  <c:v>24</c:v>
                </c:pt>
                <c:pt idx="17">
                  <c:v>24.5</c:v>
                </c:pt>
                <c:pt idx="18">
                  <c:v>21</c:v>
                </c:pt>
                <c:pt idx="19">
                  <c:v>23.3</c:v>
                </c:pt>
                <c:pt idx="20">
                  <c:v>26.2</c:v>
                </c:pt>
                <c:pt idx="21">
                  <c:v>20.5</c:v>
                </c:pt>
                <c:pt idx="22">
                  <c:v>19.899999999999999</c:v>
                </c:pt>
                <c:pt idx="23">
                  <c:v>20.9</c:v>
                </c:pt>
                <c:pt idx="24">
                  <c:v>17.3</c:v>
                </c:pt>
                <c:pt idx="25">
                  <c:v>18.600000000000001</c:v>
                </c:pt>
                <c:pt idx="26">
                  <c:v>18.899999999999999</c:v>
                </c:pt>
                <c:pt idx="27">
                  <c:v>19.8</c:v>
                </c:pt>
                <c:pt idx="28">
                  <c:v>20.7</c:v>
                </c:pt>
                <c:pt idx="29">
                  <c:v>17.100000000000001</c:v>
                </c:pt>
                <c:pt idx="30">
                  <c:v>21.7</c:v>
                </c:pt>
                <c:pt idx="31">
                  <c:v>14.1</c:v>
                </c:pt>
                <c:pt idx="32">
                  <c:v>20.399999999999999</c:v>
                </c:pt>
                <c:pt idx="33">
                  <c:v>29.1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A98-4A9A-B29A-0CAC2FB66AF1}"/>
            </c:ext>
          </c:extLst>
        </c:ser>
        <c:ser>
          <c:idx val="9"/>
          <c:order val="9"/>
          <c:tx>
            <c:strRef>
              <c:f>'Služby-příspěvkyk růstu'!$L$25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'Služby-příspěvkyk růstu'!$A$26:$B$59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  <c:pt idx="20">
                    <c:v>2017</c:v>
                  </c:pt>
                  <c:pt idx="24">
                    <c:v>2018</c:v>
                  </c:pt>
                  <c:pt idx="28">
                    <c:v>2019</c:v>
                  </c:pt>
                  <c:pt idx="32">
                    <c:v>2020</c:v>
                  </c:pt>
                </c:lvl>
              </c:multiLvlStrCache>
            </c:multiLvlStrRef>
          </c:cat>
          <c:val>
            <c:numRef>
              <c:f>'Služby-příspěvkyk růstu'!$L$26:$L$59</c:f>
              <c:numCache>
                <c:formatCode>#,##0.0</c:formatCode>
                <c:ptCount val="34"/>
                <c:pt idx="0">
                  <c:v>0.8</c:v>
                </c:pt>
                <c:pt idx="1">
                  <c:v>2.6</c:v>
                </c:pt>
                <c:pt idx="2">
                  <c:v>3.7</c:v>
                </c:pt>
                <c:pt idx="3">
                  <c:v>1.5</c:v>
                </c:pt>
                <c:pt idx="4">
                  <c:v>0.8</c:v>
                </c:pt>
                <c:pt idx="5">
                  <c:v>0.3</c:v>
                </c:pt>
                <c:pt idx="6">
                  <c:v>0.1</c:v>
                </c:pt>
                <c:pt idx="7">
                  <c:v>2.1</c:v>
                </c:pt>
                <c:pt idx="8">
                  <c:v>0.8</c:v>
                </c:pt>
                <c:pt idx="9">
                  <c:v>2.6</c:v>
                </c:pt>
                <c:pt idx="10">
                  <c:v>2.5</c:v>
                </c:pt>
                <c:pt idx="11">
                  <c:v>3.8</c:v>
                </c:pt>
                <c:pt idx="12">
                  <c:v>2.8</c:v>
                </c:pt>
                <c:pt idx="13">
                  <c:v>5.7</c:v>
                </c:pt>
                <c:pt idx="14">
                  <c:v>5.9</c:v>
                </c:pt>
                <c:pt idx="15">
                  <c:v>5.8</c:v>
                </c:pt>
                <c:pt idx="16">
                  <c:v>8.6999999999999993</c:v>
                </c:pt>
                <c:pt idx="17">
                  <c:v>4.5999999999999996</c:v>
                </c:pt>
                <c:pt idx="18">
                  <c:v>7.1</c:v>
                </c:pt>
                <c:pt idx="19">
                  <c:v>9.1</c:v>
                </c:pt>
                <c:pt idx="20">
                  <c:v>10.1</c:v>
                </c:pt>
                <c:pt idx="21">
                  <c:v>10</c:v>
                </c:pt>
                <c:pt idx="22">
                  <c:v>9.3000000000000007</c:v>
                </c:pt>
                <c:pt idx="23">
                  <c:v>12.2</c:v>
                </c:pt>
                <c:pt idx="24">
                  <c:v>14.2</c:v>
                </c:pt>
                <c:pt idx="25">
                  <c:v>16.600000000000001</c:v>
                </c:pt>
                <c:pt idx="26">
                  <c:v>17.3</c:v>
                </c:pt>
                <c:pt idx="27">
                  <c:v>18.600000000000001</c:v>
                </c:pt>
                <c:pt idx="28">
                  <c:v>19.600000000000001</c:v>
                </c:pt>
                <c:pt idx="29">
                  <c:v>16.600000000000001</c:v>
                </c:pt>
                <c:pt idx="30">
                  <c:v>21.2</c:v>
                </c:pt>
                <c:pt idx="31">
                  <c:v>19.100000000000001</c:v>
                </c:pt>
                <c:pt idx="32">
                  <c:v>19.7</c:v>
                </c:pt>
                <c:pt idx="33">
                  <c:v>12.1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A98-4A9A-B29A-0CAC2FB66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576768"/>
        <c:axId val="156575232"/>
      </c:lineChart>
      <c:catAx>
        <c:axId val="15610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156573696"/>
        <c:crosses val="autoZero"/>
        <c:auto val="1"/>
        <c:lblAlgn val="ctr"/>
        <c:lblOffset val="0"/>
        <c:noMultiLvlLbl val="0"/>
      </c:catAx>
      <c:valAx>
        <c:axId val="156573696"/>
        <c:scaling>
          <c:orientation val="minMax"/>
          <c:max val="6"/>
          <c:min val="-7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Příspěvěk</a:t>
                </a:r>
                <a:r>
                  <a:rPr lang="cs-CZ" sz="700" b="0" i="1" baseline="0"/>
                  <a:t> 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+mn-cs"/>
                  </a:rPr>
                  <a:t>k </a:t>
                </a:r>
                <a:r>
                  <a:rPr lang="cs-CZ" sz="700" b="0" i="1" baseline="0"/>
                  <a:t>růstu tržeb</a:t>
                </a:r>
                <a:endParaRPr lang="cs-CZ" sz="700" b="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100864"/>
        <c:crosses val="autoZero"/>
        <c:crossBetween val="between"/>
        <c:majorUnit val="1"/>
      </c:valAx>
      <c:valAx>
        <c:axId val="156575232"/>
        <c:scaling>
          <c:orientation val="minMax"/>
          <c:max val="120"/>
          <c:min val="-1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0" i="1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+mn-cs"/>
                  </a:defRPr>
                </a:pPr>
                <a:r>
                  <a:rPr lang="cs-CZ" sz="700" b="0" i="1" baseline="0">
                    <a:effectLst/>
                  </a:rPr>
                  <a:t>Saldo indikátoru důvěry, Bariéry růstu</a:t>
                </a:r>
                <a:endParaRPr lang="cs-CZ" sz="700" b="0" i="1">
                  <a:effectLst/>
                </a:endParaRP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576768"/>
        <c:crosses val="max"/>
        <c:crossBetween val="between"/>
        <c:majorUnit val="10"/>
      </c:valAx>
      <c:catAx>
        <c:axId val="15657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657523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2.7321712325311751E-3"/>
          <c:y val="0.83236472245363968"/>
          <c:w val="0.99197450866656334"/>
          <c:h val="0.16409786326250428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5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913D-6B5D-444D-9C03-6771F9EFF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9C50B-C9A5-4453-94C6-750304DB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3</TotalTime>
  <Pages>7</Pages>
  <Words>3453</Words>
  <Characters>19168</Characters>
  <Application>Microsoft Office Word</Application>
  <DocSecurity>0</DocSecurity>
  <Lines>324</Lines>
  <Paragraphs>100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22521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2020-06-12T09:08:00Z</dcterms:created>
  <dcterms:modified xsi:type="dcterms:W3CDTF">2020-06-12T09:19:00Z</dcterms:modified>
</cp:coreProperties>
</file>