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F8520" w14:textId="77777777" w:rsidR="003E08A4" w:rsidRDefault="003E08A4" w:rsidP="003E08A4">
      <w:pPr>
        <w:pStyle w:val="Nadpis11"/>
      </w:pPr>
      <w:bookmarkStart w:id="0" w:name="_Toc532558287"/>
      <w:bookmarkStart w:id="1" w:name="_Toc58605375"/>
      <w:bookmarkStart w:id="2" w:name="_Toc66719931"/>
      <w:r>
        <w:t>5. Ceny</w:t>
      </w:r>
      <w:bookmarkEnd w:id="1"/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3E08A4" w14:paraId="4EE7CBA2" w14:textId="77777777" w:rsidTr="00275758">
        <w:trPr>
          <w:trHeight w:val="145"/>
        </w:trPr>
        <w:tc>
          <w:tcPr>
            <w:tcW w:w="1805" w:type="dxa"/>
            <w:hideMark/>
          </w:tcPr>
          <w:p w14:paraId="5A230F90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Celková cenová hladina loni velmi silně rostla.</w:t>
            </w:r>
          </w:p>
        </w:tc>
        <w:tc>
          <w:tcPr>
            <w:tcW w:w="224" w:type="dxa"/>
          </w:tcPr>
          <w:p w14:paraId="0E18F9BB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6F313C6B" w14:textId="77777777" w:rsidR="003E08A4" w:rsidRDefault="003E08A4" w:rsidP="0027575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Podle deflátoru hrubého domácího produktu vzrostla loni celková cenová hladina o 4,1 %, což je nejvíce od roku 2001. Vysoký byl růst cen spotřeby (3,4 %) i kapitálových statků (2,5 %). Nárůst cenové hladiny podpořily i kladné směnné relace (101,6 %). V samotném 4. čtvrtletí meziročně vzrostla celková cenová hladina o 4,2 %. Ceny spotřebních statků se navýšily o 3,1 %, zejména kvůli spotřebě vládních institucí (5,6 %). Růst cen spotřebních statků domácností zpomalil na 1,8 %. Kapitálové statky ve 4. čtvrtletí zdražily o 2,8 %. Směnné relace dosáhly 102,0 %, z toho směnné relace obchodu se zbožím činily 102,3 % a se službami 99,9 %.</w:t>
            </w:r>
          </w:p>
        </w:tc>
      </w:tr>
      <w:tr w:rsidR="003E08A4" w14:paraId="065637EC" w14:textId="77777777" w:rsidTr="00275758">
        <w:trPr>
          <w:trHeight w:val="145"/>
        </w:trPr>
        <w:tc>
          <w:tcPr>
            <w:tcW w:w="1805" w:type="dxa"/>
            <w:hideMark/>
          </w:tcPr>
          <w:p w14:paraId="2D7BDBF2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Celkový nárůst spotřebitelských cen loni činil 3,2 %. Ve 4. čtvrtletí meziroční dynamika výrazně zpomalila.</w:t>
            </w:r>
          </w:p>
        </w:tc>
        <w:tc>
          <w:tcPr>
            <w:tcW w:w="224" w:type="dxa"/>
          </w:tcPr>
          <w:p w14:paraId="03B1A171" w14:textId="77777777" w:rsidR="003E08A4" w:rsidRDefault="003E08A4" w:rsidP="00275758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0" w:type="dxa"/>
          </w:tcPr>
          <w:p w14:paraId="508B2D50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Růst indexu spotřebitelských cen ve 4. čtvrtletí 2020 výrazně zpomalil. Oproti 3. čtvrtletí se spotřebitelské ceny snížily o 0,4 %, což je první pokles od 4. čtvrtletí 2015. Na mezičtvrtletním poklesu se podílelo zejména zastavení prudkých nárůstů cen alkoholických nápojů a tabáku. Snížily se také ceny potravin a nealkoholických nápojů, bydlení a energií a rekreace a kultury. Zároveň zpomalila mezičtvrtletní dynamika u cen dopravy a stravování a ubytování. Meziroční přírůstek spotřebitelských cen ve 4.</w:t>
            </w:r>
            <w:r>
              <w:t> </w:t>
            </w:r>
            <w:r>
              <w:rPr>
                <w:lang w:eastAsia="en-US"/>
              </w:rPr>
              <w:t>kvartálu výrazně zpomalil na 2,6 %, nejnižší hodnotu od 4. čtvrtletí 2018. Zpomalení celkové meziroční dynamiky také nejvíce ovlivnil vývoj cen potravin a nealkoholických nápojů a bydlení a energií. Průměrná inflace v roce 2020 dosáhla 3,2 % a byla nejvyšší od roku 2012. Cenový růst loni nejvíce podpořily potraviny a nealkoholické nápoje, alkoholické nápoje a tabák a bydlení a energie.</w:t>
            </w:r>
          </w:p>
        </w:tc>
      </w:tr>
      <w:tr w:rsidR="003E08A4" w14:paraId="57915FC5" w14:textId="77777777" w:rsidTr="00275758">
        <w:trPr>
          <w:trHeight w:val="145"/>
        </w:trPr>
        <w:tc>
          <w:tcPr>
            <w:tcW w:w="1805" w:type="dxa"/>
            <w:hideMark/>
          </w:tcPr>
          <w:p w14:paraId="34AC14C1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Hlavním tahounem cenového růstu loni byly potraviny a nealkoholické nápoje. Jejich vliv ke konci roku výrazně oslabil.</w:t>
            </w:r>
          </w:p>
        </w:tc>
        <w:tc>
          <w:tcPr>
            <w:tcW w:w="224" w:type="dxa"/>
          </w:tcPr>
          <w:p w14:paraId="48A4F68C" w14:textId="77777777" w:rsidR="003E08A4" w:rsidRDefault="003E08A4" w:rsidP="00275758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0" w:type="dxa"/>
          </w:tcPr>
          <w:p w14:paraId="7B9328CE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Potraviny a nealkoholické nápoje byly po většinu roku jednou z hlavních hybných sil meziročního růstu spotřebitelských cen. V 1. pololetí potraviny a nealkoholické nápoje zdražovaly mimořádně vysokým tempem (meziročně o 6,1 % a 6,5 % v 1. a ve 2. čtvrtletí). Důvodem byly zejména ceny masa, které ovlivnil nedostatek vepřového na světových trzích. Ten souvisel s rozšířením afrického moru prasat. Ve 3. čtvrtletí meziroční přírůstek cen potravin a nealkoholických nápojů výrazně zpomalil (4,0 %) a podobně pokračoval vývoj ve 4. čtvrtletí (1,7 %). Prudké zpomalení ovlivnily zejména ceny masa (meziroční přírůstek 2,0 % ve 4. čtvrtletí) a ovoce (9,1 %). Mírný byl růst cen pekárenských výrobků a obilovin (1,0 %). Meziročně klesly ceny mléka, sýrů a vajec (–1,3 %). Za celý rok 2020 se ceny potravin a nealkoholických nápojů zvýšily o 4,5 %.</w:t>
            </w:r>
          </w:p>
        </w:tc>
      </w:tr>
      <w:tr w:rsidR="003E08A4" w14:paraId="786B3937" w14:textId="77777777" w:rsidTr="00275758">
        <w:trPr>
          <w:trHeight w:val="145"/>
        </w:trPr>
        <w:tc>
          <w:tcPr>
            <w:tcW w:w="1805" w:type="dxa"/>
          </w:tcPr>
          <w:p w14:paraId="7F13E8FF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Růst cen bydlení a energií také v průběhu roku slábl.</w:t>
            </w:r>
          </w:p>
        </w:tc>
        <w:tc>
          <w:tcPr>
            <w:tcW w:w="224" w:type="dxa"/>
          </w:tcPr>
          <w:p w14:paraId="39DE7613" w14:textId="77777777" w:rsidR="003E08A4" w:rsidRDefault="003E08A4" w:rsidP="00275758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0" w:type="dxa"/>
          </w:tcPr>
          <w:p w14:paraId="26647F0F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Ceny bydlení, vody, energií a paliv se zejména v roce 2019 prudce zvyšovaly (5,3 %), protože zároveň rostly ceny nájemného, nákladů vlastnického bydlení i ceny elektřiny. Loni se meziroční dynamika cen bydlení a energií v průběhu roku mírnila (meziroční přírůstky 4,2 %, 3,2 %, 2,7 % a 1,4 % v jednotlivých čtvrtletích). Postupně se snižovaly přírůstky cen nájemného (na počátku roku 4,3 %, ve 4. čtvrtletí 2,0 %), ale také imputovaného nájemného, které zachycuje náklady vlastnického bydlení (z 3,7 % v 1. čtvrtletí na 1,5 % ve 4. kvartálu). Růst cen elektrické a tepelné energie, plynu a ostatních paliv byl v 1. až 3. čtvrtletí poměrně silný (4,7 %, 3,7 % a 3,5 %), ale prudce se snížil ve 4. čtvrtletí (0,4 %). Oproti roku 2019 se ceny bydlení a energií zvýšily o 2,9 %. Ceny nájemného vzrostly o 3,1 %, imputovaného nájemného o 2,4 % a energií o 3,1 %. Poměrně výrazný v průběhu roku zůstával meziroční růst cen běžné údržby a drobných oprav (3,2 %) a ostatních služeb souvisejících s bydlením (4,3 %).</w:t>
            </w:r>
          </w:p>
        </w:tc>
      </w:tr>
      <w:tr w:rsidR="003E08A4" w14:paraId="11E638E0" w14:textId="77777777" w:rsidTr="00275758">
        <w:trPr>
          <w:trHeight w:val="145"/>
        </w:trPr>
        <w:tc>
          <w:tcPr>
            <w:tcW w:w="1805" w:type="dxa"/>
          </w:tcPr>
          <w:p w14:paraId="447ED9DB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Naopak ceny alkoholu a tabáku ve 4. čtvrtletí nejvíce přispívaly k meziročnímu nárůstu spotřebitelských cen.</w:t>
            </w:r>
          </w:p>
        </w:tc>
        <w:tc>
          <w:tcPr>
            <w:tcW w:w="224" w:type="dxa"/>
          </w:tcPr>
          <w:p w14:paraId="51788F88" w14:textId="77777777" w:rsidR="003E08A4" w:rsidRDefault="003E08A4" w:rsidP="00275758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0" w:type="dxa"/>
          </w:tcPr>
          <w:p w14:paraId="1927409B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 dynamiky cen alkoholu a tabáku se hned z počátku roku projevil nárůst spotřební daně (zrychlení meziročního nárůstu cen o 3,5 %), především u alkoholu. Vlivem předzásobení se ale zvýšení daně u tabáku projevilo až ve 2. čtvrtletí a ceny v oddílu dostaly další impulz (6,6 %). V průběhu 2. pololetí došlo k dalšímu posílení dynamiky cen alkoholu a tabáku na 10,3 % ve 3. čtvrtletí a 9,9 % ve 4. čtvrtletí. Posilovala přitom zejména meziroční dynamika u tabáku (2,6 %, 7,5 %, 14,0 % a 15,1 % v jednotlivých </w:t>
            </w:r>
            <w:r>
              <w:rPr>
                <w:lang w:eastAsia="en-US"/>
              </w:rPr>
              <w:lastRenderedPageBreak/>
              <w:t>čtvrtletích). Za celý rok 2020 vzrostly ceny alkoholu a tabáku o 7,6 % (nejvíc od roku 2008), z toho ceny alkoholických nápojů o 4,8 % a tabáku o 9,8 %.</w:t>
            </w:r>
          </w:p>
        </w:tc>
      </w:tr>
      <w:tr w:rsidR="003E08A4" w14:paraId="24481169" w14:textId="77777777" w:rsidTr="00275758">
        <w:trPr>
          <w:trHeight w:val="170"/>
        </w:trPr>
        <w:tc>
          <w:tcPr>
            <w:tcW w:w="1805" w:type="dxa"/>
            <w:vMerge w:val="restart"/>
          </w:tcPr>
          <w:p w14:paraId="4820B68D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</w:p>
        </w:tc>
        <w:tc>
          <w:tcPr>
            <w:tcW w:w="224" w:type="dxa"/>
            <w:vMerge w:val="restart"/>
          </w:tcPr>
          <w:p w14:paraId="2A081C83" w14:textId="77777777" w:rsidR="003E08A4" w:rsidRDefault="003E08A4" w:rsidP="00275758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143A868A" w14:textId="77777777" w:rsidR="003E08A4" w:rsidRPr="00D721B4" w:rsidRDefault="003E08A4" w:rsidP="00275758">
            <w:pPr>
              <w:spacing w:after="0"/>
              <w:rPr>
                <w:b/>
                <w:spacing w:val="-2"/>
                <w:szCs w:val="20"/>
                <w:lang w:eastAsia="en-US"/>
              </w:rPr>
            </w:pPr>
            <w:r w:rsidRPr="00D721B4">
              <w:rPr>
                <w:rFonts w:cs="Arial"/>
                <w:b/>
                <w:bCs/>
                <w:color w:val="000000"/>
                <w:spacing w:val="-2"/>
                <w:szCs w:val="20"/>
                <w:lang w:eastAsia="en-US"/>
              </w:rPr>
              <w:t>Graf č. 9  Ceny ve vybraných oddílech indexu spotřebitelských cen</w:t>
            </w:r>
            <w:r w:rsidRPr="00D721B4">
              <w:rPr>
                <w:rFonts w:cs="Arial"/>
                <w:b/>
                <w:color w:val="000000"/>
                <w:spacing w:val="-2"/>
                <w:szCs w:val="20"/>
                <w:lang w:eastAsia="en-US"/>
              </w:rPr>
              <w:t xml:space="preserve"> </w:t>
            </w:r>
            <w:r w:rsidRPr="00D721B4">
              <w:rPr>
                <w:rFonts w:cs="Arial"/>
                <w:color w:val="000000"/>
                <w:spacing w:val="-2"/>
                <w:szCs w:val="20"/>
                <w:lang w:eastAsia="en-US"/>
              </w:rPr>
              <w:t>(meziročně v %)</w:t>
            </w:r>
          </w:p>
        </w:tc>
      </w:tr>
      <w:tr w:rsidR="003E08A4" w14:paraId="3E07E1C9" w14:textId="77777777" w:rsidTr="0027575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vAlign w:val="center"/>
            <w:hideMark/>
          </w:tcPr>
          <w:p w14:paraId="7BD0A23D" w14:textId="77777777" w:rsidR="003E08A4" w:rsidRDefault="003E08A4" w:rsidP="00275758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vMerge/>
            <w:vAlign w:val="center"/>
            <w:hideMark/>
          </w:tcPr>
          <w:p w14:paraId="0DECE7BD" w14:textId="77777777" w:rsidR="003E08A4" w:rsidRDefault="003E08A4" w:rsidP="00275758">
            <w:pPr>
              <w:spacing w:after="0" w:line="240" w:lineRule="auto"/>
              <w:jc w:val="left"/>
              <w:rPr>
                <w:rFonts w:eastAsia="Calibri"/>
                <w:szCs w:val="20"/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5482EE96" w14:textId="77777777" w:rsidR="003E08A4" w:rsidRDefault="003E08A4" w:rsidP="00275758">
            <w:pPr>
              <w:spacing w:after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E490200" wp14:editId="31DEA6DF">
                  <wp:extent cx="4737600" cy="3438900"/>
                  <wp:effectExtent l="0" t="0" r="6350" b="0"/>
                  <wp:docPr id="34" name="Graf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E08A4" w14:paraId="6EE00396" w14:textId="77777777" w:rsidTr="00275758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4F6DA812" w14:textId="77777777" w:rsidR="003E08A4" w:rsidRDefault="003E08A4" w:rsidP="00275758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D5A264" w14:textId="77777777" w:rsidR="003E08A4" w:rsidRDefault="003E08A4" w:rsidP="00275758">
            <w:pPr>
              <w:spacing w:after="0" w:line="240" w:lineRule="auto"/>
              <w:jc w:val="left"/>
              <w:rPr>
                <w:rFonts w:eastAsia="Calibri"/>
                <w:szCs w:val="20"/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6AC3A6B9" w14:textId="77777777" w:rsidR="003E08A4" w:rsidRDefault="003E08A4" w:rsidP="00275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ČSÚ</w:t>
            </w:r>
          </w:p>
        </w:tc>
      </w:tr>
      <w:tr w:rsidR="003E08A4" w14:paraId="5E111C7E" w14:textId="77777777" w:rsidTr="00275758">
        <w:trPr>
          <w:trHeight w:val="145"/>
        </w:trPr>
        <w:tc>
          <w:tcPr>
            <w:tcW w:w="1805" w:type="dxa"/>
          </w:tcPr>
          <w:p w14:paraId="22F67F6A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Na ceny dopravy působil propad cen ropy, ale také zdražení dopravních prostředků.</w:t>
            </w:r>
          </w:p>
        </w:tc>
        <w:tc>
          <w:tcPr>
            <w:tcW w:w="224" w:type="dxa"/>
          </w:tcPr>
          <w:p w14:paraId="6582CAF7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65B14E2E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Oddíl doprava v průběhu loňského roku zaznamenal cenové turbulence související nejdříve s rekordním jarním propadem cen ropy a následně se zdražením motorových vozidel</w:t>
            </w:r>
            <w:r>
              <w:rPr>
                <w:rStyle w:val="Znakapoznpodarou"/>
                <w:lang w:eastAsia="en-US"/>
              </w:rPr>
              <w:footnoteReference w:id="1"/>
            </w:r>
            <w:r>
              <w:rPr>
                <w:lang w:eastAsia="en-US"/>
              </w:rPr>
              <w:t>. Oba vlivy působily proti sobě, takže výsledný pokles cen dopravy v roce 2020 byl jen mírný (–0,4 %). Z toho ale ceny dopravních prostředků vzrostly o 4,6 % a naopak ceny jejich provozu se propadly o 5,7 %. V samotném 4. čtvrtletí ceny dopravy mírně meziročně rostly (0,6 %), ceny dopravních prostředků se zvýšily o 8,3 % a ceny provozu dopravních prostředků setrvaly v hlubokém propadu (–6,7 %).</w:t>
            </w:r>
          </w:p>
        </w:tc>
      </w:tr>
      <w:tr w:rsidR="003E08A4" w14:paraId="1A43FDED" w14:textId="77777777" w:rsidTr="00275758">
        <w:trPr>
          <w:trHeight w:val="145"/>
        </w:trPr>
        <w:tc>
          <w:tcPr>
            <w:tcW w:w="1805" w:type="dxa"/>
          </w:tcPr>
          <w:p w14:paraId="517EE92F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Zatímco ceny stravování si loni držely silný meziroční růst, dynamika cen ubytování oslabila.</w:t>
            </w:r>
          </w:p>
        </w:tc>
        <w:tc>
          <w:tcPr>
            <w:tcW w:w="224" w:type="dxa"/>
          </w:tcPr>
          <w:p w14:paraId="0CC4A0FF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6E60FFD8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Poměrně významně k růstu spotřebitelských cen po celý rok přispívalo také stravování a ubytování. Meziroční přírůstky se zde po většinu roku držely okolo 5 % a oslabily až v jeho závěru (4,3 % ve 4. čtvrtletí). Za celý rok 2020 se ceny zvýšily o 4,9 %. Výrazné navyšování přitom probíhalo u cen stravování (meziroční růst neklesl pod 5,0 %), zatímco růst cen ubytovacích služeb výrazně zpomalil ze 4,9 % v 1. kvartálu na 0,1 % ve 4.</w:t>
            </w:r>
            <w:r>
              <w:t> </w:t>
            </w:r>
            <w:r>
              <w:rPr>
                <w:lang w:eastAsia="en-US"/>
              </w:rPr>
              <w:t>čtvrtletí. Ceny odívání a obuvi v roce 2020 vzrostly o 3,7 % (z toho o 3,4 % ve 4. čtvrtletí). Přírůstek cen bytového vybavení a zařízení domácností loni činil 2,9 % (2,8 % ve 4. čtvrtletí). Ceny rekreace a kultury se loni zvýšily o 2,2 % (2,5 % ve 4. čtvrtletí). Jediná součást spotřebního koše, kde ceny loni klesly, byly pošty a telekomunikace (–3,6 %). Pokles je zde ale dlouhodobým trendem. Naposledy se ceny pošt a telekomunikací zvýšily v roce 2006.</w:t>
            </w:r>
          </w:p>
        </w:tc>
      </w:tr>
      <w:tr w:rsidR="003E08A4" w14:paraId="51E81FDF" w14:textId="77777777" w:rsidTr="00275758">
        <w:trPr>
          <w:trHeight w:val="145"/>
        </w:trPr>
        <w:tc>
          <w:tcPr>
            <w:tcW w:w="1805" w:type="dxa"/>
            <w:hideMark/>
          </w:tcPr>
          <w:p w14:paraId="3D713BB3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Spotřebitelské ceny v EU loni vzrostly nejméně od roku 2016.</w:t>
            </w:r>
          </w:p>
        </w:tc>
        <w:tc>
          <w:tcPr>
            <w:tcW w:w="224" w:type="dxa"/>
          </w:tcPr>
          <w:p w14:paraId="3C0C0A42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34F263B6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Spotřebitelské ceny v Evropské unii se loni zvýšily o 0,7 %</w:t>
            </w:r>
            <w:r>
              <w:rPr>
                <w:rStyle w:val="Znakapoznpodarou"/>
                <w:lang w:eastAsia="en-US"/>
              </w:rPr>
              <w:footnoteReference w:id="2"/>
            </w:r>
            <w:r>
              <w:rPr>
                <w:lang w:eastAsia="en-US"/>
              </w:rPr>
              <w:t xml:space="preserve">, což je nejméně od roku 2016, a v průběhu roku jejich dynamika postupně zpomalovala. Dynamiku cen tlačil dolů pokles cen dopravy (–2,2 %), způsobený meziročním propadem cen ropy, ale rovněž zastavení růstu cen bydlení a energií (–0,1 %), které v předchozích letech </w:t>
            </w:r>
            <w:r>
              <w:rPr>
                <w:lang w:eastAsia="en-US"/>
              </w:rPr>
              <w:lastRenderedPageBreak/>
              <w:t>ovlivňovalo prudké zdražování elektřiny. Silný zůstal přírůstek cen potravin a nealkoholických nápojů (2,5 %) a alkoholických nápojů a tabáku (3,9 %). Nejvíce se spotřebitelské ceny loni navýšily v Polsku (3,7 %), Maďarsku (3,4 %) a Česku (3,3 %). Spotřebitelské ceny klesly celkem v osmi zemích, nejvíce v Řecku (–1,3 %), na Kypru</w:t>
            </w:r>
            <w:r>
              <w:rPr>
                <w:lang w:eastAsia="en-US"/>
              </w:rPr>
              <w:br/>
              <w:t>(–1,1 %) a v Estonsku (–0,6 %). V samotném 4. čtvrtletí spotřebitelské ceny v EU vzrostly o 0,2 %. Průměru EU se značně vymykaly země střední Evropy, zejména Polsko (3,6 %), Maďarsko (2,9 %) a Česko (2,7 %). Ve dvanácti zemích ceny klesly, nejvýrazněji v Řecku (–2,2 %), Estonsku (–1,3 %) a Irsku a na Kypru (shodně –1,1 %).</w:t>
            </w:r>
          </w:p>
        </w:tc>
      </w:tr>
      <w:tr w:rsidR="003E08A4" w14:paraId="45EFBCA1" w14:textId="77777777" w:rsidTr="00275758">
        <w:trPr>
          <w:trHeight w:val="145"/>
        </w:trPr>
        <w:tc>
          <w:tcPr>
            <w:tcW w:w="1805" w:type="dxa"/>
            <w:hideMark/>
          </w:tcPr>
          <w:p w14:paraId="511B9749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Růst cen bytů mimo Prahu dál zrychluje.</w:t>
            </w:r>
          </w:p>
        </w:tc>
        <w:tc>
          <w:tcPr>
            <w:tcW w:w="224" w:type="dxa"/>
          </w:tcPr>
          <w:p w14:paraId="2A87AD3A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320D5E84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Meziroční dynamika nabídkových cen bytů ve 4. čtvrtletí po delší době zpomalila. Celkově se nabídkové ceny bytů v ČR meziročně zvýšily o 7,6 %. Zpomalení tempa se přitom týkalo pouze cen bytů v Praze (5,2 %), ve zbytku Česka přírůstek nabídkových cen zrychlil na 11,0 %. Možným důvodem je přetlak poptávky, která se přesunula do okolí Prahy, ale také pokračující prudký růst cen v ostatních velkých městech, která se také potýkají s pomalou výstavbou. Růst cen se i u nich přelévá do okolí. Realizované ceny starších bytů ve 4. čtvrtletí meziročně vzrostly o 12,6 %, což je nejvíce od 3. čtvrtletí 2017. Opět byly hlavním tahounem růstu ceny bytů mimo Prahu (13,6 %), ale mírně zrychlil i přírůstek realizovaných cen starších bytů v Praze. Na vysoké úrovni se nadále držel meziroční růst realizovaných cen nových bytů v Praze, který ve 4. čtvrtletí dosáhl 9,2 %.</w:t>
            </w:r>
          </w:p>
        </w:tc>
      </w:tr>
      <w:tr w:rsidR="003E08A4" w14:paraId="3DBBBE73" w14:textId="77777777" w:rsidTr="00275758">
        <w:trPr>
          <w:trHeight w:val="170"/>
        </w:trPr>
        <w:tc>
          <w:tcPr>
            <w:tcW w:w="1805" w:type="dxa"/>
            <w:vMerge w:val="restart"/>
          </w:tcPr>
          <w:p w14:paraId="19243BB1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</w:p>
        </w:tc>
        <w:tc>
          <w:tcPr>
            <w:tcW w:w="224" w:type="dxa"/>
            <w:vMerge w:val="restart"/>
          </w:tcPr>
          <w:p w14:paraId="1E12A88E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  <w:hideMark/>
          </w:tcPr>
          <w:p w14:paraId="4CD90C5A" w14:textId="77777777" w:rsidR="003E08A4" w:rsidRPr="00D721B4" w:rsidRDefault="003E08A4" w:rsidP="00275758">
            <w:pPr>
              <w:spacing w:after="0"/>
              <w:rPr>
                <w:szCs w:val="20"/>
                <w:lang w:eastAsia="en-US"/>
              </w:rPr>
            </w:pPr>
            <w:r w:rsidRPr="00D721B4">
              <w:rPr>
                <w:b/>
                <w:szCs w:val="20"/>
                <w:lang w:eastAsia="en-US"/>
              </w:rPr>
              <w:t xml:space="preserve">Graf č. 10  Ceny nemovitostí </w:t>
            </w:r>
            <w:r w:rsidRPr="00D721B4">
              <w:rPr>
                <w:szCs w:val="20"/>
                <w:lang w:eastAsia="en-US"/>
              </w:rPr>
              <w:t>(meziroční změna, v %)</w:t>
            </w:r>
          </w:p>
        </w:tc>
      </w:tr>
      <w:tr w:rsidR="003E08A4" w14:paraId="16EBF338" w14:textId="77777777" w:rsidTr="0027575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vAlign w:val="center"/>
            <w:hideMark/>
          </w:tcPr>
          <w:p w14:paraId="66860EE0" w14:textId="77777777" w:rsidR="003E08A4" w:rsidRDefault="003E08A4" w:rsidP="00275758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vMerge/>
            <w:vAlign w:val="center"/>
            <w:hideMark/>
          </w:tcPr>
          <w:p w14:paraId="3FF5A40E" w14:textId="77777777" w:rsidR="003E08A4" w:rsidRDefault="003E08A4" w:rsidP="00275758">
            <w:pPr>
              <w:spacing w:after="0" w:line="240" w:lineRule="auto"/>
              <w:jc w:val="left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4DA39084" w14:textId="77777777" w:rsidR="003E08A4" w:rsidRDefault="003E08A4" w:rsidP="00275758">
            <w:pPr>
              <w:spacing w:after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B48FEE" wp14:editId="3B026BE9">
                  <wp:extent cx="4737600" cy="3438900"/>
                  <wp:effectExtent l="0" t="0" r="6350" b="0"/>
                  <wp:docPr id="36" name="Graf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E08A4" w14:paraId="6A0D5E70" w14:textId="77777777" w:rsidTr="00275758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74DE67F5" w14:textId="77777777" w:rsidR="003E08A4" w:rsidRDefault="003E08A4" w:rsidP="00275758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472030" w14:textId="77777777" w:rsidR="003E08A4" w:rsidRDefault="003E08A4" w:rsidP="00275758">
            <w:pPr>
              <w:spacing w:after="0" w:line="240" w:lineRule="auto"/>
              <w:jc w:val="left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2AAA806B" w14:textId="77777777" w:rsidR="003E08A4" w:rsidRDefault="003E08A4" w:rsidP="00275758">
            <w:pPr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ČSÚ</w:t>
            </w:r>
          </w:p>
        </w:tc>
      </w:tr>
      <w:tr w:rsidR="003E08A4" w14:paraId="5FE92B40" w14:textId="77777777" w:rsidTr="00275758">
        <w:trPr>
          <w:trHeight w:val="145"/>
        </w:trPr>
        <w:tc>
          <w:tcPr>
            <w:tcW w:w="1805" w:type="dxa"/>
          </w:tcPr>
          <w:p w14:paraId="1DECD92A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Na ceny průmyslových výrobců loni rovněž působil meziroční propad cen ropy.</w:t>
            </w:r>
          </w:p>
        </w:tc>
        <w:tc>
          <w:tcPr>
            <w:tcW w:w="224" w:type="dxa"/>
          </w:tcPr>
          <w:p w14:paraId="2253D802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05927D9A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Meziroční dynamiku cen průmyslových výrobců po většinu roku ovlivňoval pokles cen ropy. Za celý rok 2020 se cenová úroveň téměř nezměnila (0,1 %) a stejný meziroční vývoj měly ceny průmyslových výrobců také ve 4. čtvrtletí. Ceny výrobků a služeb zpracovatelského průmyslu, které tvoří většinu z celkového indexu, v loňském roce klesly o 1,4 %. Za většinou z tohoto poklesu přitom stály ceny koksu a rafinovaných ropných produktů</w:t>
            </w:r>
            <w:r>
              <w:rPr>
                <w:rStyle w:val="Znakapoznpodarou"/>
                <w:lang w:eastAsia="en-US"/>
              </w:rPr>
              <w:footnoteReference w:id="3"/>
            </w:r>
            <w:r>
              <w:rPr>
                <w:lang w:eastAsia="en-US"/>
              </w:rPr>
              <w:t>. S vývojem cen ropy souvisí i loňský pokles cen chemických látek a výrobků (–8,3 %). Snižovaly se rovněž ceny obecných kovů a kovodělných výrobků</w:t>
            </w:r>
            <w:r>
              <w:rPr>
                <w:lang w:eastAsia="en-US"/>
              </w:rPr>
              <w:br/>
              <w:t xml:space="preserve">(–1,6 %). Ve směru zvyšování cen průmyslových výrobců působily zejména nábytek </w:t>
            </w:r>
            <w:r>
              <w:rPr>
                <w:lang w:eastAsia="en-US"/>
              </w:rPr>
              <w:lastRenderedPageBreak/>
              <w:t>a ostatní výrobky zpracovatelského průmyslu (4,5 %, především opravy, údržba a instalace strojů a zařízení), dopravní prostředky (2,2 %) a potravinářské výrobky, nápoje a tabák (2,1 %). V samotném 4. čtvrtletí se ceny výrobků a služeb zpracovatelského průmyslu meziročně snížily o 1,2 %, opět především kvůli vývoji cen koksu a rafinovaných ropných výrobků. Výrazněji ve 4. čtvrtletí působily ve směru poklesu jen ceny chemických látek a výrobků (–7,3 %). K růstu cen průmyslových výrobců nejvíce přispívaly ceny dopravních prostředků (meziroční nárůst o 3,3 %) a nábytek a ostatní výrobky zpracovatelského průmyslu (4,2 %).</w:t>
            </w:r>
          </w:p>
        </w:tc>
      </w:tr>
      <w:tr w:rsidR="003E08A4" w14:paraId="5A563E68" w14:textId="77777777" w:rsidTr="00275758">
        <w:trPr>
          <w:trHeight w:val="145"/>
        </w:trPr>
        <w:tc>
          <w:tcPr>
            <w:tcW w:w="1805" w:type="dxa"/>
          </w:tcPr>
          <w:p w14:paraId="0F2D19D5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Meziročně klesaly ceny těžby a dobývání.</w:t>
            </w:r>
          </w:p>
        </w:tc>
        <w:tc>
          <w:tcPr>
            <w:tcW w:w="224" w:type="dxa"/>
          </w:tcPr>
          <w:p w14:paraId="5044C337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7901EFB7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Ceny těžby a dobývání se v roce 2020 snížily celkově o 2,8 % a také u nich se projevil propad cen ropy. Hluboce se totiž propadly ceny těžby ropy a zemního plynu (–24,2 %), výrazný pokles byl zaznamenán také u těžby uhlí (–5,0 %). Naopak ceny ostatní těžby a dobývání nerostných surovin vzrostly o 4,9 % (jde z velké části o stavební materiály). V samotném 4. čtvrtletí se meziroční pokles cen těžby a dobývání zmírnil na 2,0 %. Loni pokračoval velmi silný meziroční růst cen elektřiny (celkem o 7,7 %), který ale v průběhu roku mírně zvolňoval. I tak ale meziroční přírůstek ve 4. čtvrtletí činil velmi výrazných 6,1 %. Ceny zásobování vodou a služeb souvisejících s odpadními vodami se loni zvýšily o 6,1 %, z toho ve 4. čtvrtletí meziročně vzrostly o 6,4 %.</w:t>
            </w:r>
          </w:p>
        </w:tc>
      </w:tr>
      <w:tr w:rsidR="003E08A4" w14:paraId="5FA808B3" w14:textId="77777777" w:rsidTr="00275758">
        <w:trPr>
          <w:trHeight w:val="170"/>
        </w:trPr>
        <w:tc>
          <w:tcPr>
            <w:tcW w:w="1805" w:type="dxa"/>
            <w:vMerge w:val="restart"/>
          </w:tcPr>
          <w:p w14:paraId="39A51098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</w:p>
        </w:tc>
        <w:tc>
          <w:tcPr>
            <w:tcW w:w="224" w:type="dxa"/>
            <w:vMerge w:val="restart"/>
          </w:tcPr>
          <w:p w14:paraId="0C7A77E1" w14:textId="77777777" w:rsidR="003E08A4" w:rsidRDefault="003E08A4" w:rsidP="00275758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5155B25A" w14:textId="77777777" w:rsidR="003E08A4" w:rsidRPr="00D721B4" w:rsidRDefault="003E08A4" w:rsidP="00275758">
            <w:pPr>
              <w:spacing w:after="0"/>
              <w:rPr>
                <w:b/>
                <w:szCs w:val="20"/>
                <w:lang w:eastAsia="en-US"/>
              </w:rPr>
            </w:pPr>
            <w:r w:rsidRPr="00D721B4">
              <w:rPr>
                <w:b/>
                <w:szCs w:val="20"/>
                <w:lang w:eastAsia="en-US"/>
              </w:rPr>
              <w:t xml:space="preserve">Graf č. 11  Ceny hlavních skupin průmyslových výrobců </w:t>
            </w:r>
            <w:r w:rsidRPr="00D721B4">
              <w:rPr>
                <w:szCs w:val="20"/>
                <w:lang w:eastAsia="en-US"/>
              </w:rPr>
              <w:t>(meziroční změna, v %, podle klasifikace CPA)</w:t>
            </w:r>
          </w:p>
        </w:tc>
      </w:tr>
      <w:tr w:rsidR="003E08A4" w14:paraId="50CF90C4" w14:textId="77777777" w:rsidTr="0027575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vAlign w:val="center"/>
            <w:hideMark/>
          </w:tcPr>
          <w:p w14:paraId="4C62AB58" w14:textId="77777777" w:rsidR="003E08A4" w:rsidRDefault="003E08A4" w:rsidP="00275758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vMerge/>
            <w:vAlign w:val="center"/>
            <w:hideMark/>
          </w:tcPr>
          <w:p w14:paraId="00543387" w14:textId="77777777" w:rsidR="003E08A4" w:rsidRDefault="003E08A4" w:rsidP="00275758">
            <w:pPr>
              <w:spacing w:after="0" w:line="240" w:lineRule="auto"/>
              <w:jc w:val="left"/>
              <w:rPr>
                <w:rFonts w:eastAsia="Calibri"/>
                <w:szCs w:val="20"/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39496C61" w14:textId="77777777" w:rsidR="003E08A4" w:rsidRDefault="003E08A4" w:rsidP="00275758">
            <w:pPr>
              <w:spacing w:after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6F2AA4D" wp14:editId="067C31F4">
                  <wp:extent cx="4737600" cy="3432550"/>
                  <wp:effectExtent l="0" t="0" r="6350" b="0"/>
                  <wp:docPr id="37" name="Graf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E08A4" w14:paraId="7691B17A" w14:textId="77777777" w:rsidTr="00275758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45F19B06" w14:textId="77777777" w:rsidR="003E08A4" w:rsidRDefault="003E08A4" w:rsidP="00275758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D51DA1" w14:textId="77777777" w:rsidR="003E08A4" w:rsidRDefault="003E08A4" w:rsidP="00275758">
            <w:pPr>
              <w:spacing w:after="0" w:line="240" w:lineRule="auto"/>
              <w:jc w:val="left"/>
              <w:rPr>
                <w:rFonts w:eastAsia="Calibri"/>
                <w:szCs w:val="20"/>
                <w:highlight w:val="yellow"/>
                <w:lang w:eastAsia="en-US"/>
              </w:rPr>
            </w:pPr>
          </w:p>
        </w:tc>
        <w:tc>
          <w:tcPr>
            <w:tcW w:w="7610" w:type="dxa"/>
            <w:hideMark/>
          </w:tcPr>
          <w:p w14:paraId="6ADE8B44" w14:textId="77777777" w:rsidR="003E08A4" w:rsidRDefault="003E08A4" w:rsidP="00275758">
            <w:pPr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ČSÚ</w:t>
            </w:r>
          </w:p>
        </w:tc>
      </w:tr>
      <w:tr w:rsidR="003E08A4" w14:paraId="358357BF" w14:textId="77777777" w:rsidTr="00275758">
        <w:trPr>
          <w:trHeight w:val="145"/>
        </w:trPr>
        <w:tc>
          <w:tcPr>
            <w:tcW w:w="1805" w:type="dxa"/>
            <w:hideMark/>
          </w:tcPr>
          <w:p w14:paraId="4E52863D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Ceny průmyslových výrobců v celé EU ovlivnil propad cen ropy.</w:t>
            </w:r>
          </w:p>
        </w:tc>
        <w:tc>
          <w:tcPr>
            <w:tcW w:w="224" w:type="dxa"/>
          </w:tcPr>
          <w:p w14:paraId="4EF4A1CF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19F05F43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Ceny průmyslových výrobců v EU loni klesly o 2,4 %. Hlavní podíl na tom měl propad cen ropy, který ovlivnil ceny těžby a dobývání (–8,7 %), ale rovněž ceny ve zpracovatelském průmyslu (–1,6 %). Klesaly i ceny elektřiny, plynu, páry a klimatizovaného vzduchu (–5,9 %). Ceny průmyslových výrobců loni klesly ve většině zemí EU. Největší propad zaznamenaly Irsko (–7,5 %), Litva (–6,6 %) a Dánsko</w:t>
            </w:r>
            <w:r>
              <w:rPr>
                <w:lang w:eastAsia="en-US"/>
              </w:rPr>
              <w:br/>
              <w:t xml:space="preserve">(–4,7 %). Ceny nejvíce rostly na Maltě (1,6 %), Slovensku a v Maďarsku (shodně 0,8 %). V samotném 4. čtvrtletí ceny výrobců v EU meziročně klesly o 1,6 %. Efekt propadu cen ropy vyprchával jen pomalu, takže pokles ve většině zemí EU nadále trval. Největší snížení proběhlo v Litvě (–6,7 %), na Kypru (–5,9 %) a v Řecku (–5,5 %). </w:t>
            </w:r>
            <w:r>
              <w:rPr>
                <w:lang w:eastAsia="en-US"/>
              </w:rPr>
              <w:lastRenderedPageBreak/>
              <w:t>Ceny se ve 4. čtvrtletí nejvíce zvyšovaly na Maltě (1,7 %), v Maďarsku (1,5 %) a Irsku (1,2 %).</w:t>
            </w:r>
          </w:p>
        </w:tc>
      </w:tr>
      <w:tr w:rsidR="003E08A4" w14:paraId="2671BF3E" w14:textId="77777777" w:rsidTr="00275758">
        <w:trPr>
          <w:trHeight w:val="145"/>
        </w:trPr>
        <w:tc>
          <w:tcPr>
            <w:tcW w:w="1805" w:type="dxa"/>
          </w:tcPr>
          <w:p w14:paraId="0AC9FC07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Meziroční růst cen tržních služeb loni mírně oslabil.</w:t>
            </w:r>
          </w:p>
        </w:tc>
        <w:tc>
          <w:tcPr>
            <w:tcW w:w="224" w:type="dxa"/>
          </w:tcPr>
          <w:p w14:paraId="01D65085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15DBA5BB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Loni dynamika cen tržních služeb mírně oslabila oproti roku 2019, kdy výrazný růst souvisel s tlakem na trhu práce a růstem mezd. Celkově se v roce 2020 ceny tržních služeb zvýšily o 2,1 %. Nejvíce k růstu cen přispělo skladování a podpůrné služby v dopravě (nárůst o 5,2 %) a služby v oblasti programování a poradenství (3,6 %). Významný byl také vliv cen služeb v oblasti nemovitostí (2,9 %). Oproti roku 2019 oslabil, ale zůstal výrazný přírůstek cen služeb v oblasti zaměstnání (5,1 %), které jsou z velké míry navázány na dynamiku mezd. Loni poprvé od roku 2014 klesly ceny reklamních služeb a průzkumu trhu (–0,3 %) a drobné snížení bylo zaznamenáno také u cen telekomunikačních služeb (–0,1 %).</w:t>
            </w:r>
          </w:p>
        </w:tc>
      </w:tr>
      <w:tr w:rsidR="003E08A4" w14:paraId="3F847BFE" w14:textId="77777777" w:rsidTr="00275758">
        <w:trPr>
          <w:trHeight w:val="145"/>
        </w:trPr>
        <w:tc>
          <w:tcPr>
            <w:tcW w:w="1805" w:type="dxa"/>
          </w:tcPr>
          <w:p w14:paraId="74C282DD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U některých služeb se projevila aktuální ekonomická situace.</w:t>
            </w:r>
          </w:p>
        </w:tc>
        <w:tc>
          <w:tcPr>
            <w:tcW w:w="224" w:type="dxa"/>
          </w:tcPr>
          <w:p w14:paraId="65235437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1762AC9B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Meziroční přírůstek cen tržních služeb byl nejvyšší v 1. čtvrtletí (2,5 %), po mírném oslabení se po zbytek roku růst držel na stabilní úrovni (2,1 %, 2,0 % a 2,0 % ve 2. až 4. čtvrtletí). Struktura růstu se příliš nelišila od čísel za celý rok. Ve 4. čtvrtletí k cenovému růstu nejvíce přispívalo skladování a podpůrné služby v dopravě (meziroční přírůstek 4,9 %), služby v oblasti programování a související poradenství (3,6 %) a služby v oblasti nemovitostí (3,3 %). Současná ekonomická situace se pravděpodobně odrazila ve výrazném zrychlení růstu cen za služby vedení podniků a poradenství v oblasti řízení (7,9 %) a naopak ve zpomalení u služeb v oblasti zaměstnání (1,3 %). Ceny reklamních služeb a průzkumu trhu ve 4. čtvrtletí meziročně klesly o 1,9 %.</w:t>
            </w:r>
          </w:p>
        </w:tc>
      </w:tr>
      <w:tr w:rsidR="003E08A4" w14:paraId="024AF98A" w14:textId="77777777" w:rsidTr="00275758">
        <w:trPr>
          <w:trHeight w:val="145"/>
        </w:trPr>
        <w:tc>
          <w:tcPr>
            <w:tcW w:w="1805" w:type="dxa"/>
            <w:hideMark/>
          </w:tcPr>
          <w:p w14:paraId="58959644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Ceny zemědělské výroby loni klesly. Během roku se ale propad zmírňoval.</w:t>
            </w:r>
          </w:p>
        </w:tc>
        <w:tc>
          <w:tcPr>
            <w:tcW w:w="224" w:type="dxa"/>
          </w:tcPr>
          <w:p w14:paraId="7DB2841E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448375CC" w14:textId="77777777" w:rsidR="003E08A4" w:rsidRDefault="003E08A4" w:rsidP="00275758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Ceny zemědělské výroby v roce 2020 klesly o 3,4 %. Z toho se ceny rostlinné výroby propadly o 4,0 % a živočišné výroby o 2,4 %. V rostlinné výrobě klesaly zejména ceny brambor (–19,8 %), zeleniny a zahradnických produktů (–9,7 %), obilovin (–4,9 %), a krmných plodin (–3,4 %). Naopak rostly ceny ovoce (16,5 %). U živočišné výroby došlo k poklesu cen hospodářských zvířat o 2,1 % (z velké části ovlivněno vysokou základnou roku 2019) a živočišných výrobků o 2,7 % (ceny mléka klesly o 3,4 %, zatímco ceny vajec stouply o 4,0 %). Ve 4. čtvrtletí ceny zemědělské výroby klesly o 3,2 %. Meziroční propad cen rostlinné výroby v průběhu roku slábl a ve 4. kvartálu dosahoval jen 0,1 %. Stály za tím obiloviny (z nich především pšenice), které se z výrazného propadu na začátku roku dostaly do meziročního růstu o 3,1 % ve 4. čtvrtletí. Ceny průmyslových plodin ve 4. čtvrtletí vzrostly o 3,6 % a ovoce o 9,4 %. V závěru roku klesaly ceny krmných plodin</w:t>
            </w:r>
            <w:r>
              <w:rPr>
                <w:spacing w:val="-2"/>
                <w:lang w:eastAsia="en-US"/>
              </w:rPr>
              <w:br/>
              <w:t>(–9,9 %), zeleniny a zahradnických produktů (–7,2 %) a brambor (–25,3 %). Ceny živočišné výroby ve 4. čtvrtletí meziročně klesly o 8,0 %. Z toho propad cen hospodářských zvířat dosáhl 13,9 %, především pod vlivem vývoje cen prasat a selat</w:t>
            </w:r>
            <w:r>
              <w:rPr>
                <w:spacing w:val="-2"/>
                <w:lang w:eastAsia="en-US"/>
              </w:rPr>
              <w:br/>
              <w:t>(–25,0 %). Ceny mléka ve 4. čtvrtletí meziročně klesly o 2,8 % a ceny vajec o 1,5 %.</w:t>
            </w:r>
          </w:p>
        </w:tc>
      </w:tr>
      <w:tr w:rsidR="003E08A4" w14:paraId="61B5545F" w14:textId="77777777" w:rsidTr="00275758">
        <w:trPr>
          <w:trHeight w:val="145"/>
        </w:trPr>
        <w:tc>
          <w:tcPr>
            <w:tcW w:w="1805" w:type="dxa"/>
          </w:tcPr>
          <w:p w14:paraId="1153E23A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Ceny vývozu loni vzrostly. Podíl na tom mělo i oslabení kurzu koruny.</w:t>
            </w:r>
          </w:p>
        </w:tc>
        <w:tc>
          <w:tcPr>
            <w:tcW w:w="224" w:type="dxa"/>
          </w:tcPr>
          <w:p w14:paraId="5A1A7C4D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451F6D6A" w14:textId="755E84B4" w:rsidR="003E08A4" w:rsidRDefault="003E08A4" w:rsidP="0061672A">
            <w:pPr>
              <w:rPr>
                <w:lang w:eastAsia="en-US"/>
              </w:rPr>
            </w:pPr>
            <w:r>
              <w:rPr>
                <w:lang w:eastAsia="en-US"/>
              </w:rPr>
              <w:t>Vývoj cen zahraničního obchodu byl silně ovlivněn oslabením koruny vůči euru, což výrazně tlumilo tlaky na pokles cen. Ceny vývozu se tak v roce 2020 zvýšily o 1,1 %. Ve směru nárůstu cen působily potraviny a živá zvířata (nárůst o 3,5 %), nápoje a tabák (5,4 %), stroje a dopravní prostředky (2,8 %) a průmyslové spotřební zboží (2,9 %). Výrazně se propadly ceny vývozu minerálních paliv a maziv (–15,8 %) a ostatních surovin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 xml:space="preserve"> (–6,4 %), ale klesly také ceny chemikálií (–2,6 %) a polotovarů</w:t>
            </w:r>
            <w:r>
              <w:rPr>
                <w:rStyle w:val="Znakapoznpodarou"/>
              </w:rPr>
              <w:footnoteReference w:id="5"/>
            </w:r>
            <w:r>
              <w:rPr>
                <w:lang w:eastAsia="en-US"/>
              </w:rPr>
              <w:t xml:space="preserve"> (–0,5 %). V samotném 4. čtvrtletí meziroční růst cen vývozu posílil na 2,5 %, především pod vlivem z</w:t>
            </w:r>
            <w:r w:rsidR="0061672A">
              <w:rPr>
                <w:lang w:eastAsia="en-US"/>
              </w:rPr>
              <w:t>výšení</w:t>
            </w:r>
            <w:r>
              <w:rPr>
                <w:lang w:eastAsia="en-US"/>
              </w:rPr>
              <w:t xml:space="preserve"> přírůstku cen potravin a živých zvířat (4,2 %), strojů a dopravních prostředků (3,9 %) a průmyslového spotřebního zboží (2,8 %). Z meziročního poklesu do solidního růstu se dostaly ceny ostatních surovin (3,6 %) i polotovarů (1,4 %). Mírně </w:t>
            </w:r>
            <w:r>
              <w:rPr>
                <w:lang w:eastAsia="en-US"/>
              </w:rPr>
              <w:lastRenderedPageBreak/>
              <w:t>posílil již tak silný růst cen nápojů a tabáku (5,6 %). Ceny minerálních paliv setrvaly v hlubokém propadu (–10,2 %).</w:t>
            </w:r>
          </w:p>
        </w:tc>
      </w:tr>
      <w:tr w:rsidR="003E08A4" w14:paraId="342ADB90" w14:textId="77777777" w:rsidTr="00275758">
        <w:trPr>
          <w:trHeight w:val="145"/>
        </w:trPr>
        <w:tc>
          <w:tcPr>
            <w:tcW w:w="1805" w:type="dxa"/>
          </w:tcPr>
          <w:p w14:paraId="0472AAB0" w14:textId="18402A61" w:rsidR="003E08A4" w:rsidRDefault="003E08A4" w:rsidP="0061672A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Ceny dovozu loni klesly, zejména pod vlivem cen minerálních paliv.</w:t>
            </w:r>
          </w:p>
        </w:tc>
        <w:tc>
          <w:tcPr>
            <w:tcW w:w="224" w:type="dxa"/>
          </w:tcPr>
          <w:p w14:paraId="3E0AE42D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42E05BB4" w14:textId="63198D8A" w:rsidR="003E08A4" w:rsidRDefault="003E08A4" w:rsidP="006167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Ceny dovozu v roce 2020 klesly o 1,1 %. </w:t>
            </w:r>
            <w:r w:rsidR="0061672A">
              <w:rPr>
                <w:lang w:eastAsia="en-US"/>
              </w:rPr>
              <w:t xml:space="preserve">Výrazně se </w:t>
            </w:r>
            <w:r>
              <w:rPr>
                <w:lang w:eastAsia="en-US"/>
              </w:rPr>
              <w:t>totiž</w:t>
            </w:r>
            <w:r w:rsidR="0061672A">
              <w:rPr>
                <w:lang w:eastAsia="en-US"/>
              </w:rPr>
              <w:t xml:space="preserve"> propadly</w:t>
            </w:r>
            <w:r>
              <w:rPr>
                <w:lang w:eastAsia="en-US"/>
              </w:rPr>
              <w:t xml:space="preserve"> ceny minerálních paliv</w:t>
            </w:r>
            <w:r w:rsidR="0061672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(–24,6 %)</w:t>
            </w:r>
            <w:r w:rsidR="0061672A">
              <w:rPr>
                <w:lang w:eastAsia="en-US"/>
              </w:rPr>
              <w:t>. S</w:t>
            </w:r>
            <w:r>
              <w:rPr>
                <w:lang w:eastAsia="en-US"/>
              </w:rPr>
              <w:t>nížily se i ceny ostatních surovin (–3,5 %). Pokles byl zaznamenán také u chemikálií (–2,4 %), nápojů a tabáku (–1,1 %) a polotovarů (–0,9 %). Podobně jako u vývozu i ceny dovezených potravin silně rostly (3,6 %), zvýšily se i ceny strojů a dopravních prostředků (2,2 %) a průmyslového spotřebního zboží (1,8 %). Ve 4. čtvrtletí se ceny dovozu meziročně snížily o 0,3 %. Dál se propadaly ceny minerálních paliv (–18,8 %) a do poklesu se dostaly i potraviny a živá zvířata (–1,3 %). Naopak po delším období poklesů začaly meziročně růst ceny nápojů a tabáku (2,5 %). Ceny importu polotovarů vzrostly o 1,3 %, strojů a dopravních prostředků o 1,6 % a průmyslového spotřebního zboží o 2,1 %.</w:t>
            </w:r>
          </w:p>
        </w:tc>
      </w:tr>
      <w:tr w:rsidR="003E08A4" w14:paraId="1751DE07" w14:textId="77777777" w:rsidTr="00275758">
        <w:trPr>
          <w:trHeight w:val="145"/>
        </w:trPr>
        <w:tc>
          <w:tcPr>
            <w:tcW w:w="1805" w:type="dxa"/>
          </w:tcPr>
          <w:p w14:paraId="6B35EE9D" w14:textId="77777777" w:rsidR="003E08A4" w:rsidRDefault="003E08A4" w:rsidP="00275758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Výrazný rozdíl mezi vývojem cen vývozu a dovozu vedl ke kladným směnným relacím.</w:t>
            </w:r>
          </w:p>
        </w:tc>
        <w:tc>
          <w:tcPr>
            <w:tcW w:w="224" w:type="dxa"/>
          </w:tcPr>
          <w:p w14:paraId="0F0FEBEF" w14:textId="77777777" w:rsidR="003E08A4" w:rsidRDefault="003E08A4" w:rsidP="00275758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0" w:type="dxa"/>
          </w:tcPr>
          <w:p w14:paraId="70DADCB4" w14:textId="77777777" w:rsidR="003E08A4" w:rsidRDefault="003E08A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Směnné relace zahraničního obchodu se zbožím loni dosáhly 102,2 %. Kladné byly směnné relace obchodu s minerálními palivy (111,7 %), nápoji a tabákem (106,6 %), průmyslovým spotřebním zbožím (101,1 %). Mírně pozitivní byly i relace obchodu se stroji a dopravními prostředky (100,6 %) a polotovary (100,4 %). Negativní byly loni směnné relace s ostatními surovinami (97,0 %) a mírně negativní byly i relace s chemikáliemi (99,8 %) a potravinami (99,9 %). V samotném 4. čtvrtletí směnné relace zahraničního obchodu dosáhly 102,8 %, zejména kvůli obchodu s minerálními palivy (110,6 %), potravinami (105,6 %), ostatními surovinami (103,2 %), nápoji a tabákem (103,0 %) a stroji a dopravními prostředky (102,3 %). Negativní byly směnné relace s chemikáliemi (98,0 %).</w:t>
            </w:r>
          </w:p>
        </w:tc>
      </w:tr>
    </w:tbl>
    <w:p w14:paraId="3E974863" w14:textId="2EEF6166" w:rsidR="000663F0" w:rsidRPr="00E42054" w:rsidRDefault="000663F0" w:rsidP="00E97F14">
      <w:pPr>
        <w:pStyle w:val="Nadpis11"/>
        <w:spacing w:after="0"/>
        <w:rPr>
          <w:b w:val="0"/>
          <w:sz w:val="2"/>
          <w:szCs w:val="2"/>
        </w:rPr>
      </w:pPr>
      <w:bookmarkStart w:id="3" w:name="_GoBack"/>
      <w:bookmarkEnd w:id="0"/>
      <w:bookmarkEnd w:id="3"/>
    </w:p>
    <w:sectPr w:rsidR="000663F0" w:rsidRPr="00E42054" w:rsidSect="00134D4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D51C5" w14:textId="77777777" w:rsidR="0091476D" w:rsidRDefault="0091476D" w:rsidP="00E71A58">
      <w:r>
        <w:separator/>
      </w:r>
    </w:p>
  </w:endnote>
  <w:endnote w:type="continuationSeparator" w:id="0">
    <w:p w14:paraId="7E79BE89" w14:textId="77777777" w:rsidR="0091476D" w:rsidRDefault="0091476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6CEFAC91" w:rsidR="0091476D" w:rsidRPr="00932443" w:rsidRDefault="0091476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34D46">
      <w:rPr>
        <w:szCs w:val="16"/>
      </w:rPr>
      <w:t>24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680BBB87" w:rsidR="0091476D" w:rsidRPr="00932443" w:rsidRDefault="0091476D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rok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34D46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E61E" w14:textId="77777777" w:rsidR="0091476D" w:rsidRDefault="0091476D" w:rsidP="00A21B4D">
      <w:pPr>
        <w:spacing w:after="0"/>
      </w:pPr>
      <w:r>
        <w:separator/>
      </w:r>
    </w:p>
  </w:footnote>
  <w:footnote w:type="continuationSeparator" w:id="0">
    <w:p w14:paraId="14D7D261" w14:textId="77777777" w:rsidR="0091476D" w:rsidRDefault="0091476D" w:rsidP="00E71A58">
      <w:r>
        <w:continuationSeparator/>
      </w:r>
    </w:p>
  </w:footnote>
  <w:footnote w:id="1">
    <w:p w14:paraId="65951948" w14:textId="77777777" w:rsidR="0091476D" w:rsidRPr="007D5764" w:rsidRDefault="0091476D" w:rsidP="003E08A4">
      <w:pPr>
        <w:pStyle w:val="Textpoznpodarou"/>
        <w:rPr>
          <w:sz w:val="16"/>
          <w:szCs w:val="16"/>
        </w:rPr>
      </w:pPr>
      <w:r w:rsidRPr="007D5764">
        <w:rPr>
          <w:rStyle w:val="Znakapoznpodarou"/>
          <w:sz w:val="16"/>
          <w:szCs w:val="16"/>
        </w:rPr>
        <w:footnoteRef/>
      </w:r>
      <w:r w:rsidRPr="007D5764">
        <w:rPr>
          <w:sz w:val="16"/>
          <w:szCs w:val="16"/>
        </w:rPr>
        <w:t xml:space="preserve"> Důvod</w:t>
      </w:r>
      <w:r>
        <w:rPr>
          <w:sz w:val="16"/>
          <w:szCs w:val="16"/>
        </w:rPr>
        <w:t>ů zdražení bylo více. Na jedné straně se jarní pozastavení výroby v automobilkách projevilo nedostatkem nových vozů, ale došlo také k narušení dovozu ojetých vozidel. Na cenotvorbě se projevilo i výrazné oslabení koruny vůči euru. Z dlouhodobějšího hlediska jsou faktorem, který vede ke zdražování, zpřísňující se emisní požadavky.</w:t>
      </w:r>
    </w:p>
  </w:footnote>
  <w:footnote w:id="2">
    <w:p w14:paraId="23F7CF7A" w14:textId="77777777" w:rsidR="0091476D" w:rsidRPr="003E5AB5" w:rsidRDefault="0091476D" w:rsidP="003E08A4">
      <w:pPr>
        <w:pStyle w:val="Textpoznpodarou"/>
        <w:rPr>
          <w:sz w:val="16"/>
          <w:szCs w:val="16"/>
        </w:rPr>
      </w:pPr>
      <w:r w:rsidRPr="003E5AB5">
        <w:rPr>
          <w:rStyle w:val="Znakapoznpodarou"/>
          <w:sz w:val="16"/>
          <w:szCs w:val="16"/>
        </w:rPr>
        <w:footnoteRef/>
      </w:r>
      <w:r w:rsidRPr="003E5AB5">
        <w:rPr>
          <w:sz w:val="16"/>
          <w:szCs w:val="16"/>
        </w:rPr>
        <w:t xml:space="preserve"> Podle harmonizovaného indexu spotřebitelských cen. Ten se může metodicky i číselně lišit od publikovaných národních výsledků.</w:t>
      </w:r>
    </w:p>
  </w:footnote>
  <w:footnote w:id="3">
    <w:p w14:paraId="74DF3982" w14:textId="77777777" w:rsidR="0091476D" w:rsidRDefault="0091476D" w:rsidP="003E08A4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Individuální data.</w:t>
      </w:r>
    </w:p>
  </w:footnote>
  <w:footnote w:id="4">
    <w:p w14:paraId="32AE274A" w14:textId="77777777" w:rsidR="0091476D" w:rsidRPr="00547836" w:rsidRDefault="0091476D" w:rsidP="003E08A4">
      <w:pPr>
        <w:pStyle w:val="Textpoznpodarou"/>
        <w:rPr>
          <w:sz w:val="16"/>
          <w:szCs w:val="16"/>
        </w:rPr>
      </w:pPr>
      <w:r w:rsidRPr="00547836">
        <w:rPr>
          <w:rStyle w:val="Znakapoznpodarou"/>
          <w:sz w:val="16"/>
          <w:szCs w:val="16"/>
        </w:rPr>
        <w:footnoteRef/>
      </w:r>
      <w:r w:rsidRPr="00547836">
        <w:rPr>
          <w:sz w:val="16"/>
          <w:szCs w:val="16"/>
        </w:rPr>
        <w:t xml:space="preserve"> SITC 2 – suroviny nepoživatelné s výjimkou paliv</w:t>
      </w:r>
    </w:p>
  </w:footnote>
  <w:footnote w:id="5">
    <w:p w14:paraId="5E260D7C" w14:textId="77777777" w:rsidR="0091476D" w:rsidRPr="00547836" w:rsidRDefault="0091476D" w:rsidP="003E08A4">
      <w:pPr>
        <w:pStyle w:val="Textpoznpodarou"/>
        <w:rPr>
          <w:sz w:val="16"/>
          <w:szCs w:val="16"/>
        </w:rPr>
      </w:pPr>
      <w:r w:rsidRPr="00547836">
        <w:rPr>
          <w:rStyle w:val="Znakapoznpodarou"/>
          <w:sz w:val="16"/>
          <w:szCs w:val="16"/>
        </w:rPr>
        <w:footnoteRef/>
      </w:r>
      <w:r w:rsidRPr="00547836">
        <w:rPr>
          <w:sz w:val="16"/>
          <w:szCs w:val="16"/>
        </w:rPr>
        <w:t xml:space="preserve"> SITC 6 – tržní výrobky tříděné hlavně podle materiálu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91476D" w:rsidRDefault="0091476D" w:rsidP="00937AE2">
    <w:pPr>
      <w:pStyle w:val="Zhlav"/>
    </w:pPr>
    <w:r>
      <w:t>Vývoj ekonomiky České republiky</w:t>
    </w:r>
  </w:p>
  <w:p w14:paraId="675E4C41" w14:textId="77777777" w:rsidR="0091476D" w:rsidRPr="006F5416" w:rsidRDefault="0091476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91476D" w:rsidRDefault="0091476D" w:rsidP="00937AE2">
    <w:pPr>
      <w:pStyle w:val="Zhlav"/>
    </w:pPr>
    <w:r>
      <w:t>Vývoj ekonomiky České republiky</w:t>
    </w:r>
  </w:p>
  <w:p w14:paraId="0CDCFD48" w14:textId="77777777" w:rsidR="0091476D" w:rsidRPr="006F5416" w:rsidRDefault="0091476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4D46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0675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4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4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1471575213004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2'!$A$18:$B$41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2'!$C$18:$C$41</c:f>
              <c:numCache>
                <c:formatCode>0.0</c:formatCode>
                <c:ptCount val="24"/>
                <c:pt idx="0">
                  <c:v>9.9999999999994316E-2</c:v>
                </c:pt>
                <c:pt idx="1">
                  <c:v>0.70000000000000284</c:v>
                </c:pt>
                <c:pt idx="2">
                  <c:v>0.40000000000000568</c:v>
                </c:pt>
                <c:pt idx="3">
                  <c:v>9.9999999999994316E-2</c:v>
                </c:pt>
                <c:pt idx="4">
                  <c:v>0.5</c:v>
                </c:pt>
                <c:pt idx="5">
                  <c:v>0.20000000000000284</c:v>
                </c:pt>
                <c:pt idx="6">
                  <c:v>0.5</c:v>
                </c:pt>
                <c:pt idx="7">
                  <c:v>1.4000000000000057</c:v>
                </c:pt>
                <c:pt idx="8" formatCode="General">
                  <c:v>2.4000000000000057</c:v>
                </c:pt>
                <c:pt idx="9" formatCode="General">
                  <c:v>2.2000000000000028</c:v>
                </c:pt>
                <c:pt idx="10">
                  <c:v>2.5</c:v>
                </c:pt>
                <c:pt idx="11">
                  <c:v>2.6</c:v>
                </c:pt>
                <c:pt idx="12">
                  <c:v>1.9</c:v>
                </c:pt>
                <c:pt idx="13">
                  <c:v>2.2999999999999998</c:v>
                </c:pt>
                <c:pt idx="14">
                  <c:v>2.4</c:v>
                </c:pt>
                <c:pt idx="15">
                  <c:v>2.1</c:v>
                </c:pt>
                <c:pt idx="16">
                  <c:v>2.7</c:v>
                </c:pt>
                <c:pt idx="17">
                  <c:v>2.8</c:v>
                </c:pt>
                <c:pt idx="18">
                  <c:v>2.8</c:v>
                </c:pt>
                <c:pt idx="19">
                  <c:v>3</c:v>
                </c:pt>
                <c:pt idx="20">
                  <c:v>3.6</c:v>
                </c:pt>
                <c:pt idx="21">
                  <c:v>3.1</c:v>
                </c:pt>
                <c:pt idx="22">
                  <c:v>3.3</c:v>
                </c:pt>
                <c:pt idx="23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20-4B59-8768-A2A8A5480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2'!$A$18:$B$41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2'!$D$18:$D$41</c:f>
              <c:numCache>
                <c:formatCode>0.0</c:formatCode>
                <c:ptCount val="24"/>
                <c:pt idx="0">
                  <c:v>-1.5999999999999943</c:v>
                </c:pt>
                <c:pt idx="1">
                  <c:v>-9.9999999999994316E-2</c:v>
                </c:pt>
                <c:pt idx="2">
                  <c:v>-0.90000000000000568</c:v>
                </c:pt>
                <c:pt idx="3">
                  <c:v>-1.5999999999999943</c:v>
                </c:pt>
                <c:pt idx="4">
                  <c:v>-1.7000000000000028</c:v>
                </c:pt>
                <c:pt idx="5">
                  <c:v>-2.4000000000000057</c:v>
                </c:pt>
                <c:pt idx="6">
                  <c:v>-0.79999999999999716</c:v>
                </c:pt>
                <c:pt idx="7">
                  <c:v>1.2000000000000028</c:v>
                </c:pt>
                <c:pt idx="8" formatCode="General">
                  <c:v>4.2000000000000028</c:v>
                </c:pt>
                <c:pt idx="9" formatCode="General">
                  <c:v>4.5</c:v>
                </c:pt>
                <c:pt idx="10">
                  <c:v>5.7</c:v>
                </c:pt>
                <c:pt idx="11">
                  <c:v>6.3</c:v>
                </c:pt>
                <c:pt idx="12">
                  <c:v>2.9</c:v>
                </c:pt>
                <c:pt idx="13" formatCode="#,##0.0_ ;\-#,##0.0\ ">
                  <c:v>2.2999999999999998</c:v>
                </c:pt>
                <c:pt idx="14">
                  <c:v>0.6</c:v>
                </c:pt>
                <c:pt idx="15">
                  <c:v>-0.5</c:v>
                </c:pt>
                <c:pt idx="16">
                  <c:v>1</c:v>
                </c:pt>
                <c:pt idx="17">
                  <c:v>2.5</c:v>
                </c:pt>
                <c:pt idx="18">
                  <c:v>3.5</c:v>
                </c:pt>
                <c:pt idx="19">
                  <c:v>4.3</c:v>
                </c:pt>
                <c:pt idx="20">
                  <c:v>6.1</c:v>
                </c:pt>
                <c:pt idx="21">
                  <c:v>6.5</c:v>
                </c:pt>
                <c:pt idx="22">
                  <c:v>4</c:v>
                </c:pt>
                <c:pt idx="23">
                  <c:v>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20-4B59-8768-A2A8A5480D2A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2'!$A$18:$B$41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2'!$F$18:$F$41</c:f>
              <c:numCache>
                <c:formatCode>0.0</c:formatCode>
                <c:ptCount val="24"/>
                <c:pt idx="0">
                  <c:v>1.0999999999999943</c:v>
                </c:pt>
                <c:pt idx="1">
                  <c:v>1.2000000000000028</c:v>
                </c:pt>
                <c:pt idx="2">
                  <c:v>0.79999999999999716</c:v>
                </c:pt>
                <c:pt idx="3">
                  <c:v>0.90000000000000568</c:v>
                </c:pt>
                <c:pt idx="4">
                  <c:v>0.90000000000000568</c:v>
                </c:pt>
                <c:pt idx="5">
                  <c:v>0.5</c:v>
                </c:pt>
                <c:pt idx="6">
                  <c:v>0.40000000000000568</c:v>
                </c:pt>
                <c:pt idx="7">
                  <c:v>0.59999999999999432</c:v>
                </c:pt>
                <c:pt idx="8" formatCode="General">
                  <c:v>0.79999999999999716</c:v>
                </c:pt>
                <c:pt idx="9" formatCode="General">
                  <c:v>1.5</c:v>
                </c:pt>
                <c:pt idx="10">
                  <c:v>2.1</c:v>
                </c:pt>
                <c:pt idx="11">
                  <c:v>2.2000000000000002</c:v>
                </c:pt>
                <c:pt idx="12">
                  <c:v>2.2999999999999998</c:v>
                </c:pt>
                <c:pt idx="13">
                  <c:v>2.6</c:v>
                </c:pt>
                <c:pt idx="14">
                  <c:v>3.2</c:v>
                </c:pt>
                <c:pt idx="15">
                  <c:v>3.8</c:v>
                </c:pt>
                <c:pt idx="16">
                  <c:v>5.4</c:v>
                </c:pt>
                <c:pt idx="17">
                  <c:v>5.7</c:v>
                </c:pt>
                <c:pt idx="18">
                  <c:v>5.2</c:v>
                </c:pt>
                <c:pt idx="19">
                  <c:v>5</c:v>
                </c:pt>
                <c:pt idx="20">
                  <c:v>4.2</c:v>
                </c:pt>
                <c:pt idx="21">
                  <c:v>3.2</c:v>
                </c:pt>
                <c:pt idx="22">
                  <c:v>2.7</c:v>
                </c:pt>
                <c:pt idx="23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20-4B59-8768-A2A8A5480D2A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2'!$A$18:$B$41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2'!$G$18:$G$41</c:f>
              <c:numCache>
                <c:formatCode>General</c:formatCode>
                <c:ptCount val="24"/>
                <c:pt idx="0">
                  <c:v>-4.9000000000000057</c:v>
                </c:pt>
                <c:pt idx="1">
                  <c:v>-3.2999999999999972</c:v>
                </c:pt>
                <c:pt idx="2">
                  <c:v>-3.7999999999999972</c:v>
                </c:pt>
                <c:pt idx="3">
                  <c:v>-4.7000000000000028</c:v>
                </c:pt>
                <c:pt idx="4">
                  <c:v>-2.7000000000000028</c:v>
                </c:pt>
                <c:pt idx="5">
                  <c:v>-2.9000000000000057</c:v>
                </c:pt>
                <c:pt idx="6">
                  <c:v>-2.2999999999999972</c:v>
                </c:pt>
                <c:pt idx="7">
                  <c:v>1.0999999999999943</c:v>
                </c:pt>
                <c:pt idx="8">
                  <c:v>6</c:v>
                </c:pt>
                <c:pt idx="9">
                  <c:v>3.9000000000000057</c:v>
                </c:pt>
                <c:pt idx="10" formatCode="0.0">
                  <c:v>2.5</c:v>
                </c:pt>
                <c:pt idx="11" formatCode="0.0">
                  <c:v>2.5</c:v>
                </c:pt>
                <c:pt idx="12" formatCode="0.0">
                  <c:v>1</c:v>
                </c:pt>
                <c:pt idx="13" formatCode="0.0">
                  <c:v>3</c:v>
                </c:pt>
                <c:pt idx="14" formatCode="0.0">
                  <c:v>4.5</c:v>
                </c:pt>
                <c:pt idx="15" formatCode="0.0">
                  <c:v>2.6</c:v>
                </c:pt>
                <c:pt idx="16" formatCode="0.0">
                  <c:v>0.6</c:v>
                </c:pt>
                <c:pt idx="17" formatCode="0.0">
                  <c:v>0.8</c:v>
                </c:pt>
                <c:pt idx="18" formatCode="0.0">
                  <c:v>-0.2</c:v>
                </c:pt>
                <c:pt idx="19" formatCode="0.0">
                  <c:v>0.5</c:v>
                </c:pt>
                <c:pt idx="20">
                  <c:v>1.7</c:v>
                </c:pt>
                <c:pt idx="21" formatCode="0.0">
                  <c:v>-3.4</c:v>
                </c:pt>
                <c:pt idx="22" formatCode="0.0">
                  <c:v>-0.2</c:v>
                </c:pt>
                <c:pt idx="23" formatCode="0.0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20-4B59-8768-A2A8A5480D2A}"/>
            </c:ext>
          </c:extLst>
        </c:ser>
        <c:ser>
          <c:idx val="2"/>
          <c:order val="4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2'!$A$18:$B$41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2'!$E$18:$E$41</c:f>
              <c:numCache>
                <c:formatCode>0.0</c:formatCode>
                <c:ptCount val="24"/>
                <c:pt idx="0">
                  <c:v>3.4000000000000057</c:v>
                </c:pt>
                <c:pt idx="1">
                  <c:v>5.4000000000000057</c:v>
                </c:pt>
                <c:pt idx="2">
                  <c:v>5.2000000000000028</c:v>
                </c:pt>
                <c:pt idx="3">
                  <c:v>4.7000000000000028</c:v>
                </c:pt>
                <c:pt idx="4">
                  <c:v>3.5</c:v>
                </c:pt>
                <c:pt idx="5">
                  <c:v>4.4000000000000057</c:v>
                </c:pt>
                <c:pt idx="6">
                  <c:v>4.5</c:v>
                </c:pt>
                <c:pt idx="7">
                  <c:v>5.2000000000000028</c:v>
                </c:pt>
                <c:pt idx="8" formatCode="General">
                  <c:v>3.4000000000000057</c:v>
                </c:pt>
                <c:pt idx="9" formatCode="General">
                  <c:v>0.79999999999999716</c:v>
                </c:pt>
                <c:pt idx="10">
                  <c:v>1.3</c:v>
                </c:pt>
                <c:pt idx="11">
                  <c:v>1.5</c:v>
                </c:pt>
                <c:pt idx="12">
                  <c:v>2.5</c:v>
                </c:pt>
                <c:pt idx="13">
                  <c:v>3.6</c:v>
                </c:pt>
                <c:pt idx="14">
                  <c:v>2.8</c:v>
                </c:pt>
                <c:pt idx="15">
                  <c:v>3.1</c:v>
                </c:pt>
                <c:pt idx="16">
                  <c:v>3.3</c:v>
                </c:pt>
                <c:pt idx="17">
                  <c:v>1.7</c:v>
                </c:pt>
                <c:pt idx="18">
                  <c:v>1.9</c:v>
                </c:pt>
                <c:pt idx="19">
                  <c:v>1.8</c:v>
                </c:pt>
                <c:pt idx="20" formatCode="General">
                  <c:v>3.5</c:v>
                </c:pt>
                <c:pt idx="21">
                  <c:v>6.6</c:v>
                </c:pt>
                <c:pt idx="22">
                  <c:v>10.3</c:v>
                </c:pt>
                <c:pt idx="23">
                  <c:v>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E20-4B59-8768-A2A8A5480D2A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2'!$A$18:$B$41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2'!$H$18:$H$41</c:f>
              <c:numCache>
                <c:formatCode>###,###,##0.0</c:formatCode>
                <c:ptCount val="24"/>
                <c:pt idx="0">
                  <c:v>1.7000000000000028</c:v>
                </c:pt>
                <c:pt idx="1">
                  <c:v>1.5999999999999943</c:v>
                </c:pt>
                <c:pt idx="2">
                  <c:v>1.4000000000000057</c:v>
                </c:pt>
                <c:pt idx="3">
                  <c:v>1.2999999999999972</c:v>
                </c:pt>
                <c:pt idx="4">
                  <c:v>1.2000000000000028</c:v>
                </c:pt>
                <c:pt idx="5">
                  <c:v>1.0999999999999943</c:v>
                </c:pt>
                <c:pt idx="6">
                  <c:v>1.2000000000000028</c:v>
                </c:pt>
                <c:pt idx="7">
                  <c:v>2.7000000000000028</c:v>
                </c:pt>
                <c:pt idx="8">
                  <c:v>5.2000000000000028</c:v>
                </c:pt>
                <c:pt idx="9">
                  <c:v>5.7999999999999972</c:v>
                </c:pt>
                <c:pt idx="10">
                  <c:v>6.2999999999999972</c:v>
                </c:pt>
                <c:pt idx="11" formatCode="0.0">
                  <c:v>5.6</c:v>
                </c:pt>
                <c:pt idx="12" formatCode="0.0">
                  <c:v>3.5</c:v>
                </c:pt>
                <c:pt idx="13" formatCode="0.0">
                  <c:v>3.6</c:v>
                </c:pt>
                <c:pt idx="14" formatCode="0.0">
                  <c:v>3.5</c:v>
                </c:pt>
                <c:pt idx="15" formatCode="0.0">
                  <c:v>3.7</c:v>
                </c:pt>
                <c:pt idx="16" formatCode="0.0">
                  <c:v>3.8</c:v>
                </c:pt>
                <c:pt idx="17" formatCode="0.0">
                  <c:v>4</c:v>
                </c:pt>
                <c:pt idx="18" formatCode="0.0">
                  <c:v>4.5</c:v>
                </c:pt>
                <c:pt idx="19" formatCode="0.0">
                  <c:v>4.5999999999999996</c:v>
                </c:pt>
                <c:pt idx="20" formatCode="0.0">
                  <c:v>5.5</c:v>
                </c:pt>
                <c:pt idx="21" formatCode="0.0">
                  <c:v>5.0999999999999996</c:v>
                </c:pt>
                <c:pt idx="22" formatCode="0.0">
                  <c:v>4.9000000000000004</c:v>
                </c:pt>
                <c:pt idx="23" formatCode="0.0">
                  <c:v>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E20-4B59-8768-A2A8A5480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07E-2"/>
          <c:y val="0.85444938788566116"/>
          <c:w val="0.92202296521445437"/>
          <c:h val="0.1381645293553171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85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1'!$A$18:$B$41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1'!$C$18:$C$41</c:f>
              <c:numCache>
                <c:formatCode>General</c:formatCode>
                <c:ptCount val="24"/>
                <c:pt idx="0">
                  <c:v>4.2999999999999972</c:v>
                </c:pt>
                <c:pt idx="1">
                  <c:v>4.9000000000000057</c:v>
                </c:pt>
                <c:pt idx="2">
                  <c:v>6</c:v>
                </c:pt>
                <c:pt idx="3">
                  <c:v>6.7999999999999972</c:v>
                </c:pt>
                <c:pt idx="4">
                  <c:v>8.9000000000000057</c:v>
                </c:pt>
                <c:pt idx="5">
                  <c:v>10.299999999999997</c:v>
                </c:pt>
                <c:pt idx="6">
                  <c:v>12.299999999999997</c:v>
                </c:pt>
                <c:pt idx="7">
                  <c:v>14.599999999999994</c:v>
                </c:pt>
                <c:pt idx="8">
                  <c:v>17.200000000000003</c:v>
                </c:pt>
                <c:pt idx="9">
                  <c:v>18.700000000000003</c:v>
                </c:pt>
                <c:pt idx="10">
                  <c:v>15.799999999999997</c:v>
                </c:pt>
                <c:pt idx="11">
                  <c:v>12</c:v>
                </c:pt>
                <c:pt idx="12">
                  <c:v>9.2000000000000028</c:v>
                </c:pt>
                <c:pt idx="13">
                  <c:v>8</c:v>
                </c:pt>
                <c:pt idx="14">
                  <c:v>9.4000000000000057</c:v>
                </c:pt>
                <c:pt idx="15">
                  <c:v>11.400000000000006</c:v>
                </c:pt>
                <c:pt idx="16">
                  <c:v>11.299999999999997</c:v>
                </c:pt>
                <c:pt idx="17">
                  <c:v>10.599999999999994</c:v>
                </c:pt>
                <c:pt idx="18">
                  <c:v>9.5</c:v>
                </c:pt>
                <c:pt idx="19">
                  <c:v>9.4000000000000057</c:v>
                </c:pt>
                <c:pt idx="20">
                  <c:v>10.599999999999994</c:v>
                </c:pt>
                <c:pt idx="21">
                  <c:v>10.200000000000003</c:v>
                </c:pt>
                <c:pt idx="22">
                  <c:v>11.200000000000003</c:v>
                </c:pt>
                <c:pt idx="23">
                  <c:v>12.599999999999994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29-406B-A89A-63D7A9833118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1'!$A$18:$B$41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1'!$D$18:$D$41</c:f>
              <c:numCache>
                <c:formatCode>General</c:formatCode>
                <c:ptCount val="24"/>
                <c:pt idx="0">
                  <c:v>5</c:v>
                </c:pt>
                <c:pt idx="1">
                  <c:v>5.9000000000000057</c:v>
                </c:pt>
                <c:pt idx="2">
                  <c:v>5.5999999999999943</c:v>
                </c:pt>
                <c:pt idx="3">
                  <c:v>4.5999999999999943</c:v>
                </c:pt>
                <c:pt idx="4">
                  <c:v>5.7999999999999972</c:v>
                </c:pt>
                <c:pt idx="5">
                  <c:v>7.5</c:v>
                </c:pt>
                <c:pt idx="6">
                  <c:v>9.4000000000000057</c:v>
                </c:pt>
                <c:pt idx="7">
                  <c:v>13.900000000000006</c:v>
                </c:pt>
                <c:pt idx="8">
                  <c:v>16.200000000000003</c:v>
                </c:pt>
                <c:pt idx="9">
                  <c:v>19</c:v>
                </c:pt>
                <c:pt idx="10">
                  <c:v>16.400000000000006</c:v>
                </c:pt>
                <c:pt idx="11">
                  <c:v>11.099999999999994</c:v>
                </c:pt>
                <c:pt idx="12">
                  <c:v>8.2999999999999972</c:v>
                </c:pt>
                <c:pt idx="13">
                  <c:v>4</c:v>
                </c:pt>
                <c:pt idx="14">
                  <c:v>6</c:v>
                </c:pt>
                <c:pt idx="15">
                  <c:v>8.7000000000000028</c:v>
                </c:pt>
                <c:pt idx="16">
                  <c:v>9.4000000000000057</c:v>
                </c:pt>
                <c:pt idx="17">
                  <c:v>8.7000000000000028</c:v>
                </c:pt>
                <c:pt idx="18">
                  <c:v>6.5</c:v>
                </c:pt>
                <c:pt idx="19">
                  <c:v>7.0999999999999943</c:v>
                </c:pt>
                <c:pt idx="20">
                  <c:v>6.2000000000000028</c:v>
                </c:pt>
                <c:pt idx="21">
                  <c:v>8</c:v>
                </c:pt>
                <c:pt idx="22">
                  <c:v>9.4000000000000057</c:v>
                </c:pt>
                <c:pt idx="23">
                  <c:v>9.5999999999999943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29-406B-A89A-63D7A9833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1'!$A$18:$B$41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1'!$E$18:$E$41</c:f>
              <c:numCache>
                <c:formatCode>0.0</c:formatCode>
                <c:ptCount val="24"/>
                <c:pt idx="0">
                  <c:v>3.6253776435045406</c:v>
                </c:pt>
                <c:pt idx="1">
                  <c:v>4.9701789264413518</c:v>
                </c:pt>
                <c:pt idx="2">
                  <c:v>6.0843964671246207</c:v>
                </c:pt>
                <c:pt idx="3">
                  <c:v>9.5849802371541539</c:v>
                </c:pt>
                <c:pt idx="4">
                  <c:v>10.204081632653059</c:v>
                </c:pt>
                <c:pt idx="5">
                  <c:v>10.321969696969703</c:v>
                </c:pt>
                <c:pt idx="6">
                  <c:v>9.8982423681776162</c:v>
                </c:pt>
                <c:pt idx="7">
                  <c:v>9.9188458070333638</c:v>
                </c:pt>
                <c:pt idx="8">
                  <c:v>9.5238095238095184</c:v>
                </c:pt>
                <c:pt idx="9" formatCode="General">
                  <c:v>9.5278969957081472</c:v>
                </c:pt>
                <c:pt idx="10" formatCode="General">
                  <c:v>12.542087542087543</c:v>
                </c:pt>
                <c:pt idx="11" formatCode="General">
                  <c:v>12.469237079573418</c:v>
                </c:pt>
                <c:pt idx="12" formatCode="General">
                  <c:v>12.801932367149746</c:v>
                </c:pt>
                <c:pt idx="13" formatCode="General">
                  <c:v>12.225705329153584</c:v>
                </c:pt>
                <c:pt idx="14" formatCode="General">
                  <c:v>9.498878085265531</c:v>
                </c:pt>
                <c:pt idx="15" formatCode="General">
                  <c:v>8.4609773887673185</c:v>
                </c:pt>
                <c:pt idx="16" formatCode="General">
                  <c:v>7.4232690935046435</c:v>
                </c:pt>
                <c:pt idx="17" formatCode="General">
                  <c:v>5.7262569832402335</c:v>
                </c:pt>
                <c:pt idx="18" formatCode="General">
                  <c:v>5.1912568306010911</c:v>
                </c:pt>
                <c:pt idx="19" formatCode="General">
                  <c:v>5.5144586415601964</c:v>
                </c:pt>
                <c:pt idx="20" formatCode="General">
                  <c:v>6.0465116279069662</c:v>
                </c:pt>
                <c:pt idx="21" formatCode="General">
                  <c:v>7.1334214002641829</c:v>
                </c:pt>
                <c:pt idx="22" formatCode="General">
                  <c:v>7.9870129870129887</c:v>
                </c:pt>
                <c:pt idx="23" formatCode="General">
                  <c:v>7.6481835564053569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A29-406B-A89A-63D7A9833118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1'!$A$18:$B$41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'Ceny 1'!$F$18:$F$41</c:f>
              <c:numCache>
                <c:formatCode>0.0</c:formatCode>
                <c:ptCount val="24"/>
                <c:pt idx="0">
                  <c:v>5.7710501419110631</c:v>
                </c:pt>
                <c:pt idx="1">
                  <c:v>6.4995357474466111</c:v>
                </c:pt>
                <c:pt idx="2">
                  <c:v>6.7089755213055353</c:v>
                </c:pt>
                <c:pt idx="3">
                  <c:v>8.7862318840579601</c:v>
                </c:pt>
                <c:pt idx="4">
                  <c:v>10.196779964221831</c:v>
                </c:pt>
                <c:pt idx="5">
                  <c:v>10.549258936355706</c:v>
                </c:pt>
                <c:pt idx="6">
                  <c:v>9.7706032285471416</c:v>
                </c:pt>
                <c:pt idx="7">
                  <c:v>11.323896752706073</c:v>
                </c:pt>
                <c:pt idx="8">
                  <c:v>13.636363636363626</c:v>
                </c:pt>
                <c:pt idx="9" formatCode="General">
                  <c:v>14.589905362776051</c:v>
                </c:pt>
                <c:pt idx="10" formatCode="General">
                  <c:v>18.266253869969049</c:v>
                </c:pt>
                <c:pt idx="11" formatCode="General">
                  <c:v>18.773373223635019</c:v>
                </c:pt>
                <c:pt idx="12" formatCode="General">
                  <c:v>15.071428571428555</c:v>
                </c:pt>
                <c:pt idx="13" formatCode="General">
                  <c:v>14.24638678596007</c:v>
                </c:pt>
                <c:pt idx="14" formatCode="General">
                  <c:v>10.732984293193695</c:v>
                </c:pt>
                <c:pt idx="15" formatCode="General">
                  <c:v>8.7531486146095574</c:v>
                </c:pt>
                <c:pt idx="16" formatCode="General">
                  <c:v>8.3178150217256359</c:v>
                </c:pt>
                <c:pt idx="17" formatCode="General">
                  <c:v>4.9397590361445651</c:v>
                </c:pt>
                <c:pt idx="18" formatCode="General">
                  <c:v>3.3096926713947994</c:v>
                </c:pt>
                <c:pt idx="19" formatCode="General">
                  <c:v>2.9530978575564575</c:v>
                </c:pt>
                <c:pt idx="20" formatCode="General">
                  <c:v>3.5530085959885298</c:v>
                </c:pt>
                <c:pt idx="21" formatCode="General">
                  <c:v>5.2812858783008068</c:v>
                </c:pt>
                <c:pt idx="22" formatCode="General">
                  <c:v>6.2356979405034281</c:v>
                </c:pt>
                <c:pt idx="23" formatCode="General">
                  <c:v>5.1743532058492718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A29-406B-A89A-63D7A9833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292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51E-2"/>
          <c:y val="2.181131592422042E-2"/>
          <c:w val="0.90860161263086792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'Ceny 4'!$C$30:$C$101</c:f>
              <c:numCache>
                <c:formatCode>0.0</c:formatCode>
                <c:ptCount val="72"/>
                <c:pt idx="0">
                  <c:v>-3.5</c:v>
                </c:pt>
                <c:pt idx="1">
                  <c:v>-3.5999999999999943</c:v>
                </c:pt>
                <c:pt idx="2">
                  <c:v>-2.9000000000000057</c:v>
                </c:pt>
                <c:pt idx="3">
                  <c:v>-2.5999999999999943</c:v>
                </c:pt>
                <c:pt idx="4">
                  <c:v>-2.0999999999999943</c:v>
                </c:pt>
                <c:pt idx="5">
                  <c:v>-2.2999999999999972</c:v>
                </c:pt>
                <c:pt idx="6">
                  <c:v>-3</c:v>
                </c:pt>
                <c:pt idx="7">
                  <c:v>-3.7000000000000028</c:v>
                </c:pt>
                <c:pt idx="8">
                  <c:v>-4.2000000000000028</c:v>
                </c:pt>
                <c:pt idx="9">
                  <c:v>-3.9000000000000057</c:v>
                </c:pt>
                <c:pt idx="10">
                  <c:v>-3.7000000000000028</c:v>
                </c:pt>
                <c:pt idx="11">
                  <c:v>-2.9000000000000057</c:v>
                </c:pt>
                <c:pt idx="12">
                  <c:v>-3.4000000000000057</c:v>
                </c:pt>
                <c:pt idx="13">
                  <c:v>-4</c:v>
                </c:pt>
                <c:pt idx="14">
                  <c:v>-4.5</c:v>
                </c:pt>
                <c:pt idx="15">
                  <c:v>-4.7000000000000028</c:v>
                </c:pt>
                <c:pt idx="16">
                  <c:v>-4.7999999999999972</c:v>
                </c:pt>
                <c:pt idx="17">
                  <c:v>-4.4000000000000057</c:v>
                </c:pt>
                <c:pt idx="18">
                  <c:v>-4</c:v>
                </c:pt>
                <c:pt idx="19">
                  <c:v>-3.4000000000000057</c:v>
                </c:pt>
                <c:pt idx="20">
                  <c:v>-2.4000000000000057</c:v>
                </c:pt>
                <c:pt idx="21">
                  <c:v>-1.7000000000000028</c:v>
                </c:pt>
                <c:pt idx="22">
                  <c:v>-1.2999999999999972</c:v>
                </c:pt>
                <c:pt idx="23">
                  <c:v>-0.40000000000000568</c:v>
                </c:pt>
                <c:pt idx="24" formatCode="General">
                  <c:v>2.0999999999999943</c:v>
                </c:pt>
                <c:pt idx="25" formatCode="General">
                  <c:v>3.0999999999999943</c:v>
                </c:pt>
                <c:pt idx="26">
                  <c:v>3</c:v>
                </c:pt>
                <c:pt idx="27">
                  <c:v>3.2000000000000028</c:v>
                </c:pt>
                <c:pt idx="28" formatCode="General">
                  <c:v>2.2999999999999972</c:v>
                </c:pt>
                <c:pt idx="29" formatCode="General">
                  <c:v>1.2999999999999972</c:v>
                </c:pt>
                <c:pt idx="30" formatCode="General">
                  <c:v>1.1000000000000001</c:v>
                </c:pt>
                <c:pt idx="31" formatCode="General">
                  <c:v>1.4</c:v>
                </c:pt>
                <c:pt idx="32" formatCode="General">
                  <c:v>1.7</c:v>
                </c:pt>
                <c:pt idx="33" formatCode="General">
                  <c:v>1.1000000000000001</c:v>
                </c:pt>
                <c:pt idx="34" formatCode="General">
                  <c:v>0.9</c:v>
                </c:pt>
                <c:pt idx="35" formatCode="General">
                  <c:v>0.7</c:v>
                </c:pt>
                <c:pt idx="36" formatCode="General">
                  <c:v>0.5</c:v>
                </c:pt>
                <c:pt idx="37" formatCode="General">
                  <c:v>-0.3</c:v>
                </c:pt>
                <c:pt idx="38" formatCode="General">
                  <c:v>0.1</c:v>
                </c:pt>
                <c:pt idx="39" formatCode="General">
                  <c:v>0</c:v>
                </c:pt>
                <c:pt idx="40" formatCode="General">
                  <c:v>1.5</c:v>
                </c:pt>
                <c:pt idx="41" formatCode="General">
                  <c:v>2.9</c:v>
                </c:pt>
                <c:pt idx="42" formatCode="General">
                  <c:v>3.4</c:v>
                </c:pt>
                <c:pt idx="43" formatCode="General">
                  <c:v>3.3</c:v>
                </c:pt>
                <c:pt idx="44" formatCode="General">
                  <c:v>3.2</c:v>
                </c:pt>
                <c:pt idx="45" formatCode="General">
                  <c:v>3.9</c:v>
                </c:pt>
                <c:pt idx="46" formatCode="General">
                  <c:v>3.9</c:v>
                </c:pt>
                <c:pt idx="47" formatCode="General">
                  <c:v>2.4</c:v>
                </c:pt>
                <c:pt idx="48" formatCode="General">
                  <c:v>2.9</c:v>
                </c:pt>
                <c:pt idx="49" formatCode="General">
                  <c:v>3.6</c:v>
                </c:pt>
                <c:pt idx="50" formatCode="General">
                  <c:v>3.8</c:v>
                </c:pt>
                <c:pt idx="51" formatCode="General">
                  <c:v>4.3</c:v>
                </c:pt>
                <c:pt idx="52" formatCode="General">
                  <c:v>3.8</c:v>
                </c:pt>
                <c:pt idx="53" formatCode="General">
                  <c:v>2.5</c:v>
                </c:pt>
                <c:pt idx="54" formatCode="General">
                  <c:v>2.1</c:v>
                </c:pt>
                <c:pt idx="55" formatCode="General">
                  <c:v>2.1</c:v>
                </c:pt>
                <c:pt idx="56" formatCode="General">
                  <c:v>1.9</c:v>
                </c:pt>
                <c:pt idx="57" formatCode="General">
                  <c:v>0.9</c:v>
                </c:pt>
                <c:pt idx="58" formatCode="General">
                  <c:v>0.9</c:v>
                </c:pt>
                <c:pt idx="59" formatCode="General">
                  <c:v>2.1</c:v>
                </c:pt>
                <c:pt idx="60" formatCode="General">
                  <c:v>2.4</c:v>
                </c:pt>
                <c:pt idx="61" formatCode="General">
                  <c:v>1.4</c:v>
                </c:pt>
                <c:pt idx="62" formatCode="General">
                  <c:v>0.4</c:v>
                </c:pt>
                <c:pt idx="63" formatCode="General">
                  <c:v>-0.8</c:v>
                </c:pt>
                <c:pt idx="64" formatCode="General">
                  <c:v>-0.9</c:v>
                </c:pt>
                <c:pt idx="65" formatCode="General">
                  <c:v>-0.3</c:v>
                </c:pt>
                <c:pt idx="66" formatCode="General">
                  <c:v>-0.1</c:v>
                </c:pt>
                <c:pt idx="67" formatCode="General">
                  <c:v>-0.5</c:v>
                </c:pt>
                <c:pt idx="68" formatCode="General">
                  <c:v>-0.4</c:v>
                </c:pt>
                <c:pt idx="69" formatCode="General">
                  <c:v>0.3</c:v>
                </c:pt>
                <c:pt idx="70" formatCode="General">
                  <c:v>-0.1</c:v>
                </c:pt>
                <c:pt idx="71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B-49BD-B6DC-96708AD29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'Ceny 4'!$D$30:$D$101</c:f>
              <c:numCache>
                <c:formatCode>0.0</c:formatCode>
                <c:ptCount val="72"/>
                <c:pt idx="0">
                  <c:v>-0.90000000000000568</c:v>
                </c:pt>
                <c:pt idx="1">
                  <c:v>-1.5</c:v>
                </c:pt>
                <c:pt idx="2">
                  <c:v>-0.90000000000000568</c:v>
                </c:pt>
                <c:pt idx="3">
                  <c:v>-0.90000000000000568</c:v>
                </c:pt>
                <c:pt idx="4">
                  <c:v>0.29999999999999716</c:v>
                </c:pt>
                <c:pt idx="5">
                  <c:v>0.59999999999999432</c:v>
                </c:pt>
                <c:pt idx="6">
                  <c:v>0.40000000000000568</c:v>
                </c:pt>
                <c:pt idx="7">
                  <c:v>-0.29999999999999716</c:v>
                </c:pt>
                <c:pt idx="8">
                  <c:v>-1.7000000000000028</c:v>
                </c:pt>
                <c:pt idx="9">
                  <c:v>-1.4000000000000057</c:v>
                </c:pt>
                <c:pt idx="10">
                  <c:v>-0.59999999999999432</c:v>
                </c:pt>
                <c:pt idx="11">
                  <c:v>-0.5</c:v>
                </c:pt>
                <c:pt idx="12">
                  <c:v>-6.5999999999999943</c:v>
                </c:pt>
                <c:pt idx="13">
                  <c:v>-6.0999999999999943</c:v>
                </c:pt>
                <c:pt idx="14">
                  <c:v>-6.5</c:v>
                </c:pt>
                <c:pt idx="15">
                  <c:v>-7</c:v>
                </c:pt>
                <c:pt idx="16">
                  <c:v>-7.0999999999999943</c:v>
                </c:pt>
                <c:pt idx="17">
                  <c:v>-7.2999999999999972</c:v>
                </c:pt>
                <c:pt idx="18">
                  <c:v>-6.5999999999999943</c:v>
                </c:pt>
                <c:pt idx="19">
                  <c:v>-6</c:v>
                </c:pt>
                <c:pt idx="20">
                  <c:v>-4.9000000000000057</c:v>
                </c:pt>
                <c:pt idx="21">
                  <c:v>-5.2000000000000028</c:v>
                </c:pt>
                <c:pt idx="22">
                  <c:v>-5.2999999999999972</c:v>
                </c:pt>
                <c:pt idx="23">
                  <c:v>-5.0999999999999943</c:v>
                </c:pt>
                <c:pt idx="24" formatCode="General">
                  <c:v>2.2999999999999972</c:v>
                </c:pt>
                <c:pt idx="25" formatCode="General">
                  <c:v>5.7999999999999972</c:v>
                </c:pt>
                <c:pt idx="26">
                  <c:v>6.2000000000000028</c:v>
                </c:pt>
                <c:pt idx="27">
                  <c:v>6.4000000000000057</c:v>
                </c:pt>
                <c:pt idx="28" formatCode="General">
                  <c:v>4.2999999999999972</c:v>
                </c:pt>
                <c:pt idx="29" formatCode="General">
                  <c:v>4.0999999999999943</c:v>
                </c:pt>
                <c:pt idx="30" formatCode="General">
                  <c:v>2.9</c:v>
                </c:pt>
                <c:pt idx="31" formatCode="General">
                  <c:v>1.7</c:v>
                </c:pt>
                <c:pt idx="32" formatCode="General">
                  <c:v>1.9</c:v>
                </c:pt>
                <c:pt idx="33" formatCode="General">
                  <c:v>3.4</c:v>
                </c:pt>
                <c:pt idx="34" formatCode="General">
                  <c:v>3.3</c:v>
                </c:pt>
                <c:pt idx="35" formatCode="General">
                  <c:v>3.6</c:v>
                </c:pt>
                <c:pt idx="36" formatCode="General">
                  <c:v>6.7</c:v>
                </c:pt>
                <c:pt idx="37" formatCode="General">
                  <c:v>5</c:v>
                </c:pt>
                <c:pt idx="38" formatCode="General">
                  <c:v>4.3</c:v>
                </c:pt>
                <c:pt idx="39" formatCode="General">
                  <c:v>4.5999999999999996</c:v>
                </c:pt>
                <c:pt idx="40" formatCode="General">
                  <c:v>7.4</c:v>
                </c:pt>
                <c:pt idx="41" formatCode="General">
                  <c:v>8</c:v>
                </c:pt>
                <c:pt idx="42" formatCode="General">
                  <c:v>8.4</c:v>
                </c:pt>
                <c:pt idx="43" formatCode="General">
                  <c:v>10.1</c:v>
                </c:pt>
                <c:pt idx="44" formatCode="General">
                  <c:v>9.9</c:v>
                </c:pt>
                <c:pt idx="45" formatCode="General">
                  <c:v>9</c:v>
                </c:pt>
                <c:pt idx="46" formatCode="General">
                  <c:v>9.1999999999999993</c:v>
                </c:pt>
                <c:pt idx="47" formatCode="General">
                  <c:v>8.3000000000000007</c:v>
                </c:pt>
                <c:pt idx="48" formatCode="General">
                  <c:v>7.9</c:v>
                </c:pt>
                <c:pt idx="49" formatCode="General">
                  <c:v>7.4</c:v>
                </c:pt>
                <c:pt idx="50" formatCode="General">
                  <c:v>8</c:v>
                </c:pt>
                <c:pt idx="51" formatCode="General">
                  <c:v>8.4</c:v>
                </c:pt>
                <c:pt idx="52" formatCode="General">
                  <c:v>7.5</c:v>
                </c:pt>
                <c:pt idx="53" formatCode="General">
                  <c:v>7.1</c:v>
                </c:pt>
                <c:pt idx="54" formatCode="General">
                  <c:v>6.9</c:v>
                </c:pt>
                <c:pt idx="55" formatCode="General">
                  <c:v>6.8</c:v>
                </c:pt>
                <c:pt idx="56" formatCode="General">
                  <c:v>6.6</c:v>
                </c:pt>
                <c:pt idx="57" formatCode="General">
                  <c:v>3.6</c:v>
                </c:pt>
                <c:pt idx="58" formatCode="General">
                  <c:v>3.2</c:v>
                </c:pt>
                <c:pt idx="59" formatCode="General">
                  <c:v>4.3</c:v>
                </c:pt>
                <c:pt idx="60" formatCode="General">
                  <c:v>-2.1</c:v>
                </c:pt>
                <c:pt idx="61" formatCode="General">
                  <c:v>-1.8</c:v>
                </c:pt>
                <c:pt idx="62" formatCode="General">
                  <c:v>-2.6</c:v>
                </c:pt>
                <c:pt idx="63" formatCode="General">
                  <c:v>-3.7</c:v>
                </c:pt>
                <c:pt idx="64" formatCode="General">
                  <c:v>-3.1</c:v>
                </c:pt>
                <c:pt idx="65" formatCode="General">
                  <c:v>-3.6</c:v>
                </c:pt>
                <c:pt idx="66" formatCode="General">
                  <c:v>-3.5</c:v>
                </c:pt>
                <c:pt idx="67" formatCode="General">
                  <c:v>-3.5</c:v>
                </c:pt>
                <c:pt idx="68" formatCode="General">
                  <c:v>-3.7</c:v>
                </c:pt>
                <c:pt idx="69" formatCode="General">
                  <c:v>-1.9</c:v>
                </c:pt>
                <c:pt idx="70" formatCode="General">
                  <c:v>-1.8</c:v>
                </c:pt>
                <c:pt idx="71" formatCode="General">
                  <c:v>-2.2000000000000002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4B-49BD-B6DC-96708AD297B4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'Ceny 4'!$E$30:$E$101</c:f>
              <c:numCache>
                <c:formatCode>0.0</c:formatCode>
                <c:ptCount val="72"/>
                <c:pt idx="0">
                  <c:v>-4.2999999999999972</c:v>
                </c:pt>
                <c:pt idx="1">
                  <c:v>-4.4000000000000057</c:v>
                </c:pt>
                <c:pt idx="2">
                  <c:v>-3.5</c:v>
                </c:pt>
                <c:pt idx="3">
                  <c:v>-3.0999999999999943</c:v>
                </c:pt>
                <c:pt idx="4">
                  <c:v>-2.7000000000000028</c:v>
                </c:pt>
                <c:pt idx="5">
                  <c:v>-2.7999999999999972</c:v>
                </c:pt>
                <c:pt idx="6">
                  <c:v>-3.5999999999999943</c:v>
                </c:pt>
                <c:pt idx="7">
                  <c:v>-4.7000000000000028</c:v>
                </c:pt>
                <c:pt idx="8">
                  <c:v>-5.2000000000000028</c:v>
                </c:pt>
                <c:pt idx="9">
                  <c:v>-4.9000000000000057</c:v>
                </c:pt>
                <c:pt idx="10">
                  <c:v>-4.5999999999999943</c:v>
                </c:pt>
                <c:pt idx="11">
                  <c:v>-3.5</c:v>
                </c:pt>
                <c:pt idx="12">
                  <c:v>-3.2999999999999972</c:v>
                </c:pt>
                <c:pt idx="13">
                  <c:v>-4.0999999999999943</c:v>
                </c:pt>
                <c:pt idx="14">
                  <c:v>-4.5999999999999943</c:v>
                </c:pt>
                <c:pt idx="15">
                  <c:v>-4.9000000000000057</c:v>
                </c:pt>
                <c:pt idx="16">
                  <c:v>-5</c:v>
                </c:pt>
                <c:pt idx="17">
                  <c:v>-4.5</c:v>
                </c:pt>
                <c:pt idx="18">
                  <c:v>-4</c:v>
                </c:pt>
                <c:pt idx="19">
                  <c:v>-3.2000000000000028</c:v>
                </c:pt>
                <c:pt idx="20">
                  <c:v>-2</c:v>
                </c:pt>
                <c:pt idx="21">
                  <c:v>-1.0999999999999943</c:v>
                </c:pt>
                <c:pt idx="22">
                  <c:v>-0.59999999999999432</c:v>
                </c:pt>
                <c:pt idx="23">
                  <c:v>0.59999999999999432</c:v>
                </c:pt>
                <c:pt idx="24" formatCode="General">
                  <c:v>2.5999999999999943</c:v>
                </c:pt>
                <c:pt idx="25" formatCode="General">
                  <c:v>4</c:v>
                </c:pt>
                <c:pt idx="26">
                  <c:v>3.7999999999999972</c:v>
                </c:pt>
                <c:pt idx="27">
                  <c:v>4</c:v>
                </c:pt>
                <c:pt idx="28" formatCode="General">
                  <c:v>2.7999999999999972</c:v>
                </c:pt>
                <c:pt idx="29" formatCode="General">
                  <c:v>1.5</c:v>
                </c:pt>
                <c:pt idx="30" formatCode="General">
                  <c:v>1.4</c:v>
                </c:pt>
                <c:pt idx="31" formatCode="General">
                  <c:v>2</c:v>
                </c:pt>
                <c:pt idx="32" formatCode="General">
                  <c:v>2.1</c:v>
                </c:pt>
                <c:pt idx="33" formatCode="General">
                  <c:v>1.4</c:v>
                </c:pt>
                <c:pt idx="34" formatCode="General">
                  <c:v>1.1000000000000001</c:v>
                </c:pt>
                <c:pt idx="35" formatCode="General">
                  <c:v>0.9</c:v>
                </c:pt>
                <c:pt idx="36" formatCode="General">
                  <c:v>0.2</c:v>
                </c:pt>
                <c:pt idx="37" formatCode="General">
                  <c:v>-0.9</c:v>
                </c:pt>
                <c:pt idx="38" formatCode="General">
                  <c:v>-0.5</c:v>
                </c:pt>
                <c:pt idx="39" formatCode="General">
                  <c:v>-0.5</c:v>
                </c:pt>
                <c:pt idx="40" formatCode="General">
                  <c:v>1.3</c:v>
                </c:pt>
                <c:pt idx="41" formatCode="General">
                  <c:v>2.8</c:v>
                </c:pt>
                <c:pt idx="42" formatCode="General">
                  <c:v>3.4</c:v>
                </c:pt>
                <c:pt idx="43" formatCode="General">
                  <c:v>3.2</c:v>
                </c:pt>
                <c:pt idx="44" formatCode="General">
                  <c:v>3</c:v>
                </c:pt>
                <c:pt idx="45" formatCode="General">
                  <c:v>3.8</c:v>
                </c:pt>
                <c:pt idx="46" formatCode="General">
                  <c:v>3.9</c:v>
                </c:pt>
                <c:pt idx="47" formatCode="General">
                  <c:v>2.2000000000000002</c:v>
                </c:pt>
                <c:pt idx="48" formatCode="General">
                  <c:v>1.9</c:v>
                </c:pt>
                <c:pt idx="49" formatCode="General">
                  <c:v>2.9</c:v>
                </c:pt>
                <c:pt idx="50" formatCode="General">
                  <c:v>3</c:v>
                </c:pt>
                <c:pt idx="51" formatCode="General">
                  <c:v>3.5</c:v>
                </c:pt>
                <c:pt idx="52" formatCode="General">
                  <c:v>2.9</c:v>
                </c:pt>
                <c:pt idx="53" formatCode="General">
                  <c:v>1.4</c:v>
                </c:pt>
                <c:pt idx="54" formatCode="General">
                  <c:v>0.9</c:v>
                </c:pt>
                <c:pt idx="55" formatCode="General">
                  <c:v>0.8</c:v>
                </c:pt>
                <c:pt idx="56" formatCode="General">
                  <c:v>0.7</c:v>
                </c:pt>
                <c:pt idx="57" formatCode="General">
                  <c:v>-0.4</c:v>
                </c:pt>
                <c:pt idx="58" formatCode="General">
                  <c:v>-0.7</c:v>
                </c:pt>
                <c:pt idx="59" formatCode="General">
                  <c:v>0.8</c:v>
                </c:pt>
                <c:pt idx="60" formatCode="General">
                  <c:v>1.2</c:v>
                </c:pt>
                <c:pt idx="61" formatCode="General">
                  <c:v>-0.1</c:v>
                </c:pt>
                <c:pt idx="62" formatCode="General">
                  <c:v>-1.2</c:v>
                </c:pt>
                <c:pt idx="63" formatCode="General">
                  <c:v>-2.5</c:v>
                </c:pt>
                <c:pt idx="64" formatCode="General">
                  <c:v>-2.6</c:v>
                </c:pt>
                <c:pt idx="65" formatCode="General">
                  <c:v>-1.9</c:v>
                </c:pt>
                <c:pt idx="66" formatCode="General">
                  <c:v>-1.6</c:v>
                </c:pt>
                <c:pt idx="67" formatCode="General">
                  <c:v>-2</c:v>
                </c:pt>
                <c:pt idx="68" formatCode="General">
                  <c:v>-1.9</c:v>
                </c:pt>
                <c:pt idx="69" formatCode="General">
                  <c:v>-1.1000000000000001</c:v>
                </c:pt>
                <c:pt idx="70" formatCode="General">
                  <c:v>-1.4</c:v>
                </c:pt>
                <c:pt idx="71" formatCode="General">
                  <c:v>-1.2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54B-49BD-B6DC-96708AD297B4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'Ceny 4'!$F$30:$F$101</c:f>
              <c:numCache>
                <c:formatCode>0.0</c:formatCode>
                <c:ptCount val="72"/>
                <c:pt idx="0">
                  <c:v>-0.79999999999999716</c:v>
                </c:pt>
                <c:pt idx="1">
                  <c:v>-0.79999999999999716</c:v>
                </c:pt>
                <c:pt idx="2">
                  <c:v>-0.79999999999999716</c:v>
                </c:pt>
                <c:pt idx="3">
                  <c:v>-0.70000000000000284</c:v>
                </c:pt>
                <c:pt idx="4">
                  <c:v>-0.70000000000000284</c:v>
                </c:pt>
                <c:pt idx="5">
                  <c:v>-0.70000000000000284</c:v>
                </c:pt>
                <c:pt idx="6">
                  <c:v>-0.70000000000000284</c:v>
                </c:pt>
                <c:pt idx="7">
                  <c:v>-0.79999999999999716</c:v>
                </c:pt>
                <c:pt idx="8">
                  <c:v>-0.79999999999999716</c:v>
                </c:pt>
                <c:pt idx="9">
                  <c:v>-0.90000000000000568</c:v>
                </c:pt>
                <c:pt idx="10">
                  <c:v>-0.90000000000000568</c:v>
                </c:pt>
                <c:pt idx="11">
                  <c:v>-0.90000000000000568</c:v>
                </c:pt>
                <c:pt idx="12">
                  <c:v>-4</c:v>
                </c:pt>
                <c:pt idx="13">
                  <c:v>-4.0999999999999943</c:v>
                </c:pt>
                <c:pt idx="14">
                  <c:v>-4.0999999999999943</c:v>
                </c:pt>
                <c:pt idx="15">
                  <c:v>-4</c:v>
                </c:pt>
                <c:pt idx="16">
                  <c:v>-4</c:v>
                </c:pt>
                <c:pt idx="17">
                  <c:v>-4.0999999999999943</c:v>
                </c:pt>
                <c:pt idx="18">
                  <c:v>-4</c:v>
                </c:pt>
                <c:pt idx="19">
                  <c:v>-4</c:v>
                </c:pt>
                <c:pt idx="20">
                  <c:v>-4.0999999999999943</c:v>
                </c:pt>
                <c:pt idx="21">
                  <c:v>-4.0999999999999943</c:v>
                </c:pt>
                <c:pt idx="22">
                  <c:v>-4.0999999999999943</c:v>
                </c:pt>
                <c:pt idx="23">
                  <c:v>-4.0999999999999943</c:v>
                </c:pt>
                <c:pt idx="24" formatCode="General">
                  <c:v>-1.0999999999999943</c:v>
                </c:pt>
                <c:pt idx="25" formatCode="General">
                  <c:v>-1.2000000000000028</c:v>
                </c:pt>
                <c:pt idx="26">
                  <c:v>-1.2000000000000028</c:v>
                </c:pt>
                <c:pt idx="27">
                  <c:v>-1.4000000000000057</c:v>
                </c:pt>
                <c:pt idx="28" formatCode="General">
                  <c:v>-1.2999999999999972</c:v>
                </c:pt>
                <c:pt idx="29" formatCode="General">
                  <c:v>-1.0999999999999943</c:v>
                </c:pt>
                <c:pt idx="30" formatCode="General">
                  <c:v>-1.1000000000000001</c:v>
                </c:pt>
                <c:pt idx="31" formatCode="General">
                  <c:v>-1.3</c:v>
                </c:pt>
                <c:pt idx="32" formatCode="General">
                  <c:v>-1.1000000000000001</c:v>
                </c:pt>
                <c:pt idx="33" formatCode="General">
                  <c:v>-1.1000000000000001</c:v>
                </c:pt>
                <c:pt idx="34" formatCode="General">
                  <c:v>-1.1000000000000001</c:v>
                </c:pt>
                <c:pt idx="35" formatCode="General">
                  <c:v>-1.1000000000000001</c:v>
                </c:pt>
                <c:pt idx="36" formatCode="General">
                  <c:v>1.5</c:v>
                </c:pt>
                <c:pt idx="37" formatCode="General">
                  <c:v>1.6</c:v>
                </c:pt>
                <c:pt idx="38" formatCode="General">
                  <c:v>1.6</c:v>
                </c:pt>
                <c:pt idx="39" formatCode="General">
                  <c:v>1.7</c:v>
                </c:pt>
                <c:pt idx="40" formatCode="General">
                  <c:v>1.7</c:v>
                </c:pt>
                <c:pt idx="41" formatCode="General">
                  <c:v>2.2999999999999998</c:v>
                </c:pt>
                <c:pt idx="42" formatCode="General">
                  <c:v>2.2999999999999998</c:v>
                </c:pt>
                <c:pt idx="43" formatCode="General">
                  <c:v>2.6</c:v>
                </c:pt>
                <c:pt idx="44" formatCode="General">
                  <c:v>2.7</c:v>
                </c:pt>
                <c:pt idx="45" formatCode="General">
                  <c:v>2.8</c:v>
                </c:pt>
                <c:pt idx="46" formatCode="General">
                  <c:v>2.8</c:v>
                </c:pt>
                <c:pt idx="47" formatCode="General">
                  <c:v>2.8</c:v>
                </c:pt>
                <c:pt idx="48" formatCode="General">
                  <c:v>7.2</c:v>
                </c:pt>
                <c:pt idx="49" formatCode="General">
                  <c:v>7.5</c:v>
                </c:pt>
                <c:pt idx="50" formatCode="General">
                  <c:v>8.4</c:v>
                </c:pt>
                <c:pt idx="51" formatCode="General">
                  <c:v>8.1999999999999993</c:v>
                </c:pt>
                <c:pt idx="52" formatCode="General">
                  <c:v>8.6</c:v>
                </c:pt>
                <c:pt idx="53" formatCode="General">
                  <c:v>7.9</c:v>
                </c:pt>
                <c:pt idx="54" formatCode="General">
                  <c:v>8</c:v>
                </c:pt>
                <c:pt idx="55" formatCode="General">
                  <c:v>7.7</c:v>
                </c:pt>
                <c:pt idx="56" formatCode="General">
                  <c:v>7.7</c:v>
                </c:pt>
                <c:pt idx="57" formatCode="General">
                  <c:v>7.5</c:v>
                </c:pt>
                <c:pt idx="58" formatCode="General">
                  <c:v>8.6999999999999993</c:v>
                </c:pt>
                <c:pt idx="59" formatCode="General">
                  <c:v>8.8000000000000007</c:v>
                </c:pt>
                <c:pt idx="60" formatCode="General">
                  <c:v>9.3000000000000007</c:v>
                </c:pt>
                <c:pt idx="61" formatCode="General">
                  <c:v>9</c:v>
                </c:pt>
                <c:pt idx="62" formatCode="General">
                  <c:v>8.3000000000000007</c:v>
                </c:pt>
                <c:pt idx="63" formatCode="General">
                  <c:v>8.6</c:v>
                </c:pt>
                <c:pt idx="64" formatCode="General">
                  <c:v>8</c:v>
                </c:pt>
                <c:pt idx="65" formatCode="General">
                  <c:v>8</c:v>
                </c:pt>
                <c:pt idx="66" formatCode="General">
                  <c:v>7.7</c:v>
                </c:pt>
                <c:pt idx="67" formatCode="General">
                  <c:v>7.9</c:v>
                </c:pt>
                <c:pt idx="68" formatCode="General">
                  <c:v>7.7</c:v>
                </c:pt>
                <c:pt idx="69" formatCode="General">
                  <c:v>7</c:v>
                </c:pt>
                <c:pt idx="70" formatCode="General">
                  <c:v>5.8</c:v>
                </c:pt>
                <c:pt idx="71" formatCode="General">
                  <c:v>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54B-49BD-B6DC-96708AD297B4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'Ceny 4'!$G$30:$G$101</c:f>
              <c:numCache>
                <c:formatCode>General</c:formatCode>
                <c:ptCount val="72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1.5999999999999943</c:v>
                </c:pt>
                <c:pt idx="16">
                  <c:v>1.5999999999999943</c:v>
                </c:pt>
                <c:pt idx="17">
                  <c:v>1.5999999999999943</c:v>
                </c:pt>
                <c:pt idx="18">
                  <c:v>1.5999999999999943</c:v>
                </c:pt>
                <c:pt idx="19">
                  <c:v>1.5999999999999943</c:v>
                </c:pt>
                <c:pt idx="20">
                  <c:v>1.5999999999999943</c:v>
                </c:pt>
                <c:pt idx="21">
                  <c:v>1.5999999999999943</c:v>
                </c:pt>
                <c:pt idx="22">
                  <c:v>1.5999999999999943</c:v>
                </c:pt>
                <c:pt idx="23">
                  <c:v>1.5999999999999943</c:v>
                </c:pt>
                <c:pt idx="24">
                  <c:v>2.0999999999999943</c:v>
                </c:pt>
                <c:pt idx="25">
                  <c:v>2.0999999999999943</c:v>
                </c:pt>
                <c:pt idx="26" formatCode="0.0">
                  <c:v>2.0999999999999943</c:v>
                </c:pt>
                <c:pt idx="27" formatCode="0.0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1.9</c:v>
                </c:pt>
                <c:pt idx="37">
                  <c:v>1.9</c:v>
                </c:pt>
                <c:pt idx="38">
                  <c:v>1.9</c:v>
                </c:pt>
                <c:pt idx="39">
                  <c:v>1.9</c:v>
                </c:pt>
                <c:pt idx="40">
                  <c:v>1.9</c:v>
                </c:pt>
                <c:pt idx="41">
                  <c:v>1.9</c:v>
                </c:pt>
                <c:pt idx="42">
                  <c:v>1.9</c:v>
                </c:pt>
                <c:pt idx="43">
                  <c:v>1.9</c:v>
                </c:pt>
                <c:pt idx="44">
                  <c:v>1.9</c:v>
                </c:pt>
                <c:pt idx="45">
                  <c:v>1.9</c:v>
                </c:pt>
                <c:pt idx="46">
                  <c:v>1.9</c:v>
                </c:pt>
                <c:pt idx="47">
                  <c:v>1.9</c:v>
                </c:pt>
                <c:pt idx="48">
                  <c:v>2.9</c:v>
                </c:pt>
                <c:pt idx="49">
                  <c:v>2.9</c:v>
                </c:pt>
                <c:pt idx="50">
                  <c:v>2.9</c:v>
                </c:pt>
                <c:pt idx="51">
                  <c:v>2.9</c:v>
                </c:pt>
                <c:pt idx="52">
                  <c:v>2.9</c:v>
                </c:pt>
                <c:pt idx="53">
                  <c:v>2.9</c:v>
                </c:pt>
                <c:pt idx="54">
                  <c:v>2.9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2.9</c:v>
                </c:pt>
                <c:pt idx="60">
                  <c:v>5.4</c:v>
                </c:pt>
                <c:pt idx="61">
                  <c:v>5.4</c:v>
                </c:pt>
                <c:pt idx="62">
                  <c:v>5.4</c:v>
                </c:pt>
                <c:pt idx="63">
                  <c:v>5.4</c:v>
                </c:pt>
                <c:pt idx="64">
                  <c:v>6.4</c:v>
                </c:pt>
                <c:pt idx="65">
                  <c:v>6.4</c:v>
                </c:pt>
                <c:pt idx="66">
                  <c:v>6.4</c:v>
                </c:pt>
                <c:pt idx="67">
                  <c:v>6.4</c:v>
                </c:pt>
                <c:pt idx="68">
                  <c:v>6.4</c:v>
                </c:pt>
                <c:pt idx="69">
                  <c:v>6.4</c:v>
                </c:pt>
                <c:pt idx="70">
                  <c:v>6.4</c:v>
                </c:pt>
                <c:pt idx="71">
                  <c:v>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54B-49BD-B6DC-96708AD29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12"/>
          <c:min val="-1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6394-AFEB-43EC-B736-A14FB70D3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32634-9D7B-461E-A1DF-5A5D682F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3</TotalTime>
  <Pages>6</Pages>
  <Words>2478</Words>
  <Characters>14622</Characters>
  <Application>Microsoft Office Word</Application>
  <DocSecurity>0</DocSecurity>
  <Lines>121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17066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2021-03-18T08:13:00Z</dcterms:created>
  <dcterms:modified xsi:type="dcterms:W3CDTF">2021-03-18T08:59:00Z</dcterms:modified>
</cp:coreProperties>
</file>