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CF8D" w14:textId="77777777" w:rsidR="003E08A4" w:rsidRPr="009110F7" w:rsidRDefault="003E08A4" w:rsidP="003E08A4">
      <w:pPr>
        <w:pStyle w:val="Nadpis11"/>
      </w:pPr>
      <w:bookmarkStart w:id="0" w:name="_Toc532558284"/>
      <w:bookmarkStart w:id="1" w:name="_Toc26539341"/>
      <w:bookmarkStart w:id="2" w:name="_Toc11237634"/>
      <w:bookmarkStart w:id="3" w:name="_Toc58605374"/>
      <w:bookmarkStart w:id="4" w:name="_Toc66719930"/>
      <w:r>
        <w:t>4</w:t>
      </w:r>
      <w:r w:rsidRPr="009110F7">
        <w:t>.</w:t>
      </w:r>
      <w:r>
        <w:t> </w:t>
      </w:r>
      <w:r w:rsidRPr="009110F7">
        <w:t>Vnější vztahy</w:t>
      </w:r>
      <w:bookmarkEnd w:id="3"/>
      <w:bookmarkEnd w:id="4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3E08A4" w:rsidRPr="009110F7" w14:paraId="4B798086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0BAB418C" w14:textId="77777777" w:rsidR="003E08A4" w:rsidRDefault="003E08A4" w:rsidP="00275758">
            <w:pPr>
              <w:pStyle w:val="Marginlie"/>
            </w:pPr>
            <w:r>
              <w:t>V loňském roce došlo k poklesu hodnoty exportu zboží. Většina z tohoto propadu připadla na 2. čtvrtletí.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3FE4BEF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DB3F2E2" w14:textId="77777777" w:rsidR="003E08A4" w:rsidRPr="00AF6F98" w:rsidRDefault="003E08A4" w:rsidP="00275758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Zahraniční obchod v roce 2020 prošel značně turbulentním vývojem. Celková hodnota vývozu zboží loni dosáhla 3 528,8 mld. korun a meziročně se propadla o 163,0 mld.</w:t>
            </w:r>
            <w:r>
              <w:rPr>
                <w:spacing w:val="-4"/>
              </w:rPr>
              <w:br/>
              <w:t>(–4,4 %). Byla to nejmenší hodnota od roku 2017. Hlavní část ztrát se odehrála ve 2. čtvrtletí roku, kdy byly obě strany zahraničního obchodu ovlivněny omezením výroby ve velkých domácích i zahraničních podnicích i uzavřením hranic. Export se ale meziročně propadal i v 1. a 3. kvartálu (–4,1 %, –22,4 % a –0,9 % v 1. až 3. čtvrtletí). Ve druhé polovině roku se vývozci snažili ztráty alespoň částečně kompenzovat, ale meziročního navýšení dosáhli až ve 4. čtvrtletí. V závěrečném kvartálu roku 2020 tak hodnota exportu zboží dosáhla 1 013,6 mld. korun a meziročně se zvýšila o 96,5 mld. (10,5 %), což je nejvíce od 3. čtvrtletí 2014 (tehdy šlo o velký vliv kurzových změn). Meziročnímu srovnání zčásti pomohla slabší základna konce roku 2019, zároveň ale loni poprvé hodnota vývozu za jediné čtvrtletí překonala bilion korun.</w:t>
            </w:r>
          </w:p>
        </w:tc>
      </w:tr>
      <w:tr w:rsidR="003E08A4" w:rsidRPr="009110F7" w14:paraId="713244E1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0F4465E8" w14:textId="77777777" w:rsidR="003E08A4" w:rsidRDefault="003E08A4" w:rsidP="00275758">
            <w:pPr>
              <w:pStyle w:val="Marginlie"/>
            </w:pPr>
            <w:r>
              <w:t>Propadal se zejména vývoz motorových vozidel. Ztráty utrpěly i další významné exportní obory.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E0624DC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CC0F2DF" w14:textId="73FB1458" w:rsidR="003E08A4" w:rsidRPr="00AF6F98" w:rsidRDefault="003E08A4" w:rsidP="00275758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Propad exportu ve 2. čtvrtletí nejvíce zasáhl klíčové artikly českého vývozu, tedy motorová vozidla a přidružené subdodavatele. Zároveň se tyto obory velmi rychle snažily ztráty dohnat, takže naopak nejvíce přispívaly k růstu vývozu v druhé polovině roku. Jarní situace nejvíce postihla vývoz motorových vozidel, který se za celý rok 2020 propadl o 100,2 mld. korun (</w:t>
            </w:r>
            <w:r w:rsidR="00E00B88">
              <w:rPr>
                <w:spacing w:val="-4"/>
              </w:rPr>
              <w:t>–</w:t>
            </w:r>
            <w:r>
              <w:rPr>
                <w:spacing w:val="-4"/>
              </w:rPr>
              <w:t>9,8 %) na 920,0 mld., což je nejméně od roku 2015. Silně se loni snížil i vývoz strojů a zařízení (–30,9 mld. korun, –7,5 %). Mírnější byl pokles u kovodělných výrobků</w:t>
            </w:r>
            <w:r>
              <w:rPr>
                <w:spacing w:val="-4"/>
              </w:rPr>
              <w:br/>
              <w:t>(–11,6 mld. korun, –5,1 %), pryžových a plastových výrobků (–7,0 mld., –3,6 %) a elektrických zařízení (–6,9 mld., –2,2 %). Dalším faktorem, který ovlivnil obě strany zahraničního obchodu, byl pokles cen surovin. Ten se ukázal na exportu základních kovů (–12,2 mld. korun, –8,9 %), ale zejména u koksu a rafinovaných ropných produktů</w:t>
            </w:r>
            <w:r>
              <w:rPr>
                <w:spacing w:val="-4"/>
              </w:rPr>
              <w:br/>
              <w:t>(–14,2 mld., –35,6 %). Navýšení exportu loni proběhlo u počítačů, elektronických a optických přístrojů (21,2 mld. korun, 5,5 %). Tento segment se v posledních čtyřech letech velmi dynamicky rozvíjel a výjimkou byl jen meziroční pokles v období od 3. čtvrtletí 2019 do 2. čtvrtletí 2020. Vývoz potravinářských výrobků se zvýšil o 7,5 mld. korun (6,6 %), zčásti i kvůli nárůstu cen. O 3,7 mld. korun se zvýšil export oděvů (12,3 %) a solidní byly přírůstky u ostatních výrobků zpracovatelského průmyslu (3,4 mld., 4,1 %), nábytku (2,8 mld., 10,0 %) a základních farmaceutických výrobků (2,2 mld., 4,3 %).</w:t>
            </w:r>
          </w:p>
        </w:tc>
      </w:tr>
      <w:tr w:rsidR="003E08A4" w:rsidRPr="009110F7" w14:paraId="101D9B2A" w14:textId="77777777" w:rsidTr="00275758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30894CD9" w14:textId="77777777" w:rsidR="003E08A4" w:rsidRDefault="003E08A4" w:rsidP="00275758">
            <w:pPr>
              <w:pStyle w:val="Marginlie"/>
            </w:pPr>
            <w:r>
              <w:t>Ke konci roku ale došlo k výraznému oživení, které mělo alespoň částečně kompenzovat ztráty z jara.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E55E3E5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0149178" w14:textId="02487287" w:rsidR="003E08A4" w:rsidRPr="00AF6F98" w:rsidRDefault="003E08A4" w:rsidP="00275758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V samotném 4. čtvrtletí 2020 nejvíce meziročně rostl export motorových vozidel (39,6 mld. korun, 15,9 %). Přírůstek posílil u počítačů, elektronických a optických přístrojů (14,0 mld. korun, 13,2 %) i elektrických zařízení (10,6 mld., 13,6 %). Po sérii poklesů ve 4. čtvrtletí meziročně narostl export také u pryžových a plastových výrobků (5,9 mld. korun, 12,8 %), chemických látek a přípravků (5,9 mld., 14,4 %), kovodělných výrobků (4,2 mld., 7,6 %), strojů a zařízení (3,5 mld., 3,4 %) a základních kovů (2,6 mld., 8,8 %). Na konci roku výrazně posílil vývoz papíru a výrobků z něj (1,2 mld. korun, 8,2 %) a základních farmaceutických výrobků (1,2 mld., 9,3 %). Zejména cenový pokles stál za pokračujícím propadem exportu u koksu a rafinovaných ropných výrobků (–3,7 mld. korun, –35,2 %) a elektřiny, plynu, páry a klimatizovaného vzduchu (–2,0 mld., </w:t>
            </w:r>
            <w:r w:rsidR="00E00B88">
              <w:rPr>
                <w:spacing w:val="-4"/>
              </w:rPr>
              <w:t>–</w:t>
            </w:r>
            <w:r>
              <w:rPr>
                <w:spacing w:val="-4"/>
              </w:rPr>
              <w:t>24,6 %).</w:t>
            </w:r>
          </w:p>
        </w:tc>
      </w:tr>
      <w:tr w:rsidR="003E08A4" w:rsidRPr="009110F7" w14:paraId="209C1417" w14:textId="77777777" w:rsidTr="00275758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5AD64351" w14:textId="77777777" w:rsidR="003E08A4" w:rsidRDefault="003E08A4" w:rsidP="00275758">
            <w:pPr>
              <w:pStyle w:val="Marginlie"/>
            </w:pPr>
            <w:r>
              <w:t>Loni klesl vývoz do EU i mimo ni.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8E168F1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2A83E2AF" w14:textId="7D2F8E14" w:rsidR="003E08A4" w:rsidRPr="00AF6F98" w:rsidRDefault="003E08A4" w:rsidP="00275758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Silný pokles loni zaznamenal vývoz do EU (–119,4 mld. korun, –4,1 %) i mimo ni</w:t>
            </w:r>
            <w:r>
              <w:rPr>
                <w:spacing w:val="-4"/>
              </w:rPr>
              <w:br/>
              <w:t>(–41,7 mld., –5,5 %). Nejvíce se snížila hodnota vývozu do Německa (–31,6 mld. korun,</w:t>
            </w:r>
            <w:r>
              <w:rPr>
                <w:spacing w:val="-4"/>
              </w:rPr>
              <w:br/>
              <w:t>–2,8 %), Španělska (–34,9 mld., –28,1 %), Velké Británie (–18,1 mld., –11,7 %) a Francie (–18,8 mld., –10,0 %). Výrazně poklesl vývoz také k ostatním sousedům Česka – do Rakouska o 11,8 mld. korun (–7,6 %), na Slovensko o 8,4 mld. (–2,5 %) a do Polska o 3,6 mld. (–1,5 %). Naopak se loni zvýšila hodnota exportu do Turecka (9,8 mld. korun, 29,6 %), Nizozemska (3,6 mld., 2,9 %) a Korej</w:t>
            </w:r>
            <w:r w:rsidR="00E00B88">
              <w:rPr>
                <w:spacing w:val="-4"/>
              </w:rPr>
              <w:t>ské republiky</w:t>
            </w:r>
            <w:r>
              <w:rPr>
                <w:spacing w:val="-4"/>
              </w:rPr>
              <w:t xml:space="preserve"> (1,4 mld., 14,4 %). Ve 4. čtvrtletí silně rostl vývoz do Evropské unie (91,3 mld. korun, 12,7 %), mírněji mimo ni (5,8 mld., 2,9 %). Největší přírůstek byl zaznamenán u vývozu do Německa (43,3 mld. </w:t>
            </w:r>
            <w:r>
              <w:rPr>
                <w:spacing w:val="-4"/>
              </w:rPr>
              <w:lastRenderedPageBreak/>
              <w:t>korun, 15,8 %), do Itálie (8,4 mld., 27,4 %), na Slovensko (8,2 mld., 9,6 %), do Francie (7,2 mld., 15,6 %) a do Polska (6,3 mld., 10,6 %).</w:t>
            </w:r>
          </w:p>
        </w:tc>
      </w:tr>
      <w:tr w:rsidR="003E08A4" w:rsidRPr="009110F7" w14:paraId="27FEAD85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EBB78E5" w14:textId="77777777" w:rsidR="003E08A4" w:rsidRDefault="003E08A4" w:rsidP="00275758">
            <w:pPr>
              <w:pStyle w:val="Marginlie"/>
            </w:pPr>
            <w:r>
              <w:lastRenderedPageBreak/>
              <w:t>Dovoz se propadl více než vývoz. Přímo k tomu přispěla situace okolo koronaviru, ale rovněž snížení cen některých surovin.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919A80F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8510A24" w14:textId="270C18E5" w:rsidR="003E08A4" w:rsidRPr="00AF6F98" w:rsidRDefault="003E08A4" w:rsidP="00275758">
            <w:pPr>
              <w:rPr>
                <w:spacing w:val="-4"/>
              </w:rPr>
            </w:pPr>
            <w:r>
              <w:rPr>
                <w:spacing w:val="-4"/>
              </w:rPr>
              <w:t>Také dovoz zboží se loni propadl, a to o 201,8 mld. korun (–5,7 %) na 3 344,3 mld. Dovoz se ve druhé polovině roku nepřibližoval předkrizové úrovni tak rychle jako vývoz (meziroční propady dosáhly –3,</w:t>
            </w:r>
            <w:r w:rsidR="00E00B88">
              <w:rPr>
                <w:spacing w:val="-4"/>
              </w:rPr>
              <w:t>2</w:t>
            </w:r>
            <w:r>
              <w:rPr>
                <w:spacing w:val="-4"/>
              </w:rPr>
              <w:t> %, –18,5 % a –4,4 % v 1. až 3. čtvrtletí). Ve 4. kvartálu už import zboží meziročně vzrostl o 29,0 mld. korun (3,2 %) na 933,2 mld. Pokles dovozu byl loni ovlivněn ze dvou směrů. Jednak se snížila domácí poptávka – zčásti ta od výrobců, kteří dovezené komponenty dále zpracovávají. Nejistota také narušila investiční aktivitu. To je vidět na loňském propadu dovozu motorových vozidel (do oddílu patří i díly a subdodavatelské práce) o 74,7 mld. korun (–13,4 %) a rovněž strojů a zařízení o 30,6 mld. (–8,7 %). Klesl i import kovodělných výrobků (–13,4 mld. korun, –7,7 %), ostatních dopravních prostředků (–10,7 mld., –25,4 %) a pryžových a plastových výrobků (–4,4 mld., –2,4 %). Druhým důležitým faktorem byl propad cen některých surovin, hlavně ropy. Hodnota dovozu ropy a zemního plynu klesla o 56,2 mld. korun (–43,2 %), základních kovů o 35,1 mld. (–13,4 %), koksu a rafinovaných ropných výrobků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o 15,2 mld. (–24,8 %) a s poklesem cen ropy souviselo i snížení hodnoty dovozu chemických látek a přípravků</w:t>
            </w:r>
            <w:r>
              <w:rPr>
                <w:spacing w:val="-4"/>
              </w:rPr>
              <w:br/>
              <w:t>(–8,8 mld., –3,1 %). Největší zvýšení importu bylo loni zaznamenáno u počítačů, elektronických a optických přístrojů (41,6 mld. korun, 10,0 %), elektrických zařízení (12,8 mld., 4,7 %), základních farmaceutických výrobků (8,1 mld., 7,7 %) a textilií (5,6 mld., 10,8 %). Ve 4. čtvrtletí meziroční přírůstek dovozu nejvíce podpořila elektrická zařízení (14,7 mld. korun, 21,2 %), počítače, elektronické a optické přístroje (11,1 mld., 8,8 %) a motorová vozidla (8,6 mld., 6,1 %). Naopak dále trval propad importu ropy a zemního plynu (–14,2 mld. korun, –42,5 %), koksu a rafinovaných ropných výrobků (–5,2 mld.,</w:t>
            </w:r>
            <w:r>
              <w:rPr>
                <w:spacing w:val="-4"/>
              </w:rPr>
              <w:br/>
              <w:t>–33,1 %) a ostatních dopravních prostředků (–2,9 mld., –28,7 %).</w:t>
            </w:r>
          </w:p>
        </w:tc>
      </w:tr>
      <w:tr w:rsidR="003E08A4" w:rsidRPr="009110F7" w14:paraId="2BCA3C4B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705381C2" w14:textId="77777777" w:rsidR="003E08A4" w:rsidRDefault="003E08A4" w:rsidP="00275758">
            <w:pPr>
              <w:pStyle w:val="Marginlie"/>
            </w:pPr>
            <w:r>
              <w:t>Výrazně se propadl import z Německa.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EA5E364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4D114D2B" w14:textId="77777777" w:rsidR="003E08A4" w:rsidRDefault="003E08A4" w:rsidP="00275758">
            <w:pPr>
              <w:rPr>
                <w:spacing w:val="-4"/>
              </w:rPr>
            </w:pPr>
            <w:r>
              <w:rPr>
                <w:spacing w:val="-4"/>
              </w:rPr>
              <w:t>Loni výrazněji klesal dovoz z EU než ze zemí mimo ni. Velmi hluboký propad zaznamenal import z Německa (–96,2 mld. korun, –10,5 %), propad cen ropy a zemního plynu stál za poklesem dovozu z Ruska o 47,8 mld. (–41,5 %) a značně se snížil také import ze Slovenska (–14,8 mld., –8,5 %), Francie (–11,7 mld., –9,9 %) a Itálie (–10,5 mld., –6,6 %). Naopak nejvyšší od roku 2010 byl přírůstek hodnoty dovozu z Číny (46,2 mld. korun, 11,9 %). Ve 4. čtvrtletí 2020 nejvíce narůstal dovoz z Číny (13,9 mld. korun, 12,4 %), Maďarska (7,0 mld., 31,6 %) a Polska (5,1 mld., 6,8 %). Naopak se stále propadal import z Ruska (–11,7 mld. korun, –38,2 %) a dál klesal i dovoz z Německa (–3,0 mld., –1,3 %) a Rakouska (–1,1 mld., –3,9 %).</w:t>
            </w:r>
          </w:p>
        </w:tc>
      </w:tr>
      <w:tr w:rsidR="003E08A4" w:rsidRPr="009110F7" w14:paraId="4945F9E3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0877E2A4" w14:textId="77777777" w:rsidR="003E08A4" w:rsidRDefault="003E08A4" w:rsidP="00275758">
            <w:pPr>
              <w:pStyle w:val="Marginlie"/>
            </w:pPr>
            <w:r>
              <w:t>Přebytek zahraničního obchodu se zbožím se loni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A3E5570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44609BCE" w14:textId="77777777" w:rsidR="003E08A4" w:rsidRPr="00AF6F98" w:rsidRDefault="003E08A4" w:rsidP="00275758">
            <w:pPr>
              <w:rPr>
                <w:spacing w:val="-4"/>
              </w:rPr>
            </w:pPr>
            <w:r>
              <w:rPr>
                <w:spacing w:val="-4"/>
              </w:rPr>
              <w:t>Výrazné zaostávání dynamiky dovozu za vývozem loni napomohlo bilanci zahraničního obchodu se zbožím. Celkový přebytek vyšplhal na 184,5 mld. korun, což je meziročně o 38,8 mld. více. Meziročního zlepšení salda bylo přitom dosaženo výhradně ve 2. pololetí. Už v 1. čtvrtletí se přebytek zhoršil oproti stejnému období předchozího roku (dosáhl 37,9 mld.) a propad zahraničního obchodu ve 2. čtvrtletí vedl ke snížení přebytku o 47,7 mld. na 9,3 mld. Obnova zahraničního obchodu ale byla poměrně rychlá a ve 3. čtvrtletí už byl přebytek na více než dvojnásobku předchozího roku (56,9 mld.). Ve 4. čtvrtletí přebytek zahraničního obchodu dosáhl 80,4 mld. korun a meziročně se zlepšil o 67,5 mld. Zaznamenané saldo i jeho zlepšení byly nejvyšší za celou dostupnou časovou řadu.</w:t>
            </w:r>
          </w:p>
        </w:tc>
      </w:tr>
      <w:tr w:rsidR="003E08A4" w:rsidRPr="009110F7" w14:paraId="601C620A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C906151" w14:textId="77777777" w:rsidR="003E08A4" w:rsidRDefault="003E08A4" w:rsidP="00275758">
            <w:pPr>
              <w:pStyle w:val="Marginlie"/>
            </w:pPr>
            <w:r>
              <w:t>Zlepšení způsobilo zejména zmírnění deficitu obchodu s ropou a zemním plynem a základními kovy.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9F230D2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B47E4AC" w14:textId="71986747" w:rsidR="003E08A4" w:rsidRDefault="003E08A4" w:rsidP="00275758">
            <w:pPr>
              <w:rPr>
                <w:spacing w:val="-4"/>
              </w:rPr>
            </w:pPr>
            <w:r>
              <w:rPr>
                <w:spacing w:val="-4"/>
              </w:rPr>
              <w:t>Ke zlepšení bilance obchodu se zbožím loni nejvíce přispělo zmírnění deficitu obchodu s ropou a zemním plynem o 55,7 mld. korun a dále se základními kovy o 22,9 mld. V obou případech mělo vliv již zmíněné snížení cen těchto surovin. Zlepšilo se také saldo u ostatních dopravních prostředků (+6,1 mld.) a </w:t>
            </w:r>
            <w:r w:rsidR="00E00B88">
              <w:rPr>
                <w:spacing w:val="-4"/>
              </w:rPr>
              <w:t xml:space="preserve">záporné saldo u </w:t>
            </w:r>
            <w:r>
              <w:rPr>
                <w:spacing w:val="-4"/>
              </w:rPr>
              <w:t xml:space="preserve">chemických látek a přípravků (+6,0 mld.). Ačkoli během druhé poloviny roku důležité exportní obory dělaly </w:t>
            </w:r>
            <w:r>
              <w:rPr>
                <w:spacing w:val="-4"/>
              </w:rPr>
              <w:lastRenderedPageBreak/>
              <w:t>všechno pro to, aby dohnaly ztráty, výsledný meziroční propad přebytku u motorových vozidel loni dosáhl 25,4 mld. korun, u počítačů, elektronických a optických přístrojů 20,3 mld. a v případě elektrických zařízení 19,7 mld. Bilanci zhoršoval i obchod s textiliemi (–7,2 mld. korun) a se základními farmaceutickými výrobky (–5,9 mld.). V samotném 4. čtvrtletí se rekordně zlepšil přebytek obchodu s motorovými vozidly (+31,0 mld. korun) a deficit obchodu s ropou a zemním plynem se zmírnil o 13,9 mld. Mírně se zlepšila také bilance obchodu s kovodělnými výrobky (+4,6 mld. korun), se stroji a zařízeními (+3,2 mld.), potravinářskými výrobky (+2,9 mld.), počítači, elektronickými a optickými přístroji (+2,9 mld.) a ostatními dopravními prostředky (+2,9 mld.). Výraznější zhoršení bilance bylo zaznamenáno u elektrických zařízení (–4,2 mld. korun).</w:t>
            </w:r>
          </w:p>
        </w:tc>
      </w:tr>
      <w:tr w:rsidR="003E08A4" w:rsidRPr="009110F7" w14:paraId="34EF656D" w14:textId="77777777" w:rsidTr="00275758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3BEA0561" w14:textId="77777777" w:rsidR="003E08A4" w:rsidRDefault="003E08A4" w:rsidP="00275758">
            <w:pPr>
              <w:pStyle w:val="Marginlie"/>
            </w:pPr>
            <w:r>
              <w:lastRenderedPageBreak/>
              <w:t>Z teritoriálního hlediska se nejvíce zlepšila bilance zahraničního obchodu s Německem a Ruskem.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BDD3BB9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148E7C0" w14:textId="3DC74BAA" w:rsidR="003E08A4" w:rsidRDefault="003E08A4" w:rsidP="00275758">
            <w:pPr>
              <w:rPr>
                <w:spacing w:val="-4"/>
              </w:rPr>
            </w:pPr>
            <w:r>
              <w:rPr>
                <w:spacing w:val="-4"/>
              </w:rPr>
              <w:t>Ke zlepšení bilance zahraničního obchodu loni nejvíce přispěl obchod s Německem (+64,7 mld. korun), dále s Ruskem (+47,0 mld., poprvé bylo s Ruskem dosaženo přebytku) a také s Tureckem (+10,2 mld.). Zmírnil se také deficit s Itálií (+7,2 mld. korun), zlepšil se přebytek se Slovenskem (+6,4 mld.) a také s</w:t>
            </w:r>
            <w:r w:rsidR="00E00B88">
              <w:rPr>
                <w:spacing w:val="-4"/>
              </w:rPr>
              <w:t> </w:t>
            </w:r>
            <w:r>
              <w:rPr>
                <w:spacing w:val="-4"/>
              </w:rPr>
              <w:t>Kore</w:t>
            </w:r>
            <w:r w:rsidR="00E00B88">
              <w:rPr>
                <w:spacing w:val="-4"/>
              </w:rPr>
              <w:t>jsk</w:t>
            </w:r>
            <w:r>
              <w:rPr>
                <w:spacing w:val="-4"/>
              </w:rPr>
              <w:t>ou</w:t>
            </w:r>
            <w:r w:rsidR="00E00B88">
              <w:rPr>
                <w:spacing w:val="-4"/>
              </w:rPr>
              <w:t xml:space="preserve"> republikou</w:t>
            </w:r>
            <w:r>
              <w:rPr>
                <w:spacing w:val="-4"/>
              </w:rPr>
              <w:t xml:space="preserve"> (+5,4 mld.). Naopak ve směru zhoršení bilance výrazně působil obchod s Čínou (–46,0 mld. korun), se Španělskem</w:t>
            </w:r>
            <w:r>
              <w:rPr>
                <w:spacing w:val="-4"/>
              </w:rPr>
              <w:br/>
              <w:t>(–33,0 mld.), s Velkou Británií (–16,4 mld.) a s Maďarskem (–9,5 mld.). V závěru roku došlo k masivnímu zvýšení přebytku s Německem (+46,2 mld. korun) a rovněž k dalšímu zlepšení bilance s Ruskem (+12,4 mld.), se Slovenskem (+8,1 mld.), Itálií (+7,9 mld.) a Francií (+7,0 mld.). Nejvíce se ve 4. čtvrtletí zhoršila bilance obchodu s Čínou (–12,5 mld. korun), Maďarskem (–5,1 mld.), Kore</w:t>
            </w:r>
            <w:r w:rsidR="00E00B88">
              <w:rPr>
                <w:spacing w:val="-4"/>
              </w:rPr>
              <w:t>jskou republikou</w:t>
            </w:r>
            <w:r>
              <w:rPr>
                <w:spacing w:val="-4"/>
              </w:rPr>
              <w:t xml:space="preserve"> (–3,5 mld.) a Japonskem (–3,1 mld.).</w:t>
            </w:r>
          </w:p>
        </w:tc>
      </w:tr>
      <w:tr w:rsidR="003E08A4" w:rsidRPr="009110F7" w14:paraId="2765EDF5" w14:textId="77777777" w:rsidTr="00275758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5F12D4AC" w14:textId="77777777" w:rsidR="003E08A4" w:rsidRDefault="003E08A4" w:rsidP="00275758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075AEA9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DBA83FA" w14:textId="77777777" w:rsidR="003E08A4" w:rsidRPr="00D75AC1" w:rsidRDefault="003E08A4" w:rsidP="00275758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8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celého roku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3E08A4" w:rsidRPr="009110F7" w14:paraId="1C6E69DF" w14:textId="77777777" w:rsidTr="00275758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0C668548" w14:textId="77777777" w:rsidR="003E08A4" w:rsidRDefault="003E08A4" w:rsidP="00275758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413D440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17C284D4" w14:textId="77777777" w:rsidR="003E08A4" w:rsidRPr="00AF6F98" w:rsidRDefault="003E08A4" w:rsidP="00275758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776EF509" wp14:editId="76BB573F">
                  <wp:extent cx="4715023" cy="3426200"/>
                  <wp:effectExtent l="0" t="0" r="0" b="3175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E08A4" w:rsidRPr="009110F7" w14:paraId="7AE421A6" w14:textId="77777777" w:rsidTr="00275758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52E053F9" w14:textId="77777777" w:rsidR="003E08A4" w:rsidRDefault="003E08A4" w:rsidP="00275758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030247A2" w14:textId="77777777" w:rsidR="003E08A4" w:rsidRDefault="003E08A4" w:rsidP="0027575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982D2F8" w14:textId="77777777" w:rsidR="003E08A4" w:rsidRPr="00AF6F98" w:rsidRDefault="003E08A4" w:rsidP="00275758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1CEBDEEC" w14:textId="77777777" w:rsidR="003E08A4" w:rsidRPr="00C41D54" w:rsidRDefault="003E08A4" w:rsidP="003E08A4">
      <w:pPr>
        <w:pStyle w:val="Nadpis11"/>
        <w:rPr>
          <w:b w:val="0"/>
          <w:sz w:val="2"/>
          <w:szCs w:val="2"/>
          <w:highlight w:val="yellow"/>
        </w:rPr>
      </w:pPr>
    </w:p>
    <w:p w14:paraId="1FD3D795" w14:textId="77777777" w:rsidR="003E08A4" w:rsidRPr="00E42054" w:rsidRDefault="003E08A4" w:rsidP="003E08A4">
      <w:pPr>
        <w:pStyle w:val="Nadpis11"/>
        <w:spacing w:after="0"/>
        <w:rPr>
          <w:b w:val="0"/>
          <w:sz w:val="2"/>
          <w:szCs w:val="2"/>
        </w:rPr>
      </w:pPr>
    </w:p>
    <w:p w14:paraId="1D022C6C" w14:textId="77777777" w:rsidR="003E08A4" w:rsidRPr="00E42054" w:rsidRDefault="003E08A4" w:rsidP="003E08A4">
      <w:pPr>
        <w:pStyle w:val="Nadpis11"/>
        <w:spacing w:after="0"/>
        <w:rPr>
          <w:b w:val="0"/>
          <w:sz w:val="2"/>
          <w:szCs w:val="2"/>
        </w:rPr>
      </w:pPr>
    </w:p>
    <w:p w14:paraId="09D30ACF" w14:textId="77777777" w:rsidR="00CC0AEA" w:rsidRPr="00C41D54" w:rsidRDefault="00CC0AEA" w:rsidP="00CC0AEA">
      <w:pPr>
        <w:pStyle w:val="Nadpis11"/>
        <w:rPr>
          <w:b w:val="0"/>
          <w:sz w:val="2"/>
          <w:szCs w:val="2"/>
          <w:highlight w:val="yellow"/>
        </w:rPr>
      </w:pPr>
    </w:p>
    <w:p w14:paraId="00525D14" w14:textId="77777777" w:rsidR="00CC0AEA" w:rsidRPr="00E42054" w:rsidRDefault="00CC0AEA" w:rsidP="00CC0AEA">
      <w:pPr>
        <w:pStyle w:val="Nadpis11"/>
        <w:spacing w:after="0"/>
        <w:rPr>
          <w:b w:val="0"/>
          <w:sz w:val="2"/>
          <w:szCs w:val="2"/>
        </w:rPr>
      </w:pPr>
    </w:p>
    <w:p w14:paraId="233D8434" w14:textId="3AFD1CB5" w:rsidR="003E08A4" w:rsidRDefault="003E08A4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5" w:name="_Toc37403644"/>
      <w:bookmarkStart w:id="6" w:name="_Toc19090678"/>
      <w:bookmarkStart w:id="7" w:name="_Toc26539342"/>
      <w:bookmarkStart w:id="8" w:name="_Toc532558287"/>
      <w:bookmarkStart w:id="9" w:name="_GoBack"/>
      <w:bookmarkEnd w:id="0"/>
      <w:bookmarkEnd w:id="1"/>
      <w:bookmarkEnd w:id="2"/>
      <w:bookmarkEnd w:id="9"/>
    </w:p>
    <w:bookmarkEnd w:id="5"/>
    <w:bookmarkEnd w:id="6"/>
    <w:bookmarkEnd w:id="7"/>
    <w:bookmarkEnd w:id="8"/>
    <w:p w14:paraId="3E974863" w14:textId="2EEF6166" w:rsidR="000663F0" w:rsidRPr="00E42054" w:rsidRDefault="000663F0" w:rsidP="00E97F14">
      <w:pPr>
        <w:pStyle w:val="Nadpis11"/>
        <w:spacing w:after="0"/>
        <w:rPr>
          <w:b w:val="0"/>
          <w:sz w:val="2"/>
          <w:szCs w:val="2"/>
        </w:rPr>
      </w:pPr>
    </w:p>
    <w:sectPr w:rsidR="000663F0" w:rsidRPr="00E42054" w:rsidSect="00794BE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1C5" w14:textId="77777777" w:rsidR="0091476D" w:rsidRDefault="0091476D" w:rsidP="00E71A58">
      <w:r>
        <w:separator/>
      </w:r>
    </w:p>
  </w:endnote>
  <w:endnote w:type="continuationSeparator" w:id="0">
    <w:p w14:paraId="7E79BE89" w14:textId="77777777" w:rsidR="0091476D" w:rsidRDefault="009147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F305128" w:rsidR="0091476D" w:rsidRPr="00932443" w:rsidRDefault="0091476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94BEC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769C9D2" w:rsidR="0091476D" w:rsidRPr="00932443" w:rsidRDefault="0091476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94BEC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E61E" w14:textId="77777777" w:rsidR="0091476D" w:rsidRDefault="0091476D" w:rsidP="00A21B4D">
      <w:pPr>
        <w:spacing w:after="0"/>
      </w:pPr>
      <w:r>
        <w:separator/>
      </w:r>
    </w:p>
  </w:footnote>
  <w:footnote w:type="continuationSeparator" w:id="0">
    <w:p w14:paraId="14D7D261" w14:textId="77777777" w:rsidR="0091476D" w:rsidRDefault="0091476D" w:rsidP="00E71A58">
      <w:r>
        <w:continuationSeparator/>
      </w:r>
    </w:p>
  </w:footnote>
  <w:footnote w:id="1">
    <w:p w14:paraId="0C0F0B32" w14:textId="77777777" w:rsidR="0091476D" w:rsidRPr="00140747" w:rsidRDefault="0091476D" w:rsidP="003E08A4">
      <w:pPr>
        <w:pStyle w:val="Textpoznpodarou"/>
        <w:rPr>
          <w:sz w:val="16"/>
          <w:szCs w:val="16"/>
        </w:rPr>
      </w:pPr>
      <w:r w:rsidRPr="00140747">
        <w:rPr>
          <w:rStyle w:val="Znakapoznpodarou"/>
          <w:sz w:val="16"/>
          <w:szCs w:val="16"/>
        </w:rPr>
        <w:footnoteRef/>
      </w:r>
      <w:r w:rsidRPr="00140747">
        <w:rPr>
          <w:sz w:val="16"/>
          <w:szCs w:val="16"/>
        </w:rPr>
        <w:t xml:space="preserve"> Zejména u</w:t>
      </w:r>
      <w:r>
        <w:rPr>
          <w:sz w:val="16"/>
          <w:szCs w:val="16"/>
        </w:rPr>
        <w:t> </w:t>
      </w:r>
      <w:r w:rsidRPr="00140747">
        <w:rPr>
          <w:sz w:val="16"/>
          <w:szCs w:val="16"/>
        </w:rPr>
        <w:t xml:space="preserve">pohonných hmot se kromě poklesu ceny </w:t>
      </w:r>
      <w:r w:rsidRPr="00140747">
        <w:rPr>
          <w:spacing w:val="-4"/>
          <w:sz w:val="16"/>
          <w:szCs w:val="16"/>
        </w:rPr>
        <w:t>zčásti projevil i</w:t>
      </w:r>
      <w:r>
        <w:rPr>
          <w:spacing w:val="-4"/>
          <w:sz w:val="16"/>
          <w:szCs w:val="16"/>
        </w:rPr>
        <w:t> </w:t>
      </w:r>
      <w:r w:rsidRPr="00140747">
        <w:rPr>
          <w:spacing w:val="-4"/>
          <w:sz w:val="16"/>
          <w:szCs w:val="16"/>
        </w:rPr>
        <w:t>nižší dovezený objem, protože restrikce omezil</w:t>
      </w:r>
      <w:r>
        <w:rPr>
          <w:spacing w:val="-4"/>
          <w:sz w:val="16"/>
          <w:szCs w:val="16"/>
        </w:rPr>
        <w:t>y</w:t>
      </w:r>
      <w:r w:rsidRPr="00140747">
        <w:rPr>
          <w:spacing w:val="-4"/>
          <w:sz w:val="16"/>
          <w:szCs w:val="16"/>
        </w:rPr>
        <w:t xml:space="preserve"> pohyb obyvatel.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91476D" w:rsidRDefault="0091476D" w:rsidP="00937AE2">
    <w:pPr>
      <w:pStyle w:val="Zhlav"/>
    </w:pPr>
    <w:r>
      <w:t>Vývoj ekonomiky České republiky</w:t>
    </w:r>
  </w:p>
  <w:p w14:paraId="675E4C41" w14:textId="77777777" w:rsidR="0091476D" w:rsidRPr="006F5416" w:rsidRDefault="0091476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91476D" w:rsidRDefault="0091476D" w:rsidP="00937AE2">
    <w:pPr>
      <w:pStyle w:val="Zhlav"/>
    </w:pPr>
    <w:r>
      <w:t>Vývoj ekonomiky České republiky</w:t>
    </w:r>
  </w:p>
  <w:p w14:paraId="0CDCFD48" w14:textId="77777777" w:rsidR="0091476D" w:rsidRPr="006F5416" w:rsidRDefault="0091476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4BEC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-126.11199999999999</c:v>
                </c:pt>
                <c:pt idx="1">
                  <c:v>-45.085000000000001</c:v>
                </c:pt>
                <c:pt idx="2">
                  <c:v>-33.119999999999997</c:v>
                </c:pt>
                <c:pt idx="3">
                  <c:v>-21.491</c:v>
                </c:pt>
                <c:pt idx="4">
                  <c:v>-111.01600000000001</c:v>
                </c:pt>
                <c:pt idx="5">
                  <c:v>-53.835999999999999</c:v>
                </c:pt>
                <c:pt idx="6">
                  <c:v>23.349</c:v>
                </c:pt>
                <c:pt idx="7">
                  <c:v>-123.27200000000001</c:v>
                </c:pt>
                <c:pt idx="8">
                  <c:v>56.374000000000002</c:v>
                </c:pt>
                <c:pt idx="9">
                  <c:v>-27.954000000000001</c:v>
                </c:pt>
                <c:pt idx="10">
                  <c:v>40.701000000000001</c:v>
                </c:pt>
                <c:pt idx="11">
                  <c:v>62.975999999999999</c:v>
                </c:pt>
                <c:pt idx="12">
                  <c:v>460.68099999999998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C-41F1-98FA-731AAF9B1031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-70.382999999999996</c:v>
                </c:pt>
                <c:pt idx="1">
                  <c:v>-42.177</c:v>
                </c:pt>
                <c:pt idx="2">
                  <c:v>-30.149000000000001</c:v>
                </c:pt>
                <c:pt idx="3">
                  <c:v>-20.463999999999999</c:v>
                </c:pt>
                <c:pt idx="4">
                  <c:v>-105.018</c:v>
                </c:pt>
                <c:pt idx="5">
                  <c:v>-59.753999999999998</c:v>
                </c:pt>
                <c:pt idx="6">
                  <c:v>24.41</c:v>
                </c:pt>
                <c:pt idx="7">
                  <c:v>-100.375</c:v>
                </c:pt>
                <c:pt idx="8">
                  <c:v>58.125999999999998</c:v>
                </c:pt>
                <c:pt idx="9">
                  <c:v>-48.302</c:v>
                </c:pt>
                <c:pt idx="10">
                  <c:v>21.015000000000001</c:v>
                </c:pt>
                <c:pt idx="11">
                  <c:v>62.640999999999998</c:v>
                </c:pt>
                <c:pt idx="12">
                  <c:v>435.25700000000001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9C-41F1-98FA-731AAF9B1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in val="-2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005A-D39F-4353-82EC-296EBE170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FE981-9332-44CE-AF9C-908FBC5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3</Pages>
  <Words>1554</Words>
  <Characters>9170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10703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2021-03-18T08:13:00Z</dcterms:created>
  <dcterms:modified xsi:type="dcterms:W3CDTF">2021-03-18T08:49:00Z</dcterms:modified>
</cp:coreProperties>
</file>