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34AC7" w14:textId="5E006098" w:rsidR="00251496" w:rsidRPr="009110F7" w:rsidRDefault="00251496" w:rsidP="00251496">
      <w:pPr>
        <w:pStyle w:val="Nadpis1"/>
      </w:pPr>
      <w:bookmarkStart w:id="0" w:name="_Toc19090676"/>
      <w:bookmarkStart w:id="1" w:name="_Toc58605372"/>
      <w:bookmarkStart w:id="2" w:name="_Toc66719928"/>
      <w:r w:rsidRPr="0077605B">
        <w:t>2</w:t>
      </w:r>
      <w:r>
        <w:t>. </w:t>
      </w:r>
      <w:r w:rsidRPr="0077605B">
        <w:t>Souhrnná výkonnost</w:t>
      </w:r>
      <w:bookmarkEnd w:id="1"/>
      <w:bookmarkEnd w:id="2"/>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251496" w:rsidRPr="009110F7" w14:paraId="1ED2BE07" w14:textId="77777777" w:rsidTr="00275758">
        <w:trPr>
          <w:trHeight w:val="145"/>
        </w:trPr>
        <w:tc>
          <w:tcPr>
            <w:tcW w:w="1806" w:type="dxa"/>
            <w:shd w:val="clear" w:color="auto" w:fill="auto"/>
            <w:tcMar>
              <w:left w:w="0" w:type="dxa"/>
            </w:tcMar>
          </w:tcPr>
          <w:p w14:paraId="05A8927B" w14:textId="77777777" w:rsidR="00251496" w:rsidRDefault="00251496" w:rsidP="00275758">
            <w:pPr>
              <w:pStyle w:val="Marginlie"/>
            </w:pPr>
            <w:r>
              <w:t>V roce 2020 se rekordně propadl hrubý domácí produkt.</w:t>
            </w:r>
          </w:p>
        </w:tc>
        <w:tc>
          <w:tcPr>
            <w:tcW w:w="223" w:type="dxa"/>
            <w:shd w:val="clear" w:color="auto" w:fill="auto"/>
            <w:tcMar>
              <w:left w:w="0" w:type="dxa"/>
            </w:tcMar>
          </w:tcPr>
          <w:p w14:paraId="2F083886" w14:textId="77777777" w:rsidR="00251496" w:rsidRDefault="00251496" w:rsidP="00275758">
            <w:pPr>
              <w:pStyle w:val="Textpoznpodarou"/>
              <w:jc w:val="both"/>
              <w:rPr>
                <w:spacing w:val="-4"/>
              </w:rPr>
            </w:pPr>
          </w:p>
        </w:tc>
        <w:tc>
          <w:tcPr>
            <w:tcW w:w="7610" w:type="dxa"/>
            <w:shd w:val="clear" w:color="auto" w:fill="auto"/>
            <w:tcMar>
              <w:left w:w="0" w:type="dxa"/>
            </w:tcMar>
          </w:tcPr>
          <w:p w14:paraId="696D3D3A" w14:textId="77777777" w:rsidR="00251496" w:rsidRPr="00014ED0" w:rsidRDefault="00251496" w:rsidP="00267C51">
            <w:pPr>
              <w:rPr>
                <w:spacing w:val="-2"/>
              </w:rPr>
            </w:pPr>
            <w:r>
              <w:rPr>
                <w:spacing w:val="-2"/>
              </w:rPr>
              <w:t>Rok 2020 byl pro českou ekonomiku nejhorším za dobu samostatné existence státu. Hrubý domácí produkt (HDP) se loni reálně snížil o 5,6 %</w:t>
            </w:r>
            <w:r w:rsidRPr="00014ED0">
              <w:rPr>
                <w:rStyle w:val="Znakapoznpodarou"/>
                <w:rFonts w:cs="Arial"/>
                <w:spacing w:val="-2"/>
              </w:rPr>
              <w:footnoteReference w:id="1"/>
            </w:r>
            <w:r>
              <w:rPr>
                <w:spacing w:val="-2"/>
              </w:rPr>
              <w:t>, což překonalo i hluboký propad v krizovém roce 2009. Pokles se dotkl všech složek HDP. Hluboce se propadla investiční aktivita a rovněž spotřeba domácností. Zejména reakce domácích i zahraničních podniků na jarní vlnu nákazy covid-19 postihla bilanci zahraničního obchodu. Ani mohutné zlepšení bilance v druhé polovině roku výpadek nevykompenzovalo, a tak zahraniční poptávka negativně ovlivňovala i celoroční výsledek. Narostla pouze spotřeba vládních institucí. V samotném 4. čtvrtletí se zčásti projevila nová vlna opatření proti šíření nákazy. Ta ale mířila především na obchod a služby. Průmysl na rozdíl od jarního období nepřerušil provoz, což napomohlo k výraznému zlepšení bilance zahraničního obchodu se zbožím. Zejména vliv zahraniční poptávky tak ve 4. čtvrtletí napomohl mezičtvrtletnímu zvýšení HDP o 0,6 %. Meziroční propad se zmírnil na 4,7 %.</w:t>
            </w:r>
          </w:p>
        </w:tc>
      </w:tr>
      <w:tr w:rsidR="00251496" w:rsidRPr="009110F7" w14:paraId="592D81BC" w14:textId="77777777" w:rsidTr="00275758">
        <w:trPr>
          <w:trHeight w:val="170"/>
        </w:trPr>
        <w:tc>
          <w:tcPr>
            <w:tcW w:w="1806" w:type="dxa"/>
            <w:vMerge w:val="restart"/>
            <w:shd w:val="clear" w:color="auto" w:fill="auto"/>
            <w:tcMar>
              <w:left w:w="0" w:type="dxa"/>
            </w:tcMar>
          </w:tcPr>
          <w:p w14:paraId="15D0D1DC" w14:textId="77777777" w:rsidR="00251496" w:rsidRDefault="00251496" w:rsidP="00275758">
            <w:pPr>
              <w:pStyle w:val="Marginlie"/>
            </w:pPr>
          </w:p>
        </w:tc>
        <w:tc>
          <w:tcPr>
            <w:tcW w:w="223" w:type="dxa"/>
            <w:vMerge w:val="restart"/>
            <w:shd w:val="clear" w:color="auto" w:fill="auto"/>
            <w:tcMar>
              <w:left w:w="0" w:type="dxa"/>
            </w:tcMar>
          </w:tcPr>
          <w:p w14:paraId="070FAB0F" w14:textId="77777777" w:rsidR="00251496" w:rsidRDefault="00251496" w:rsidP="00275758">
            <w:pPr>
              <w:pStyle w:val="Textpoznpodarou"/>
              <w:jc w:val="both"/>
              <w:rPr>
                <w:spacing w:val="-4"/>
              </w:rPr>
            </w:pPr>
          </w:p>
        </w:tc>
        <w:tc>
          <w:tcPr>
            <w:tcW w:w="7610" w:type="dxa"/>
            <w:shd w:val="clear" w:color="auto" w:fill="auto"/>
            <w:tcMar>
              <w:left w:w="0" w:type="dxa"/>
            </w:tcMar>
          </w:tcPr>
          <w:p w14:paraId="7F221285" w14:textId="77777777" w:rsidR="00251496" w:rsidRPr="00D721B4" w:rsidRDefault="00251496" w:rsidP="00275758">
            <w:pPr>
              <w:spacing w:after="0"/>
              <w:rPr>
                <w:b/>
                <w:szCs w:val="20"/>
              </w:rPr>
            </w:pPr>
            <w:r w:rsidRPr="00D721B4">
              <w:rPr>
                <w:rFonts w:cs="Arial"/>
                <w:b/>
                <w:bCs/>
                <w:color w:val="000000"/>
                <w:szCs w:val="20"/>
              </w:rPr>
              <w:t xml:space="preserve">Graf č. 1  </w:t>
            </w:r>
            <w:r w:rsidRPr="00D721B4">
              <w:rPr>
                <w:rFonts w:cs="Arial"/>
                <w:b/>
                <w:szCs w:val="20"/>
                <w:lang w:eastAsia="en-US"/>
              </w:rPr>
              <w:t xml:space="preserve">HDP </w:t>
            </w:r>
            <w:r w:rsidRPr="00D721B4">
              <w:rPr>
                <w:rFonts w:cs="Arial"/>
                <w:bCs/>
                <w:szCs w:val="20"/>
                <w:lang w:eastAsia="en-US"/>
              </w:rPr>
              <w:t>(objemové indexy, očištěno o sezónní a kalendářní vlivy, v %)</w:t>
            </w:r>
          </w:p>
        </w:tc>
      </w:tr>
      <w:tr w:rsidR="00251496" w:rsidRPr="009110F7" w14:paraId="3AF15126" w14:textId="77777777" w:rsidTr="00275758">
        <w:tblPrEx>
          <w:tblCellMar>
            <w:left w:w="70" w:type="dxa"/>
            <w:right w:w="70" w:type="dxa"/>
          </w:tblCellMar>
        </w:tblPrEx>
        <w:trPr>
          <w:trHeight w:val="170"/>
        </w:trPr>
        <w:tc>
          <w:tcPr>
            <w:tcW w:w="1806" w:type="dxa"/>
            <w:vMerge/>
            <w:shd w:val="clear" w:color="auto" w:fill="auto"/>
          </w:tcPr>
          <w:p w14:paraId="41D6E83B" w14:textId="77777777" w:rsidR="00251496" w:rsidRPr="009110F7" w:rsidRDefault="00251496" w:rsidP="00275758">
            <w:pPr>
              <w:pStyle w:val="Marginlie"/>
            </w:pPr>
          </w:p>
        </w:tc>
        <w:tc>
          <w:tcPr>
            <w:tcW w:w="223" w:type="dxa"/>
            <w:vMerge/>
            <w:shd w:val="clear" w:color="auto" w:fill="auto"/>
          </w:tcPr>
          <w:p w14:paraId="6C97FE97" w14:textId="77777777" w:rsidR="00251496" w:rsidRPr="009110F7" w:rsidRDefault="00251496" w:rsidP="00275758">
            <w:pPr>
              <w:pStyle w:val="Textpoznpodarou"/>
              <w:jc w:val="both"/>
              <w:rPr>
                <w:spacing w:val="-4"/>
              </w:rPr>
            </w:pPr>
          </w:p>
        </w:tc>
        <w:tc>
          <w:tcPr>
            <w:tcW w:w="7610" w:type="dxa"/>
            <w:shd w:val="clear" w:color="auto" w:fill="auto"/>
          </w:tcPr>
          <w:p w14:paraId="1E0EDAEC" w14:textId="77777777" w:rsidR="00251496" w:rsidRPr="009110F7" w:rsidRDefault="00251496" w:rsidP="00275758">
            <w:pPr>
              <w:spacing w:after="0"/>
            </w:pPr>
            <w:r>
              <w:rPr>
                <w:noProof/>
              </w:rPr>
              <w:drawing>
                <wp:inline distT="0" distB="0" distL="0" distR="0" wp14:anchorId="7E6D3480" wp14:editId="3E841D58">
                  <wp:extent cx="4737600" cy="3438900"/>
                  <wp:effectExtent l="0" t="0" r="6350" b="0"/>
                  <wp:docPr id="26" name="Graf 2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51496" w:rsidRPr="009110F7" w14:paraId="33F3626B" w14:textId="77777777" w:rsidTr="00275758">
        <w:trPr>
          <w:trHeight w:val="170"/>
        </w:trPr>
        <w:tc>
          <w:tcPr>
            <w:tcW w:w="1806" w:type="dxa"/>
            <w:vMerge/>
            <w:shd w:val="clear" w:color="auto" w:fill="auto"/>
            <w:tcMar>
              <w:left w:w="0" w:type="dxa"/>
            </w:tcMar>
          </w:tcPr>
          <w:p w14:paraId="56C2E83C" w14:textId="77777777" w:rsidR="00251496" w:rsidRPr="009110F7" w:rsidRDefault="00251496" w:rsidP="00275758">
            <w:pPr>
              <w:pStyle w:val="Marginlie"/>
            </w:pPr>
          </w:p>
        </w:tc>
        <w:tc>
          <w:tcPr>
            <w:tcW w:w="223" w:type="dxa"/>
            <w:vMerge/>
            <w:shd w:val="clear" w:color="auto" w:fill="auto"/>
            <w:tcMar>
              <w:left w:w="0" w:type="dxa"/>
            </w:tcMar>
          </w:tcPr>
          <w:p w14:paraId="0E541FF0" w14:textId="77777777" w:rsidR="00251496" w:rsidRPr="009110F7" w:rsidRDefault="00251496" w:rsidP="00275758">
            <w:pPr>
              <w:pStyle w:val="Textpoznpodarou"/>
              <w:jc w:val="both"/>
              <w:rPr>
                <w:spacing w:val="-4"/>
              </w:rPr>
            </w:pPr>
          </w:p>
        </w:tc>
        <w:tc>
          <w:tcPr>
            <w:tcW w:w="7610" w:type="dxa"/>
            <w:shd w:val="clear" w:color="auto" w:fill="auto"/>
            <w:tcMar>
              <w:left w:w="0" w:type="dxa"/>
            </w:tcMar>
          </w:tcPr>
          <w:p w14:paraId="4C5A015E" w14:textId="77777777" w:rsidR="00251496" w:rsidRPr="009110F7" w:rsidRDefault="00251496" w:rsidP="00275758">
            <w:pPr>
              <w:spacing w:after="220"/>
              <w:rPr>
                <w:sz w:val="14"/>
                <w:szCs w:val="14"/>
              </w:rPr>
            </w:pPr>
            <w:r>
              <w:rPr>
                <w:sz w:val="14"/>
                <w:szCs w:val="14"/>
              </w:rPr>
              <w:t>Zdroj: ČSÚ, Eurostat</w:t>
            </w:r>
          </w:p>
        </w:tc>
      </w:tr>
      <w:tr w:rsidR="00251496" w:rsidRPr="009110F7" w14:paraId="2BC08FC8" w14:textId="77777777" w:rsidTr="00275758">
        <w:trPr>
          <w:trHeight w:val="145"/>
        </w:trPr>
        <w:tc>
          <w:tcPr>
            <w:tcW w:w="1806" w:type="dxa"/>
            <w:shd w:val="clear" w:color="auto" w:fill="auto"/>
            <w:tcMar>
              <w:left w:w="0" w:type="dxa"/>
            </w:tcMar>
          </w:tcPr>
          <w:p w14:paraId="1B137299" w14:textId="77777777" w:rsidR="00251496" w:rsidRDefault="00251496" w:rsidP="00275758">
            <w:pPr>
              <w:pStyle w:val="Marginlie"/>
            </w:pPr>
            <w:r>
              <w:t>Také evropské ekonomiky byly postiženy opatřeními proti šíření koronaviru.</w:t>
            </w:r>
          </w:p>
        </w:tc>
        <w:tc>
          <w:tcPr>
            <w:tcW w:w="223" w:type="dxa"/>
            <w:shd w:val="clear" w:color="auto" w:fill="auto"/>
            <w:tcMar>
              <w:left w:w="0" w:type="dxa"/>
            </w:tcMar>
          </w:tcPr>
          <w:p w14:paraId="5420153F" w14:textId="77777777" w:rsidR="00251496" w:rsidRDefault="00251496" w:rsidP="00275758">
            <w:pPr>
              <w:pStyle w:val="Textpoznpodarou"/>
              <w:jc w:val="both"/>
              <w:rPr>
                <w:spacing w:val="-4"/>
              </w:rPr>
            </w:pPr>
          </w:p>
        </w:tc>
        <w:tc>
          <w:tcPr>
            <w:tcW w:w="7610" w:type="dxa"/>
            <w:shd w:val="clear" w:color="auto" w:fill="auto"/>
            <w:tcMar>
              <w:left w:w="0" w:type="dxa"/>
            </w:tcMar>
          </w:tcPr>
          <w:p w14:paraId="6DDBFE88" w14:textId="77777777" w:rsidR="00251496" w:rsidRDefault="00251496" w:rsidP="00267C51">
            <w:pPr>
              <w:spacing w:after="0"/>
            </w:pPr>
            <w:r>
              <w:t>Druhá vlna nákazy a následná opatření zasáhly ve 4. čtvrtletí většinu zemí EU, takže hrubý domácí produkt v EU mezičtvrtletně klesl o 0,4 %</w:t>
            </w:r>
            <w:r w:rsidRPr="009110F7">
              <w:rPr>
                <w:rStyle w:val="Znakapoznpodarou"/>
                <w:spacing w:val="-2"/>
              </w:rPr>
              <w:footnoteReference w:id="2"/>
            </w:r>
            <w:r>
              <w:t>. Většina ekonomik EU ale zaznamenala nárůst oproti 3. čtvrtletí – nejvíce Rumunsko (5,3 %), Chorvatsko (2,7 %) a Estonsko (2,1 %), mírný přírůstek kromě Česka vykázalo třeba Německo (0,3 %) a Slovensko (0,2 %). Agregovaný výsledek za celou Unii negativně ovlivnil propad v některých velkých ekonomikách – Itálii (–2,0 %) a Francii (–1,4 %). Nejvíce HDP mezičtvrtletně klesl v Rakousku (–4,3 %). Meziroční propad HDP v Evropské unii se prohloubil na –4,8 %. Podle dostupných dat meziročního přírůstku dosáhlo jen Lucembursko</w:t>
            </w:r>
            <w:r>
              <w:rPr>
                <w:rStyle w:val="Znakapoznpodarou"/>
              </w:rPr>
              <w:footnoteReference w:id="3"/>
            </w:r>
            <w:r>
              <w:t xml:space="preserve"> (1,4 %). Nejhlubší propad zažívaly Španělsko (–9,1 %), Rakousko</w:t>
            </w:r>
            <w:r>
              <w:br/>
              <w:t>(–7,8 %) a Chorvatsko (–7,1 %).</w:t>
            </w:r>
          </w:p>
        </w:tc>
      </w:tr>
      <w:tr w:rsidR="00251496" w:rsidRPr="009110F7" w14:paraId="050DB1EC" w14:textId="77777777" w:rsidTr="00275758">
        <w:trPr>
          <w:trHeight w:val="145"/>
        </w:trPr>
        <w:tc>
          <w:tcPr>
            <w:tcW w:w="1806" w:type="dxa"/>
            <w:shd w:val="clear" w:color="auto" w:fill="auto"/>
            <w:tcMar>
              <w:left w:w="0" w:type="dxa"/>
            </w:tcMar>
          </w:tcPr>
          <w:p w14:paraId="1558C68C" w14:textId="77777777" w:rsidR="00251496" w:rsidRDefault="00251496" w:rsidP="00275758">
            <w:pPr>
              <w:pStyle w:val="Marginlie"/>
            </w:pPr>
            <w:r>
              <w:lastRenderedPageBreak/>
              <w:t>Objem vyplacených mezd a platů se loni snížil.</w:t>
            </w:r>
          </w:p>
        </w:tc>
        <w:tc>
          <w:tcPr>
            <w:tcW w:w="223" w:type="dxa"/>
            <w:shd w:val="clear" w:color="auto" w:fill="auto"/>
            <w:tcMar>
              <w:left w:w="0" w:type="dxa"/>
            </w:tcMar>
          </w:tcPr>
          <w:p w14:paraId="09C5A900" w14:textId="77777777" w:rsidR="00251496" w:rsidRDefault="00251496" w:rsidP="00275758">
            <w:pPr>
              <w:pStyle w:val="Textpoznpodarou"/>
              <w:jc w:val="both"/>
              <w:rPr>
                <w:spacing w:val="-4"/>
              </w:rPr>
            </w:pPr>
          </w:p>
        </w:tc>
        <w:tc>
          <w:tcPr>
            <w:tcW w:w="7610" w:type="dxa"/>
            <w:shd w:val="clear" w:color="auto" w:fill="auto"/>
            <w:tcMar>
              <w:left w:w="0" w:type="dxa"/>
            </w:tcMar>
          </w:tcPr>
          <w:p w14:paraId="7EF12B0E" w14:textId="77777777" w:rsidR="00251496" w:rsidRPr="00014ED0" w:rsidRDefault="00251496" w:rsidP="00267C51">
            <w:pPr>
              <w:rPr>
                <w:spacing w:val="-2"/>
              </w:rPr>
            </w:pPr>
            <w:r>
              <w:rPr>
                <w:spacing w:val="-2"/>
              </w:rPr>
              <w:t>Celkový ekonomický pokles zasáhl i trh práce. Za celý rok 2020 poklesl objem vyplacených mezd a platů o 0,4 % při současném poklesu celkové zaměstnanosti o 1,5 %</w:t>
            </w:r>
            <w:r w:rsidRPr="00014ED0">
              <w:rPr>
                <w:rStyle w:val="Znakapoznpodarou"/>
                <w:spacing w:val="-2"/>
              </w:rPr>
              <w:footnoteReference w:id="4"/>
            </w:r>
            <w:r>
              <w:rPr>
                <w:spacing w:val="-2"/>
              </w:rPr>
              <w:t>. Vzhledem k výraznému růstu cenové hladiny byl reálný propad kupní síly výdělků ještě výraznější (–3,1 %</w:t>
            </w:r>
            <w:r>
              <w:rPr>
                <w:rStyle w:val="Znakapoznpodarou"/>
                <w:spacing w:val="-2"/>
              </w:rPr>
              <w:footnoteReference w:id="5"/>
            </w:r>
            <w:r>
              <w:rPr>
                <w:spacing w:val="-2"/>
              </w:rPr>
              <w:t>). Pokles celkového objemu vyplacených prostředků byl nejvíce ovlivněn propadem objemu vyplacených mezd a platů ve zpracovatelském průmyslu (–4,3 %) a v uskupení obchod, doprava, ubytování a pohostinství (–6,2 %). Mzdy a platy klesly také u ostatních činností (–4,4 %) a profesních, vědeckých, technických a administrativních činností (–4,3 %). S výjimkou ostatních činností byl u zmíněných odvětví pokles způsoben i výrazným snížením zaměstnanosti. Loni naopak výrazně vzrostl objem vyplacených prostředků v činnostech v oblasti nemovitostí (13,9 %), informačních a komunikačních činnostech (8,1 %) a odvětvích s dominancí sektoru vládních institucí</w:t>
            </w:r>
            <w:r>
              <w:rPr>
                <w:rStyle w:val="Znakapoznpodarou"/>
                <w:spacing w:val="-2"/>
              </w:rPr>
              <w:footnoteReference w:id="6"/>
            </w:r>
            <w:r>
              <w:rPr>
                <w:spacing w:val="-2"/>
              </w:rPr>
              <w:t xml:space="preserve"> (7,2 %). V samotném 4. čtvrtletí objem vyplacených mezd a platů meziročně poklesl o 0,4 % (při snížení zaměstnanosti o 1,9 %). Nejhlubší propad vykázaly obchod, doprava, ubytování a pohostinství (–10,5 %), ostatní činnosti (–6,7 %) a profesní, vědecké technické a administrativní činnosti (–4,1 %), tedy odvětví často přímo zasažená nuceným omezením provozu. Meziroční pokles mezd a platů ve zpracovatelském průmyslu se zmírnil na 1,4 %. Výrazný nárůst vyplacených prostředků byl ve 4. čtvrtletí zaznamenán v činnostech v oblasti nemovitostí (16,5 %), informačních a komunikačních činnostech (8,3 %) a odvětvích s dominancí sektoru vládních institucí (8,4 %).</w:t>
            </w:r>
          </w:p>
        </w:tc>
      </w:tr>
      <w:tr w:rsidR="00251496" w:rsidRPr="009110F7" w14:paraId="372466E5" w14:textId="77777777" w:rsidTr="00275758">
        <w:trPr>
          <w:trHeight w:val="170"/>
        </w:trPr>
        <w:tc>
          <w:tcPr>
            <w:tcW w:w="1806" w:type="dxa"/>
            <w:vMerge w:val="restart"/>
            <w:shd w:val="clear" w:color="auto" w:fill="auto"/>
            <w:tcMar>
              <w:left w:w="0" w:type="dxa"/>
            </w:tcMar>
          </w:tcPr>
          <w:p w14:paraId="796F6BB2" w14:textId="77777777" w:rsidR="00251496" w:rsidRDefault="00251496" w:rsidP="00275758">
            <w:pPr>
              <w:pStyle w:val="Marginlie"/>
            </w:pPr>
          </w:p>
        </w:tc>
        <w:tc>
          <w:tcPr>
            <w:tcW w:w="223" w:type="dxa"/>
            <w:vMerge w:val="restart"/>
            <w:shd w:val="clear" w:color="auto" w:fill="auto"/>
            <w:tcMar>
              <w:left w:w="0" w:type="dxa"/>
            </w:tcMar>
          </w:tcPr>
          <w:p w14:paraId="42837803" w14:textId="77777777" w:rsidR="00251496" w:rsidRDefault="00251496" w:rsidP="00275758">
            <w:pPr>
              <w:pStyle w:val="Textpoznpodarou"/>
              <w:jc w:val="both"/>
              <w:rPr>
                <w:spacing w:val="-4"/>
              </w:rPr>
            </w:pPr>
          </w:p>
        </w:tc>
        <w:tc>
          <w:tcPr>
            <w:tcW w:w="7610" w:type="dxa"/>
            <w:shd w:val="clear" w:color="auto" w:fill="auto"/>
            <w:tcMar>
              <w:left w:w="0" w:type="dxa"/>
            </w:tcMar>
          </w:tcPr>
          <w:p w14:paraId="489FD7BE" w14:textId="77777777" w:rsidR="00251496" w:rsidRPr="00D721B4" w:rsidRDefault="00251496" w:rsidP="00275758">
            <w:pPr>
              <w:spacing w:after="0"/>
              <w:rPr>
                <w:szCs w:val="20"/>
              </w:rPr>
            </w:pPr>
            <w:r w:rsidRPr="00D721B4">
              <w:rPr>
                <w:b/>
                <w:szCs w:val="20"/>
              </w:rPr>
              <w:t xml:space="preserve">Graf č. 2  </w:t>
            </w:r>
            <w:r w:rsidRPr="00D721B4">
              <w:rPr>
                <w:rFonts w:cs="Arial"/>
                <w:b/>
                <w:szCs w:val="20"/>
                <w:lang w:eastAsia="en-US"/>
              </w:rPr>
              <w:t xml:space="preserve">Příspěvky výdajových složek k reálné změně HDP* </w:t>
            </w:r>
            <w:r w:rsidRPr="00D721B4">
              <w:rPr>
                <w:rFonts w:cs="Arial"/>
                <w:bCs/>
                <w:szCs w:val="20"/>
                <w:lang w:eastAsia="en-US"/>
              </w:rPr>
              <w:t>(objemové indexy, meziroční růst, příspěvky v p. b., HDP v %)</w:t>
            </w:r>
          </w:p>
        </w:tc>
      </w:tr>
      <w:tr w:rsidR="00251496" w:rsidRPr="009110F7" w14:paraId="46F7ADCF" w14:textId="77777777" w:rsidTr="00275758">
        <w:tblPrEx>
          <w:tblCellMar>
            <w:left w:w="70" w:type="dxa"/>
            <w:right w:w="70" w:type="dxa"/>
          </w:tblCellMar>
        </w:tblPrEx>
        <w:trPr>
          <w:trHeight w:val="170"/>
        </w:trPr>
        <w:tc>
          <w:tcPr>
            <w:tcW w:w="1806" w:type="dxa"/>
            <w:vMerge/>
            <w:shd w:val="clear" w:color="auto" w:fill="auto"/>
          </w:tcPr>
          <w:p w14:paraId="0A8C34FD" w14:textId="77777777" w:rsidR="00251496" w:rsidRDefault="00251496" w:rsidP="00275758">
            <w:pPr>
              <w:pStyle w:val="Marginlie"/>
            </w:pPr>
          </w:p>
        </w:tc>
        <w:tc>
          <w:tcPr>
            <w:tcW w:w="223" w:type="dxa"/>
            <w:vMerge/>
            <w:shd w:val="clear" w:color="auto" w:fill="auto"/>
          </w:tcPr>
          <w:p w14:paraId="3FD98090" w14:textId="77777777" w:rsidR="00251496" w:rsidRDefault="00251496" w:rsidP="00275758">
            <w:pPr>
              <w:pStyle w:val="Textpoznpodarou"/>
              <w:jc w:val="both"/>
              <w:rPr>
                <w:spacing w:val="-4"/>
              </w:rPr>
            </w:pPr>
          </w:p>
        </w:tc>
        <w:tc>
          <w:tcPr>
            <w:tcW w:w="7610" w:type="dxa"/>
            <w:shd w:val="clear" w:color="auto" w:fill="auto"/>
          </w:tcPr>
          <w:p w14:paraId="1625E610" w14:textId="77777777" w:rsidR="00251496" w:rsidRDefault="00251496" w:rsidP="00275758">
            <w:pPr>
              <w:spacing w:after="0"/>
            </w:pPr>
            <w:r>
              <w:rPr>
                <w:noProof/>
              </w:rPr>
              <w:drawing>
                <wp:inline distT="0" distB="0" distL="0" distR="0" wp14:anchorId="6D6682C5" wp14:editId="10B3BC8D">
                  <wp:extent cx="4737600" cy="3432550"/>
                  <wp:effectExtent l="0" t="0" r="6350" b="0"/>
                  <wp:docPr id="3" name="Graf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251496" w:rsidRPr="009110F7" w14:paraId="0888E960" w14:textId="77777777" w:rsidTr="00275758">
        <w:trPr>
          <w:trHeight w:val="170"/>
        </w:trPr>
        <w:tc>
          <w:tcPr>
            <w:tcW w:w="1806" w:type="dxa"/>
            <w:vMerge/>
            <w:shd w:val="clear" w:color="auto" w:fill="auto"/>
            <w:tcMar>
              <w:left w:w="0" w:type="dxa"/>
            </w:tcMar>
          </w:tcPr>
          <w:p w14:paraId="26D3A84E" w14:textId="77777777" w:rsidR="00251496" w:rsidRDefault="00251496" w:rsidP="00275758">
            <w:pPr>
              <w:pStyle w:val="Marginlie"/>
            </w:pPr>
          </w:p>
        </w:tc>
        <w:tc>
          <w:tcPr>
            <w:tcW w:w="223" w:type="dxa"/>
            <w:vMerge/>
            <w:shd w:val="clear" w:color="auto" w:fill="auto"/>
            <w:tcMar>
              <w:left w:w="0" w:type="dxa"/>
            </w:tcMar>
          </w:tcPr>
          <w:p w14:paraId="20EC8477" w14:textId="77777777" w:rsidR="00251496" w:rsidRDefault="00251496" w:rsidP="00275758">
            <w:pPr>
              <w:pStyle w:val="Textpoznpodarou"/>
              <w:jc w:val="both"/>
              <w:rPr>
                <w:spacing w:val="-4"/>
              </w:rPr>
            </w:pPr>
          </w:p>
        </w:tc>
        <w:tc>
          <w:tcPr>
            <w:tcW w:w="7610" w:type="dxa"/>
            <w:shd w:val="clear" w:color="auto" w:fill="auto"/>
            <w:tcMar>
              <w:left w:w="0" w:type="dxa"/>
            </w:tcMar>
          </w:tcPr>
          <w:p w14:paraId="2CA291B0" w14:textId="77777777" w:rsidR="00251496" w:rsidRDefault="00251496" w:rsidP="00275758">
            <w:pPr>
              <w:spacing w:after="0"/>
              <w:rPr>
                <w:sz w:val="14"/>
                <w:szCs w:val="14"/>
              </w:rPr>
            </w:pPr>
            <w:r>
              <w:rPr>
                <w:sz w:val="14"/>
                <w:szCs w:val="14"/>
              </w:rPr>
              <w:t>Zdroj: ČSÚ</w:t>
            </w:r>
          </w:p>
          <w:p w14:paraId="73BBD936" w14:textId="77777777" w:rsidR="00251496" w:rsidRDefault="00251496" w:rsidP="00275758">
            <w:r>
              <w:rPr>
                <w:sz w:val="14"/>
                <w:szCs w:val="14"/>
              </w:rPr>
              <w:t>*po vyloučení dovozu pro konečné užití</w:t>
            </w:r>
          </w:p>
        </w:tc>
      </w:tr>
      <w:tr w:rsidR="00251496" w:rsidRPr="009110F7" w14:paraId="350BC160" w14:textId="77777777" w:rsidTr="00275758">
        <w:trPr>
          <w:trHeight w:val="145"/>
        </w:trPr>
        <w:tc>
          <w:tcPr>
            <w:tcW w:w="1806" w:type="dxa"/>
            <w:shd w:val="clear" w:color="auto" w:fill="auto"/>
            <w:tcMar>
              <w:left w:w="0" w:type="dxa"/>
            </w:tcMar>
          </w:tcPr>
          <w:p w14:paraId="076DCBFD" w14:textId="77777777" w:rsidR="00251496" w:rsidRDefault="00251496" w:rsidP="00275758">
            <w:pPr>
              <w:pStyle w:val="Marginlie"/>
            </w:pPr>
            <w:r>
              <w:t>Vzhledem k omezením prudce klesla spotřeba domácností, především u služeb a trvanlivých statků.</w:t>
            </w:r>
          </w:p>
        </w:tc>
        <w:tc>
          <w:tcPr>
            <w:tcW w:w="223" w:type="dxa"/>
            <w:shd w:val="clear" w:color="auto" w:fill="auto"/>
            <w:tcMar>
              <w:left w:w="0" w:type="dxa"/>
            </w:tcMar>
          </w:tcPr>
          <w:p w14:paraId="1A3760A9" w14:textId="77777777" w:rsidR="00251496" w:rsidRDefault="00251496" w:rsidP="00275758">
            <w:pPr>
              <w:pStyle w:val="Textpoznpodarou"/>
              <w:jc w:val="both"/>
              <w:rPr>
                <w:spacing w:val="-4"/>
              </w:rPr>
            </w:pPr>
          </w:p>
        </w:tc>
        <w:tc>
          <w:tcPr>
            <w:tcW w:w="7610" w:type="dxa"/>
            <w:shd w:val="clear" w:color="auto" w:fill="auto"/>
            <w:tcMar>
              <w:left w:w="0" w:type="dxa"/>
            </w:tcMar>
          </w:tcPr>
          <w:p w14:paraId="5983EC44" w14:textId="77777777" w:rsidR="00251496" w:rsidRDefault="00251496" w:rsidP="00275758">
            <w:r>
              <w:rPr>
                <w:spacing w:val="-2"/>
              </w:rPr>
              <w:t>Výdaje na spotřebu loni klesly o 2,8 %, poprvé od roku 2012. Restrikcemi byla ovlivněna především spotřeba domácností, která se rekordně propadla (–5,2 %) a celkový růst HDP srazila o 1,9 p. b.</w:t>
            </w:r>
            <w:r w:rsidRPr="00014ED0">
              <w:rPr>
                <w:rStyle w:val="Znakapoznpodarou"/>
                <w:spacing w:val="-2"/>
              </w:rPr>
              <w:footnoteReference w:id="7"/>
            </w:r>
            <w:r>
              <w:rPr>
                <w:spacing w:val="-2"/>
              </w:rPr>
              <w:t xml:space="preserve"> Naopak celková situace vedla k nárůstu spotřeby vládních institucí o 2,9 %. K růstu HDP to přidalo 0,6 p. b. V samotném 4. čtvrtletí se meziroční </w:t>
            </w:r>
            <w:r>
              <w:rPr>
                <w:spacing w:val="-2"/>
              </w:rPr>
              <w:lastRenderedPageBreak/>
              <w:t>propad spotřeby prohloubil na 4,3 %. Z toho se hloubka meziročního propadu spotřeby domácností přiblížila úrovni ze 2. čtvrtletí (–8,3 %). Vládní spotřeba naopak vzrostla o 4,9 %. Mezičtvrtletně celková spotřeba klesla o 1,1 %. Z toho se výdaje domácností snížily o 4,2 %, zatímco vládní spotřeba oproti 3. kvartálu narostla o 5,5 %. Členění spotřeby podle trvanlivosti dokládá, že hluboký meziroční propad ve 4. čtvrtletí postihl zejména spotřebu trvanlivých statků</w:t>
            </w:r>
            <w:r>
              <w:rPr>
                <w:rStyle w:val="Znakapoznpodarou"/>
              </w:rPr>
              <w:footnoteReference w:id="8"/>
            </w:r>
            <w:r>
              <w:rPr>
                <w:spacing w:val="-2"/>
              </w:rPr>
              <w:t xml:space="preserve"> (střednědobá spotřeba klesla o 29,1 % a dlouhodobá o 7,6 %) a služeb (–14,8 %). Spotřeba netrvanlivých statků, která z velké části zahrnuje nezbytné zboží, klesla o 3,2 %. Za celý rok se spotřeba služeb propadla o 11,1 % a zboží střednědobé spotřeby o 18,7 %. O 5,5 % klesly výdaje na zboží dlouhodobé spotřeby a jen mírně se snížila spotřeba netrvanlivého zboží (–0,8 %).</w:t>
            </w:r>
          </w:p>
        </w:tc>
      </w:tr>
      <w:tr w:rsidR="00251496" w:rsidRPr="009110F7" w14:paraId="015946B9" w14:textId="77777777" w:rsidTr="00275758">
        <w:trPr>
          <w:trHeight w:val="145"/>
        </w:trPr>
        <w:tc>
          <w:tcPr>
            <w:tcW w:w="1806" w:type="dxa"/>
            <w:shd w:val="clear" w:color="auto" w:fill="auto"/>
            <w:tcMar>
              <w:left w:w="0" w:type="dxa"/>
            </w:tcMar>
          </w:tcPr>
          <w:p w14:paraId="1F063D18" w14:textId="77777777" w:rsidR="00251496" w:rsidRDefault="00251496" w:rsidP="00275758">
            <w:pPr>
              <w:pStyle w:val="Marginlie"/>
            </w:pPr>
            <w:r>
              <w:lastRenderedPageBreak/>
              <w:t>Investiční aktivitu omezily domácnosti i podniky.</w:t>
            </w:r>
          </w:p>
        </w:tc>
        <w:tc>
          <w:tcPr>
            <w:tcW w:w="223" w:type="dxa"/>
            <w:shd w:val="clear" w:color="auto" w:fill="auto"/>
            <w:tcMar>
              <w:left w:w="0" w:type="dxa"/>
            </w:tcMar>
          </w:tcPr>
          <w:p w14:paraId="4D62848E" w14:textId="77777777" w:rsidR="00251496" w:rsidRDefault="00251496" w:rsidP="00275758">
            <w:pPr>
              <w:pStyle w:val="Textpoznpodarou"/>
              <w:jc w:val="both"/>
              <w:rPr>
                <w:spacing w:val="-4"/>
              </w:rPr>
            </w:pPr>
          </w:p>
        </w:tc>
        <w:tc>
          <w:tcPr>
            <w:tcW w:w="7610" w:type="dxa"/>
            <w:shd w:val="clear" w:color="auto" w:fill="auto"/>
            <w:tcMar>
              <w:left w:w="0" w:type="dxa"/>
            </w:tcMar>
          </w:tcPr>
          <w:p w14:paraId="57841653" w14:textId="77777777" w:rsidR="00251496" w:rsidRDefault="00251496" w:rsidP="00275758">
            <w:r>
              <w:t>Investiční aktivita byla všeobecným ekonomickým propadem také postižena. Zejména ve druhé polovině roku se ukázalo, že dynamika kapitálových výdajů na zotavení ekonomiky nereagovala. Celkově se loni výdaje na tvorbu hrubého kapitálu propadly o 12,6 % a k poklesu HDP přispěly 3,1 p. b. Z toho výdaje na hrubý fixní kapitál (investice) klesly o 8,5 %. Investice se meziročně propadaly po celý rok a ve 4. čtvrtletí se jejich pokles dále prohloubil na –12,3 %. Oproti 3. kvartálu se investice snížily o 0,3 %. Věcné členění tvorby hrubého fixního kapitálu</w:t>
            </w:r>
            <w:r w:rsidRPr="009110F7">
              <w:rPr>
                <w:rStyle w:val="Znakapoznpodarou"/>
              </w:rPr>
              <w:footnoteReference w:id="9"/>
            </w:r>
            <w:r>
              <w:t xml:space="preserve"> ukazuje, že se loni propadly téměř všechny druhy investic. Nejvíce poklesly výdaje na dopravní prostředky a zařízení (–18,0 %) a ICT a ostatní stroje a zařízení (–14,2 %), což jsou oboje domény sektoru nefinančních podniků. Po šesti letech růstu se výrazně propadly také především domácnostmi financované investice do obydlí (–6,4 %). Oproti tomu byl díky pokračujícím infrastrukturním projektům pokles výdajů na ostatní budovy a stavby slabší (–2,4 %). Investice do produktů duševního vlastnictví také klesly poprvé od roku 2013 (–4,7 %). Ve 4. čtvrtletí se prohloubil meziroční propad investic do ICT a ostatních strojů a zařízení (–21,9 %), do obydlí (–12,8 %) i ostatních budov a staveb (–6,9 %). Hluboký zůstal pokles investic do dopravních prostředků a zařízení (–15,5 %) a blízko úrovni předchozího roku se vrátily investice do produktů duševního vlastnictví (–0,9 %). </w:t>
            </w:r>
          </w:p>
        </w:tc>
      </w:tr>
      <w:tr w:rsidR="00251496" w:rsidRPr="009110F7" w14:paraId="05F8C602" w14:textId="77777777" w:rsidTr="00275758">
        <w:trPr>
          <w:trHeight w:val="145"/>
        </w:trPr>
        <w:tc>
          <w:tcPr>
            <w:tcW w:w="1806" w:type="dxa"/>
            <w:shd w:val="clear" w:color="auto" w:fill="auto"/>
            <w:tcMar>
              <w:left w:w="0" w:type="dxa"/>
            </w:tcMar>
          </w:tcPr>
          <w:p w14:paraId="58FACF25" w14:textId="77777777" w:rsidR="00251496" w:rsidRDefault="00251496" w:rsidP="00275758">
            <w:pPr>
              <w:pStyle w:val="Marginlie"/>
            </w:pPr>
            <w:r>
              <w:t>Zahraniční obchod ve druhé polovině roku doháněl jarní ztráty.</w:t>
            </w:r>
          </w:p>
        </w:tc>
        <w:tc>
          <w:tcPr>
            <w:tcW w:w="223" w:type="dxa"/>
            <w:shd w:val="clear" w:color="auto" w:fill="auto"/>
            <w:tcMar>
              <w:left w:w="0" w:type="dxa"/>
            </w:tcMar>
          </w:tcPr>
          <w:p w14:paraId="28E9912A" w14:textId="77777777" w:rsidR="00251496" w:rsidRDefault="00251496" w:rsidP="00275758">
            <w:pPr>
              <w:pStyle w:val="Textpoznpodarou"/>
              <w:jc w:val="both"/>
              <w:rPr>
                <w:spacing w:val="-4"/>
              </w:rPr>
            </w:pPr>
          </w:p>
        </w:tc>
        <w:tc>
          <w:tcPr>
            <w:tcW w:w="7610" w:type="dxa"/>
            <w:shd w:val="clear" w:color="auto" w:fill="auto"/>
            <w:tcMar>
              <w:left w:w="0" w:type="dxa"/>
            </w:tcMar>
          </w:tcPr>
          <w:p w14:paraId="2372CB95" w14:textId="77777777" w:rsidR="00251496" w:rsidRDefault="00251496" w:rsidP="00275758">
            <w:r>
              <w:t>Export zboží a služeb se loni poprvé od roku 2009 reálně propadl, a to o 6,0 %. Mírně hlubší byl pokles dovozu (–6,1 %). Bilance zahraničního obchodu se zbožím a službami dosáhla loni přebytku 390,5 mld. korun</w:t>
            </w:r>
            <w:r w:rsidRPr="009110F7">
              <w:rPr>
                <w:rStyle w:val="Znakapoznpodarou"/>
              </w:rPr>
              <w:footnoteReference w:id="10"/>
            </w:r>
            <w:r>
              <w:t xml:space="preserve"> a kladné saldo se navíc zlepšilo o 42,3 mld., nejvíce od roku 2016. Bilanci v běžných cenách ale silně napomohl propad cen ropy. Zlepšení lze přičíst výhradně obchodu se zbožím (+43,4 mld. korun), v případě služeb se přebytek meziročně snížil o 1,1 mld. Výrazný pokles přebytku ze 2. čtvrtletí se dařilo dohánět v 2. polovině roku. V samotném 4. čtvrtletí dosáhl přebytek 145,5 mld. korun a meziročně se zvýšil o 69,3 mld. Z toho přebytek obchodu se zbožím narostl o 73,2 mld. Přebytek obchodu se službami klesl o 3,9 mld.</w:t>
            </w:r>
          </w:p>
        </w:tc>
      </w:tr>
      <w:tr w:rsidR="00251496" w:rsidRPr="009110F7" w14:paraId="0C30154B" w14:textId="77777777" w:rsidTr="00275758">
        <w:trPr>
          <w:trHeight w:val="145"/>
        </w:trPr>
        <w:tc>
          <w:tcPr>
            <w:tcW w:w="1806" w:type="dxa"/>
            <w:shd w:val="clear" w:color="auto" w:fill="auto"/>
            <w:tcMar>
              <w:left w:w="0" w:type="dxa"/>
            </w:tcMar>
          </w:tcPr>
          <w:p w14:paraId="33D0FB04" w14:textId="77777777" w:rsidR="00251496" w:rsidRDefault="00251496" w:rsidP="00275758">
            <w:pPr>
              <w:pStyle w:val="Marginlie"/>
            </w:pPr>
            <w:r>
              <w:t>Loni se propadla HPH ve většině odvětví.</w:t>
            </w:r>
          </w:p>
        </w:tc>
        <w:tc>
          <w:tcPr>
            <w:tcW w:w="223" w:type="dxa"/>
            <w:shd w:val="clear" w:color="auto" w:fill="auto"/>
            <w:tcMar>
              <w:left w:w="0" w:type="dxa"/>
            </w:tcMar>
          </w:tcPr>
          <w:p w14:paraId="733A9C72" w14:textId="77777777" w:rsidR="00251496" w:rsidRDefault="00251496" w:rsidP="00275758">
            <w:pPr>
              <w:pStyle w:val="Textpoznpodarou"/>
              <w:jc w:val="both"/>
              <w:rPr>
                <w:spacing w:val="-4"/>
              </w:rPr>
            </w:pPr>
          </w:p>
        </w:tc>
        <w:tc>
          <w:tcPr>
            <w:tcW w:w="7610" w:type="dxa"/>
            <w:shd w:val="clear" w:color="auto" w:fill="auto"/>
            <w:tcMar>
              <w:left w:w="0" w:type="dxa"/>
            </w:tcMar>
          </w:tcPr>
          <w:p w14:paraId="2A90B302" w14:textId="77777777" w:rsidR="00251496" w:rsidRPr="00F93F2C" w:rsidRDefault="00251496" w:rsidP="00275758">
            <w:r>
              <w:t>Hrubá přidaná hodnota (HPH) se loni reálně snížila o 5,5 %. Obdobně jako u HDP jde za dobu existence samostatné ČR o největší zaznamenaný propad. Pokles byl všeobecný a vyhnul se mu jen zlomek odvětví – zemědělství (nárůst HPH o 4,8 %), informační a komunikační činnosti (+1,6 %) a odvětví s převahou sektoru vládních institucí (+0,9 %). K propadu HPH nejvíce přispělo uskupení odvětví obchod, doprava, ubytování a pohostinství (HPH se zde snížila o 11,8 %) a dále zpracovatelský průmysl (–6,9 %). Hluboce klesla HPH ostatních činností, které zahrnují i poskytování osobních služeb, jako jsou kadeřnictví a kosmetické služby (–12,1 %). Propad ekonomiky zasáhl také tržní služby, jako jsou profesní, vědecké, technické a administrativní činnosti</w:t>
            </w:r>
            <w:r>
              <w:br/>
              <w:t>(–9,3 %) nebo peněžnictví a pojišťovnictví (–2,8 %). Snížila se HPH činností v oblasti nemovitostí (–3,1 %) a druhý rok v řadě pokles zaznamenalo i stavebnictví (–3,4 %).</w:t>
            </w:r>
          </w:p>
        </w:tc>
      </w:tr>
      <w:tr w:rsidR="00251496" w:rsidRPr="009110F7" w14:paraId="250E4586" w14:textId="77777777" w:rsidTr="00275758">
        <w:trPr>
          <w:trHeight w:val="145"/>
        </w:trPr>
        <w:tc>
          <w:tcPr>
            <w:tcW w:w="1806" w:type="dxa"/>
            <w:shd w:val="clear" w:color="auto" w:fill="auto"/>
            <w:tcMar>
              <w:left w:w="0" w:type="dxa"/>
            </w:tcMar>
          </w:tcPr>
          <w:p w14:paraId="2BAD8F40" w14:textId="77777777" w:rsidR="00251496" w:rsidRDefault="00251496" w:rsidP="00275758">
            <w:pPr>
              <w:pStyle w:val="Marginlie"/>
            </w:pPr>
            <w:r>
              <w:lastRenderedPageBreak/>
              <w:t>Ve 4. čtvrtletí propad postihl zejména služby.</w:t>
            </w:r>
          </w:p>
        </w:tc>
        <w:tc>
          <w:tcPr>
            <w:tcW w:w="223" w:type="dxa"/>
            <w:shd w:val="clear" w:color="auto" w:fill="auto"/>
            <w:tcMar>
              <w:left w:w="0" w:type="dxa"/>
            </w:tcMar>
          </w:tcPr>
          <w:p w14:paraId="3C5D5C26" w14:textId="77777777" w:rsidR="00251496" w:rsidRDefault="00251496" w:rsidP="00275758">
            <w:pPr>
              <w:pStyle w:val="Textpoznpodarou"/>
              <w:jc w:val="both"/>
              <w:rPr>
                <w:spacing w:val="-4"/>
              </w:rPr>
            </w:pPr>
          </w:p>
        </w:tc>
        <w:tc>
          <w:tcPr>
            <w:tcW w:w="7610" w:type="dxa"/>
            <w:shd w:val="clear" w:color="auto" w:fill="auto"/>
            <w:tcMar>
              <w:left w:w="0" w:type="dxa"/>
            </w:tcMar>
          </w:tcPr>
          <w:p w14:paraId="64A4E5BC" w14:textId="77777777" w:rsidR="00251496" w:rsidRDefault="00251496" w:rsidP="00275758">
            <w:r>
              <w:t>V samotném 4. čtvrtletí se HPH meziročně snížila o 4,7 %. Nová vlna opatření zasáhla především odvětví služeb – nejvíce ostatní činnosti (–20,9 %), uskupení obchod, doprava, ubytování a pohostinství (–14,7 %) a profesní, vědecké, technické a administrativní činnosti (–12,8 %). Prohloubil se meziroční pokles HPH ve stavebnictví (–5,3 %). Naproti tomu se meziroční propad HPH ve zpracovatelském průmyslu zmírnil na 1,1 %. Meziroční navýšení HPH zaznamenaly zemědělství (5,0 %), veřejná správa a obrana, vzdělávání, zdravotní a sociální péče (1,8 %) a informační a komunikační činnosti (1,5 %). Ve srovnání se 3. čtvrtletím se HPH zvýšila o 0,5 %. Přičíst to lze zejména pokračujícímu oživení zpracovatelského průmyslu (2,3 %) i části služeb – profesních, vědeckých, technických a administrativních činností (2,4 %), peněžnictví a pojišťovnictví (3,5 %) nebo informačních a komunikačních činností (2,2 %). To převážilo i mezičtvrtletní propad ostatních činností o 13,9 %, uskupení obchod, doprava, ubytování a pohostinství o 6,6 % a stavebnictví o 1,2 %.</w:t>
            </w:r>
          </w:p>
        </w:tc>
      </w:tr>
      <w:tr w:rsidR="00251496" w:rsidRPr="009110F7" w14:paraId="4F9FEE1E" w14:textId="77777777" w:rsidTr="00275758">
        <w:trPr>
          <w:trHeight w:val="170"/>
        </w:trPr>
        <w:tc>
          <w:tcPr>
            <w:tcW w:w="1806" w:type="dxa"/>
            <w:vMerge w:val="restart"/>
            <w:shd w:val="clear" w:color="auto" w:fill="auto"/>
            <w:tcMar>
              <w:left w:w="0" w:type="dxa"/>
            </w:tcMar>
          </w:tcPr>
          <w:p w14:paraId="2F8DF28F" w14:textId="77777777" w:rsidR="00251496" w:rsidRDefault="00251496" w:rsidP="00275758">
            <w:pPr>
              <w:pStyle w:val="Marginlie"/>
            </w:pPr>
          </w:p>
        </w:tc>
        <w:tc>
          <w:tcPr>
            <w:tcW w:w="223" w:type="dxa"/>
            <w:vMerge w:val="restart"/>
            <w:shd w:val="clear" w:color="auto" w:fill="auto"/>
            <w:tcMar>
              <w:left w:w="0" w:type="dxa"/>
            </w:tcMar>
          </w:tcPr>
          <w:p w14:paraId="739F195C" w14:textId="77777777" w:rsidR="00251496" w:rsidRDefault="00251496" w:rsidP="00275758">
            <w:pPr>
              <w:pStyle w:val="Textpoznpodarou"/>
              <w:jc w:val="both"/>
              <w:rPr>
                <w:spacing w:val="-4"/>
              </w:rPr>
            </w:pPr>
          </w:p>
        </w:tc>
        <w:tc>
          <w:tcPr>
            <w:tcW w:w="7610" w:type="dxa"/>
            <w:shd w:val="clear" w:color="auto" w:fill="auto"/>
            <w:tcMar>
              <w:left w:w="0" w:type="dxa"/>
            </w:tcMar>
          </w:tcPr>
          <w:p w14:paraId="399CCE37" w14:textId="77777777" w:rsidR="00251496" w:rsidRPr="00D721B4" w:rsidRDefault="00251496" w:rsidP="00275758">
            <w:pPr>
              <w:spacing w:after="0"/>
              <w:rPr>
                <w:szCs w:val="20"/>
              </w:rPr>
            </w:pPr>
            <w:r w:rsidRPr="00D721B4">
              <w:rPr>
                <w:b/>
                <w:szCs w:val="20"/>
              </w:rPr>
              <w:t xml:space="preserve">Graf č. 3  </w:t>
            </w:r>
            <w:r w:rsidRPr="00D721B4">
              <w:rPr>
                <w:rFonts w:cs="Arial"/>
                <w:b/>
                <w:szCs w:val="20"/>
                <w:lang w:eastAsia="en-US"/>
              </w:rPr>
              <w:t xml:space="preserve">Příspěvky odvětví k reálné změně HPH </w:t>
            </w:r>
            <w:r w:rsidRPr="00D721B4">
              <w:rPr>
                <w:rFonts w:cs="Arial"/>
                <w:bCs/>
                <w:szCs w:val="20"/>
                <w:lang w:eastAsia="en-US"/>
              </w:rPr>
              <w:t>(objemové indexy, meziroční příspěvky v p. b., HPH v %)</w:t>
            </w:r>
          </w:p>
        </w:tc>
      </w:tr>
      <w:tr w:rsidR="00251496" w:rsidRPr="009110F7" w14:paraId="6858529E" w14:textId="77777777" w:rsidTr="00275758">
        <w:tblPrEx>
          <w:tblCellMar>
            <w:left w:w="70" w:type="dxa"/>
            <w:right w:w="70" w:type="dxa"/>
          </w:tblCellMar>
        </w:tblPrEx>
        <w:trPr>
          <w:trHeight w:val="170"/>
        </w:trPr>
        <w:tc>
          <w:tcPr>
            <w:tcW w:w="1806" w:type="dxa"/>
            <w:vMerge/>
            <w:shd w:val="clear" w:color="auto" w:fill="auto"/>
          </w:tcPr>
          <w:p w14:paraId="457EE272" w14:textId="77777777" w:rsidR="00251496" w:rsidRPr="009110F7" w:rsidRDefault="00251496" w:rsidP="00275758">
            <w:pPr>
              <w:pStyle w:val="Marginlie"/>
            </w:pPr>
          </w:p>
        </w:tc>
        <w:tc>
          <w:tcPr>
            <w:tcW w:w="223" w:type="dxa"/>
            <w:vMerge/>
            <w:shd w:val="clear" w:color="auto" w:fill="auto"/>
          </w:tcPr>
          <w:p w14:paraId="2FC1F852" w14:textId="77777777" w:rsidR="00251496" w:rsidRPr="009110F7" w:rsidRDefault="00251496" w:rsidP="00275758">
            <w:pPr>
              <w:pStyle w:val="Textpoznpodarou"/>
              <w:jc w:val="both"/>
              <w:rPr>
                <w:spacing w:val="-4"/>
              </w:rPr>
            </w:pPr>
          </w:p>
        </w:tc>
        <w:tc>
          <w:tcPr>
            <w:tcW w:w="7610" w:type="dxa"/>
            <w:shd w:val="clear" w:color="auto" w:fill="auto"/>
          </w:tcPr>
          <w:p w14:paraId="3F603183" w14:textId="77777777" w:rsidR="00251496" w:rsidRPr="009110F7" w:rsidRDefault="00251496" w:rsidP="00275758">
            <w:pPr>
              <w:spacing w:after="0"/>
            </w:pPr>
            <w:r>
              <w:rPr>
                <w:noProof/>
              </w:rPr>
              <w:drawing>
                <wp:inline distT="0" distB="0" distL="0" distR="0" wp14:anchorId="5A551FCC" wp14:editId="0EB1C641">
                  <wp:extent cx="4737600" cy="3372225"/>
                  <wp:effectExtent l="0" t="0" r="6350" b="0"/>
                  <wp:docPr id="2" name="Graf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51496" w:rsidRPr="009110F7" w14:paraId="6FBE1CAF" w14:textId="77777777" w:rsidTr="00275758">
        <w:trPr>
          <w:trHeight w:val="170"/>
        </w:trPr>
        <w:tc>
          <w:tcPr>
            <w:tcW w:w="1806" w:type="dxa"/>
            <w:vMerge/>
            <w:shd w:val="clear" w:color="auto" w:fill="auto"/>
            <w:tcMar>
              <w:left w:w="0" w:type="dxa"/>
            </w:tcMar>
          </w:tcPr>
          <w:p w14:paraId="1F66640C" w14:textId="77777777" w:rsidR="00251496" w:rsidRPr="009110F7" w:rsidRDefault="00251496" w:rsidP="00275758">
            <w:pPr>
              <w:pStyle w:val="Marginlie"/>
            </w:pPr>
          </w:p>
        </w:tc>
        <w:tc>
          <w:tcPr>
            <w:tcW w:w="223" w:type="dxa"/>
            <w:vMerge/>
            <w:shd w:val="clear" w:color="auto" w:fill="auto"/>
            <w:tcMar>
              <w:left w:w="0" w:type="dxa"/>
            </w:tcMar>
          </w:tcPr>
          <w:p w14:paraId="3618E25F" w14:textId="77777777" w:rsidR="00251496" w:rsidRPr="009110F7" w:rsidRDefault="00251496" w:rsidP="00275758">
            <w:pPr>
              <w:pStyle w:val="Textpoznpodarou"/>
              <w:jc w:val="both"/>
              <w:rPr>
                <w:spacing w:val="-4"/>
              </w:rPr>
            </w:pPr>
          </w:p>
        </w:tc>
        <w:tc>
          <w:tcPr>
            <w:tcW w:w="7610" w:type="dxa"/>
            <w:shd w:val="clear" w:color="auto" w:fill="auto"/>
            <w:tcMar>
              <w:left w:w="0" w:type="dxa"/>
            </w:tcMar>
          </w:tcPr>
          <w:p w14:paraId="73B13152" w14:textId="77777777" w:rsidR="00251496" w:rsidRPr="009110F7" w:rsidRDefault="00251496" w:rsidP="00275758">
            <w:pPr>
              <w:rPr>
                <w:sz w:val="14"/>
                <w:szCs w:val="14"/>
              </w:rPr>
            </w:pPr>
            <w:r w:rsidRPr="00A85DE1">
              <w:rPr>
                <w:sz w:val="14"/>
                <w:szCs w:val="14"/>
              </w:rPr>
              <w:t>Zdroj: ČSÚ</w:t>
            </w:r>
          </w:p>
        </w:tc>
      </w:tr>
    </w:tbl>
    <w:p w14:paraId="6B5F5630" w14:textId="77777777" w:rsidR="00251496" w:rsidRPr="00C41D54" w:rsidRDefault="00251496" w:rsidP="00251496">
      <w:pPr>
        <w:pStyle w:val="Nadpis11"/>
        <w:rPr>
          <w:b w:val="0"/>
          <w:sz w:val="2"/>
          <w:szCs w:val="2"/>
          <w:highlight w:val="yellow"/>
        </w:rPr>
      </w:pPr>
    </w:p>
    <w:p w14:paraId="437A6FF1" w14:textId="77777777" w:rsidR="00251496" w:rsidRPr="00DA3ADF" w:rsidRDefault="00251496" w:rsidP="00251496">
      <w:pPr>
        <w:spacing w:after="0" w:line="240" w:lineRule="auto"/>
        <w:jc w:val="left"/>
        <w:rPr>
          <w:rFonts w:eastAsia="MS Gothic"/>
          <w:bCs/>
          <w:color w:val="71818C"/>
          <w:sz w:val="2"/>
          <w:szCs w:val="2"/>
          <w:highlight w:val="yellow"/>
        </w:rPr>
      </w:pPr>
    </w:p>
    <w:p w14:paraId="4B2537CF" w14:textId="77777777" w:rsidR="00251496" w:rsidRDefault="00251496" w:rsidP="00251496">
      <w:pPr>
        <w:spacing w:after="0" w:line="240" w:lineRule="auto"/>
        <w:jc w:val="left"/>
        <w:rPr>
          <w:b/>
          <w:sz w:val="2"/>
          <w:szCs w:val="2"/>
          <w:highlight w:val="yellow"/>
        </w:rPr>
      </w:pPr>
    </w:p>
    <w:p w14:paraId="6DDAD012" w14:textId="77777777" w:rsidR="00251496" w:rsidRPr="00E42054" w:rsidRDefault="00251496" w:rsidP="00251496">
      <w:pPr>
        <w:pStyle w:val="Nadpis11"/>
        <w:spacing w:after="0"/>
        <w:rPr>
          <w:b w:val="0"/>
          <w:sz w:val="2"/>
          <w:szCs w:val="2"/>
        </w:rPr>
      </w:pPr>
    </w:p>
    <w:p w14:paraId="18899EB9" w14:textId="77777777" w:rsidR="00E13995" w:rsidRDefault="00E13995" w:rsidP="00E13995">
      <w:pPr>
        <w:spacing w:after="0" w:line="240" w:lineRule="auto"/>
        <w:jc w:val="left"/>
        <w:rPr>
          <w:b/>
          <w:sz w:val="2"/>
          <w:szCs w:val="2"/>
          <w:highlight w:val="yellow"/>
        </w:rPr>
      </w:pPr>
      <w:bookmarkStart w:id="3" w:name="_Toc532558284"/>
      <w:bookmarkStart w:id="4" w:name="_Toc26539341"/>
      <w:bookmarkStart w:id="5" w:name="_Toc11237634"/>
      <w:bookmarkStart w:id="6" w:name="_GoBack"/>
      <w:bookmarkEnd w:id="0"/>
      <w:bookmarkEnd w:id="6"/>
    </w:p>
    <w:bookmarkEnd w:id="3"/>
    <w:bookmarkEnd w:id="4"/>
    <w:bookmarkEnd w:id="5"/>
    <w:sectPr w:rsidR="00E13995" w:rsidSect="00EE1507">
      <w:headerReference w:type="even" r:id="rId12"/>
      <w:headerReference w:type="default" r:id="rId13"/>
      <w:footerReference w:type="even" r:id="rId14"/>
      <w:footerReference w:type="default" r:id="rId15"/>
      <w:pgSz w:w="11906" w:h="16838" w:code="9"/>
      <w:pgMar w:top="1134" w:right="1134" w:bottom="1418" w:left="1134" w:header="680" w:footer="73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D51C5" w14:textId="77777777" w:rsidR="0091476D" w:rsidRDefault="0091476D" w:rsidP="00E71A58">
      <w:r>
        <w:separator/>
      </w:r>
    </w:p>
  </w:endnote>
  <w:endnote w:type="continuationSeparator" w:id="0">
    <w:p w14:paraId="7E79BE89" w14:textId="77777777" w:rsidR="0091476D" w:rsidRDefault="0091476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032917AC" w:rsidR="0091476D" w:rsidRPr="00932443" w:rsidRDefault="0091476D"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E1507">
      <w:rPr>
        <w:szCs w:val="16"/>
      </w:rPr>
      <w:t>8</w:t>
    </w:r>
    <w:r w:rsidRPr="00932443">
      <w:rPr>
        <w:szCs w:val="16"/>
      </w:rPr>
      <w:fldChar w:fldCharType="end"/>
    </w:r>
    <w:r w:rsidRPr="00932443">
      <w:rPr>
        <w:szCs w:val="16"/>
      </w:rPr>
      <w:tab/>
    </w:r>
    <w:r>
      <w:rPr>
        <w:szCs w:val="16"/>
      </w:rPr>
      <w:t>rok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5630E450" w:rsidR="0091476D" w:rsidRPr="00932443" w:rsidRDefault="0091476D" w:rsidP="00FA6CB6">
    <w:pPr>
      <w:pStyle w:val="Zpat"/>
      <w:rPr>
        <w:szCs w:val="16"/>
      </w:rPr>
    </w:pPr>
    <w:r w:rsidRPr="00FA6CB6">
      <w:rPr>
        <w:szCs w:val="16"/>
      </w:rPr>
      <w:tab/>
    </w:r>
    <w:r>
      <w:rPr>
        <w:szCs w:val="16"/>
      </w:rPr>
      <w:t xml:space="preserve">rok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EE1507">
      <w:rPr>
        <w:rStyle w:val="ZpatChar"/>
        <w:szCs w:val="16"/>
      </w:rPr>
      <w:t>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3E61E" w14:textId="77777777" w:rsidR="0091476D" w:rsidRDefault="0091476D" w:rsidP="00A21B4D">
      <w:pPr>
        <w:spacing w:after="0"/>
      </w:pPr>
      <w:r>
        <w:separator/>
      </w:r>
    </w:p>
  </w:footnote>
  <w:footnote w:type="continuationSeparator" w:id="0">
    <w:p w14:paraId="14D7D261" w14:textId="77777777" w:rsidR="0091476D" w:rsidRDefault="0091476D" w:rsidP="00E71A58">
      <w:r>
        <w:continuationSeparator/>
      </w:r>
    </w:p>
  </w:footnote>
  <w:footnote w:id="1">
    <w:p w14:paraId="550F69BA" w14:textId="77777777" w:rsidR="0091476D" w:rsidRPr="000348AF" w:rsidRDefault="0091476D" w:rsidP="00251496">
      <w:pPr>
        <w:pStyle w:val="Textpoznpodarou"/>
        <w:rPr>
          <w:sz w:val="16"/>
          <w:szCs w:val="16"/>
        </w:rPr>
      </w:pPr>
      <w:r w:rsidRPr="000348AF">
        <w:rPr>
          <w:rStyle w:val="Znakapoznpodarou"/>
          <w:sz w:val="16"/>
          <w:szCs w:val="16"/>
        </w:rPr>
        <w:footnoteRef/>
      </w:r>
      <w:r w:rsidRPr="000348AF">
        <w:rPr>
          <w:sz w:val="16"/>
          <w:szCs w:val="16"/>
        </w:rPr>
        <w:t xml:space="preserve"> Vývoj HDP, hrubé přidané hodnoty a jejich složek je vyjádřen prostřednictvím objemových indexů (tj. očištěn o vliv cen) a po očištění o sezónní a kalendářní vlivy. Údaje jsou platné k 2. 3. 2021.</w:t>
      </w:r>
    </w:p>
  </w:footnote>
  <w:footnote w:id="2">
    <w:p w14:paraId="4B57F4AA" w14:textId="77777777" w:rsidR="0091476D" w:rsidRPr="000348AF" w:rsidRDefault="0091476D" w:rsidP="00251496">
      <w:pPr>
        <w:pStyle w:val="Textpoznpodarou"/>
        <w:rPr>
          <w:sz w:val="16"/>
          <w:szCs w:val="16"/>
        </w:rPr>
      </w:pPr>
      <w:r w:rsidRPr="000348AF">
        <w:rPr>
          <w:rStyle w:val="Znakapoznpodarou"/>
          <w:sz w:val="16"/>
          <w:szCs w:val="16"/>
        </w:rPr>
        <w:footnoteRef/>
      </w:r>
      <w:r w:rsidRPr="000348AF">
        <w:rPr>
          <w:sz w:val="16"/>
          <w:szCs w:val="16"/>
        </w:rPr>
        <w:t xml:space="preserve"> Nedostupná data za Bulharsko, Irsko, Maltu, Portugalsko a Řecko. </w:t>
      </w:r>
    </w:p>
  </w:footnote>
  <w:footnote w:id="3">
    <w:p w14:paraId="0851ED69" w14:textId="77777777" w:rsidR="0091476D" w:rsidRPr="000348AF" w:rsidRDefault="0091476D" w:rsidP="00251496">
      <w:pPr>
        <w:pStyle w:val="Textpoznpodarou"/>
        <w:rPr>
          <w:sz w:val="16"/>
          <w:szCs w:val="16"/>
        </w:rPr>
      </w:pPr>
      <w:r w:rsidRPr="000348AF">
        <w:rPr>
          <w:rStyle w:val="Znakapoznpodarou"/>
          <w:sz w:val="16"/>
          <w:szCs w:val="16"/>
        </w:rPr>
        <w:footnoteRef/>
      </w:r>
      <w:r w:rsidRPr="000348AF">
        <w:rPr>
          <w:sz w:val="16"/>
          <w:szCs w:val="16"/>
        </w:rPr>
        <w:t xml:space="preserve"> Ačkoli výsledek nebyl v době vydání dostupný, meziroční přírůstek si ve 4. čtvrtletí pravděpodobně udrželo také Irsko. Zde ve 3. čtvrtletí HDP mezičtvrtletně vzrostl o 11,1 % a meziročně o 8,1 %.</w:t>
      </w:r>
    </w:p>
  </w:footnote>
  <w:footnote w:id="4">
    <w:p w14:paraId="4A0D8BD8" w14:textId="77777777" w:rsidR="0091476D" w:rsidRDefault="0091476D" w:rsidP="00251496">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p>
  </w:footnote>
  <w:footnote w:id="5">
    <w:p w14:paraId="04BAA7E0" w14:textId="77777777" w:rsidR="0091476D" w:rsidRPr="005F75B1" w:rsidRDefault="0091476D" w:rsidP="00251496">
      <w:pPr>
        <w:pStyle w:val="Textpoznpodarou"/>
        <w:rPr>
          <w:sz w:val="16"/>
          <w:szCs w:val="16"/>
        </w:rPr>
      </w:pPr>
      <w:r w:rsidRPr="005F75B1">
        <w:rPr>
          <w:rStyle w:val="Znakapoznpodarou"/>
          <w:sz w:val="16"/>
          <w:szCs w:val="16"/>
        </w:rPr>
        <w:footnoteRef/>
      </w:r>
      <w:r w:rsidRPr="005F75B1">
        <w:rPr>
          <w:sz w:val="16"/>
          <w:szCs w:val="16"/>
        </w:rPr>
        <w:t xml:space="preserve"> Do reálného vyjádření převedeno s pomocí deflátoru spotřeby domácností.</w:t>
      </w:r>
    </w:p>
  </w:footnote>
  <w:footnote w:id="6">
    <w:p w14:paraId="07C6FE04" w14:textId="77777777" w:rsidR="0091476D" w:rsidRPr="00771972" w:rsidRDefault="0091476D" w:rsidP="00251496">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7">
    <w:p w14:paraId="780B976C" w14:textId="77777777" w:rsidR="0091476D" w:rsidRPr="009C6EA8" w:rsidRDefault="0091476D" w:rsidP="00251496">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8">
    <w:p w14:paraId="6FBCFE5F" w14:textId="77777777" w:rsidR="0091476D" w:rsidRPr="00954992" w:rsidRDefault="0091476D" w:rsidP="00251496">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 a</w:t>
      </w:r>
      <w:r>
        <w:rPr>
          <w:sz w:val="16"/>
          <w:szCs w:val="16"/>
        </w:rPr>
        <w:t> </w:t>
      </w:r>
      <w:r w:rsidRPr="00954992">
        <w:rPr>
          <w:sz w:val="16"/>
          <w:szCs w:val="16"/>
        </w:rPr>
        <w:t>bez sezónního očištění.</w:t>
      </w:r>
    </w:p>
  </w:footnote>
  <w:footnote w:id="9">
    <w:p w14:paraId="40777155" w14:textId="77777777" w:rsidR="0091476D" w:rsidRPr="0021552C" w:rsidRDefault="0091476D" w:rsidP="00251496">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0">
    <w:p w14:paraId="4143963B" w14:textId="77777777" w:rsidR="0091476D" w:rsidRPr="00167B30" w:rsidRDefault="0091476D" w:rsidP="00251496">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91476D" w:rsidRDefault="0091476D" w:rsidP="00937AE2">
    <w:pPr>
      <w:pStyle w:val="Zhlav"/>
    </w:pPr>
    <w:r>
      <w:t>Vývoj ekonomiky České republiky</w:t>
    </w:r>
  </w:p>
  <w:p w14:paraId="675E4C41" w14:textId="77777777" w:rsidR="0091476D" w:rsidRPr="006F5416" w:rsidRDefault="0091476D"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91476D" w:rsidRDefault="0091476D" w:rsidP="00937AE2">
    <w:pPr>
      <w:pStyle w:val="Zhlav"/>
    </w:pPr>
    <w:r>
      <w:t>Vývoj ekonomiky České republiky</w:t>
    </w:r>
  </w:p>
  <w:p w14:paraId="0CDCFD48" w14:textId="77777777" w:rsidR="0091476D" w:rsidRPr="006F5416" w:rsidRDefault="0091476D"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8AF"/>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FF4"/>
    <w:rsid w:val="000B03CC"/>
    <w:rsid w:val="000B4212"/>
    <w:rsid w:val="000B67B7"/>
    <w:rsid w:val="000C0EA8"/>
    <w:rsid w:val="000C13A2"/>
    <w:rsid w:val="000C21E7"/>
    <w:rsid w:val="000C23EC"/>
    <w:rsid w:val="000C30C3"/>
    <w:rsid w:val="000C3408"/>
    <w:rsid w:val="000C35AB"/>
    <w:rsid w:val="000C3F7B"/>
    <w:rsid w:val="000C4769"/>
    <w:rsid w:val="000C4D56"/>
    <w:rsid w:val="000C5DFA"/>
    <w:rsid w:val="000C6AFD"/>
    <w:rsid w:val="000C6C90"/>
    <w:rsid w:val="000C72B7"/>
    <w:rsid w:val="000D0A26"/>
    <w:rsid w:val="000D3058"/>
    <w:rsid w:val="000D310A"/>
    <w:rsid w:val="000D3EF4"/>
    <w:rsid w:val="000D4DC0"/>
    <w:rsid w:val="000D5637"/>
    <w:rsid w:val="000D6F4E"/>
    <w:rsid w:val="000D73BB"/>
    <w:rsid w:val="000E0E96"/>
    <w:rsid w:val="000E298B"/>
    <w:rsid w:val="000E2C7D"/>
    <w:rsid w:val="000E3E56"/>
    <w:rsid w:val="000E440D"/>
    <w:rsid w:val="000E4AC5"/>
    <w:rsid w:val="000E6253"/>
    <w:rsid w:val="000E6E4D"/>
    <w:rsid w:val="000E6FBD"/>
    <w:rsid w:val="000E6FCB"/>
    <w:rsid w:val="000F090B"/>
    <w:rsid w:val="000F3F3B"/>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C33"/>
    <w:rsid w:val="00116D3F"/>
    <w:rsid w:val="00117474"/>
    <w:rsid w:val="00117623"/>
    <w:rsid w:val="00117FEA"/>
    <w:rsid w:val="001200CF"/>
    <w:rsid w:val="001208E3"/>
    <w:rsid w:val="00121609"/>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2B29"/>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9F5"/>
    <w:rsid w:val="00167B92"/>
    <w:rsid w:val="00167CB9"/>
    <w:rsid w:val="00167DD8"/>
    <w:rsid w:val="001705AD"/>
    <w:rsid w:val="001706D6"/>
    <w:rsid w:val="001714F2"/>
    <w:rsid w:val="00171FEA"/>
    <w:rsid w:val="00173622"/>
    <w:rsid w:val="00175B9F"/>
    <w:rsid w:val="001762F4"/>
    <w:rsid w:val="00181BBC"/>
    <w:rsid w:val="0018385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A0487"/>
    <w:rsid w:val="001A0675"/>
    <w:rsid w:val="001A1F68"/>
    <w:rsid w:val="001A21FA"/>
    <w:rsid w:val="001A4EF0"/>
    <w:rsid w:val="001A552F"/>
    <w:rsid w:val="001A70B1"/>
    <w:rsid w:val="001B0738"/>
    <w:rsid w:val="001B2CA9"/>
    <w:rsid w:val="001B3110"/>
    <w:rsid w:val="001B3E38"/>
    <w:rsid w:val="001B40F5"/>
    <w:rsid w:val="001B4729"/>
    <w:rsid w:val="001B4F0E"/>
    <w:rsid w:val="001B5F40"/>
    <w:rsid w:val="001B6310"/>
    <w:rsid w:val="001B6C09"/>
    <w:rsid w:val="001B6E12"/>
    <w:rsid w:val="001C05CD"/>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5DA"/>
    <w:rsid w:val="001F7CE0"/>
    <w:rsid w:val="00200085"/>
    <w:rsid w:val="00203332"/>
    <w:rsid w:val="00203CD5"/>
    <w:rsid w:val="00203D8F"/>
    <w:rsid w:val="00203DA4"/>
    <w:rsid w:val="00204EA6"/>
    <w:rsid w:val="00205186"/>
    <w:rsid w:val="00206516"/>
    <w:rsid w:val="002071D5"/>
    <w:rsid w:val="002111E5"/>
    <w:rsid w:val="002118B9"/>
    <w:rsid w:val="00213691"/>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B06"/>
    <w:rsid w:val="0024343A"/>
    <w:rsid w:val="002436BA"/>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120E"/>
    <w:rsid w:val="00262582"/>
    <w:rsid w:val="0026291D"/>
    <w:rsid w:val="00262CF3"/>
    <w:rsid w:val="00264309"/>
    <w:rsid w:val="0026564B"/>
    <w:rsid w:val="00265C83"/>
    <w:rsid w:val="00265E85"/>
    <w:rsid w:val="00267B49"/>
    <w:rsid w:val="00267C51"/>
    <w:rsid w:val="002700D9"/>
    <w:rsid w:val="0027025F"/>
    <w:rsid w:val="002709CC"/>
    <w:rsid w:val="00270D25"/>
    <w:rsid w:val="00271022"/>
    <w:rsid w:val="00271465"/>
    <w:rsid w:val="00271E47"/>
    <w:rsid w:val="002721F5"/>
    <w:rsid w:val="00272DF4"/>
    <w:rsid w:val="00275062"/>
    <w:rsid w:val="00275758"/>
    <w:rsid w:val="0027583D"/>
    <w:rsid w:val="00275DEF"/>
    <w:rsid w:val="002763A2"/>
    <w:rsid w:val="00276B33"/>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E7AE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2058C"/>
    <w:rsid w:val="003208D0"/>
    <w:rsid w:val="003209D6"/>
    <w:rsid w:val="003217B9"/>
    <w:rsid w:val="00321924"/>
    <w:rsid w:val="00321EB6"/>
    <w:rsid w:val="003220A5"/>
    <w:rsid w:val="003238E0"/>
    <w:rsid w:val="00323A1C"/>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978B1"/>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5B59"/>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23623"/>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6595"/>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011"/>
    <w:rsid w:val="004E6DE6"/>
    <w:rsid w:val="004E765E"/>
    <w:rsid w:val="004E7815"/>
    <w:rsid w:val="004F06F5"/>
    <w:rsid w:val="004F12A4"/>
    <w:rsid w:val="004F253F"/>
    <w:rsid w:val="004F33A0"/>
    <w:rsid w:val="004F3873"/>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425"/>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46FC7"/>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519A"/>
    <w:rsid w:val="005856BD"/>
    <w:rsid w:val="00586BCA"/>
    <w:rsid w:val="00587038"/>
    <w:rsid w:val="00590B28"/>
    <w:rsid w:val="005911BE"/>
    <w:rsid w:val="00591273"/>
    <w:rsid w:val="00591E9E"/>
    <w:rsid w:val="005927A4"/>
    <w:rsid w:val="00593152"/>
    <w:rsid w:val="00593FE6"/>
    <w:rsid w:val="005956A3"/>
    <w:rsid w:val="00595958"/>
    <w:rsid w:val="00595CAB"/>
    <w:rsid w:val="0059622E"/>
    <w:rsid w:val="00597671"/>
    <w:rsid w:val="00597BBF"/>
    <w:rsid w:val="005A0463"/>
    <w:rsid w:val="005A0948"/>
    <w:rsid w:val="005A0A03"/>
    <w:rsid w:val="005A10F2"/>
    <w:rsid w:val="005A21E0"/>
    <w:rsid w:val="005A28FF"/>
    <w:rsid w:val="005A2C09"/>
    <w:rsid w:val="005A3778"/>
    <w:rsid w:val="005A3DF8"/>
    <w:rsid w:val="005A5549"/>
    <w:rsid w:val="005A566A"/>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19"/>
    <w:rsid w:val="00677591"/>
    <w:rsid w:val="00677594"/>
    <w:rsid w:val="0068032F"/>
    <w:rsid w:val="00680D37"/>
    <w:rsid w:val="0068174E"/>
    <w:rsid w:val="00681DCE"/>
    <w:rsid w:val="00682110"/>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19CB"/>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4DA4"/>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4A6B"/>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1B41"/>
    <w:rsid w:val="00861B9F"/>
    <w:rsid w:val="00861BE3"/>
    <w:rsid w:val="008625D3"/>
    <w:rsid w:val="00862C0A"/>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651"/>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1717"/>
    <w:rsid w:val="008C3B05"/>
    <w:rsid w:val="008C4B50"/>
    <w:rsid w:val="008C5A37"/>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70E2"/>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476D"/>
    <w:rsid w:val="00915D07"/>
    <w:rsid w:val="009162AE"/>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648B"/>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BB3"/>
    <w:rsid w:val="00992CF3"/>
    <w:rsid w:val="00993194"/>
    <w:rsid w:val="0099321E"/>
    <w:rsid w:val="00994171"/>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1324"/>
    <w:rsid w:val="009B284F"/>
    <w:rsid w:val="009B3764"/>
    <w:rsid w:val="009B52AC"/>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6A"/>
    <w:rsid w:val="00A201E1"/>
    <w:rsid w:val="00A20FE1"/>
    <w:rsid w:val="00A21B4D"/>
    <w:rsid w:val="00A22073"/>
    <w:rsid w:val="00A223E0"/>
    <w:rsid w:val="00A22959"/>
    <w:rsid w:val="00A23158"/>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5900"/>
    <w:rsid w:val="00A40EAC"/>
    <w:rsid w:val="00A418BC"/>
    <w:rsid w:val="00A419FF"/>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97075"/>
    <w:rsid w:val="00AA0E80"/>
    <w:rsid w:val="00AA17CD"/>
    <w:rsid w:val="00AA1D85"/>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550"/>
    <w:rsid w:val="00B00913"/>
    <w:rsid w:val="00B01593"/>
    <w:rsid w:val="00B01FF9"/>
    <w:rsid w:val="00B023F2"/>
    <w:rsid w:val="00B026FE"/>
    <w:rsid w:val="00B038CA"/>
    <w:rsid w:val="00B05F00"/>
    <w:rsid w:val="00B06DB4"/>
    <w:rsid w:val="00B0750D"/>
    <w:rsid w:val="00B0799C"/>
    <w:rsid w:val="00B102CE"/>
    <w:rsid w:val="00B10A4D"/>
    <w:rsid w:val="00B10C90"/>
    <w:rsid w:val="00B11002"/>
    <w:rsid w:val="00B1114F"/>
    <w:rsid w:val="00B121B2"/>
    <w:rsid w:val="00B131B1"/>
    <w:rsid w:val="00B141B6"/>
    <w:rsid w:val="00B14BC1"/>
    <w:rsid w:val="00B162C3"/>
    <w:rsid w:val="00B16DD1"/>
    <w:rsid w:val="00B16EB8"/>
    <w:rsid w:val="00B17E71"/>
    <w:rsid w:val="00B17FDE"/>
    <w:rsid w:val="00B20632"/>
    <w:rsid w:val="00B2379C"/>
    <w:rsid w:val="00B23D5D"/>
    <w:rsid w:val="00B23E6E"/>
    <w:rsid w:val="00B2450C"/>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639"/>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D89"/>
    <w:rsid w:val="00B80EC6"/>
    <w:rsid w:val="00B81288"/>
    <w:rsid w:val="00B81D70"/>
    <w:rsid w:val="00B833B9"/>
    <w:rsid w:val="00B83AAF"/>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6D74"/>
    <w:rsid w:val="00B9720E"/>
    <w:rsid w:val="00B97ACC"/>
    <w:rsid w:val="00B97FE2"/>
    <w:rsid w:val="00BA0E0B"/>
    <w:rsid w:val="00BA201A"/>
    <w:rsid w:val="00BA361D"/>
    <w:rsid w:val="00BA3787"/>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4BF"/>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246C"/>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307"/>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834"/>
    <w:rsid w:val="00CC0AEA"/>
    <w:rsid w:val="00CC20FE"/>
    <w:rsid w:val="00CC2E7D"/>
    <w:rsid w:val="00CC5BE8"/>
    <w:rsid w:val="00CC612B"/>
    <w:rsid w:val="00CC655F"/>
    <w:rsid w:val="00CC66F9"/>
    <w:rsid w:val="00CC6C2A"/>
    <w:rsid w:val="00CC6FE5"/>
    <w:rsid w:val="00CC7458"/>
    <w:rsid w:val="00CC76BD"/>
    <w:rsid w:val="00CC7A87"/>
    <w:rsid w:val="00CD0D6B"/>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55D4"/>
    <w:rsid w:val="00D66223"/>
    <w:rsid w:val="00D667B8"/>
    <w:rsid w:val="00D70289"/>
    <w:rsid w:val="00D70822"/>
    <w:rsid w:val="00D72076"/>
    <w:rsid w:val="00D721B4"/>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32B8"/>
    <w:rsid w:val="00D95302"/>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97F14"/>
    <w:rsid w:val="00EA0C68"/>
    <w:rsid w:val="00EA0E39"/>
    <w:rsid w:val="00EA1D0E"/>
    <w:rsid w:val="00EA2072"/>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851"/>
    <w:rsid w:val="00ED3E51"/>
    <w:rsid w:val="00ED3F10"/>
    <w:rsid w:val="00ED4D04"/>
    <w:rsid w:val="00ED566D"/>
    <w:rsid w:val="00ED5907"/>
    <w:rsid w:val="00ED5F5B"/>
    <w:rsid w:val="00ED62C6"/>
    <w:rsid w:val="00ED64C1"/>
    <w:rsid w:val="00ED781F"/>
    <w:rsid w:val="00EE1507"/>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75D3"/>
    <w:rsid w:val="00F62BFF"/>
    <w:rsid w:val="00F63AAE"/>
    <w:rsid w:val="00F63DDE"/>
    <w:rsid w:val="00F63FB7"/>
    <w:rsid w:val="00F6421B"/>
    <w:rsid w:val="00F647F1"/>
    <w:rsid w:val="00F649D2"/>
    <w:rsid w:val="00F6602B"/>
    <w:rsid w:val="00F6799D"/>
    <w:rsid w:val="00F7150B"/>
    <w:rsid w:val="00F717E4"/>
    <w:rsid w:val="00F71DE6"/>
    <w:rsid w:val="00F72D71"/>
    <w:rsid w:val="00F7381C"/>
    <w:rsid w:val="00F73A0C"/>
    <w:rsid w:val="00F7549F"/>
    <w:rsid w:val="00F756DB"/>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0Q4\Makroanal&#253;za%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nal&#253;za\Q\2020Q4\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nal&#253;za\Q\2020Q4\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1'!$A$17:$B$40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'souhrnná výkonnost 1'!$C$17:$C$40</c:f>
              <c:numCache>
                <c:formatCode>#\ ##0.0</c:formatCode>
                <c:ptCount val="24"/>
                <c:pt idx="0">
                  <c:v>5.3541342799457112</c:v>
                </c:pt>
                <c:pt idx="1">
                  <c:v>5.7581302882289123</c:v>
                </c:pt>
                <c:pt idx="2">
                  <c:v>5.6783705866674694</c:v>
                </c:pt>
                <c:pt idx="3">
                  <c:v>5.0736450126825758</c:v>
                </c:pt>
                <c:pt idx="4">
                  <c:v>3.4010325671467712</c:v>
                </c:pt>
                <c:pt idx="5">
                  <c:v>2.318358207366316</c:v>
                </c:pt>
                <c:pt idx="6">
                  <c:v>1.9345991649110346</c:v>
                </c:pt>
                <c:pt idx="7">
                  <c:v>2.1527896621077645</c:v>
                </c:pt>
                <c:pt idx="8">
                  <c:v>3.6789885316907771</c:v>
                </c:pt>
                <c:pt idx="9">
                  <c:v>6.0785986760951261</c:v>
                </c:pt>
                <c:pt idx="10">
                  <c:v>5.8461947005677075</c:v>
                </c:pt>
                <c:pt idx="11">
                  <c:v>5.8135548231886673</c:v>
                </c:pt>
                <c:pt idx="12">
                  <c:v>4.7869834927605694</c:v>
                </c:pt>
                <c:pt idx="13" formatCode="General">
                  <c:v>2.7415834226192999</c:v>
                </c:pt>
                <c:pt idx="14" formatCode="General">
                  <c:v>2.7643077302550836</c:v>
                </c:pt>
                <c:pt idx="15">
                  <c:v>2.4875156373637139</c:v>
                </c:pt>
                <c:pt idx="16">
                  <c:v>2.4453078679892855</c:v>
                </c:pt>
                <c:pt idx="17" formatCode="General">
                  <c:v>2.2867115245575036</c:v>
                </c:pt>
                <c:pt idx="18" formatCode="General">
                  <c:v>2.2190751113612635</c:v>
                </c:pt>
                <c:pt idx="19" formatCode="General">
                  <c:v>2.0355846279957319</c:v>
                </c:pt>
                <c:pt idx="20" formatCode="General">
                  <c:v>-1.8023913120589157</c:v>
                </c:pt>
                <c:pt idx="21" formatCode="General">
                  <c:v>-10.813954309123361</c:v>
                </c:pt>
                <c:pt idx="22" formatCode="General">
                  <c:v>-4.9192233591565042</c:v>
                </c:pt>
                <c:pt idx="23" formatCode="General">
                  <c:v>-4.7233882874667756</c:v>
                </c:pt>
              </c:numCache>
            </c:numRef>
          </c:val>
          <c:extLst>
            <c:ext xmlns:c16="http://schemas.microsoft.com/office/drawing/2014/chart" uri="{C3380CC4-5D6E-409C-BE32-E72D297353CC}">
              <c16:uniqueId val="{00000000-48AA-4572-A228-C48BE0A5C89B}"/>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1'!$A$17:$B$40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'souhrnná výkonnost 1'!$D$17:$D$40</c:f>
              <c:numCache>
                <c:formatCode>#\ ##0.0</c:formatCode>
                <c:ptCount val="24"/>
                <c:pt idx="0">
                  <c:v>2</c:v>
                </c:pt>
                <c:pt idx="1">
                  <c:v>2.2000000000000002</c:v>
                </c:pt>
                <c:pt idx="2">
                  <c:v>2.2000000000000002</c:v>
                </c:pt>
                <c:pt idx="3">
                  <c:v>2.2999999999999998</c:v>
                </c:pt>
                <c:pt idx="4">
                  <c:v>2</c:v>
                </c:pt>
                <c:pt idx="5">
                  <c:v>1.9</c:v>
                </c:pt>
                <c:pt idx="6">
                  <c:v>1.8</c:v>
                </c:pt>
                <c:pt idx="7">
                  <c:v>2.2000000000000002</c:v>
                </c:pt>
                <c:pt idx="8">
                  <c:v>2.4</c:v>
                </c:pt>
                <c:pt idx="9">
                  <c:v>2.9</c:v>
                </c:pt>
                <c:pt idx="10">
                  <c:v>3.2</c:v>
                </c:pt>
                <c:pt idx="11">
                  <c:v>3.2</c:v>
                </c:pt>
                <c:pt idx="12">
                  <c:v>2.7</c:v>
                </c:pt>
                <c:pt idx="13">
                  <c:v>2.5</c:v>
                </c:pt>
                <c:pt idx="14">
                  <c:v>1.8</c:v>
                </c:pt>
                <c:pt idx="15">
                  <c:v>1.5</c:v>
                </c:pt>
                <c:pt idx="16">
                  <c:v>1.8</c:v>
                </c:pt>
                <c:pt idx="17">
                  <c:v>1.5</c:v>
                </c:pt>
                <c:pt idx="18">
                  <c:v>1.6</c:v>
                </c:pt>
                <c:pt idx="19">
                  <c:v>1.3</c:v>
                </c:pt>
                <c:pt idx="20">
                  <c:v>-2.6</c:v>
                </c:pt>
                <c:pt idx="21">
                  <c:v>-13.9</c:v>
                </c:pt>
                <c:pt idx="22">
                  <c:v>-4.2</c:v>
                </c:pt>
                <c:pt idx="23">
                  <c:v>-4.8</c:v>
                </c:pt>
              </c:numCache>
            </c:numRef>
          </c:val>
          <c:extLst>
            <c:ext xmlns:c16="http://schemas.microsoft.com/office/drawing/2014/chart" uri="{C3380CC4-5D6E-409C-BE32-E72D297353CC}">
              <c16:uniqueId val="{00000001-48AA-4572-A228-C48BE0A5C89B}"/>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1'!$A$17:$B$40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'souhrnná výkonnost 1'!$E$17:$E$40</c:f>
              <c:numCache>
                <c:formatCode>#\ ##0.0</c:formatCode>
                <c:ptCount val="24"/>
                <c:pt idx="0">
                  <c:v>1.7876510932120624</c:v>
                </c:pt>
                <c:pt idx="1">
                  <c:v>1.4339927833768797</c:v>
                </c:pt>
                <c:pt idx="2">
                  <c:v>1.1102105904154485</c:v>
                </c:pt>
                <c:pt idx="3">
                  <c:v>0.65148104049788458</c:v>
                </c:pt>
                <c:pt idx="4">
                  <c:v>0.16734666768449813</c:v>
                </c:pt>
                <c:pt idx="5">
                  <c:v>0.37191457709397469</c:v>
                </c:pt>
                <c:pt idx="6">
                  <c:v>0.73098287137804618</c:v>
                </c:pt>
                <c:pt idx="7">
                  <c:v>0.86692502979816766</c:v>
                </c:pt>
                <c:pt idx="8">
                  <c:v>1.6638823155019793</c:v>
                </c:pt>
                <c:pt idx="9">
                  <c:v>2.6949837721494561</c:v>
                </c:pt>
                <c:pt idx="10">
                  <c:v>0.51029480450817744</c:v>
                </c:pt>
                <c:pt idx="11">
                  <c:v>0.83582061386817941</c:v>
                </c:pt>
                <c:pt idx="12">
                  <c:v>0.67756986149267107</c:v>
                </c:pt>
                <c:pt idx="13">
                  <c:v>0.69041870109533932</c:v>
                </c:pt>
                <c:pt idx="14">
                  <c:v>0.53252559737329364</c:v>
                </c:pt>
                <c:pt idx="15">
                  <c:v>0.56422283403010454</c:v>
                </c:pt>
                <c:pt idx="16">
                  <c:v>0.63610748801757211</c:v>
                </c:pt>
                <c:pt idx="17" formatCode="General">
                  <c:v>0.53453911464139026</c:v>
                </c:pt>
                <c:pt idx="18" formatCode="General">
                  <c:v>0.46604912804879461</c:v>
                </c:pt>
                <c:pt idx="19" formatCode="General">
                  <c:v>0.38370292777005943</c:v>
                </c:pt>
                <c:pt idx="20" formatCode="General">
                  <c:v>-3.1492283891465149</c:v>
                </c:pt>
                <c:pt idx="21" formatCode="General">
                  <c:v>-8.6914832367938004</c:v>
                </c:pt>
                <c:pt idx="22" formatCode="General">
                  <c:v>7.1063292820614947</c:v>
                </c:pt>
                <c:pt idx="23" formatCode="General">
                  <c:v>0.59046028034825326</c:v>
                </c:pt>
              </c:numCache>
            </c:numRef>
          </c:val>
          <c:smooth val="0"/>
          <c:extLst>
            <c:ext xmlns:c16="http://schemas.microsoft.com/office/drawing/2014/chart" uri="{C3380CC4-5D6E-409C-BE32-E72D297353CC}">
              <c16:uniqueId val="{00000002-48AA-4572-A228-C48BE0A5C89B}"/>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1'!$A$17:$B$40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'souhrnná výkonnost 1'!$F$17:$F$40</c:f>
              <c:numCache>
                <c:formatCode>#\ ##0.0</c:formatCode>
                <c:ptCount val="24"/>
                <c:pt idx="0">
                  <c:v>0.8</c:v>
                </c:pt>
                <c:pt idx="1">
                  <c:v>0.5</c:v>
                </c:pt>
                <c:pt idx="2">
                  <c:v>0.5</c:v>
                </c:pt>
                <c:pt idx="3">
                  <c:v>0.5</c:v>
                </c:pt>
                <c:pt idx="4">
                  <c:v>0.5</c:v>
                </c:pt>
                <c:pt idx="5">
                  <c:v>0.3</c:v>
                </c:pt>
                <c:pt idx="6">
                  <c:v>0.4</c:v>
                </c:pt>
                <c:pt idx="7">
                  <c:v>0.8</c:v>
                </c:pt>
                <c:pt idx="8">
                  <c:v>0.8</c:v>
                </c:pt>
                <c:pt idx="9">
                  <c:v>0.8</c:v>
                </c:pt>
                <c:pt idx="10">
                  <c:v>0.8</c:v>
                </c:pt>
                <c:pt idx="11">
                  <c:v>0.9</c:v>
                </c:pt>
                <c:pt idx="12">
                  <c:v>0.3</c:v>
                </c:pt>
                <c:pt idx="13">
                  <c:v>0.5</c:v>
                </c:pt>
                <c:pt idx="14">
                  <c:v>0.2</c:v>
                </c:pt>
                <c:pt idx="15">
                  <c:v>0.6</c:v>
                </c:pt>
                <c:pt idx="16">
                  <c:v>0.6</c:v>
                </c:pt>
                <c:pt idx="17">
                  <c:v>0.3</c:v>
                </c:pt>
                <c:pt idx="18">
                  <c:v>0.3</c:v>
                </c:pt>
                <c:pt idx="19">
                  <c:v>0.2</c:v>
                </c:pt>
                <c:pt idx="20">
                  <c:v>-3.3</c:v>
                </c:pt>
                <c:pt idx="21">
                  <c:v>-11.4</c:v>
                </c:pt>
                <c:pt idx="22">
                  <c:v>11.5</c:v>
                </c:pt>
                <c:pt idx="23">
                  <c:v>-0.4</c:v>
                </c:pt>
              </c:numCache>
            </c:numRef>
          </c:val>
          <c:smooth val="0"/>
          <c:extLst>
            <c:ext xmlns:c16="http://schemas.microsoft.com/office/drawing/2014/chart" uri="{C3380CC4-5D6E-409C-BE32-E72D297353CC}">
              <c16:uniqueId val="{00000003-48AA-4572-A228-C48BE0A5C89B}"/>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12"/>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majorUnit val="3"/>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45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3'!$D$18:$D$41</c:f>
              <c:numCache>
                <c:formatCode>#\ ##0.0</c:formatCode>
                <c:ptCount val="24"/>
                <c:pt idx="0">
                  <c:v>1.0004416838991848</c:v>
                </c:pt>
                <c:pt idx="1">
                  <c:v>1.1245121794719866</c:v>
                </c:pt>
                <c:pt idx="2">
                  <c:v>1.2521979797185689</c:v>
                </c:pt>
                <c:pt idx="3">
                  <c:v>1.5140922770621217</c:v>
                </c:pt>
                <c:pt idx="4">
                  <c:v>1.011033178528604</c:v>
                </c:pt>
                <c:pt idx="5">
                  <c:v>0.84092037321111202</c:v>
                </c:pt>
                <c:pt idx="6">
                  <c:v>1.0599389176360645</c:v>
                </c:pt>
                <c:pt idx="7">
                  <c:v>0.97961312874423945</c:v>
                </c:pt>
                <c:pt idx="8">
                  <c:v>1.0820067439812537</c:v>
                </c:pt>
                <c:pt idx="9">
                  <c:v>1.4390025136660056</c:v>
                </c:pt>
                <c:pt idx="10">
                  <c:v>1.3061872269069228</c:v>
                </c:pt>
                <c:pt idx="11">
                  <c:v>1.0872722376357689</c:v>
                </c:pt>
                <c:pt idx="12">
                  <c:v>1.4946157705821075</c:v>
                </c:pt>
                <c:pt idx="13">
                  <c:v>1.2142838411264594</c:v>
                </c:pt>
                <c:pt idx="14">
                  <c:v>1.0289002157801086</c:v>
                </c:pt>
                <c:pt idx="15">
                  <c:v>0.93050000708627612</c:v>
                </c:pt>
                <c:pt idx="16">
                  <c:v>0.95628944982116215</c:v>
                </c:pt>
                <c:pt idx="17">
                  <c:v>1.3437109083643106</c:v>
                </c:pt>
                <c:pt idx="18">
                  <c:v>1.1786413228066261</c:v>
                </c:pt>
                <c:pt idx="19">
                  <c:v>1.3244967154849818</c:v>
                </c:pt>
                <c:pt idx="20">
                  <c:v>9.3839745310128411E-3</c:v>
                </c:pt>
                <c:pt idx="21">
                  <c:v>-2.4845497640166503</c:v>
                </c:pt>
                <c:pt idx="22">
                  <c:v>-1.2126293776774095</c:v>
                </c:pt>
                <c:pt idx="23">
                  <c:v>-3.826671297981906</c:v>
                </c:pt>
              </c:numCache>
            </c:numRef>
          </c:val>
          <c:extLst>
            <c:ext xmlns:c16="http://schemas.microsoft.com/office/drawing/2014/chart" uri="{C3380CC4-5D6E-409C-BE32-E72D297353CC}">
              <c16:uniqueId val="{00000000-ED82-4827-8313-32D0E9191DD9}"/>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3'!$E$18:$E$41</c:f>
              <c:numCache>
                <c:formatCode>#\ ##0.0</c:formatCode>
                <c:ptCount val="24"/>
                <c:pt idx="0">
                  <c:v>0.36711313994295081</c:v>
                </c:pt>
                <c:pt idx="1">
                  <c:v>0.38184726381267609</c:v>
                </c:pt>
                <c:pt idx="2">
                  <c:v>0.5911601763482196</c:v>
                </c:pt>
                <c:pt idx="3">
                  <c:v>0.43670380992842678</c:v>
                </c:pt>
                <c:pt idx="4">
                  <c:v>0.42501610259126504</c:v>
                </c:pt>
                <c:pt idx="5">
                  <c:v>0.47017789747807115</c:v>
                </c:pt>
                <c:pt idx="6">
                  <c:v>0.42973407124759544</c:v>
                </c:pt>
                <c:pt idx="7">
                  <c:v>0.47700779378045444</c:v>
                </c:pt>
                <c:pt idx="8">
                  <c:v>0.4285629075979569</c:v>
                </c:pt>
                <c:pt idx="9">
                  <c:v>0.36487116628719296</c:v>
                </c:pt>
                <c:pt idx="10">
                  <c:v>0.22397478701370191</c:v>
                </c:pt>
                <c:pt idx="11">
                  <c:v>0.25198788808759842</c:v>
                </c:pt>
                <c:pt idx="12">
                  <c:v>0.55545322397874786</c:v>
                </c:pt>
                <c:pt idx="13">
                  <c:v>0.56563297121642442</c:v>
                </c:pt>
                <c:pt idx="14">
                  <c:v>0.85620414943517464</c:v>
                </c:pt>
                <c:pt idx="15">
                  <c:v>0.79947731678211598</c:v>
                </c:pt>
                <c:pt idx="16">
                  <c:v>0.35314674266144058</c:v>
                </c:pt>
                <c:pt idx="17">
                  <c:v>0.47275530186714843</c:v>
                </c:pt>
                <c:pt idx="18">
                  <c:v>0.3752076605407596</c:v>
                </c:pt>
                <c:pt idx="19">
                  <c:v>0.38684117827578673</c:v>
                </c:pt>
                <c:pt idx="20">
                  <c:v>0.91372459235104686</c:v>
                </c:pt>
                <c:pt idx="21">
                  <c:v>0.39882296048191224</c:v>
                </c:pt>
                <c:pt idx="22">
                  <c:v>3.4369404238827783E-2</c:v>
                </c:pt>
                <c:pt idx="23">
                  <c:v>0.96111087898256808</c:v>
                </c:pt>
              </c:numCache>
            </c:numRef>
          </c:val>
          <c:extLst>
            <c:ext xmlns:c16="http://schemas.microsoft.com/office/drawing/2014/chart" uri="{C3380CC4-5D6E-409C-BE32-E72D297353CC}">
              <c16:uniqueId val="{00000001-ED82-4827-8313-32D0E9191DD9}"/>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3'!$G$18:$G$41</c:f>
              <c:numCache>
                <c:formatCode>#\ ##0.0</c:formatCode>
                <c:ptCount val="24"/>
                <c:pt idx="0">
                  <c:v>3.1310050244124823</c:v>
                </c:pt>
                <c:pt idx="1">
                  <c:v>3.7310848346723087</c:v>
                </c:pt>
                <c:pt idx="2">
                  <c:v>2.34505813454797</c:v>
                </c:pt>
                <c:pt idx="3">
                  <c:v>1.0284887473308018</c:v>
                </c:pt>
                <c:pt idx="4">
                  <c:v>0.1426787206126395</c:v>
                </c:pt>
                <c:pt idx="5">
                  <c:v>-1.4507925661177268</c:v>
                </c:pt>
                <c:pt idx="6">
                  <c:v>-0.98123446043739548</c:v>
                </c:pt>
                <c:pt idx="7">
                  <c:v>-0.61353806390597054</c:v>
                </c:pt>
                <c:pt idx="8">
                  <c:v>-0.96942712410588472</c:v>
                </c:pt>
                <c:pt idx="9">
                  <c:v>0.73262216993952523</c:v>
                </c:pt>
                <c:pt idx="10">
                  <c:v>1.5238713260674783</c:v>
                </c:pt>
                <c:pt idx="11">
                  <c:v>2.2323726403134958</c:v>
                </c:pt>
                <c:pt idx="12">
                  <c:v>3.0952033404087724</c:v>
                </c:pt>
                <c:pt idx="13">
                  <c:v>1.6598485290447111</c:v>
                </c:pt>
                <c:pt idx="14">
                  <c:v>1.8068887705851226</c:v>
                </c:pt>
                <c:pt idx="15">
                  <c:v>0.39151322871173594</c:v>
                </c:pt>
                <c:pt idx="16">
                  <c:v>0.95030598176660519</c:v>
                </c:pt>
                <c:pt idx="17">
                  <c:v>-1.1488329075459902</c:v>
                </c:pt>
                <c:pt idx="18">
                  <c:v>-1.1907175426027021</c:v>
                </c:pt>
                <c:pt idx="19">
                  <c:v>1.1321774143229344</c:v>
                </c:pt>
                <c:pt idx="20">
                  <c:v>-2.021875914902854</c:v>
                </c:pt>
                <c:pt idx="21">
                  <c:v>-0.73793514725012954</c:v>
                </c:pt>
                <c:pt idx="22">
                  <c:v>-4.1653196081506154</c:v>
                </c:pt>
                <c:pt idx="23">
                  <c:v>-5.2923682225688644</c:v>
                </c:pt>
              </c:numCache>
            </c:numRef>
          </c:val>
          <c:extLst>
            <c:ext xmlns:c16="http://schemas.microsoft.com/office/drawing/2014/chart" uri="{C3380CC4-5D6E-409C-BE32-E72D297353CC}">
              <c16:uniqueId val="{00000002-ED82-4827-8313-32D0E9191DD9}"/>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3'!$F$18:$F$41</c:f>
              <c:numCache>
                <c:formatCode>#\ ##0.0</c:formatCode>
                <c:ptCount val="24"/>
                <c:pt idx="0">
                  <c:v>0.85358800053760486</c:v>
                </c:pt>
                <c:pt idx="1">
                  <c:v>0.50682849323072787</c:v>
                </c:pt>
                <c:pt idx="2">
                  <c:v>1.4713169429104394</c:v>
                </c:pt>
                <c:pt idx="3">
                  <c:v>2.0731040792572153</c:v>
                </c:pt>
                <c:pt idx="4">
                  <c:v>1.7620830562499514</c:v>
                </c:pt>
                <c:pt idx="5">
                  <c:v>2.3990552594367274</c:v>
                </c:pt>
                <c:pt idx="6">
                  <c:v>1.370993307029881</c:v>
                </c:pt>
                <c:pt idx="7">
                  <c:v>1.2526206333504177</c:v>
                </c:pt>
                <c:pt idx="8">
                  <c:v>3.0648181369329626</c:v>
                </c:pt>
                <c:pt idx="9">
                  <c:v>3.4601141630489307</c:v>
                </c:pt>
                <c:pt idx="10">
                  <c:v>2.7091491429512415</c:v>
                </c:pt>
                <c:pt idx="11">
                  <c:v>2.1602088091475098</c:v>
                </c:pt>
                <c:pt idx="12">
                  <c:v>-0.47609047269948945</c:v>
                </c:pt>
                <c:pt idx="13">
                  <c:v>-0.80874071873919284</c:v>
                </c:pt>
                <c:pt idx="14">
                  <c:v>-1.037162889607357</c:v>
                </c:pt>
                <c:pt idx="15">
                  <c:v>0.25724717059829372</c:v>
                </c:pt>
                <c:pt idx="16">
                  <c:v>0.10748557741256393</c:v>
                </c:pt>
                <c:pt idx="17">
                  <c:v>1.5467605826471411</c:v>
                </c:pt>
                <c:pt idx="18">
                  <c:v>1.7784931462823457</c:v>
                </c:pt>
                <c:pt idx="19">
                  <c:v>-0.8906917898123291</c:v>
                </c:pt>
                <c:pt idx="20">
                  <c:v>-0.72640054906946128</c:v>
                </c:pt>
                <c:pt idx="21">
                  <c:v>-7.98196403817456</c:v>
                </c:pt>
                <c:pt idx="22">
                  <c:v>0.46787430757374082</c:v>
                </c:pt>
                <c:pt idx="23">
                  <c:v>3.4436686230568054</c:v>
                </c:pt>
              </c:numCache>
            </c:numRef>
          </c:val>
          <c:extLst>
            <c:ext xmlns:c16="http://schemas.microsoft.com/office/drawing/2014/chart" uri="{C3380CC4-5D6E-409C-BE32-E72D297353CC}">
              <c16:uniqueId val="{00000003-ED82-4827-8313-32D0E9191DD9}"/>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'souhrnná výkonnost 3'!$C$18:$C$41</c:f>
              <c:numCache>
                <c:formatCode>#\ ##0.0</c:formatCode>
                <c:ptCount val="24"/>
                <c:pt idx="0">
                  <c:v>5.3541479116968844</c:v>
                </c:pt>
                <c:pt idx="1">
                  <c:v>5.7580987456543795</c:v>
                </c:pt>
                <c:pt idx="2">
                  <c:v>5.6783364148190572</c:v>
                </c:pt>
                <c:pt idx="3">
                  <c:v>5.0736477020698771</c:v>
                </c:pt>
                <c:pt idx="4">
                  <c:v>3.4010558338826229</c:v>
                </c:pt>
                <c:pt idx="5">
                  <c:v>2.3184007606832324</c:v>
                </c:pt>
                <c:pt idx="6">
                  <c:v>1.9346258296187244</c:v>
                </c:pt>
                <c:pt idx="7">
                  <c:v>2.1527861842497913</c:v>
                </c:pt>
                <c:pt idx="8">
                  <c:v>3.6789755923611835</c:v>
                </c:pt>
                <c:pt idx="9">
                  <c:v>6.0785791748313187</c:v>
                </c:pt>
                <c:pt idx="10">
                  <c:v>5.8461673142579968</c:v>
                </c:pt>
                <c:pt idx="11">
                  <c:v>5.8135294348367665</c:v>
                </c:pt>
                <c:pt idx="12">
                  <c:v>4.7870310097690947</c:v>
                </c:pt>
                <c:pt idx="13">
                  <c:v>2.7415951273320331</c:v>
                </c:pt>
                <c:pt idx="14">
                  <c:v>2.7643378154414791</c:v>
                </c:pt>
                <c:pt idx="15">
                  <c:v>2.4875508102028903</c:v>
                </c:pt>
                <c:pt idx="16">
                  <c:v>2.4452702840320768</c:v>
                </c:pt>
                <c:pt idx="17">
                  <c:v>2.2867541286130972</c:v>
                </c:pt>
                <c:pt idx="18">
                  <c:v>2.2190768640245579</c:v>
                </c:pt>
                <c:pt idx="19">
                  <c:v>2.0355599675258418</c:v>
                </c:pt>
                <c:pt idx="20">
                  <c:v>-1.8023935566208138</c:v>
                </c:pt>
                <c:pt idx="21">
                  <c:v>-10.813978605851133</c:v>
                </c:pt>
                <c:pt idx="22">
                  <c:v>-4.919224243855794</c:v>
                </c:pt>
                <c:pt idx="23">
                  <c:v>-4.723341129019488</c:v>
                </c:pt>
              </c:numCache>
            </c:numRef>
          </c:val>
          <c:smooth val="0"/>
          <c:extLst>
            <c:ext xmlns:c16="http://schemas.microsoft.com/office/drawing/2014/chart" uri="{C3380CC4-5D6E-409C-BE32-E72D297353CC}">
              <c16:uniqueId val="{00000004-ED82-4827-8313-32D0E9191DD9}"/>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ax val="7"/>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3"/>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82E-2"/>
          <c:y val="3.7154479717354444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4'!$C$18:$C$41</c:f>
              <c:numCache>
                <c:formatCode>#\ ##0.0</c:formatCode>
                <c:ptCount val="24"/>
                <c:pt idx="0">
                  <c:v>0.30368485614942081</c:v>
                </c:pt>
                <c:pt idx="1">
                  <c:v>0.2304988905076614</c:v>
                </c:pt>
                <c:pt idx="2">
                  <c:v>0.11798809635792069</c:v>
                </c:pt>
                <c:pt idx="3">
                  <c:v>7.2282252647939291E-2</c:v>
                </c:pt>
                <c:pt idx="4">
                  <c:v>5.3855687366031392E-2</c:v>
                </c:pt>
                <c:pt idx="5">
                  <c:v>0.14849879547587463</c:v>
                </c:pt>
                <c:pt idx="6">
                  <c:v>0.21032935295139474</c:v>
                </c:pt>
                <c:pt idx="7">
                  <c:v>0.10195129284322399</c:v>
                </c:pt>
                <c:pt idx="8">
                  <c:v>-9.6443702202456318E-3</c:v>
                </c:pt>
                <c:pt idx="9">
                  <c:v>-0.1183984267345688</c:v>
                </c:pt>
                <c:pt idx="10">
                  <c:v>-0.19416190528766372</c:v>
                </c:pt>
                <c:pt idx="11">
                  <c:v>-3.0322150838633197E-2</c:v>
                </c:pt>
                <c:pt idx="12">
                  <c:v>5.0044921066203105E-2</c:v>
                </c:pt>
                <c:pt idx="13">
                  <c:v>6.4956526264887057E-2</c:v>
                </c:pt>
                <c:pt idx="14">
                  <c:v>0.12486105995197894</c:v>
                </c:pt>
                <c:pt idx="15">
                  <c:v>0.13154654151227857</c:v>
                </c:pt>
                <c:pt idx="16">
                  <c:v>7.081167345092805E-2</c:v>
                </c:pt>
                <c:pt idx="17">
                  <c:v>6.3206484217815842E-2</c:v>
                </c:pt>
                <c:pt idx="18">
                  <c:v>0.13939824971947998</c:v>
                </c:pt>
                <c:pt idx="19">
                  <c:v>0.20779550254411278</c:v>
                </c:pt>
                <c:pt idx="20">
                  <c:v>0.1520890419728918</c:v>
                </c:pt>
                <c:pt idx="21">
                  <c:v>6.2061719606766791E-2</c:v>
                </c:pt>
                <c:pt idx="22">
                  <c:v>8.8928348206652005E-2</c:v>
                </c:pt>
                <c:pt idx="23">
                  <c:v>0.10903228788820159</c:v>
                </c:pt>
              </c:numCache>
            </c:numRef>
          </c:val>
          <c:extLst>
            <c:ext xmlns:c16="http://schemas.microsoft.com/office/drawing/2014/chart" uri="{C3380CC4-5D6E-409C-BE32-E72D297353CC}">
              <c16:uniqueId val="{00000000-5A25-4860-A790-E2FA363C3D78}"/>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4'!$D$18:$D$41</c:f>
              <c:numCache>
                <c:formatCode>#\ ##0.0</c:formatCode>
                <c:ptCount val="24"/>
                <c:pt idx="0">
                  <c:v>2.2974970288931655</c:v>
                </c:pt>
                <c:pt idx="1">
                  <c:v>2.1003819539683337</c:v>
                </c:pt>
                <c:pt idx="2">
                  <c:v>2.161753605301608</c:v>
                </c:pt>
                <c:pt idx="3">
                  <c:v>1.6515907003433452</c:v>
                </c:pt>
                <c:pt idx="4">
                  <c:v>1.5749274984416446</c:v>
                </c:pt>
                <c:pt idx="5">
                  <c:v>0.83208666717303936</c:v>
                </c:pt>
                <c:pt idx="6">
                  <c:v>0.93499427724552242</c:v>
                </c:pt>
                <c:pt idx="7">
                  <c:v>1.2180600651181106</c:v>
                </c:pt>
                <c:pt idx="8">
                  <c:v>1.3791245235480027</c:v>
                </c:pt>
                <c:pt idx="9">
                  <c:v>3.156295399272143</c:v>
                </c:pt>
                <c:pt idx="10">
                  <c:v>3.0056722211992475</c:v>
                </c:pt>
                <c:pt idx="11">
                  <c:v>2.3263082145418474</c:v>
                </c:pt>
                <c:pt idx="12">
                  <c:v>1.5335167130194982</c:v>
                </c:pt>
                <c:pt idx="13">
                  <c:v>0.19981038241166935</c:v>
                </c:pt>
                <c:pt idx="14">
                  <c:v>1.4811571147741608E-2</c:v>
                </c:pt>
                <c:pt idx="15">
                  <c:v>0.23183920009067607</c:v>
                </c:pt>
                <c:pt idx="16">
                  <c:v>0.65901524280795287</c:v>
                </c:pt>
                <c:pt idx="17">
                  <c:v>0.87998369250049879</c:v>
                </c:pt>
                <c:pt idx="18">
                  <c:v>0.90491958201141753</c:v>
                </c:pt>
                <c:pt idx="19">
                  <c:v>0.38172687932398586</c:v>
                </c:pt>
                <c:pt idx="20">
                  <c:v>-0.74488821313914733</c:v>
                </c:pt>
                <c:pt idx="21">
                  <c:v>-4.6997602454486875</c:v>
                </c:pt>
                <c:pt idx="22">
                  <c:v>-1.1464837603400306</c:v>
                </c:pt>
                <c:pt idx="23">
                  <c:v>-0.26974562009014308</c:v>
                </c:pt>
              </c:numCache>
            </c:numRef>
          </c:val>
          <c:extLst>
            <c:ext xmlns:c16="http://schemas.microsoft.com/office/drawing/2014/chart" uri="{C3380CC4-5D6E-409C-BE32-E72D297353CC}">
              <c16:uniqueId val="{00000001-5A25-4860-A790-E2FA363C3D78}"/>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4'!$E$18:$E$41</c:f>
              <c:numCache>
                <c:formatCode>#\ ##0.0</c:formatCode>
                <c:ptCount val="24"/>
                <c:pt idx="0">
                  <c:v>-0.2238083391325838</c:v>
                </c:pt>
                <c:pt idx="1">
                  <c:v>-0.23838971368947015</c:v>
                </c:pt>
                <c:pt idx="2">
                  <c:v>-0.2053609549377069</c:v>
                </c:pt>
                <c:pt idx="3">
                  <c:v>-0.35147060330963598</c:v>
                </c:pt>
                <c:pt idx="4">
                  <c:v>-0.61869060635239537</c:v>
                </c:pt>
                <c:pt idx="5">
                  <c:v>-0.25512934357205408</c:v>
                </c:pt>
                <c:pt idx="6">
                  <c:v>-0.19959002476284948</c:v>
                </c:pt>
                <c:pt idx="7">
                  <c:v>3.2746825671393198E-2</c:v>
                </c:pt>
                <c:pt idx="8">
                  <c:v>0.18450614676852783</c:v>
                </c:pt>
                <c:pt idx="9">
                  <c:v>9.0995210938591864E-2</c:v>
                </c:pt>
                <c:pt idx="10">
                  <c:v>9.3791960410576802E-2</c:v>
                </c:pt>
                <c:pt idx="11">
                  <c:v>9.7481504130754182E-3</c:v>
                </c:pt>
                <c:pt idx="12">
                  <c:v>-0.12069430817929794</c:v>
                </c:pt>
                <c:pt idx="13">
                  <c:v>-5.5819651243370877E-2</c:v>
                </c:pt>
                <c:pt idx="14" formatCode="General">
                  <c:v>7.5358871745050016E-2</c:v>
                </c:pt>
                <c:pt idx="15" formatCode="General">
                  <c:v>-1.4282054294332547E-2</c:v>
                </c:pt>
                <c:pt idx="16" formatCode="General">
                  <c:v>-5.059819013915523E-2</c:v>
                </c:pt>
                <c:pt idx="17" formatCode="General">
                  <c:v>-0.12947450207232991</c:v>
                </c:pt>
                <c:pt idx="18" formatCode="General">
                  <c:v>-0.16950374479973207</c:v>
                </c:pt>
                <c:pt idx="19" formatCode="General">
                  <c:v>-1.133243621179153E-2</c:v>
                </c:pt>
                <c:pt idx="20" formatCode="General">
                  <c:v>-0.25671162568053629</c:v>
                </c:pt>
                <c:pt idx="21" formatCode="General">
                  <c:v>-0.70252226402466178</c:v>
                </c:pt>
                <c:pt idx="22" formatCode="General">
                  <c:v>-0.40182325222037685</c:v>
                </c:pt>
                <c:pt idx="23" formatCode="General">
                  <c:v>-0.12835773095106762</c:v>
                </c:pt>
              </c:numCache>
            </c:numRef>
          </c:val>
          <c:extLst>
            <c:ext xmlns:c16="http://schemas.microsoft.com/office/drawing/2014/chart" uri="{C3380CC4-5D6E-409C-BE32-E72D297353CC}">
              <c16:uniqueId val="{00000002-5A25-4860-A790-E2FA363C3D78}"/>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4'!$F$18:$F$41</c:f>
              <c:numCache>
                <c:formatCode>#\ ##0.0</c:formatCode>
                <c:ptCount val="24"/>
                <c:pt idx="0">
                  <c:v>0.13087923173458302</c:v>
                </c:pt>
                <c:pt idx="1">
                  <c:v>0.16519036862091754</c:v>
                </c:pt>
                <c:pt idx="2">
                  <c:v>0.21120786680843179</c:v>
                </c:pt>
                <c:pt idx="3">
                  <c:v>-1.2415147928913664E-2</c:v>
                </c:pt>
                <c:pt idx="4">
                  <c:v>-0.10952448541686127</c:v>
                </c:pt>
                <c:pt idx="5">
                  <c:v>-0.28214741197780213</c:v>
                </c:pt>
                <c:pt idx="6">
                  <c:v>-0.27168672817032663</c:v>
                </c:pt>
                <c:pt idx="7">
                  <c:v>-0.20754684715757324</c:v>
                </c:pt>
                <c:pt idx="8">
                  <c:v>-8.524394743114426E-2</c:v>
                </c:pt>
                <c:pt idx="9">
                  <c:v>0.11383434006711636</c:v>
                </c:pt>
                <c:pt idx="10">
                  <c:v>4.3349635308544285E-2</c:v>
                </c:pt>
                <c:pt idx="11">
                  <c:v>0.17858744375528909</c:v>
                </c:pt>
                <c:pt idx="12">
                  <c:v>0.11784079575472811</c:v>
                </c:pt>
                <c:pt idx="13">
                  <c:v>3.4351403274769446E-2</c:v>
                </c:pt>
                <c:pt idx="14">
                  <c:v>6.4292065770569871E-3</c:v>
                </c:pt>
                <c:pt idx="15">
                  <c:v>-0.14625229498792841</c:v>
                </c:pt>
                <c:pt idx="16">
                  <c:v>-0.21512252328197207</c:v>
                </c:pt>
                <c:pt idx="17">
                  <c:v>-0.18844102026698162</c:v>
                </c:pt>
                <c:pt idx="18">
                  <c:v>-0.14303462630376634</c:v>
                </c:pt>
                <c:pt idx="19">
                  <c:v>-6.4393486585439266E-2</c:v>
                </c:pt>
                <c:pt idx="20">
                  <c:v>9.5177000113816995E-2</c:v>
                </c:pt>
                <c:pt idx="21">
                  <c:v>-0.33344327566547693</c:v>
                </c:pt>
                <c:pt idx="22">
                  <c:v>-0.22899979934020714</c:v>
                </c:pt>
                <c:pt idx="23">
                  <c:v>-0.30022172178457024</c:v>
                </c:pt>
              </c:numCache>
            </c:numRef>
          </c:val>
          <c:extLst>
            <c:ext xmlns:c16="http://schemas.microsoft.com/office/drawing/2014/chart" uri="{C3380CC4-5D6E-409C-BE32-E72D297353CC}">
              <c16:uniqueId val="{00000003-5A25-4860-A790-E2FA363C3D78}"/>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4'!$G$18:$G$41</c:f>
              <c:numCache>
                <c:formatCode>#\ ##0.0</c:formatCode>
                <c:ptCount val="24"/>
                <c:pt idx="0">
                  <c:v>2.2069915595993166</c:v>
                </c:pt>
                <c:pt idx="1">
                  <c:v>2.8395836710030271</c:v>
                </c:pt>
                <c:pt idx="2">
                  <c:v>2.9673304933717439</c:v>
                </c:pt>
                <c:pt idx="3">
                  <c:v>3.1996488393000861</c:v>
                </c:pt>
                <c:pt idx="4">
                  <c:v>2.2669828358604827</c:v>
                </c:pt>
                <c:pt idx="5">
                  <c:v>1.7472095584606271</c:v>
                </c:pt>
                <c:pt idx="6">
                  <c:v>1.2199893940422677</c:v>
                </c:pt>
                <c:pt idx="7">
                  <c:v>1.2038927401746593</c:v>
                </c:pt>
                <c:pt idx="8">
                  <c:v>2.1828063096576567</c:v>
                </c:pt>
                <c:pt idx="9">
                  <c:v>3.1402341655549573</c:v>
                </c:pt>
                <c:pt idx="10">
                  <c:v>2.9649621789836469</c:v>
                </c:pt>
                <c:pt idx="11">
                  <c:v>3.2019367955598788</c:v>
                </c:pt>
                <c:pt idx="12">
                  <c:v>3.3049533952383974</c:v>
                </c:pt>
                <c:pt idx="13">
                  <c:v>2.5891316897173389</c:v>
                </c:pt>
                <c:pt idx="14" formatCode="General">
                  <c:v>2.8718259229432168</c:v>
                </c:pt>
                <c:pt idx="15" formatCode="General">
                  <c:v>2.4174879675858536</c:v>
                </c:pt>
                <c:pt idx="16" formatCode="General">
                  <c:v>2.1162989981981855</c:v>
                </c:pt>
                <c:pt idx="17" formatCode="General">
                  <c:v>1.491444737244932</c:v>
                </c:pt>
                <c:pt idx="18" formatCode="General">
                  <c:v>1.2523982293970002</c:v>
                </c:pt>
                <c:pt idx="19" formatCode="General">
                  <c:v>1.2983334838140204</c:v>
                </c:pt>
                <c:pt idx="20" formatCode="General">
                  <c:v>-0.56281287556262882</c:v>
                </c:pt>
                <c:pt idx="21" formatCode="General">
                  <c:v>-5.4163206925814062</c:v>
                </c:pt>
                <c:pt idx="22" formatCode="General">
                  <c:v>-3.1727368023564675</c:v>
                </c:pt>
                <c:pt idx="23" formatCode="General">
                  <c:v>-4.0821671637072932</c:v>
                </c:pt>
              </c:numCache>
            </c:numRef>
          </c:val>
          <c:extLst>
            <c:ext xmlns:c16="http://schemas.microsoft.com/office/drawing/2014/chart" uri="{C3380CC4-5D6E-409C-BE32-E72D297353CC}">
              <c16:uniqueId val="{00000004-5A25-4860-A790-E2FA363C3D78}"/>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'souhrnná výkonnost 4'!$H$18:$H$41</c:f>
              <c:numCache>
                <c:formatCode>#\ ##0.0</c:formatCode>
                <c:ptCount val="24"/>
                <c:pt idx="0">
                  <c:v>4.715513587220201</c:v>
                </c:pt>
                <c:pt idx="1">
                  <c:v>5.0971004057791305</c:v>
                </c:pt>
                <c:pt idx="2">
                  <c:v>5.2530196431134613</c:v>
                </c:pt>
                <c:pt idx="3">
                  <c:v>4.5592485406007199</c:v>
                </c:pt>
                <c:pt idx="4">
                  <c:v>3.1674424411731508</c:v>
                </c:pt>
                <c:pt idx="5">
                  <c:v>2.1906580742636379</c:v>
                </c:pt>
                <c:pt idx="6">
                  <c:v>1.8939325302629584</c:v>
                </c:pt>
                <c:pt idx="7">
                  <c:v>2.3492580716968376</c:v>
                </c:pt>
                <c:pt idx="8">
                  <c:v>3.6516543205207768</c:v>
                </c:pt>
                <c:pt idx="9">
                  <c:v>6.3830027976023729</c:v>
                </c:pt>
                <c:pt idx="10">
                  <c:v>5.9135095065788903</c:v>
                </c:pt>
                <c:pt idx="11">
                  <c:v>5.6861848632479877</c:v>
                </c:pt>
                <c:pt idx="12">
                  <c:v>4.9727813716583285</c:v>
                </c:pt>
                <c:pt idx="13">
                  <c:v>2.8323610276482327</c:v>
                </c:pt>
                <c:pt idx="14">
                  <c:v>3.0934986686980182</c:v>
                </c:pt>
                <c:pt idx="15">
                  <c:v>2.6205519578609966</c:v>
                </c:pt>
                <c:pt idx="16">
                  <c:v>2.5805834944496269</c:v>
                </c:pt>
                <c:pt idx="17">
                  <c:v>2.1167003676946052</c:v>
                </c:pt>
                <c:pt idx="18">
                  <c:v>1.9840477282370585</c:v>
                </c:pt>
                <c:pt idx="19">
                  <c:v>1.812161862338499</c:v>
                </c:pt>
                <c:pt idx="20">
                  <c:v>-1.3172127946681229</c:v>
                </c:pt>
                <c:pt idx="21">
                  <c:v>-11.089756575171336</c:v>
                </c:pt>
                <c:pt idx="22">
                  <c:v>-4.8611011883999282</c:v>
                </c:pt>
                <c:pt idx="23">
                  <c:v>-4.6718788764692789</c:v>
                </c:pt>
              </c:numCache>
            </c:numRef>
          </c:val>
          <c:smooth val="0"/>
          <c:extLst>
            <c:ext xmlns:c16="http://schemas.microsoft.com/office/drawing/2014/chart" uri="{C3380CC4-5D6E-409C-BE32-E72D297353CC}">
              <c16:uniqueId val="{00000005-5A25-4860-A790-E2FA363C3D78}"/>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7"/>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3"/>
      </c:valAx>
      <c:spPr>
        <a:ln>
          <a:solidFill>
            <a:schemeClr val="tx1"/>
          </a:solidFill>
        </a:ln>
      </c:spPr>
    </c:plotArea>
    <c:legend>
      <c:legendPos val="b"/>
      <c:layout>
        <c:manualLayout>
          <c:xMode val="edge"/>
          <c:yMode val="edge"/>
          <c:x val="5.4144292468760548E-2"/>
          <c:y val="0.79016604750647301"/>
          <c:w val="0.9238648260722728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A119-D422-4D88-8880-2C1DF0B4D383}">
  <ds:schemaRefs>
    <ds:schemaRef ds:uri="http://schemas.openxmlformats.org/officeDocument/2006/bibliography"/>
  </ds:schemaRefs>
</ds:datastoreItem>
</file>

<file path=customXml/itemProps2.xml><?xml version="1.0" encoding="utf-8"?>
<ds:datastoreItem xmlns:ds="http://schemas.openxmlformats.org/officeDocument/2006/customXml" ds:itemID="{0CFCDC6F-D41C-4C51-875A-23EC5BF1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3</TotalTime>
  <Pages>4</Pages>
  <Words>1390</Words>
  <Characters>8202</Characters>
  <Application>Microsoft Office Word</Application>
  <DocSecurity>0</DocSecurity>
  <Lines>68</Lines>
  <Paragraphs>19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9573</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3</cp:revision>
  <cp:lastPrinted>2019-04-08T10:52:00Z</cp:lastPrinted>
  <dcterms:created xsi:type="dcterms:W3CDTF">2021-03-18T08:13:00Z</dcterms:created>
  <dcterms:modified xsi:type="dcterms:W3CDTF">2021-03-18T08:46:00Z</dcterms:modified>
</cp:coreProperties>
</file>