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2797D" w14:textId="77777777" w:rsidR="000663F0" w:rsidRDefault="000663F0" w:rsidP="000663F0">
      <w:pPr>
        <w:pStyle w:val="Nadpis11"/>
      </w:pPr>
      <w:bookmarkStart w:id="0" w:name="_Toc26865023"/>
      <w:bookmarkStart w:id="1" w:name="_Toc58605378"/>
      <w:r w:rsidRPr="00787441">
        <w:rPr>
          <w:szCs w:val="32"/>
        </w:rPr>
        <w:t>8</w:t>
      </w:r>
      <w:r>
        <w:t>. </w:t>
      </w:r>
      <w:r w:rsidRPr="009110F7">
        <w:t>Státní rozpočet</w:t>
      </w:r>
      <w:bookmarkEnd w:id="1"/>
    </w:p>
    <w:tbl>
      <w:tblPr>
        <w:tblW w:w="9669" w:type="dxa"/>
        <w:tblInd w:w="-20" w:type="dxa"/>
        <w:tblCellMar>
          <w:left w:w="0" w:type="dxa"/>
          <w:right w:w="0" w:type="dxa"/>
        </w:tblCellMar>
        <w:tblLook w:val="00A0" w:firstRow="1" w:lastRow="0" w:firstColumn="1" w:lastColumn="0" w:noHBand="0" w:noVBand="0"/>
      </w:tblPr>
      <w:tblGrid>
        <w:gridCol w:w="1732"/>
        <w:gridCol w:w="217"/>
        <w:gridCol w:w="7720"/>
      </w:tblGrid>
      <w:tr w:rsidR="000663F0" w:rsidRPr="003C07E6" w14:paraId="4F83966D" w14:textId="77777777" w:rsidTr="00361FB7">
        <w:trPr>
          <w:trHeight w:val="145"/>
        </w:trPr>
        <w:tc>
          <w:tcPr>
            <w:tcW w:w="1732" w:type="dxa"/>
            <w:shd w:val="clear" w:color="auto" w:fill="auto"/>
            <w:tcMar>
              <w:left w:w="0" w:type="dxa"/>
            </w:tcMar>
          </w:tcPr>
          <w:p w14:paraId="076B63AA" w14:textId="77777777" w:rsidR="000663F0" w:rsidRDefault="000663F0" w:rsidP="00361FB7">
            <w:pPr>
              <w:pStyle w:val="Marginlie"/>
            </w:pPr>
            <w:r>
              <w:t>Hospodaření státního rozpočtu se především vlivem vývoje ve 2. čtvrtletí propadlo k nejhlubšímu deficitu v novodobé historii ČR.</w:t>
            </w:r>
          </w:p>
        </w:tc>
        <w:tc>
          <w:tcPr>
            <w:tcW w:w="217" w:type="dxa"/>
            <w:shd w:val="clear" w:color="auto" w:fill="auto"/>
            <w:tcMar>
              <w:left w:w="0" w:type="dxa"/>
            </w:tcMar>
          </w:tcPr>
          <w:p w14:paraId="3DDB2D86" w14:textId="77777777" w:rsidR="000663F0" w:rsidRDefault="000663F0" w:rsidP="00361FB7">
            <w:pPr>
              <w:pStyle w:val="Textpoznpodarou"/>
              <w:jc w:val="both"/>
              <w:rPr>
                <w:spacing w:val="-4"/>
              </w:rPr>
            </w:pPr>
          </w:p>
        </w:tc>
        <w:tc>
          <w:tcPr>
            <w:tcW w:w="7720" w:type="dxa"/>
            <w:shd w:val="clear" w:color="auto" w:fill="auto"/>
            <w:tcMar>
              <w:left w:w="0" w:type="dxa"/>
            </w:tcMar>
          </w:tcPr>
          <w:p w14:paraId="1C6E536F" w14:textId="77777777" w:rsidR="000663F0" w:rsidRPr="00347DD9" w:rsidRDefault="000663F0" w:rsidP="00361FB7">
            <w:pPr>
              <w:spacing w:after="200"/>
              <w:rPr>
                <w:spacing w:val="-4"/>
              </w:rPr>
            </w:pPr>
            <w:r w:rsidRPr="00347DD9">
              <w:rPr>
                <w:spacing w:val="-4"/>
              </w:rPr>
              <w:t>Za 1</w:t>
            </w:r>
            <w:r>
              <w:rPr>
                <w:spacing w:val="-4"/>
              </w:rPr>
              <w:t>. </w:t>
            </w:r>
            <w:r w:rsidRPr="00347DD9">
              <w:rPr>
                <w:spacing w:val="-4"/>
              </w:rPr>
              <w:t>až 3.</w:t>
            </w:r>
            <w:r>
              <w:rPr>
                <w:spacing w:val="-4"/>
              </w:rPr>
              <w:t> čtvrtlet</w:t>
            </w:r>
            <w:r w:rsidRPr="00347DD9">
              <w:rPr>
                <w:spacing w:val="-4"/>
              </w:rPr>
              <w:t>í se hospodaření státního rozpočtu (SR)</w:t>
            </w:r>
            <w:r w:rsidRPr="00347DD9">
              <w:rPr>
                <w:rStyle w:val="Znakapoznpodarou"/>
                <w:spacing w:val="-4"/>
              </w:rPr>
              <w:footnoteReference w:id="1"/>
            </w:r>
            <w:r>
              <w:rPr>
                <w:spacing w:val="-4"/>
              </w:rPr>
              <w:t xml:space="preserve"> </w:t>
            </w:r>
            <w:r w:rsidRPr="00347DD9">
              <w:rPr>
                <w:spacing w:val="-4"/>
              </w:rPr>
              <w:t>propadlo k historickému deficitu 252,7</w:t>
            </w:r>
            <w:r>
              <w:rPr>
                <w:spacing w:val="-4"/>
              </w:rPr>
              <w:t> mld.</w:t>
            </w:r>
            <w:r w:rsidRPr="00347DD9">
              <w:rPr>
                <w:spacing w:val="-4"/>
              </w:rPr>
              <w:t xml:space="preserve"> korun. </w:t>
            </w:r>
            <w:r>
              <w:rPr>
                <w:spacing w:val="-4"/>
              </w:rPr>
              <w:t>Více než polovina z této částky souvisela s opatřeními přijatými</w:t>
            </w:r>
            <w:r w:rsidRPr="007265C7">
              <w:rPr>
                <w:spacing w:val="-4"/>
              </w:rPr>
              <w:t xml:space="preserve"> na podporu občanů a</w:t>
            </w:r>
            <w:r>
              <w:rPr>
                <w:spacing w:val="-4"/>
              </w:rPr>
              <w:t> </w:t>
            </w:r>
            <w:r w:rsidRPr="007265C7">
              <w:rPr>
                <w:spacing w:val="-4"/>
              </w:rPr>
              <w:t>firem v</w:t>
            </w:r>
            <w:r>
              <w:rPr>
                <w:spacing w:val="-4"/>
              </w:rPr>
              <w:t> </w:t>
            </w:r>
            <w:r w:rsidRPr="007265C7">
              <w:rPr>
                <w:spacing w:val="-4"/>
              </w:rPr>
              <w:t>souvislosti s</w:t>
            </w:r>
            <w:r>
              <w:rPr>
                <w:spacing w:val="-4"/>
              </w:rPr>
              <w:t> pandemií covidu</w:t>
            </w:r>
            <w:r w:rsidRPr="007265C7">
              <w:rPr>
                <w:spacing w:val="-4"/>
              </w:rPr>
              <w:t>-19</w:t>
            </w:r>
            <w:r>
              <w:rPr>
                <w:spacing w:val="-4"/>
              </w:rPr>
              <w:t>, která měla dopad na příjmovou i</w:t>
            </w:r>
            <w:r w:rsidRPr="00E92521">
              <w:rPr>
                <w:spacing w:val="-4"/>
              </w:rPr>
              <w:t> </w:t>
            </w:r>
            <w:r>
              <w:rPr>
                <w:spacing w:val="-4"/>
              </w:rPr>
              <w:t>výdajovou stranu SR</w:t>
            </w:r>
            <w:r>
              <w:rPr>
                <w:rStyle w:val="Znakapoznpodarou"/>
                <w:spacing w:val="-4"/>
              </w:rPr>
              <w:footnoteReference w:id="2"/>
            </w:r>
            <w:r>
              <w:rPr>
                <w:spacing w:val="-4"/>
              </w:rPr>
              <w:t>.</w:t>
            </w:r>
            <w:r w:rsidRPr="007265C7">
              <w:rPr>
                <w:spacing w:val="-4"/>
              </w:rPr>
              <w:t xml:space="preserve"> </w:t>
            </w:r>
            <w:r w:rsidRPr="00347DD9">
              <w:rPr>
                <w:spacing w:val="-4"/>
              </w:rPr>
              <w:t xml:space="preserve">Dosud nejvyšší schodek v tomto období roku, který z velké části reflektoval dopady </w:t>
            </w:r>
            <w:r>
              <w:rPr>
                <w:spacing w:val="-4"/>
              </w:rPr>
              <w:t xml:space="preserve">předchozí </w:t>
            </w:r>
            <w:r w:rsidRPr="00347DD9">
              <w:rPr>
                <w:spacing w:val="-4"/>
              </w:rPr>
              <w:t>hluboké hospodářské recese, byl zaznamenán v roce 2011 (105,1</w:t>
            </w:r>
            <w:r>
              <w:rPr>
                <w:spacing w:val="-4"/>
              </w:rPr>
              <w:t> mld.</w:t>
            </w:r>
            <w:r w:rsidRPr="00347DD9">
              <w:rPr>
                <w:spacing w:val="-4"/>
              </w:rPr>
              <w:t>).</w:t>
            </w:r>
            <w:r>
              <w:rPr>
                <w:spacing w:val="-4"/>
              </w:rPr>
              <w:t xml:space="preserve"> K letošnímu výsledku nejvíce přispěl výrazný deficit ve 2. čtvrtletí (150,5 mld.), v němž citelný útlum ekonomické aktivity v některých odvětvích doprovázený úlevami </w:t>
            </w:r>
            <w:r w:rsidRPr="00EA32C7">
              <w:rPr>
                <w:spacing w:val="-4"/>
              </w:rPr>
              <w:t>podnikatelským subjektům</w:t>
            </w:r>
            <w:r>
              <w:rPr>
                <w:spacing w:val="-4"/>
              </w:rPr>
              <w:t xml:space="preserve"> vyústil v propad daňového inkasa. Zároveň vznikla akutní potřeba posílení výdajových transferů (nákup zdravotnického materiálu či programy na stabilizaci zaměstnanosti). Se schodkovým hospodařením se však SR potýkal ve všech dosavadních měsících roku. Tento neočekávaný vývoj </w:t>
            </w:r>
            <w:r>
              <w:rPr>
                <w:spacing w:val="-2"/>
              </w:rPr>
              <w:t>nevyhnutelně přinesl potřebu zásadní revize původně schváleného celoročního rozpočtového deficitu</w:t>
            </w:r>
            <w:r w:rsidRPr="00333835">
              <w:rPr>
                <w:rStyle w:val="Znakapoznpodarou"/>
                <w:spacing w:val="-2"/>
              </w:rPr>
              <w:footnoteReference w:id="3"/>
            </w:r>
            <w:r>
              <w:rPr>
                <w:spacing w:val="-2"/>
              </w:rPr>
              <w:t>.</w:t>
            </w:r>
          </w:p>
        </w:tc>
      </w:tr>
      <w:tr w:rsidR="000663F0" w:rsidRPr="003C07E6" w14:paraId="04E36543" w14:textId="77777777" w:rsidTr="00361FB7">
        <w:trPr>
          <w:trHeight w:val="145"/>
        </w:trPr>
        <w:tc>
          <w:tcPr>
            <w:tcW w:w="1732" w:type="dxa"/>
            <w:shd w:val="clear" w:color="auto" w:fill="auto"/>
            <w:tcMar>
              <w:left w:w="0" w:type="dxa"/>
            </w:tcMar>
          </w:tcPr>
          <w:p w14:paraId="062EA9EB" w14:textId="77777777" w:rsidR="000663F0" w:rsidRDefault="000663F0" w:rsidP="00361FB7">
            <w:pPr>
              <w:pStyle w:val="Marginlie"/>
            </w:pPr>
            <w:r>
              <w:t>Propad celkových daňových příjmů byl jen částečně tlumen sílícím přílivem prostředků z rozpočtu EU.</w:t>
            </w:r>
          </w:p>
        </w:tc>
        <w:tc>
          <w:tcPr>
            <w:tcW w:w="217" w:type="dxa"/>
            <w:shd w:val="clear" w:color="auto" w:fill="auto"/>
            <w:tcMar>
              <w:left w:w="0" w:type="dxa"/>
            </w:tcMar>
          </w:tcPr>
          <w:p w14:paraId="47395970" w14:textId="77777777" w:rsidR="000663F0" w:rsidRDefault="000663F0" w:rsidP="00361FB7">
            <w:pPr>
              <w:pStyle w:val="Textpoznpodarou"/>
              <w:jc w:val="both"/>
              <w:rPr>
                <w:spacing w:val="-4"/>
              </w:rPr>
            </w:pPr>
          </w:p>
        </w:tc>
        <w:tc>
          <w:tcPr>
            <w:tcW w:w="7720" w:type="dxa"/>
            <w:shd w:val="clear" w:color="auto" w:fill="auto"/>
            <w:tcMar>
              <w:left w:w="0" w:type="dxa"/>
            </w:tcMar>
          </w:tcPr>
          <w:p w14:paraId="7E28F8F2" w14:textId="77777777" w:rsidR="000663F0" w:rsidRPr="00E92521" w:rsidRDefault="000663F0" w:rsidP="00361FB7">
            <w:pPr>
              <w:spacing w:after="200"/>
              <w:rPr>
                <w:spacing w:val="-4"/>
              </w:rPr>
            </w:pPr>
            <w:r w:rsidRPr="00E92521">
              <w:rPr>
                <w:spacing w:val="-4"/>
              </w:rPr>
              <w:t>Celkové příjmy SR se letos za tři čtvrtletí meziročně snížily o 4,1 %, resp. 45 mld. korun.</w:t>
            </w:r>
            <w:r>
              <w:rPr>
                <w:spacing w:val="-4"/>
              </w:rPr>
              <w:t xml:space="preserve"> Projevil se</w:t>
            </w:r>
            <w:r w:rsidRPr="00E92521">
              <w:rPr>
                <w:spacing w:val="-4"/>
              </w:rPr>
              <w:t xml:space="preserve"> citelný výpadek celkových daňových příjmů (v</w:t>
            </w:r>
            <w:r>
              <w:rPr>
                <w:spacing w:val="-4"/>
              </w:rPr>
              <w:t xml:space="preserve">četně </w:t>
            </w:r>
            <w:r w:rsidRPr="00E92521">
              <w:rPr>
                <w:spacing w:val="-4"/>
              </w:rPr>
              <w:t>pojistného) ve výši 62,4</w:t>
            </w:r>
            <w:r>
              <w:rPr>
                <w:spacing w:val="-4"/>
              </w:rPr>
              <w:t> mld.</w:t>
            </w:r>
            <w:r w:rsidRPr="00E92521">
              <w:rPr>
                <w:spacing w:val="-4"/>
              </w:rPr>
              <w:t xml:space="preserve"> korun. Zatímco v 1.</w:t>
            </w:r>
            <w:r>
              <w:rPr>
                <w:spacing w:val="-4"/>
              </w:rPr>
              <w:t> čtvrtlet</w:t>
            </w:r>
            <w:r w:rsidRPr="00E92521">
              <w:rPr>
                <w:spacing w:val="-4"/>
              </w:rPr>
              <w:t>í 2020 daňové příjmy SR meziročně ještě rostly (+4</w:t>
            </w:r>
            <w:r>
              <w:rPr>
                <w:spacing w:val="-4"/>
              </w:rPr>
              <w:t>,6 %), ve 2.</w:t>
            </w:r>
            <w:r w:rsidRPr="00E92521">
              <w:rPr>
                <w:spacing w:val="-4"/>
              </w:rPr>
              <w:t> čtvrtletí nastal propad (</w:t>
            </w:r>
            <w:r>
              <w:rPr>
                <w:spacing w:val="-4"/>
              </w:rPr>
              <w:t>–</w:t>
            </w:r>
            <w:r w:rsidRPr="00E92521">
              <w:rPr>
                <w:spacing w:val="-4"/>
              </w:rPr>
              <w:t>19,4</w:t>
            </w:r>
            <w:r>
              <w:rPr>
                <w:spacing w:val="-4"/>
              </w:rPr>
              <w:t> %</w:t>
            </w:r>
            <w:r w:rsidRPr="00E92521">
              <w:rPr>
                <w:spacing w:val="-4"/>
              </w:rPr>
              <w:t>). V následujícím kvartál</w:t>
            </w:r>
            <w:r>
              <w:rPr>
                <w:spacing w:val="-4"/>
              </w:rPr>
              <w:t>u</w:t>
            </w:r>
            <w:r w:rsidRPr="00E92521">
              <w:rPr>
                <w:spacing w:val="-4"/>
              </w:rPr>
              <w:t xml:space="preserve"> došlo k určit</w:t>
            </w:r>
            <w:r>
              <w:rPr>
                <w:spacing w:val="-4"/>
              </w:rPr>
              <w:t>é</w:t>
            </w:r>
            <w:r w:rsidRPr="00E92521">
              <w:rPr>
                <w:spacing w:val="-4"/>
              </w:rPr>
              <w:t xml:space="preserve"> stabilizaci </w:t>
            </w:r>
            <w:r>
              <w:rPr>
                <w:spacing w:val="-4"/>
              </w:rPr>
              <w:br/>
            </w:r>
            <w:r w:rsidRPr="00E92521">
              <w:rPr>
                <w:spacing w:val="-4"/>
              </w:rPr>
              <w:t>(</w:t>
            </w:r>
            <w:r>
              <w:rPr>
                <w:spacing w:val="-4"/>
              </w:rPr>
              <w:t>–</w:t>
            </w:r>
            <w:r w:rsidRPr="00E92521">
              <w:rPr>
                <w:spacing w:val="-4"/>
              </w:rPr>
              <w:t>3,5</w:t>
            </w:r>
            <w:r>
              <w:rPr>
                <w:spacing w:val="-4"/>
              </w:rPr>
              <w:t> %</w:t>
            </w:r>
            <w:r w:rsidRPr="00E92521">
              <w:rPr>
                <w:spacing w:val="-4"/>
              </w:rPr>
              <w:t xml:space="preserve">), neboť většina významných </w:t>
            </w:r>
            <w:proofErr w:type="spellStart"/>
            <w:r w:rsidRPr="00E92521">
              <w:rPr>
                <w:spacing w:val="-4"/>
              </w:rPr>
              <w:t>protipandemických</w:t>
            </w:r>
            <w:proofErr w:type="spellEnd"/>
            <w:r w:rsidRPr="00E92521">
              <w:rPr>
                <w:spacing w:val="-4"/>
              </w:rPr>
              <w:t xml:space="preserve"> restrikcí </w:t>
            </w:r>
            <w:r>
              <w:rPr>
                <w:spacing w:val="-4"/>
              </w:rPr>
              <w:t>byla zrušena</w:t>
            </w:r>
            <w:r w:rsidRPr="00E92521">
              <w:rPr>
                <w:spacing w:val="-4"/>
              </w:rPr>
              <w:t>.</w:t>
            </w:r>
            <w:r>
              <w:rPr>
                <w:spacing w:val="-4"/>
              </w:rPr>
              <w:t xml:space="preserve"> Souhrnné celostátní inkaso daní (bez pojistného) se na úrovni všech veřejných rozpočtů v 1. až 3.</w:t>
            </w:r>
            <w:r w:rsidRPr="00E92521">
              <w:rPr>
                <w:spacing w:val="-4"/>
              </w:rPr>
              <w:t> </w:t>
            </w:r>
            <w:r>
              <w:rPr>
                <w:spacing w:val="-4"/>
              </w:rPr>
              <w:t>čtvrtletí meziročně snížilo o 7,8 %. K poklesu došlo naposledy ve shodném období roku 2009, tehdy ale byla jeho hloubka takřka dvojnásobná (–13,1 %).</w:t>
            </w:r>
            <w:r>
              <w:rPr>
                <w:spacing w:val="-2"/>
              </w:rPr>
              <w:t xml:space="preserve"> Redukce celkových příjmů SR byla tlumena sílícím přílivem prostředků z rozpočtu EU a finančních mechanismů, které byly meziročně vyšší téměř o</w:t>
            </w:r>
            <w:r>
              <w:rPr>
                <w:spacing w:val="-4"/>
              </w:rPr>
              <w:t> </w:t>
            </w:r>
            <w:r>
              <w:rPr>
                <w:spacing w:val="-2"/>
              </w:rPr>
              <w:t>čtvrtinu (resp. 19 mld. korun). Podobně jako vloni, byť v mírně nižším objemu, podpořil příjmy SR převod prostředků z privatizačního účtu (+13 mld. korun).</w:t>
            </w:r>
          </w:p>
        </w:tc>
      </w:tr>
      <w:tr w:rsidR="000663F0" w:rsidRPr="003C07E6" w14:paraId="26B5886A" w14:textId="77777777" w:rsidTr="00361FB7">
        <w:trPr>
          <w:trHeight w:val="145"/>
        </w:trPr>
        <w:tc>
          <w:tcPr>
            <w:tcW w:w="1732" w:type="dxa"/>
            <w:shd w:val="clear" w:color="auto" w:fill="auto"/>
            <w:tcMar>
              <w:left w:w="0" w:type="dxa"/>
            </w:tcMar>
          </w:tcPr>
          <w:p w14:paraId="22B06CDF" w14:textId="77777777" w:rsidR="000663F0" w:rsidRDefault="000663F0" w:rsidP="00361FB7">
            <w:pPr>
              <w:pStyle w:val="Marginlie"/>
            </w:pPr>
            <w:r>
              <w:t>Celostátní výběr daně z příjmů právnických osob byl nejslabší za posledních pět let.</w:t>
            </w:r>
          </w:p>
        </w:tc>
        <w:tc>
          <w:tcPr>
            <w:tcW w:w="217" w:type="dxa"/>
            <w:shd w:val="clear" w:color="auto" w:fill="auto"/>
            <w:tcMar>
              <w:left w:w="0" w:type="dxa"/>
            </w:tcMar>
          </w:tcPr>
          <w:p w14:paraId="654D5CF5" w14:textId="77777777" w:rsidR="000663F0" w:rsidRDefault="000663F0" w:rsidP="00361FB7">
            <w:pPr>
              <w:pStyle w:val="Textpoznpodarou"/>
              <w:jc w:val="both"/>
              <w:rPr>
                <w:spacing w:val="-4"/>
              </w:rPr>
            </w:pPr>
          </w:p>
        </w:tc>
        <w:tc>
          <w:tcPr>
            <w:tcW w:w="7720" w:type="dxa"/>
            <w:shd w:val="clear" w:color="auto" w:fill="auto"/>
            <w:tcMar>
              <w:left w:w="0" w:type="dxa"/>
            </w:tcMar>
          </w:tcPr>
          <w:p w14:paraId="63F41AD0" w14:textId="77777777" w:rsidR="000663F0" w:rsidRPr="006A0205" w:rsidRDefault="000663F0" w:rsidP="00361FB7">
            <w:pPr>
              <w:spacing w:after="200"/>
              <w:rPr>
                <w:spacing w:val="-3"/>
              </w:rPr>
            </w:pPr>
            <w:r w:rsidRPr="00835DD5">
              <w:rPr>
                <w:spacing w:val="-3"/>
              </w:rPr>
              <w:t>K</w:t>
            </w:r>
            <w:r>
              <w:rPr>
                <w:spacing w:val="-3"/>
              </w:rPr>
              <w:t> poklesu</w:t>
            </w:r>
            <w:r w:rsidRPr="00835DD5">
              <w:rPr>
                <w:spacing w:val="-3"/>
              </w:rPr>
              <w:t xml:space="preserve"> daňových příjmů SR </w:t>
            </w:r>
            <w:r>
              <w:rPr>
                <w:spacing w:val="-3"/>
              </w:rPr>
              <w:t xml:space="preserve">za tři čtvrtletí </w:t>
            </w:r>
            <w:r w:rsidRPr="00835DD5">
              <w:rPr>
                <w:spacing w:val="-3"/>
              </w:rPr>
              <w:t>nejvíce přispěl výběr korporátní daně, jenž byl meziročně o</w:t>
            </w:r>
            <w:r>
              <w:rPr>
                <w:spacing w:val="-3"/>
              </w:rPr>
              <w:t xml:space="preserve"> pětinu </w:t>
            </w:r>
            <w:r w:rsidRPr="00835DD5">
              <w:rPr>
                <w:spacing w:val="-3"/>
              </w:rPr>
              <w:t>nižší</w:t>
            </w:r>
            <w:r>
              <w:rPr>
                <w:spacing w:val="-3"/>
              </w:rPr>
              <w:t xml:space="preserve"> (resp. o 19,3 mld. korun). Celostátní inkaso této daně bylo nejslabší za posledních pět let. Vedle nižší ekonomické aktivity i klesající míry zisku podniků se projevil i vliv </w:t>
            </w:r>
            <w:r>
              <w:t xml:space="preserve">prominutí červnové zálohy na daň z příjmů právnických osob (dopad </w:t>
            </w:r>
            <w:r>
              <w:br/>
              <w:t>–13,5 mld.). Negativní vliv na výběr daně měla i další opatření na podporu podniků (možnost individuálního stanovení odlišných záloh daně, zpětné uplatnění daňové ztráty</w:t>
            </w:r>
            <w:r>
              <w:rPr>
                <w:rStyle w:val="Znakapoznpodarou"/>
              </w:rPr>
              <w:footnoteReference w:id="4"/>
            </w:r>
            <w:r>
              <w:t>) s negativním dopadem na SR ve výši 5,1 mld. korun.</w:t>
            </w:r>
          </w:p>
        </w:tc>
      </w:tr>
      <w:tr w:rsidR="000663F0" w:rsidRPr="003C07E6" w14:paraId="6684338C" w14:textId="77777777" w:rsidTr="00361FB7">
        <w:trPr>
          <w:trHeight w:val="145"/>
        </w:trPr>
        <w:tc>
          <w:tcPr>
            <w:tcW w:w="1732" w:type="dxa"/>
            <w:shd w:val="clear" w:color="auto" w:fill="auto"/>
            <w:tcMar>
              <w:left w:w="0" w:type="dxa"/>
            </w:tcMar>
          </w:tcPr>
          <w:p w14:paraId="1D3EFEBC" w14:textId="77777777" w:rsidR="000663F0" w:rsidRDefault="000663F0" w:rsidP="00361FB7">
            <w:pPr>
              <w:pStyle w:val="Marginlie"/>
            </w:pPr>
            <w:r>
              <w:t>Silný pokles výběru daně z příjmu fyzických osob byl zásadně ovlivněn vyplacenými kompenzačními bonusy, prominutím části záloh daně či možností jejich snížení.</w:t>
            </w:r>
          </w:p>
        </w:tc>
        <w:tc>
          <w:tcPr>
            <w:tcW w:w="217" w:type="dxa"/>
            <w:shd w:val="clear" w:color="auto" w:fill="auto"/>
            <w:tcMar>
              <w:left w:w="0" w:type="dxa"/>
            </w:tcMar>
          </w:tcPr>
          <w:p w14:paraId="14BF3CEE" w14:textId="77777777" w:rsidR="000663F0" w:rsidRDefault="000663F0" w:rsidP="00361FB7">
            <w:pPr>
              <w:pStyle w:val="Textpoznpodarou"/>
              <w:jc w:val="both"/>
              <w:rPr>
                <w:spacing w:val="-4"/>
              </w:rPr>
            </w:pPr>
          </w:p>
        </w:tc>
        <w:tc>
          <w:tcPr>
            <w:tcW w:w="7720" w:type="dxa"/>
            <w:shd w:val="clear" w:color="auto" w:fill="auto"/>
            <w:tcMar>
              <w:left w:w="0" w:type="dxa"/>
            </w:tcMar>
          </w:tcPr>
          <w:p w14:paraId="079126A5" w14:textId="77777777" w:rsidR="000663F0" w:rsidRPr="00333835" w:rsidRDefault="000663F0" w:rsidP="00361FB7">
            <w:pPr>
              <w:spacing w:after="200"/>
              <w:rPr>
                <w:spacing w:val="-2"/>
              </w:rPr>
            </w:pPr>
            <w:r>
              <w:rPr>
                <w:spacing w:val="-3"/>
              </w:rPr>
              <w:t>Na dani z příjmu fyzických osob (FO) placené plátci získal SR meziročně o 8,7 % (resp. 9 mld. korun) méně. Obdobným tempem se snížilo i celostátní inkaso této daně, a překonalo tak dosud nejhlubší pokles v současném miléniu</w:t>
            </w:r>
            <w:r>
              <w:rPr>
                <w:rStyle w:val="Znakapoznpodarou"/>
                <w:spacing w:val="-3"/>
              </w:rPr>
              <w:footnoteReference w:id="5"/>
            </w:r>
            <w:r>
              <w:rPr>
                <w:spacing w:val="-3"/>
              </w:rPr>
              <w:t>. Nižší příjem z této daně byl zásadně ovlivněn přímou podporou formou vyplácení kompenzačních bonusů zejména OSVČ (ve výši 14,5 mld. korun</w:t>
            </w:r>
            <w:r>
              <w:rPr>
                <w:rStyle w:val="Znakapoznpodarou"/>
                <w:spacing w:val="-3"/>
              </w:rPr>
              <w:footnoteReference w:id="6"/>
            </w:r>
            <w:r>
              <w:rPr>
                <w:spacing w:val="-3"/>
              </w:rPr>
              <w:t xml:space="preserve">), projevil se rovněž vyšší počet </w:t>
            </w:r>
            <w:r w:rsidRPr="004A62DC">
              <w:t xml:space="preserve">osob pečujících </w:t>
            </w:r>
            <w:r>
              <w:t>o dítě v období uzavření škol, pokles zaměstnanosti i </w:t>
            </w:r>
            <w:r w:rsidRPr="004A62DC">
              <w:t xml:space="preserve">nižší dynamika růstu průměrných </w:t>
            </w:r>
            <w:r>
              <w:t xml:space="preserve">mezd v ekonomice. Stabilizace během 3. čtvrtletí 2020 se promítla růstem výběru výše uvedené daně (+3,9 %). Bezmála o pětinu klesl za tři čtvrtletí meziročně příjem SR z ostatních daní od FO. Zatímco inkaso daně vybírané srážkou stagnovalo, u daně </w:t>
            </w:r>
            <w:r>
              <w:lastRenderedPageBreak/>
              <w:t>placené</w:t>
            </w:r>
            <w:r w:rsidRPr="00B12AA9">
              <w:t xml:space="preserve"> poplatníky</w:t>
            </w:r>
            <w:r>
              <w:t xml:space="preserve"> došlo k poklesu o 3 mld. korun (zejména vlivem prominutí části záloh daně, popřípadě jejich snížením).</w:t>
            </w:r>
          </w:p>
        </w:tc>
      </w:tr>
      <w:tr w:rsidR="000663F0" w:rsidRPr="003C07E6" w14:paraId="06B593D7" w14:textId="77777777" w:rsidTr="00361FB7">
        <w:trPr>
          <w:trHeight w:val="145"/>
        </w:trPr>
        <w:tc>
          <w:tcPr>
            <w:tcW w:w="1732" w:type="dxa"/>
            <w:shd w:val="clear" w:color="auto" w:fill="auto"/>
            <w:tcMar>
              <w:left w:w="0" w:type="dxa"/>
            </w:tcMar>
          </w:tcPr>
          <w:p w14:paraId="78BA771E" w14:textId="77777777" w:rsidR="000663F0" w:rsidRPr="001D644C" w:rsidRDefault="000663F0" w:rsidP="00361FB7">
            <w:pPr>
              <w:pStyle w:val="Marginlie"/>
              <w:rPr>
                <w:spacing w:val="-4"/>
              </w:rPr>
            </w:pPr>
            <w:r>
              <w:lastRenderedPageBreak/>
              <w:t xml:space="preserve">Inkaso DPH bylo </w:t>
            </w:r>
            <w:r w:rsidRPr="001D644C">
              <w:rPr>
                <w:spacing w:val="-4"/>
              </w:rPr>
              <w:t>ovlivněno jarním propadem maloobchodních tržeb. Ve 3.</w:t>
            </w:r>
            <w:r>
              <w:rPr>
                <w:spacing w:val="-4"/>
              </w:rPr>
              <w:t> čtvrtlet</w:t>
            </w:r>
            <w:r w:rsidRPr="001D644C">
              <w:rPr>
                <w:spacing w:val="-4"/>
              </w:rPr>
              <w:t xml:space="preserve">í </w:t>
            </w:r>
            <w:r>
              <w:rPr>
                <w:spacing w:val="-4"/>
              </w:rPr>
              <w:t xml:space="preserve">ale </w:t>
            </w:r>
            <w:r w:rsidRPr="001D644C">
              <w:rPr>
                <w:spacing w:val="-4"/>
              </w:rPr>
              <w:t>výběr mírně rostl.</w:t>
            </w:r>
          </w:p>
          <w:p w14:paraId="2478C45E" w14:textId="77777777" w:rsidR="000663F0" w:rsidRPr="001D644C" w:rsidRDefault="000663F0" w:rsidP="00361FB7">
            <w:pPr>
              <w:pStyle w:val="Marginlie"/>
              <w:rPr>
                <w:spacing w:val="-4"/>
              </w:rPr>
            </w:pPr>
          </w:p>
          <w:p w14:paraId="48121766" w14:textId="77777777" w:rsidR="000663F0" w:rsidRPr="001D644C" w:rsidRDefault="000663F0" w:rsidP="00361FB7">
            <w:pPr>
              <w:pStyle w:val="Marginlie"/>
              <w:rPr>
                <w:spacing w:val="-4"/>
              </w:rPr>
            </w:pPr>
          </w:p>
          <w:p w14:paraId="7918884E" w14:textId="77777777" w:rsidR="000663F0" w:rsidRPr="001D644C" w:rsidRDefault="000663F0" w:rsidP="00361FB7">
            <w:pPr>
              <w:pStyle w:val="Marginlie"/>
              <w:rPr>
                <w:spacing w:val="-4"/>
              </w:rPr>
            </w:pPr>
          </w:p>
          <w:p w14:paraId="3D3219E3" w14:textId="77777777" w:rsidR="000663F0" w:rsidRPr="00560761" w:rsidRDefault="000663F0" w:rsidP="00361FB7">
            <w:pPr>
              <w:pStyle w:val="Marginlie"/>
              <w:rPr>
                <w:spacing w:val="-4"/>
              </w:rPr>
            </w:pPr>
            <w:r w:rsidRPr="001D644C">
              <w:rPr>
                <w:spacing w:val="-4"/>
              </w:rPr>
              <w:t>Nižší přepravní výkony i pokračující útlum příjezdového cestovního ruchu poznamenaly výběr daně z minerálních olejů i</w:t>
            </w:r>
            <w:r>
              <w:rPr>
                <w:spacing w:val="-4"/>
              </w:rPr>
              <w:t> </w:t>
            </w:r>
            <w:r w:rsidRPr="001D644C">
              <w:rPr>
                <w:spacing w:val="-4"/>
              </w:rPr>
              <w:t>alkoholických produktů.</w:t>
            </w:r>
          </w:p>
        </w:tc>
        <w:tc>
          <w:tcPr>
            <w:tcW w:w="217" w:type="dxa"/>
            <w:shd w:val="clear" w:color="auto" w:fill="auto"/>
            <w:tcMar>
              <w:left w:w="0" w:type="dxa"/>
            </w:tcMar>
          </w:tcPr>
          <w:p w14:paraId="4617F58D" w14:textId="77777777" w:rsidR="000663F0" w:rsidRDefault="000663F0" w:rsidP="00361FB7">
            <w:pPr>
              <w:pStyle w:val="Textpoznpodarou"/>
              <w:jc w:val="both"/>
              <w:rPr>
                <w:spacing w:val="-4"/>
              </w:rPr>
            </w:pPr>
          </w:p>
        </w:tc>
        <w:tc>
          <w:tcPr>
            <w:tcW w:w="7720" w:type="dxa"/>
            <w:shd w:val="clear" w:color="auto" w:fill="auto"/>
            <w:tcMar>
              <w:left w:w="0" w:type="dxa"/>
            </w:tcMar>
          </w:tcPr>
          <w:p w14:paraId="20340521" w14:textId="77777777" w:rsidR="000663F0" w:rsidRDefault="000663F0" w:rsidP="00361FB7">
            <w:pPr>
              <w:spacing w:after="200"/>
              <w:rPr>
                <w:spacing w:val="-3"/>
              </w:rPr>
            </w:pPr>
            <w:r>
              <w:rPr>
                <w:spacing w:val="-3"/>
              </w:rPr>
              <w:t xml:space="preserve">Vliv </w:t>
            </w:r>
            <w:r w:rsidRPr="00E9550D">
              <w:rPr>
                <w:color w:val="0D0D0D" w:themeColor="text1" w:themeTint="F2"/>
                <w:spacing w:val="-3"/>
              </w:rPr>
              <w:t xml:space="preserve">nepřímých daní </w:t>
            </w:r>
            <w:r>
              <w:rPr>
                <w:spacing w:val="-3"/>
              </w:rPr>
              <w:t xml:space="preserve">na pokles celkového inkasa SR byl řádově menší. </w:t>
            </w:r>
            <w:r>
              <w:rPr>
                <w:spacing w:val="-2"/>
              </w:rPr>
              <w:t>Z </w:t>
            </w:r>
            <w:r>
              <w:rPr>
                <w:spacing w:val="-6"/>
              </w:rPr>
              <w:t>váhově dominantní daně – DPH – plynulo v 1. až 3. čtvrtletí do SR meziročně o 1,8 % (resp. o 3,7 mld. korun) méně. K poklesu výběru daně došlo letos poprvé za posledních osm let. Přispěl k tomu vývoj ve 2. čtvrtletí 2020, kdy inkaso meziročně kleslo o šestinu, naopak v 1. i 3. čtvrtletí byl zaznamenán shodně 6% růst</w:t>
            </w:r>
            <w:r>
              <w:rPr>
                <w:rStyle w:val="Znakapoznpodarou"/>
                <w:spacing w:val="-6"/>
              </w:rPr>
              <w:footnoteReference w:id="7"/>
            </w:r>
            <w:r>
              <w:rPr>
                <w:spacing w:val="-6"/>
              </w:rPr>
              <w:t xml:space="preserve">. </w:t>
            </w:r>
            <w:r w:rsidRPr="00ED3827">
              <w:rPr>
                <w:spacing w:val="-4"/>
              </w:rPr>
              <w:t>Celkové inkaso</w:t>
            </w:r>
            <w:r>
              <w:rPr>
                <w:spacing w:val="-4"/>
              </w:rPr>
              <w:t xml:space="preserve"> </w:t>
            </w:r>
            <w:r w:rsidRPr="00ED3827">
              <w:rPr>
                <w:spacing w:val="-4"/>
              </w:rPr>
              <w:t xml:space="preserve">SR </w:t>
            </w:r>
            <w:r w:rsidRPr="00ED3827">
              <w:rPr>
                <w:color w:val="0D0D0D" w:themeColor="text1" w:themeTint="F2"/>
                <w:spacing w:val="-4"/>
              </w:rPr>
              <w:t>ze spotřebních daní</w:t>
            </w:r>
            <w:r>
              <w:rPr>
                <w:color w:val="0D0D0D" w:themeColor="text1" w:themeTint="F2"/>
                <w:spacing w:val="-4"/>
              </w:rPr>
              <w:t xml:space="preserve"> (včetně energetických daní) se v 1. až 3. čtvrtletí snížilo o 2,3 % (resp. o 2,6 mld. korun). </w:t>
            </w:r>
            <w:r w:rsidRPr="00ED3827">
              <w:rPr>
                <w:spacing w:val="-4"/>
              </w:rPr>
              <w:t xml:space="preserve">Projevil se zejména výpadek inkasa </w:t>
            </w:r>
            <w:r>
              <w:rPr>
                <w:spacing w:val="-4"/>
              </w:rPr>
              <w:t>klíčové daně z minerálních olejů (–9,2 %</w:t>
            </w:r>
            <w:r w:rsidRPr="00ED3827">
              <w:rPr>
                <w:spacing w:val="-4"/>
              </w:rPr>
              <w:t>)</w:t>
            </w:r>
            <w:r>
              <w:rPr>
                <w:spacing w:val="-4"/>
              </w:rPr>
              <w:t xml:space="preserve"> vlivem citelné redukce pře</w:t>
            </w:r>
            <w:r w:rsidRPr="00ED3827">
              <w:rPr>
                <w:spacing w:val="-4"/>
              </w:rPr>
              <w:t>pravních výkonů (v</w:t>
            </w:r>
            <w:r>
              <w:rPr>
                <w:spacing w:val="-4"/>
              </w:rPr>
              <w:t xml:space="preserve">četně </w:t>
            </w:r>
            <w:r w:rsidRPr="00ED3827">
              <w:rPr>
                <w:spacing w:val="-4"/>
              </w:rPr>
              <w:t>tranzitní dopravy). Z podrobnějších údajů ČSÚ o spotřebě ro</w:t>
            </w:r>
            <w:r>
              <w:rPr>
                <w:spacing w:val="-4"/>
              </w:rPr>
              <w:t>pných produktů vyplývá, že pokles pokračoval i v letních měsících</w:t>
            </w:r>
            <w:r w:rsidRPr="00ED3827">
              <w:rPr>
                <w:rStyle w:val="Znakapoznpodarou"/>
                <w:spacing w:val="-4"/>
              </w:rPr>
              <w:footnoteReference w:id="8"/>
            </w:r>
            <w:r w:rsidRPr="00ED3827">
              <w:rPr>
                <w:spacing w:val="-4"/>
              </w:rPr>
              <w:t>.</w:t>
            </w:r>
            <w:r>
              <w:rPr>
                <w:spacing w:val="-4"/>
              </w:rPr>
              <w:t xml:space="preserve"> Uzavření pohostinských zařízení v jarních měsících, stejně jako utlumený příjezdový cestovní ruch pokračující i v letním období se podepsaly na mírném poklesu výběru daně z alkoholických produktů (pivo, líh). Inkaso daně z tabákových výrobků výhradně vlivem zvýšení sazby daně od počátku roku naopak rostlo (+8,0 %), zůstalo však za rozpočtovým očekáváním </w:t>
            </w:r>
            <w:r w:rsidRPr="00ED3827">
              <w:rPr>
                <w:spacing w:val="-4"/>
              </w:rPr>
              <w:t>(mj.</w:t>
            </w:r>
            <w:r>
              <w:rPr>
                <w:spacing w:val="-4"/>
              </w:rPr>
              <w:t> </w:t>
            </w:r>
            <w:r w:rsidRPr="00ED3827">
              <w:rPr>
                <w:spacing w:val="-4"/>
              </w:rPr>
              <w:t>i</w:t>
            </w:r>
            <w:r>
              <w:rPr>
                <w:spacing w:val="-4"/>
              </w:rPr>
              <w:t> vinou</w:t>
            </w:r>
            <w:r w:rsidRPr="00ED3827">
              <w:rPr>
                <w:spacing w:val="-4"/>
              </w:rPr>
              <w:t xml:space="preserve"> útlumu přeshraničních nákupů z Německa a</w:t>
            </w:r>
            <w:r>
              <w:rPr>
                <w:spacing w:val="-4"/>
              </w:rPr>
              <w:t> </w:t>
            </w:r>
            <w:r w:rsidRPr="00ED3827">
              <w:rPr>
                <w:spacing w:val="-4"/>
              </w:rPr>
              <w:t>Rakouska).</w:t>
            </w:r>
          </w:p>
        </w:tc>
      </w:tr>
      <w:tr w:rsidR="000663F0" w:rsidRPr="00F704D2" w14:paraId="75D08F5D" w14:textId="77777777" w:rsidTr="00361FB7">
        <w:trPr>
          <w:trHeight w:val="170"/>
        </w:trPr>
        <w:tc>
          <w:tcPr>
            <w:tcW w:w="1732" w:type="dxa"/>
            <w:vMerge w:val="restart"/>
            <w:shd w:val="clear" w:color="auto" w:fill="auto"/>
            <w:tcMar>
              <w:left w:w="0" w:type="dxa"/>
            </w:tcMar>
          </w:tcPr>
          <w:p w14:paraId="7EF55234" w14:textId="77777777" w:rsidR="000663F0" w:rsidRDefault="000663F0" w:rsidP="00361FB7">
            <w:pPr>
              <w:pStyle w:val="Marginlie"/>
            </w:pPr>
          </w:p>
        </w:tc>
        <w:tc>
          <w:tcPr>
            <w:tcW w:w="217" w:type="dxa"/>
            <w:vMerge w:val="restart"/>
            <w:shd w:val="clear" w:color="auto" w:fill="auto"/>
            <w:tcMar>
              <w:left w:w="0" w:type="dxa"/>
            </w:tcMar>
          </w:tcPr>
          <w:p w14:paraId="245F9073" w14:textId="77777777" w:rsidR="000663F0" w:rsidRDefault="000663F0" w:rsidP="00361FB7">
            <w:pPr>
              <w:pStyle w:val="Textpoznpodarou"/>
              <w:jc w:val="both"/>
              <w:rPr>
                <w:spacing w:val="-4"/>
              </w:rPr>
            </w:pPr>
          </w:p>
        </w:tc>
        <w:tc>
          <w:tcPr>
            <w:tcW w:w="7720" w:type="dxa"/>
            <w:shd w:val="clear" w:color="auto" w:fill="auto"/>
            <w:tcMar>
              <w:left w:w="0" w:type="dxa"/>
            </w:tcMar>
          </w:tcPr>
          <w:p w14:paraId="0135537D" w14:textId="77777777" w:rsidR="000663F0" w:rsidRPr="00B80CE9" w:rsidRDefault="000663F0" w:rsidP="00361FB7">
            <w:pPr>
              <w:spacing w:after="0" w:line="240" w:lineRule="auto"/>
              <w:rPr>
                <w:rFonts w:cs="Arial"/>
                <w:bCs/>
              </w:rPr>
            </w:pPr>
            <w:r w:rsidRPr="00B80CE9">
              <w:rPr>
                <w:rFonts w:cs="Arial"/>
                <w:b/>
                <w:bCs/>
                <w:color w:val="000000"/>
                <w:szCs w:val="20"/>
              </w:rPr>
              <w:t>Graf č. 16</w:t>
            </w:r>
            <w:r w:rsidRPr="00B80CE9">
              <w:rPr>
                <w:rFonts w:cs="Arial"/>
                <w:b/>
                <w:bCs/>
                <w:color w:val="000000"/>
                <w:sz w:val="18"/>
                <w:szCs w:val="18"/>
              </w:rPr>
              <w:t xml:space="preserve">  </w:t>
            </w:r>
            <w:r w:rsidRPr="00B80CE9">
              <w:rPr>
                <w:rFonts w:cs="Arial"/>
                <w:b/>
                <w:bCs/>
              </w:rPr>
              <w:t xml:space="preserve">Celostátní inkasa vybraných daňových příjmů </w:t>
            </w:r>
            <w:r w:rsidRPr="00B80CE9">
              <w:rPr>
                <w:rFonts w:cs="Arial"/>
                <w:bCs/>
              </w:rPr>
              <w:t>(</w:t>
            </w:r>
            <w:r w:rsidRPr="00B80CE9">
              <w:t>meziročně</w:t>
            </w:r>
            <w:r w:rsidRPr="00B80CE9">
              <w:rPr>
                <w:bCs/>
              </w:rPr>
              <w:t xml:space="preserve"> v %)</w:t>
            </w:r>
            <w:r w:rsidRPr="00B80CE9">
              <w:rPr>
                <w:bCs/>
              </w:rPr>
              <w:br/>
            </w:r>
            <w:r w:rsidRPr="00B80CE9">
              <w:rPr>
                <w:rFonts w:cs="Arial"/>
                <w:b/>
                <w:bCs/>
              </w:rPr>
              <w:t>a saldo státního rozpočtu</w:t>
            </w:r>
            <w:r w:rsidRPr="00B80CE9">
              <w:t xml:space="preserve"> </w:t>
            </w:r>
            <w:r>
              <w:rPr>
                <w:rFonts w:cs="Arial"/>
                <w:bCs/>
              </w:rPr>
              <w:t>(v mld. korun, pravá osa</w:t>
            </w:r>
            <w:r w:rsidRPr="00B80CE9">
              <w:rPr>
                <w:rFonts w:cs="Arial"/>
                <w:bCs/>
              </w:rPr>
              <w:t>)</w:t>
            </w:r>
            <w:r>
              <w:rPr>
                <w:rFonts w:cs="Arial"/>
                <w:bCs/>
              </w:rPr>
              <w:t xml:space="preserve"> </w:t>
            </w:r>
            <w:r>
              <w:rPr>
                <w:rFonts w:cs="Arial"/>
                <w:b/>
                <w:bCs/>
              </w:rPr>
              <w:t>v kumulaci za 1. až 3. čtvrtletí</w:t>
            </w:r>
          </w:p>
        </w:tc>
      </w:tr>
      <w:tr w:rsidR="000663F0" w14:paraId="35C5EDF9" w14:textId="77777777" w:rsidTr="00361FB7">
        <w:tblPrEx>
          <w:tblCellMar>
            <w:left w:w="70" w:type="dxa"/>
            <w:right w:w="70" w:type="dxa"/>
          </w:tblCellMar>
        </w:tblPrEx>
        <w:trPr>
          <w:trHeight w:val="170"/>
        </w:trPr>
        <w:tc>
          <w:tcPr>
            <w:tcW w:w="1732" w:type="dxa"/>
            <w:vMerge/>
            <w:shd w:val="clear" w:color="auto" w:fill="auto"/>
          </w:tcPr>
          <w:p w14:paraId="5D18E263" w14:textId="77777777" w:rsidR="000663F0" w:rsidRDefault="000663F0" w:rsidP="00361FB7">
            <w:pPr>
              <w:pStyle w:val="Marginlie"/>
            </w:pPr>
          </w:p>
        </w:tc>
        <w:tc>
          <w:tcPr>
            <w:tcW w:w="217" w:type="dxa"/>
            <w:vMerge/>
            <w:shd w:val="clear" w:color="auto" w:fill="auto"/>
          </w:tcPr>
          <w:p w14:paraId="1EB1E23C" w14:textId="77777777" w:rsidR="000663F0" w:rsidRDefault="000663F0" w:rsidP="00361FB7">
            <w:pPr>
              <w:pStyle w:val="Textpoznpodarou"/>
              <w:jc w:val="both"/>
              <w:rPr>
                <w:spacing w:val="-4"/>
              </w:rPr>
            </w:pPr>
          </w:p>
        </w:tc>
        <w:tc>
          <w:tcPr>
            <w:tcW w:w="7720" w:type="dxa"/>
            <w:shd w:val="clear" w:color="auto" w:fill="auto"/>
          </w:tcPr>
          <w:p w14:paraId="2940CB59" w14:textId="77777777" w:rsidR="000663F0" w:rsidRPr="0067514E" w:rsidRDefault="000663F0" w:rsidP="00361FB7">
            <w:pPr>
              <w:spacing w:after="0"/>
              <w:rPr>
                <w:spacing w:val="-6"/>
              </w:rPr>
            </w:pPr>
            <w:r>
              <w:rPr>
                <w:noProof/>
              </w:rPr>
              <w:drawing>
                <wp:inline distT="0" distB="0" distL="0" distR="0" wp14:anchorId="4CC0D9C0" wp14:editId="1D6E8826">
                  <wp:extent cx="4741545" cy="3528574"/>
                  <wp:effectExtent l="0" t="0" r="1905"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0663F0" w:rsidRPr="007B3A78" w14:paraId="36C2823D" w14:textId="77777777" w:rsidTr="00361FB7">
        <w:trPr>
          <w:trHeight w:val="170"/>
        </w:trPr>
        <w:tc>
          <w:tcPr>
            <w:tcW w:w="1732" w:type="dxa"/>
            <w:vMerge/>
            <w:shd w:val="clear" w:color="auto" w:fill="auto"/>
            <w:tcMar>
              <w:left w:w="0" w:type="dxa"/>
            </w:tcMar>
          </w:tcPr>
          <w:p w14:paraId="05473EBB" w14:textId="77777777" w:rsidR="000663F0" w:rsidRDefault="000663F0" w:rsidP="00361FB7">
            <w:pPr>
              <w:pStyle w:val="Marginlie"/>
            </w:pPr>
          </w:p>
        </w:tc>
        <w:tc>
          <w:tcPr>
            <w:tcW w:w="217" w:type="dxa"/>
            <w:vMerge/>
            <w:shd w:val="clear" w:color="auto" w:fill="auto"/>
            <w:tcMar>
              <w:left w:w="0" w:type="dxa"/>
            </w:tcMar>
          </w:tcPr>
          <w:p w14:paraId="193E342C" w14:textId="77777777" w:rsidR="000663F0" w:rsidRDefault="000663F0" w:rsidP="00361FB7">
            <w:pPr>
              <w:pStyle w:val="Textpoznpodarou"/>
              <w:jc w:val="both"/>
              <w:rPr>
                <w:spacing w:val="-4"/>
              </w:rPr>
            </w:pPr>
          </w:p>
        </w:tc>
        <w:tc>
          <w:tcPr>
            <w:tcW w:w="7720" w:type="dxa"/>
            <w:shd w:val="clear" w:color="auto" w:fill="auto"/>
            <w:tcMar>
              <w:left w:w="0" w:type="dxa"/>
            </w:tcMar>
          </w:tcPr>
          <w:p w14:paraId="02644438" w14:textId="77777777" w:rsidR="000663F0" w:rsidRDefault="000663F0" w:rsidP="00361FB7">
            <w:pPr>
              <w:spacing w:after="0" w:line="240" w:lineRule="auto"/>
              <w:jc w:val="left"/>
              <w:rPr>
                <w:spacing w:val="-2"/>
                <w:sz w:val="14"/>
                <w:szCs w:val="14"/>
              </w:rPr>
            </w:pPr>
            <w:r w:rsidRPr="00E52D45">
              <w:rPr>
                <w:spacing w:val="-2"/>
                <w:sz w:val="14"/>
                <w:szCs w:val="14"/>
              </w:rPr>
              <w:t>*Saldo očištěné o prostředky na programy a projekty z rozpočtu EU (vč</w:t>
            </w:r>
            <w:r>
              <w:rPr>
                <w:spacing w:val="-2"/>
                <w:sz w:val="14"/>
                <w:szCs w:val="14"/>
              </w:rPr>
              <w:t xml:space="preserve">etně </w:t>
            </w:r>
            <w:r w:rsidRPr="00E52D45">
              <w:rPr>
                <w:spacing w:val="-2"/>
                <w:sz w:val="14"/>
                <w:szCs w:val="14"/>
              </w:rPr>
              <w:t>finančních mechanismů), které byly předfinancovány ze SR a následně jsou propláceny z rozpočtů EU a FM. Údaje jsou k dispozici počín</w:t>
            </w:r>
            <w:r>
              <w:rPr>
                <w:spacing w:val="-2"/>
                <w:sz w:val="14"/>
                <w:szCs w:val="14"/>
              </w:rPr>
              <w:t>aje rokem 2013.</w:t>
            </w:r>
          </w:p>
          <w:p w14:paraId="5B99CFB7" w14:textId="77777777" w:rsidR="000663F0" w:rsidRPr="00E52D45" w:rsidRDefault="000663F0" w:rsidP="00361FB7">
            <w:pPr>
              <w:spacing w:after="200" w:line="240" w:lineRule="auto"/>
              <w:jc w:val="left"/>
              <w:rPr>
                <w:spacing w:val="-2"/>
                <w:sz w:val="14"/>
                <w:szCs w:val="14"/>
              </w:rPr>
            </w:pPr>
            <w:r w:rsidRPr="00E52D45">
              <w:rPr>
                <w:spacing w:val="-2"/>
                <w:sz w:val="14"/>
                <w:szCs w:val="14"/>
              </w:rPr>
              <w:t>Zdroj: MF ČR</w:t>
            </w:r>
          </w:p>
        </w:tc>
      </w:tr>
      <w:tr w:rsidR="000663F0" w:rsidRPr="008266F0" w14:paraId="127D5C48" w14:textId="77777777" w:rsidTr="00361FB7">
        <w:trPr>
          <w:trHeight w:val="145"/>
        </w:trPr>
        <w:tc>
          <w:tcPr>
            <w:tcW w:w="1732" w:type="dxa"/>
            <w:shd w:val="clear" w:color="auto" w:fill="auto"/>
            <w:tcMar>
              <w:left w:w="0" w:type="dxa"/>
            </w:tcMar>
          </w:tcPr>
          <w:p w14:paraId="5F0B3813" w14:textId="77777777" w:rsidR="000663F0" w:rsidRDefault="000663F0" w:rsidP="00361FB7">
            <w:pPr>
              <w:pStyle w:val="Marginlie"/>
            </w:pPr>
            <w:r>
              <w:t xml:space="preserve">Běžné výdaje SR rostly rekordním </w:t>
            </w:r>
            <w:proofErr w:type="gramStart"/>
            <w:r>
              <w:t>16%</w:t>
            </w:r>
            <w:proofErr w:type="gramEnd"/>
            <w:r>
              <w:t xml:space="preserve"> tempem. Polovina navýšení šla na vrub neplánovaných výdajů v souvislosti s pandemií covidu-19.</w:t>
            </w:r>
          </w:p>
          <w:p w14:paraId="4C73098B" w14:textId="77777777" w:rsidR="000663F0" w:rsidRDefault="000663F0" w:rsidP="00361FB7">
            <w:pPr>
              <w:pStyle w:val="Marginlie"/>
            </w:pPr>
          </w:p>
          <w:p w14:paraId="7441EEC3" w14:textId="77777777" w:rsidR="000663F0" w:rsidRDefault="000663F0" w:rsidP="00361FB7">
            <w:pPr>
              <w:pStyle w:val="Marginlie"/>
              <w:rPr>
                <w:spacing w:val="0"/>
              </w:rPr>
            </w:pPr>
            <w:r w:rsidRPr="00B63DED">
              <w:rPr>
                <w:spacing w:val="0"/>
              </w:rPr>
              <w:lastRenderedPageBreak/>
              <w:t xml:space="preserve">Běžné transfery podnikatelským subjektům vzrostly </w:t>
            </w:r>
            <w:r>
              <w:rPr>
                <w:spacing w:val="0"/>
              </w:rPr>
              <w:t>o</w:t>
            </w:r>
            <w:r>
              <w:t> </w:t>
            </w:r>
            <w:r>
              <w:rPr>
                <w:spacing w:val="0"/>
              </w:rPr>
              <w:t>78</w:t>
            </w:r>
            <w:r>
              <w:t> </w:t>
            </w:r>
            <w:r w:rsidRPr="00B63DED">
              <w:rPr>
                <w:spacing w:val="0"/>
              </w:rPr>
              <w:t>%.</w:t>
            </w:r>
          </w:p>
          <w:p w14:paraId="2071A3CE" w14:textId="77777777" w:rsidR="000663F0" w:rsidRDefault="000663F0" w:rsidP="00361FB7">
            <w:pPr>
              <w:pStyle w:val="Marginlie"/>
              <w:rPr>
                <w:spacing w:val="0"/>
              </w:rPr>
            </w:pPr>
          </w:p>
          <w:p w14:paraId="42A5DE24" w14:textId="77777777" w:rsidR="000663F0" w:rsidRDefault="000663F0" w:rsidP="00361FB7">
            <w:pPr>
              <w:pStyle w:val="Marginlie"/>
              <w:rPr>
                <w:spacing w:val="0"/>
              </w:rPr>
            </w:pPr>
          </w:p>
          <w:p w14:paraId="7047EFC7" w14:textId="77777777" w:rsidR="000663F0" w:rsidRDefault="000663F0" w:rsidP="00361FB7">
            <w:pPr>
              <w:pStyle w:val="Marginlie"/>
              <w:rPr>
                <w:spacing w:val="0"/>
              </w:rPr>
            </w:pPr>
          </w:p>
          <w:p w14:paraId="12C6AA4B" w14:textId="77777777" w:rsidR="000663F0" w:rsidRDefault="000663F0" w:rsidP="00361FB7">
            <w:pPr>
              <w:pStyle w:val="Marginlie"/>
              <w:rPr>
                <w:spacing w:val="0"/>
              </w:rPr>
            </w:pPr>
          </w:p>
          <w:p w14:paraId="6A7FC29B" w14:textId="77777777" w:rsidR="000663F0" w:rsidRDefault="000663F0" w:rsidP="00361FB7">
            <w:pPr>
              <w:pStyle w:val="Marginlie"/>
              <w:rPr>
                <w:spacing w:val="0"/>
              </w:rPr>
            </w:pPr>
          </w:p>
          <w:p w14:paraId="42599976" w14:textId="77777777" w:rsidR="000663F0" w:rsidRDefault="000663F0" w:rsidP="00361FB7">
            <w:pPr>
              <w:pStyle w:val="Marginlie"/>
              <w:rPr>
                <w:spacing w:val="0"/>
              </w:rPr>
            </w:pPr>
          </w:p>
          <w:p w14:paraId="026125F4" w14:textId="77777777" w:rsidR="000663F0" w:rsidRDefault="000663F0" w:rsidP="00361FB7">
            <w:pPr>
              <w:pStyle w:val="Marginlie"/>
              <w:rPr>
                <w:spacing w:val="0"/>
              </w:rPr>
            </w:pPr>
          </w:p>
          <w:p w14:paraId="63F9AC33" w14:textId="77777777" w:rsidR="000663F0" w:rsidRDefault="000663F0" w:rsidP="00361FB7">
            <w:pPr>
              <w:pStyle w:val="Marginlie"/>
              <w:rPr>
                <w:spacing w:val="0"/>
              </w:rPr>
            </w:pPr>
          </w:p>
          <w:p w14:paraId="7C5000F6" w14:textId="77777777" w:rsidR="000663F0" w:rsidRDefault="000663F0" w:rsidP="00361FB7">
            <w:pPr>
              <w:pStyle w:val="Marginlie"/>
              <w:rPr>
                <w:spacing w:val="0"/>
              </w:rPr>
            </w:pPr>
          </w:p>
          <w:p w14:paraId="2441C572" w14:textId="77777777" w:rsidR="000663F0" w:rsidRDefault="000663F0" w:rsidP="00361FB7">
            <w:pPr>
              <w:pStyle w:val="Marginlie"/>
              <w:rPr>
                <w:spacing w:val="0"/>
              </w:rPr>
            </w:pPr>
          </w:p>
          <w:p w14:paraId="0A40656F" w14:textId="77777777" w:rsidR="000663F0" w:rsidRPr="00B63DED" w:rsidRDefault="000663F0" w:rsidP="00361FB7">
            <w:pPr>
              <w:pStyle w:val="Marginlie"/>
              <w:rPr>
                <w:spacing w:val="0"/>
              </w:rPr>
            </w:pPr>
            <w:r>
              <w:rPr>
                <w:spacing w:val="0"/>
              </w:rPr>
              <w:t>Svižný růst výdajů na platy pokračoval zejména v oblasti vzdělávání a sociální péče.</w:t>
            </w:r>
          </w:p>
        </w:tc>
        <w:tc>
          <w:tcPr>
            <w:tcW w:w="217" w:type="dxa"/>
            <w:shd w:val="clear" w:color="auto" w:fill="auto"/>
            <w:tcMar>
              <w:left w:w="0" w:type="dxa"/>
            </w:tcMar>
          </w:tcPr>
          <w:p w14:paraId="637FFD95" w14:textId="77777777" w:rsidR="000663F0" w:rsidRDefault="000663F0" w:rsidP="00361FB7">
            <w:pPr>
              <w:pStyle w:val="Textpoznpodarou"/>
              <w:jc w:val="both"/>
              <w:rPr>
                <w:spacing w:val="-4"/>
              </w:rPr>
            </w:pPr>
          </w:p>
        </w:tc>
        <w:tc>
          <w:tcPr>
            <w:tcW w:w="7720" w:type="dxa"/>
            <w:shd w:val="clear" w:color="auto" w:fill="auto"/>
            <w:tcMar>
              <w:left w:w="0" w:type="dxa"/>
            </w:tcMar>
          </w:tcPr>
          <w:p w14:paraId="4030280D" w14:textId="77777777" w:rsidR="000663F0" w:rsidRPr="00251B78" w:rsidRDefault="000663F0" w:rsidP="00361FB7">
            <w:pPr>
              <w:spacing w:after="220"/>
              <w:rPr>
                <w:spacing w:val="-4"/>
              </w:rPr>
            </w:pPr>
            <w:r w:rsidRPr="00251B78">
              <w:rPr>
                <w:spacing w:val="-4"/>
              </w:rPr>
              <w:t>Celkové výdaje SR za tři čtvrtletí meziročně vzrostly o 16,6 %, resp. 187 mld. korun. Ani v samotném 3.</w:t>
            </w:r>
            <w:r>
              <w:rPr>
                <w:spacing w:val="-4"/>
              </w:rPr>
              <w:t> čtvrtlet</w:t>
            </w:r>
            <w:r w:rsidRPr="00251B78">
              <w:rPr>
                <w:spacing w:val="-4"/>
              </w:rPr>
              <w:t xml:space="preserve">í silné růstové </w:t>
            </w:r>
            <w:r>
              <w:rPr>
                <w:spacing w:val="-4"/>
              </w:rPr>
              <w:t>tempo výdajů výrazněji nepolevil</w:t>
            </w:r>
            <w:r w:rsidRPr="00251B78">
              <w:rPr>
                <w:spacing w:val="-4"/>
              </w:rPr>
              <w:t xml:space="preserve">o. Proti původně schválenému rozpočtu (z konce roku 2019) bylo dosažené tempo více než čtyřnásobné. K růstu přispěly hlavně běžné výdaje (+16,0 %, +166 mld.), celá polovina z jejich přírůstku </w:t>
            </w:r>
            <w:r w:rsidRPr="00251B78">
              <w:rPr>
                <w:spacing w:val="-4"/>
              </w:rPr>
              <w:lastRenderedPageBreak/>
              <w:t>šla na vrub výdajů spojených s </w:t>
            </w:r>
            <w:proofErr w:type="spellStart"/>
            <w:r w:rsidRPr="00251B78">
              <w:rPr>
                <w:spacing w:val="-4"/>
              </w:rPr>
              <w:t>protipandemickými</w:t>
            </w:r>
            <w:proofErr w:type="spellEnd"/>
            <w:r w:rsidRPr="00251B78">
              <w:rPr>
                <w:spacing w:val="-4"/>
              </w:rPr>
              <w:t xml:space="preserve"> opatřeními</w:t>
            </w:r>
            <w:r w:rsidRPr="00251B78">
              <w:rPr>
                <w:rStyle w:val="Znakapoznpodarou"/>
                <w:spacing w:val="-4"/>
              </w:rPr>
              <w:footnoteReference w:id="9"/>
            </w:r>
            <w:r w:rsidRPr="00251B78">
              <w:rPr>
                <w:spacing w:val="-4"/>
              </w:rPr>
              <w:t xml:space="preserve">. Letošní tempo růstu běžných výdajů bylo v současném miléniu </w:t>
            </w:r>
            <w:r>
              <w:rPr>
                <w:spacing w:val="-4"/>
              </w:rPr>
              <w:t xml:space="preserve">dosud </w:t>
            </w:r>
            <w:r w:rsidRPr="00251B78">
              <w:rPr>
                <w:spacing w:val="-4"/>
              </w:rPr>
              <w:t>nejvyšší, když překonalo rekor</w:t>
            </w:r>
            <w:r>
              <w:rPr>
                <w:spacing w:val="-4"/>
              </w:rPr>
              <w:t>dní hodnotu z </w:t>
            </w:r>
            <w:r w:rsidRPr="00251B78">
              <w:rPr>
                <w:spacing w:val="-4"/>
              </w:rPr>
              <w:t>roku</w:t>
            </w:r>
            <w:r>
              <w:rPr>
                <w:spacing w:val="-4"/>
              </w:rPr>
              <w:t xml:space="preserve"> 2019</w:t>
            </w:r>
            <w:r w:rsidRPr="00251B78">
              <w:rPr>
                <w:spacing w:val="-4"/>
              </w:rPr>
              <w:t xml:space="preserve"> (+9,8</w:t>
            </w:r>
            <w:r>
              <w:rPr>
                <w:spacing w:val="-4"/>
              </w:rPr>
              <w:t> %</w:t>
            </w:r>
            <w:r w:rsidRPr="00251B78">
              <w:rPr>
                <w:spacing w:val="-4"/>
              </w:rPr>
              <w:t>). Z běžných výdajů za tři čtvrtletí nejvíce akcelerovaly neinvestiční transfery podnikatelským subjektům (+78</w:t>
            </w:r>
            <w:r>
              <w:rPr>
                <w:spacing w:val="-4"/>
              </w:rPr>
              <w:t> %</w:t>
            </w:r>
            <w:r w:rsidRPr="00251B78">
              <w:rPr>
                <w:spacing w:val="-4"/>
              </w:rPr>
              <w:t xml:space="preserve">), v nichž se soustřeďovala významná část </w:t>
            </w:r>
            <w:proofErr w:type="spellStart"/>
            <w:r w:rsidRPr="00251B78">
              <w:rPr>
                <w:spacing w:val="-4"/>
              </w:rPr>
              <w:t>protipandemických</w:t>
            </w:r>
            <w:proofErr w:type="spellEnd"/>
            <w:r w:rsidRPr="00251B78">
              <w:rPr>
                <w:spacing w:val="-4"/>
              </w:rPr>
              <w:t xml:space="preserve"> podpůrných opatření (26</w:t>
            </w:r>
            <w:r>
              <w:rPr>
                <w:spacing w:val="-4"/>
              </w:rPr>
              <w:t> mld.</w:t>
            </w:r>
            <w:r w:rsidRPr="00251B78">
              <w:rPr>
                <w:spacing w:val="-4"/>
              </w:rPr>
              <w:t xml:space="preserve"> korun), zejména náhrada části mezd zaměstnanců v rámci programu Antivirus. Roli zde sehrály také vyšší výdaje na projekty operačního programu Podnikání a</w:t>
            </w:r>
            <w:r>
              <w:rPr>
                <w:spacing w:val="-4"/>
              </w:rPr>
              <w:t> </w:t>
            </w:r>
            <w:r w:rsidRPr="00251B78">
              <w:rPr>
                <w:spacing w:val="-4"/>
              </w:rPr>
              <w:t>inovace pro konkurenceschopnost (6</w:t>
            </w:r>
            <w:r>
              <w:rPr>
                <w:spacing w:val="-4"/>
              </w:rPr>
              <w:t> mld.</w:t>
            </w:r>
            <w:r w:rsidRPr="00251B78">
              <w:rPr>
                <w:spacing w:val="-4"/>
              </w:rPr>
              <w:t>). Silně posílily i</w:t>
            </w:r>
            <w:r>
              <w:rPr>
                <w:spacing w:val="-4"/>
              </w:rPr>
              <w:t> </w:t>
            </w:r>
            <w:r w:rsidRPr="00251B78">
              <w:rPr>
                <w:spacing w:val="-4"/>
              </w:rPr>
              <w:t>výdaje SR na neinvestiční transfery fondům sociálního a</w:t>
            </w:r>
            <w:r>
              <w:rPr>
                <w:spacing w:val="-4"/>
              </w:rPr>
              <w:t> </w:t>
            </w:r>
            <w:r w:rsidRPr="00251B78">
              <w:rPr>
                <w:spacing w:val="-4"/>
              </w:rPr>
              <w:t>veřejného zdravotního pojištění (28 %), zejména zásluhou vyšší</w:t>
            </w:r>
            <w:r>
              <w:rPr>
                <w:spacing w:val="-4"/>
              </w:rPr>
              <w:t>ch</w:t>
            </w:r>
            <w:r w:rsidRPr="00251B78">
              <w:rPr>
                <w:spacing w:val="-4"/>
              </w:rPr>
              <w:t xml:space="preserve"> plateb za tzv.</w:t>
            </w:r>
            <w:r>
              <w:rPr>
                <w:spacing w:val="-4"/>
              </w:rPr>
              <w:t> </w:t>
            </w:r>
            <w:r w:rsidRPr="00251B78">
              <w:rPr>
                <w:spacing w:val="-4"/>
              </w:rPr>
              <w:t xml:space="preserve">státní pojištěnce. </w:t>
            </w:r>
            <w:proofErr w:type="spellStart"/>
            <w:r w:rsidRPr="00251B78">
              <w:rPr>
                <w:spacing w:val="-4"/>
              </w:rPr>
              <w:t>Protipandemická</w:t>
            </w:r>
            <w:proofErr w:type="spellEnd"/>
            <w:r w:rsidRPr="00251B78">
              <w:rPr>
                <w:spacing w:val="-4"/>
              </w:rPr>
              <w:t xml:space="preserve"> opatření ovlivnila i</w:t>
            </w:r>
            <w:r>
              <w:rPr>
                <w:spacing w:val="-4"/>
              </w:rPr>
              <w:t> </w:t>
            </w:r>
            <w:r w:rsidRPr="00251B78">
              <w:rPr>
                <w:spacing w:val="-4"/>
              </w:rPr>
              <w:t>další výdaje. Téměř o</w:t>
            </w:r>
            <w:r>
              <w:rPr>
                <w:spacing w:val="-4"/>
              </w:rPr>
              <w:t> </w:t>
            </w:r>
            <w:r w:rsidRPr="00251B78">
              <w:rPr>
                <w:spacing w:val="-4"/>
              </w:rPr>
              <w:t>šestinu vzrostly jak běžné transfery příspěvkovým organizacím (primárně vlivem oddlužení vybraných nemocnic), tak transfery neziskovým organizacím (zčásti v důsledku posílení provozních výdajů na sociální služby). Posílení výdajů na neinvestiční nákupy (+17</w:t>
            </w:r>
            <w:r>
              <w:rPr>
                <w:spacing w:val="-4"/>
              </w:rPr>
              <w:t> %</w:t>
            </w:r>
            <w:r w:rsidRPr="00251B78">
              <w:rPr>
                <w:spacing w:val="-4"/>
              </w:rPr>
              <w:t>) z velké části odráželo nákup ochranných prostředků a</w:t>
            </w:r>
            <w:r>
              <w:rPr>
                <w:spacing w:val="-4"/>
              </w:rPr>
              <w:t xml:space="preserve"> výdaje </w:t>
            </w:r>
            <w:r w:rsidRPr="00251B78">
              <w:rPr>
                <w:spacing w:val="-4"/>
              </w:rPr>
              <w:t>související s</w:t>
            </w:r>
            <w:r>
              <w:rPr>
                <w:spacing w:val="-4"/>
              </w:rPr>
              <w:t> covidem</w:t>
            </w:r>
            <w:r w:rsidRPr="00251B78">
              <w:rPr>
                <w:spacing w:val="-4"/>
              </w:rPr>
              <w:t>-19 (9</w:t>
            </w:r>
            <w:r>
              <w:rPr>
                <w:spacing w:val="-4"/>
              </w:rPr>
              <w:t> mld.</w:t>
            </w:r>
            <w:r w:rsidRPr="00251B78">
              <w:rPr>
                <w:spacing w:val="-4"/>
              </w:rPr>
              <w:t xml:space="preserve"> korun). Na růstu objemově významných neinvestičních transferů územním rozpočtům (+23</w:t>
            </w:r>
            <w:r>
              <w:rPr>
                <w:spacing w:val="-4"/>
              </w:rPr>
              <w:t> %</w:t>
            </w:r>
            <w:r w:rsidRPr="00251B78">
              <w:rPr>
                <w:spacing w:val="-4"/>
              </w:rPr>
              <w:t>, resp. 35</w:t>
            </w:r>
            <w:r>
              <w:rPr>
                <w:spacing w:val="-4"/>
              </w:rPr>
              <w:t> mld.</w:t>
            </w:r>
            <w:r w:rsidRPr="00251B78">
              <w:rPr>
                <w:spacing w:val="-4"/>
              </w:rPr>
              <w:t xml:space="preserve"> korun) se významně podílel mimořádný srpnový příspěvek obcím na zmírnění dopadů poklesu daňových příjmů.</w:t>
            </w:r>
            <w:r>
              <w:rPr>
                <w:spacing w:val="-4"/>
              </w:rPr>
              <w:t xml:space="preserve"> Klíčové však bylo navýšení</w:t>
            </w:r>
            <w:r w:rsidRPr="00251B78">
              <w:rPr>
                <w:spacing w:val="-4"/>
              </w:rPr>
              <w:t xml:space="preserve"> výdajů na platy pracovníků základního a</w:t>
            </w:r>
            <w:r>
              <w:rPr>
                <w:spacing w:val="-4"/>
              </w:rPr>
              <w:t> </w:t>
            </w:r>
            <w:r w:rsidRPr="00251B78">
              <w:rPr>
                <w:spacing w:val="-4"/>
              </w:rPr>
              <w:t>středního školství (+17 mld.) a</w:t>
            </w:r>
            <w:r>
              <w:rPr>
                <w:spacing w:val="-4"/>
              </w:rPr>
              <w:t> </w:t>
            </w:r>
            <w:r w:rsidRPr="00251B78">
              <w:rPr>
                <w:spacing w:val="-4"/>
              </w:rPr>
              <w:t>v oblasti sociální péče. Výdaje na platy v ústředních orgánech státní správy byly vyšší o</w:t>
            </w:r>
            <w:r>
              <w:rPr>
                <w:spacing w:val="-4"/>
              </w:rPr>
              <w:t> </w:t>
            </w:r>
            <w:r w:rsidRPr="00251B78">
              <w:rPr>
                <w:spacing w:val="-4"/>
              </w:rPr>
              <w:t>5</w:t>
            </w:r>
            <w:r>
              <w:rPr>
                <w:spacing w:val="-4"/>
              </w:rPr>
              <w:t> %</w:t>
            </w:r>
            <w:r w:rsidRPr="00251B78">
              <w:rPr>
                <w:spacing w:val="-4"/>
              </w:rPr>
              <w:t>, necelá čtvrtina nárůstu souvisela s vyššími pracovními výkony ve vybraných oblastech (policie, armáda, hygienické stanice).</w:t>
            </w:r>
          </w:p>
        </w:tc>
      </w:tr>
      <w:tr w:rsidR="000663F0" w:rsidRPr="008266F0" w14:paraId="64E4DA99" w14:textId="77777777" w:rsidTr="00361FB7">
        <w:trPr>
          <w:trHeight w:val="145"/>
        </w:trPr>
        <w:tc>
          <w:tcPr>
            <w:tcW w:w="1732" w:type="dxa"/>
            <w:shd w:val="clear" w:color="auto" w:fill="auto"/>
            <w:tcMar>
              <w:left w:w="0" w:type="dxa"/>
            </w:tcMar>
          </w:tcPr>
          <w:p w14:paraId="6E49FCA9" w14:textId="77777777" w:rsidR="000663F0" w:rsidRDefault="000663F0" w:rsidP="00361FB7">
            <w:pPr>
              <w:pStyle w:val="Marginlie"/>
            </w:pPr>
            <w:r>
              <w:lastRenderedPageBreak/>
              <w:t>Tempo růstu výdajů na sociální dávky zrychlovalo, jejich podíl na všech výdajích SR ale dále klesal.</w:t>
            </w:r>
          </w:p>
          <w:p w14:paraId="276EDCAD" w14:textId="77777777" w:rsidR="000663F0" w:rsidRDefault="000663F0" w:rsidP="00361FB7">
            <w:pPr>
              <w:pStyle w:val="Marginlie"/>
            </w:pPr>
          </w:p>
          <w:p w14:paraId="6314A74C" w14:textId="77777777" w:rsidR="000663F0" w:rsidRDefault="000663F0" w:rsidP="00361FB7">
            <w:pPr>
              <w:pStyle w:val="Marginlie"/>
            </w:pPr>
          </w:p>
          <w:p w14:paraId="2A62EF45" w14:textId="77777777" w:rsidR="000663F0" w:rsidRDefault="000663F0" w:rsidP="00361FB7">
            <w:pPr>
              <w:pStyle w:val="Marginlie"/>
            </w:pPr>
          </w:p>
          <w:p w14:paraId="3081E9AF" w14:textId="77777777" w:rsidR="000663F0" w:rsidRDefault="000663F0" w:rsidP="00361FB7">
            <w:pPr>
              <w:pStyle w:val="Marginlie"/>
            </w:pPr>
            <w:r>
              <w:t>Nedůchodové sociální dávky táhl hlavně silný růst čerpání nemocenského pojištění i zákonné zvýšení rodičovského příspěvku.</w:t>
            </w:r>
          </w:p>
          <w:p w14:paraId="02EE9A39" w14:textId="77777777" w:rsidR="000663F0" w:rsidRDefault="000663F0" w:rsidP="00361FB7">
            <w:pPr>
              <w:pStyle w:val="Marginlie"/>
            </w:pPr>
          </w:p>
          <w:p w14:paraId="169F204D" w14:textId="77777777" w:rsidR="000663F0" w:rsidRDefault="000663F0" w:rsidP="00361FB7">
            <w:pPr>
              <w:pStyle w:val="Marginlie"/>
            </w:pPr>
          </w:p>
          <w:p w14:paraId="71A6E82A" w14:textId="77777777" w:rsidR="000663F0" w:rsidRDefault="000663F0" w:rsidP="00361FB7">
            <w:pPr>
              <w:pStyle w:val="Marginlie"/>
            </w:pPr>
          </w:p>
          <w:p w14:paraId="2B257AF6" w14:textId="77777777" w:rsidR="000663F0" w:rsidRDefault="000663F0" w:rsidP="00361FB7">
            <w:pPr>
              <w:pStyle w:val="Marginlie"/>
            </w:pPr>
            <w:r>
              <w:t>Dlouhodobější pokles vyplacených dávek hmotné nouze se zastavil.</w:t>
            </w:r>
          </w:p>
        </w:tc>
        <w:tc>
          <w:tcPr>
            <w:tcW w:w="217" w:type="dxa"/>
            <w:shd w:val="clear" w:color="auto" w:fill="auto"/>
            <w:tcMar>
              <w:left w:w="0" w:type="dxa"/>
            </w:tcMar>
          </w:tcPr>
          <w:p w14:paraId="57EAF1D4" w14:textId="77777777" w:rsidR="000663F0" w:rsidRDefault="000663F0" w:rsidP="00361FB7">
            <w:pPr>
              <w:pStyle w:val="Textpoznpodarou"/>
              <w:jc w:val="both"/>
              <w:rPr>
                <w:spacing w:val="-4"/>
              </w:rPr>
            </w:pPr>
          </w:p>
        </w:tc>
        <w:tc>
          <w:tcPr>
            <w:tcW w:w="7720" w:type="dxa"/>
            <w:shd w:val="clear" w:color="auto" w:fill="auto"/>
            <w:tcMar>
              <w:left w:w="0" w:type="dxa"/>
            </w:tcMar>
          </w:tcPr>
          <w:p w14:paraId="6B4C3046" w14:textId="77777777" w:rsidR="000663F0" w:rsidRPr="00251B78" w:rsidRDefault="000663F0" w:rsidP="00361FB7">
            <w:pPr>
              <w:spacing w:after="200"/>
              <w:rPr>
                <w:spacing w:val="-4"/>
              </w:rPr>
            </w:pPr>
            <w:r w:rsidRPr="00251B78">
              <w:rPr>
                <w:spacing w:val="-4"/>
              </w:rPr>
              <w:t>K</w:t>
            </w:r>
            <w:r>
              <w:rPr>
                <w:spacing w:val="-4"/>
              </w:rPr>
              <w:t> </w:t>
            </w:r>
            <w:r w:rsidRPr="00251B78">
              <w:rPr>
                <w:spacing w:val="-4"/>
              </w:rPr>
              <w:t>růstu běžných výdajů SR tradičně významně přispěly sociální dávky. Za tři čtvrtletí na ně SR vydal meziročně o</w:t>
            </w:r>
            <w:r>
              <w:rPr>
                <w:spacing w:val="-4"/>
              </w:rPr>
              <w:t> </w:t>
            </w:r>
            <w:r w:rsidRPr="00251B78">
              <w:rPr>
                <w:spacing w:val="-4"/>
              </w:rPr>
              <w:t>57</w:t>
            </w:r>
            <w:r>
              <w:rPr>
                <w:spacing w:val="-4"/>
              </w:rPr>
              <w:t> mld.</w:t>
            </w:r>
            <w:r w:rsidRPr="00251B78">
              <w:rPr>
                <w:spacing w:val="-4"/>
              </w:rPr>
              <w:t xml:space="preserve"> korun více. Přestože meziroční tempo výdajů na sociální dávky vzrostlo o 12,7 % a proti tempu z 1</w:t>
            </w:r>
            <w:r>
              <w:rPr>
                <w:spacing w:val="-4"/>
              </w:rPr>
              <w:t>. </w:t>
            </w:r>
            <w:r w:rsidRPr="00251B78">
              <w:rPr>
                <w:spacing w:val="-4"/>
              </w:rPr>
              <w:t>až 3.</w:t>
            </w:r>
            <w:r>
              <w:rPr>
                <w:spacing w:val="-4"/>
              </w:rPr>
              <w:t> čtvrtlet</w:t>
            </w:r>
            <w:r w:rsidRPr="00251B78">
              <w:rPr>
                <w:spacing w:val="-4"/>
              </w:rPr>
              <w:t>í roku 2019 zesílilo o více než polovinu, podíl dávek na všech výdajích SR klesl již čtvrtým rokem (na 38,6 %). Poprvé za posledních sedm let byl růst sociálních transferů tažen primárně nedůchodovými dávkami, které meziročně vzrostly téměř o třetinu (na 127,3 mld. korun). Nejvíce se projevil vliv akcelerace dávek nemocenského pojištění. Ty vzrostly takřka o</w:t>
            </w:r>
            <w:r>
              <w:rPr>
                <w:spacing w:val="-4"/>
              </w:rPr>
              <w:t> </w:t>
            </w:r>
            <w:r w:rsidRPr="00251B78">
              <w:rPr>
                <w:spacing w:val="-4"/>
              </w:rPr>
              <w:t>polovinu (na 43,2</w:t>
            </w:r>
            <w:r>
              <w:rPr>
                <w:spacing w:val="-4"/>
              </w:rPr>
              <w:t> mld.</w:t>
            </w:r>
            <w:r w:rsidRPr="00251B78">
              <w:rPr>
                <w:spacing w:val="-4"/>
              </w:rPr>
              <w:t xml:space="preserve"> korun)</w:t>
            </w:r>
            <w:r w:rsidRPr="00251B78">
              <w:rPr>
                <w:rStyle w:val="Znakapoznpodarou"/>
                <w:spacing w:val="-4"/>
              </w:rPr>
              <w:footnoteReference w:id="10"/>
            </w:r>
            <w:r w:rsidRPr="00251B78">
              <w:rPr>
                <w:spacing w:val="-4"/>
              </w:rPr>
              <w:t>. K růstu zde zhruba ze dvou třetin přispěla výplata ošetřovného poskytovaného z důvodu uzavření škol a jiných zařízení. Projevil se ale i nárůst celkové nemocnosti</w:t>
            </w:r>
            <w:r w:rsidRPr="00251B78">
              <w:rPr>
                <w:rStyle w:val="Znakapoznpodarou"/>
                <w:spacing w:val="-4"/>
              </w:rPr>
              <w:footnoteReference w:id="11"/>
            </w:r>
            <w:r w:rsidRPr="00251B78">
              <w:rPr>
                <w:spacing w:val="-4"/>
              </w:rPr>
              <w:t>, vyšší počet proplacených dnů vlivem zrušení karenční doby, mírně vyšší bylo i čerpání peněžité pomoci v mateřství. O</w:t>
            </w:r>
            <w:r>
              <w:rPr>
                <w:spacing w:val="-4"/>
              </w:rPr>
              <w:t> </w:t>
            </w:r>
            <w:r w:rsidRPr="00251B78">
              <w:rPr>
                <w:spacing w:val="-4"/>
              </w:rPr>
              <w:t>více než třetinu posílily výdaje na státní sociální podporu (na 38,7</w:t>
            </w:r>
            <w:r>
              <w:rPr>
                <w:spacing w:val="-4"/>
              </w:rPr>
              <w:t> mld.</w:t>
            </w:r>
            <w:r w:rsidRPr="00251B78">
              <w:rPr>
                <w:spacing w:val="-4"/>
              </w:rPr>
              <w:t xml:space="preserve"> korun), a</w:t>
            </w:r>
            <w:r>
              <w:rPr>
                <w:spacing w:val="-4"/>
              </w:rPr>
              <w:t> </w:t>
            </w:r>
            <w:r w:rsidRPr="00251B78">
              <w:rPr>
                <w:spacing w:val="-4"/>
              </w:rPr>
              <w:t>to takřka výhradně vlivem zákonného navýšení rodičovského příspěvku, neboť čerpání příjmově testovaných dávek (přídavky na děti, příspěvek na bydlení) dále kleslo. Došlo i ke zrychlení dlouhodobě rostoucího příspěvku na péči (o sedminu, resp. 3,1 mld.). Druhým rokem v řadě vydal stát více na podporách v nezaměstnanosti. Objem vyplacených dávek začal od počátku května 2020 výrazněji růst, v úhrnu od ledna do září vzrostl meziročně o</w:t>
            </w:r>
            <w:r>
              <w:rPr>
                <w:spacing w:val="-4"/>
              </w:rPr>
              <w:t> </w:t>
            </w:r>
            <w:r w:rsidRPr="00251B78">
              <w:rPr>
                <w:spacing w:val="-4"/>
              </w:rPr>
              <w:t>1,8</w:t>
            </w:r>
            <w:r>
              <w:rPr>
                <w:spacing w:val="-4"/>
              </w:rPr>
              <w:t> </w:t>
            </w:r>
            <w:r w:rsidRPr="00251B78">
              <w:rPr>
                <w:spacing w:val="-4"/>
              </w:rPr>
              <w:t>mld</w:t>
            </w:r>
            <w:r>
              <w:rPr>
                <w:spacing w:val="-4"/>
              </w:rPr>
              <w:t>.</w:t>
            </w:r>
            <w:r w:rsidRPr="00251B78">
              <w:rPr>
                <w:rStyle w:val="Znakapoznpodarou"/>
                <w:spacing w:val="-4"/>
              </w:rPr>
              <w:footnoteReference w:id="12"/>
            </w:r>
            <w:r w:rsidRPr="00251B78">
              <w:rPr>
                <w:spacing w:val="-4"/>
              </w:rPr>
              <w:t xml:space="preserve"> Vyšší přírůstek byl naposledy registrován v</w:t>
            </w:r>
            <w:r>
              <w:rPr>
                <w:spacing w:val="-4"/>
              </w:rPr>
              <w:t> </w:t>
            </w:r>
            <w:r w:rsidRPr="00251B78">
              <w:rPr>
                <w:spacing w:val="-4"/>
              </w:rPr>
              <w:t xml:space="preserve">roce 2009. Počínající </w:t>
            </w:r>
            <w:r w:rsidRPr="00251B78">
              <w:rPr>
                <w:spacing w:val="-6"/>
              </w:rPr>
              <w:t>zhoršování finanční situace domácností dokládá i</w:t>
            </w:r>
            <w:r>
              <w:rPr>
                <w:spacing w:val="-6"/>
              </w:rPr>
              <w:t> </w:t>
            </w:r>
            <w:r w:rsidRPr="00251B78">
              <w:rPr>
                <w:spacing w:val="-6"/>
              </w:rPr>
              <w:t>čerpání dávek hmotné nouze</w:t>
            </w:r>
            <w:r>
              <w:rPr>
                <w:spacing w:val="-6"/>
              </w:rPr>
              <w:t> </w:t>
            </w:r>
            <w:r w:rsidRPr="00251B78">
              <w:rPr>
                <w:spacing w:val="-6"/>
              </w:rPr>
              <w:t>– pět let trvající citelný pokles objemu dávek se letos zastavil (za tři čtvrtletí +4</w:t>
            </w:r>
            <w:r>
              <w:rPr>
                <w:spacing w:val="-6"/>
              </w:rPr>
              <w:t> %</w:t>
            </w:r>
            <w:r w:rsidRPr="00251B78">
              <w:rPr>
                <w:spacing w:val="-6"/>
              </w:rPr>
              <w:t>, ve 3.</w:t>
            </w:r>
            <w:r>
              <w:rPr>
                <w:spacing w:val="-6"/>
              </w:rPr>
              <w:t> čtvrtlet</w:t>
            </w:r>
            <w:r w:rsidRPr="00251B78">
              <w:rPr>
                <w:spacing w:val="-6"/>
              </w:rPr>
              <w:t>í +18</w:t>
            </w:r>
            <w:r>
              <w:rPr>
                <w:spacing w:val="-6"/>
              </w:rPr>
              <w:t> %</w:t>
            </w:r>
            <w:r w:rsidRPr="00251B78">
              <w:rPr>
                <w:spacing w:val="-6"/>
              </w:rPr>
              <w:t>).</w:t>
            </w:r>
          </w:p>
        </w:tc>
      </w:tr>
      <w:tr w:rsidR="000663F0" w:rsidRPr="008266F0" w14:paraId="0A93D762" w14:textId="77777777" w:rsidTr="00361FB7">
        <w:trPr>
          <w:trHeight w:val="145"/>
        </w:trPr>
        <w:tc>
          <w:tcPr>
            <w:tcW w:w="1732" w:type="dxa"/>
            <w:shd w:val="clear" w:color="auto" w:fill="auto"/>
            <w:tcMar>
              <w:left w:w="0" w:type="dxa"/>
            </w:tcMar>
          </w:tcPr>
          <w:p w14:paraId="3AA31273" w14:textId="77777777" w:rsidR="000663F0" w:rsidRDefault="000663F0" w:rsidP="00361FB7">
            <w:pPr>
              <w:pStyle w:val="Marginlie"/>
            </w:pPr>
            <w:r>
              <w:t>Výše vybraného pojistného na sociální zabezpečení meziročně propadla o rekordní 4,4 %.</w:t>
            </w:r>
          </w:p>
          <w:p w14:paraId="1D078AB7" w14:textId="77777777" w:rsidR="000663F0" w:rsidRDefault="000663F0" w:rsidP="00361FB7">
            <w:pPr>
              <w:pStyle w:val="Marginlie"/>
            </w:pPr>
          </w:p>
          <w:p w14:paraId="45614627" w14:textId="77777777" w:rsidR="000663F0" w:rsidRDefault="000663F0" w:rsidP="00361FB7">
            <w:pPr>
              <w:pStyle w:val="Marginlie"/>
            </w:pPr>
            <w:r>
              <w:t>Deficit důchodového účtu byl nejhlubší za posledních šest let.</w:t>
            </w:r>
          </w:p>
          <w:p w14:paraId="3FCD1E6F" w14:textId="77777777" w:rsidR="000663F0" w:rsidRDefault="000663F0" w:rsidP="00361FB7">
            <w:pPr>
              <w:pStyle w:val="Marginlie"/>
            </w:pPr>
          </w:p>
        </w:tc>
        <w:tc>
          <w:tcPr>
            <w:tcW w:w="217" w:type="dxa"/>
            <w:shd w:val="clear" w:color="auto" w:fill="auto"/>
            <w:tcMar>
              <w:left w:w="0" w:type="dxa"/>
            </w:tcMar>
          </w:tcPr>
          <w:p w14:paraId="3B15611D" w14:textId="77777777" w:rsidR="000663F0" w:rsidRDefault="000663F0" w:rsidP="00361FB7">
            <w:pPr>
              <w:pStyle w:val="Textpoznpodarou"/>
              <w:jc w:val="both"/>
              <w:rPr>
                <w:spacing w:val="-4"/>
              </w:rPr>
            </w:pPr>
          </w:p>
        </w:tc>
        <w:tc>
          <w:tcPr>
            <w:tcW w:w="7720" w:type="dxa"/>
            <w:shd w:val="clear" w:color="auto" w:fill="auto"/>
            <w:tcMar>
              <w:left w:w="0" w:type="dxa"/>
            </w:tcMar>
          </w:tcPr>
          <w:p w14:paraId="3E3B78BE" w14:textId="77777777" w:rsidR="000663F0" w:rsidRPr="00EA32C7" w:rsidRDefault="000663F0" w:rsidP="00361FB7">
            <w:pPr>
              <w:spacing w:after="220"/>
              <w:rPr>
                <w:spacing w:val="-4"/>
              </w:rPr>
            </w:pPr>
            <w:r>
              <w:rPr>
                <w:spacing w:val="-6"/>
              </w:rPr>
              <w:t xml:space="preserve">Meziroční růst výdajů na důchody dosáhl v 1. až 3. čtvrtletí 7,6 % a jen mírně zaostal za loňským tempem (8,7 %), jež ale bylo nejvyšší po roce 2009. Při minimální změně celkového počtu osob </w:t>
            </w:r>
            <w:r w:rsidRPr="0067514E">
              <w:rPr>
                <w:rFonts w:cs="Arial"/>
                <w:color w:val="0D0D0D" w:themeColor="text1" w:themeTint="F2"/>
                <w:spacing w:val="-6"/>
              </w:rPr>
              <w:t>pobírajících důchod</w:t>
            </w:r>
            <w:r>
              <w:rPr>
                <w:rFonts w:cs="Arial"/>
                <w:color w:val="0D0D0D" w:themeColor="text1" w:themeTint="F2"/>
                <w:spacing w:val="-6"/>
              </w:rPr>
              <w:t xml:space="preserve"> (–0,3 %) byla rozhodujícím faktorem letošního růstu zákonná</w:t>
            </w:r>
            <w:r w:rsidRPr="0067514E">
              <w:rPr>
                <w:rFonts w:cs="Arial"/>
                <w:color w:val="0D0D0D" w:themeColor="text1" w:themeTint="F2"/>
                <w:spacing w:val="-6"/>
              </w:rPr>
              <w:t xml:space="preserve"> </w:t>
            </w:r>
            <w:r w:rsidRPr="0067514E">
              <w:rPr>
                <w:rFonts w:cs="Arial"/>
                <w:color w:val="0D0D0D" w:themeColor="text1" w:themeTint="F2"/>
                <w:spacing w:val="-6"/>
              </w:rPr>
              <w:lastRenderedPageBreak/>
              <w:t>úprav</w:t>
            </w:r>
            <w:r>
              <w:rPr>
                <w:rFonts w:cs="Arial"/>
                <w:color w:val="0D0D0D" w:themeColor="text1" w:themeTint="F2"/>
                <w:spacing w:val="-6"/>
              </w:rPr>
              <w:t>a důchodů</w:t>
            </w:r>
            <w:r w:rsidRPr="0067514E">
              <w:rPr>
                <w:rStyle w:val="Znakapoznpodarou"/>
                <w:spacing w:val="-6"/>
              </w:rPr>
              <w:footnoteReference w:id="13"/>
            </w:r>
            <w:r>
              <w:rPr>
                <w:rFonts w:cs="Arial"/>
                <w:color w:val="0D0D0D" w:themeColor="text1" w:themeTint="F2"/>
                <w:spacing w:val="-6"/>
              </w:rPr>
              <w:t>. Příjmy důchodového pojištění poprvé po roce 2013 nerostly. Hloubka poklesu překonala dosud rekordní hodnotu z roku 2009 více než dvojnásobně (–4,4 %). Zásadní roli zde sehrála opatření na podporu drobných podnikatelů i zaměstnavatelů</w:t>
            </w:r>
            <w:r w:rsidRPr="0067514E">
              <w:rPr>
                <w:rStyle w:val="Znakapoznpodarou"/>
                <w:color w:val="0D0D0D" w:themeColor="text1" w:themeTint="F2"/>
                <w:spacing w:val="-6"/>
              </w:rPr>
              <w:footnoteReference w:id="14"/>
            </w:r>
            <w:r>
              <w:rPr>
                <w:rFonts w:cs="Arial"/>
                <w:color w:val="0D0D0D" w:themeColor="text1" w:themeTint="F2"/>
                <w:spacing w:val="-6"/>
              </w:rPr>
              <w:t>. Projevila se rovněž zhoršená situace na trhu práce (snížení zaměstnanosti, zvolnění růstu průměrných mezd).</w:t>
            </w:r>
            <w:r w:rsidRPr="0067514E">
              <w:rPr>
                <w:rFonts w:cs="Arial"/>
                <w:color w:val="0D0D0D" w:themeColor="text1" w:themeTint="F2"/>
                <w:spacing w:val="-6"/>
              </w:rPr>
              <w:t xml:space="preserve"> Saldo důchodového účtu</w:t>
            </w:r>
            <w:r w:rsidRPr="0067514E">
              <w:rPr>
                <w:rStyle w:val="Znakapoznpodarou"/>
                <w:color w:val="0D0D0D" w:themeColor="text1" w:themeTint="F2"/>
                <w:spacing w:val="-6"/>
              </w:rPr>
              <w:footnoteReference w:id="15"/>
            </w:r>
            <w:r>
              <w:rPr>
                <w:rFonts w:cs="Arial"/>
                <w:color w:val="0D0D0D" w:themeColor="text1" w:themeTint="F2"/>
                <w:spacing w:val="-6"/>
              </w:rPr>
              <w:t xml:space="preserve"> se tak po dvou přebytkových letech vrátilo k deficitu. Ten v 1. čtvrtletí čítal –27,3 mld. korun, což bylo nejvíce za posledních šest let.</w:t>
            </w:r>
          </w:p>
        </w:tc>
      </w:tr>
      <w:tr w:rsidR="000663F0" w:rsidRPr="008266F0" w14:paraId="0D5B3C30" w14:textId="77777777" w:rsidTr="00361FB7">
        <w:trPr>
          <w:trHeight w:val="145"/>
        </w:trPr>
        <w:tc>
          <w:tcPr>
            <w:tcW w:w="1732" w:type="dxa"/>
            <w:shd w:val="clear" w:color="auto" w:fill="auto"/>
            <w:tcMar>
              <w:left w:w="0" w:type="dxa"/>
            </w:tcMar>
          </w:tcPr>
          <w:p w14:paraId="64BA9394" w14:textId="77777777" w:rsidR="000663F0" w:rsidRDefault="000663F0" w:rsidP="00361FB7">
            <w:pPr>
              <w:pStyle w:val="Marginlie"/>
            </w:pPr>
            <w:r>
              <w:lastRenderedPageBreak/>
              <w:t>Výše investic ze SR vzrostla o čtvrtinu, zejména díky vývoji v 1. pololetí, resp. vyšším výdajům na dopravní infrastrukturu.</w:t>
            </w:r>
          </w:p>
        </w:tc>
        <w:tc>
          <w:tcPr>
            <w:tcW w:w="217" w:type="dxa"/>
            <w:shd w:val="clear" w:color="auto" w:fill="auto"/>
            <w:tcMar>
              <w:left w:w="0" w:type="dxa"/>
            </w:tcMar>
          </w:tcPr>
          <w:p w14:paraId="64BC91D2" w14:textId="77777777" w:rsidR="000663F0" w:rsidRDefault="000663F0" w:rsidP="00361FB7">
            <w:pPr>
              <w:pStyle w:val="Textpoznpodarou"/>
              <w:jc w:val="both"/>
              <w:rPr>
                <w:spacing w:val="-4"/>
              </w:rPr>
            </w:pPr>
          </w:p>
        </w:tc>
        <w:tc>
          <w:tcPr>
            <w:tcW w:w="7720" w:type="dxa"/>
            <w:shd w:val="clear" w:color="auto" w:fill="auto"/>
            <w:tcMar>
              <w:left w:w="0" w:type="dxa"/>
            </w:tcMar>
          </w:tcPr>
          <w:p w14:paraId="31330533" w14:textId="77777777" w:rsidR="000663F0" w:rsidRDefault="000663F0" w:rsidP="00361FB7">
            <w:pPr>
              <w:spacing w:after="180"/>
              <w:rPr>
                <w:spacing w:val="-6"/>
              </w:rPr>
            </w:pPr>
            <w:r>
              <w:rPr>
                <w:spacing w:val="-6"/>
              </w:rPr>
              <w:t>Celkové kapitálové výdaje SR čítaly za tři letošní čtvrtletí 105,9 mld. korun, meziročně vzrostly skoro o čtvrtinu (v samotném 3. čtvrtletí dynamika růstu zpomalila na 5 %)</w:t>
            </w:r>
            <w:r>
              <w:rPr>
                <w:rStyle w:val="Znakapoznpodarou"/>
                <w:spacing w:val="-6"/>
              </w:rPr>
              <w:footnoteReference w:id="16"/>
            </w:r>
            <w:r>
              <w:rPr>
                <w:spacing w:val="-6"/>
              </w:rPr>
              <w:t>. Na letošním růstu se podílely zejména investice pocházející výhradně z národních zdrojů (+12,6 mld.). I tak stále tvořily v celkovém objemu investic převažující část (55 %) prostředky na společné programy ČR a EU, jež vzrostly o 7,9 mld. korun. Šlo primárně o výdaje na operační program Doprava a </w:t>
            </w:r>
            <w:r w:rsidRPr="00093C3B">
              <w:rPr>
                <w:spacing w:val="-6"/>
              </w:rPr>
              <w:t>Integrovaný regionální operační program.</w:t>
            </w:r>
            <w:r>
              <w:rPr>
                <w:spacing w:val="-6"/>
              </w:rPr>
              <w:t xml:space="preserve"> </w:t>
            </w:r>
            <w:r w:rsidRPr="0067514E">
              <w:rPr>
                <w:spacing w:val="-6"/>
              </w:rPr>
              <w:t>Podíl investic na všec</w:t>
            </w:r>
            <w:r>
              <w:rPr>
                <w:spacing w:val="-6"/>
              </w:rPr>
              <w:t>h výdajích SR se zvyšoval třetím rokem v řadě a dosáhl 8,1 %, což bylo nejvíce za posledních pět let.</w:t>
            </w:r>
          </w:p>
        </w:tc>
      </w:tr>
      <w:tr w:rsidR="000663F0" w:rsidRPr="00F704D2" w14:paraId="0EB79C5B" w14:textId="77777777" w:rsidTr="00361FB7">
        <w:trPr>
          <w:trHeight w:val="170"/>
        </w:trPr>
        <w:tc>
          <w:tcPr>
            <w:tcW w:w="1732" w:type="dxa"/>
            <w:vMerge w:val="restart"/>
            <w:shd w:val="clear" w:color="auto" w:fill="auto"/>
            <w:tcMar>
              <w:left w:w="0" w:type="dxa"/>
            </w:tcMar>
          </w:tcPr>
          <w:p w14:paraId="0020BBEF" w14:textId="77777777" w:rsidR="000663F0" w:rsidRDefault="000663F0" w:rsidP="00361FB7">
            <w:pPr>
              <w:pStyle w:val="Marginlie"/>
            </w:pPr>
          </w:p>
        </w:tc>
        <w:tc>
          <w:tcPr>
            <w:tcW w:w="217" w:type="dxa"/>
            <w:vMerge w:val="restart"/>
            <w:shd w:val="clear" w:color="auto" w:fill="auto"/>
            <w:tcMar>
              <w:left w:w="0" w:type="dxa"/>
            </w:tcMar>
          </w:tcPr>
          <w:p w14:paraId="02D65FAC" w14:textId="77777777" w:rsidR="000663F0" w:rsidRDefault="000663F0" w:rsidP="00361FB7">
            <w:pPr>
              <w:pStyle w:val="Textpoznpodarou"/>
              <w:jc w:val="both"/>
              <w:rPr>
                <w:spacing w:val="-4"/>
              </w:rPr>
            </w:pPr>
          </w:p>
        </w:tc>
        <w:tc>
          <w:tcPr>
            <w:tcW w:w="7720" w:type="dxa"/>
            <w:shd w:val="clear" w:color="auto" w:fill="auto"/>
            <w:tcMar>
              <w:left w:w="0" w:type="dxa"/>
            </w:tcMar>
          </w:tcPr>
          <w:p w14:paraId="75210487" w14:textId="77777777" w:rsidR="000663F0" w:rsidRPr="00D232BB" w:rsidRDefault="000663F0" w:rsidP="00361FB7">
            <w:pPr>
              <w:spacing w:after="40" w:line="240" w:lineRule="auto"/>
              <w:jc w:val="left"/>
              <w:rPr>
                <w:rFonts w:cs="Arial"/>
                <w:bCs/>
              </w:rPr>
            </w:pPr>
            <w:r w:rsidRPr="00D232BB">
              <w:rPr>
                <w:b/>
              </w:rPr>
              <w:t xml:space="preserve">Graf č. 17  </w:t>
            </w:r>
            <w:r w:rsidRPr="00D232BB">
              <w:rPr>
                <w:rFonts w:cs="Arial"/>
                <w:b/>
                <w:bCs/>
              </w:rPr>
              <w:t>Vybrané výdaje státního rozpočtu</w:t>
            </w:r>
            <w:r w:rsidRPr="00D232BB">
              <w:rPr>
                <w:rFonts w:cs="Arial"/>
                <w:bCs/>
              </w:rPr>
              <w:t xml:space="preserve"> </w:t>
            </w:r>
            <w:r w:rsidRPr="00D232BB">
              <w:rPr>
                <w:rFonts w:cs="Arial"/>
                <w:b/>
                <w:bCs/>
              </w:rPr>
              <w:t>za 1. až 3.</w:t>
            </w:r>
            <w:r>
              <w:rPr>
                <w:rFonts w:cs="Arial"/>
                <w:b/>
                <w:bCs/>
              </w:rPr>
              <w:t> čtvrtlet</w:t>
            </w:r>
            <w:r w:rsidRPr="00D232BB">
              <w:rPr>
                <w:rFonts w:cs="Arial"/>
                <w:b/>
                <w:bCs/>
              </w:rPr>
              <w:t>í</w:t>
            </w:r>
            <w:r w:rsidRPr="00D232BB">
              <w:rPr>
                <w:rFonts w:cs="Arial"/>
                <w:bCs/>
              </w:rPr>
              <w:t xml:space="preserve"> (v mld. korun)</w:t>
            </w:r>
          </w:p>
        </w:tc>
      </w:tr>
      <w:tr w:rsidR="000663F0" w14:paraId="34DC724E" w14:textId="77777777" w:rsidTr="00361FB7">
        <w:tblPrEx>
          <w:tblCellMar>
            <w:left w:w="70" w:type="dxa"/>
            <w:right w:w="70" w:type="dxa"/>
          </w:tblCellMar>
        </w:tblPrEx>
        <w:trPr>
          <w:trHeight w:val="170"/>
        </w:trPr>
        <w:tc>
          <w:tcPr>
            <w:tcW w:w="1732" w:type="dxa"/>
            <w:vMerge/>
            <w:shd w:val="clear" w:color="auto" w:fill="auto"/>
          </w:tcPr>
          <w:p w14:paraId="34F60349" w14:textId="77777777" w:rsidR="000663F0" w:rsidRDefault="000663F0" w:rsidP="00361FB7">
            <w:pPr>
              <w:pStyle w:val="Marginlie"/>
            </w:pPr>
          </w:p>
        </w:tc>
        <w:tc>
          <w:tcPr>
            <w:tcW w:w="217" w:type="dxa"/>
            <w:vMerge/>
            <w:shd w:val="clear" w:color="auto" w:fill="auto"/>
          </w:tcPr>
          <w:p w14:paraId="5CE8D226" w14:textId="77777777" w:rsidR="000663F0" w:rsidRDefault="000663F0" w:rsidP="00361FB7">
            <w:pPr>
              <w:pStyle w:val="Textpoznpodarou"/>
              <w:jc w:val="both"/>
              <w:rPr>
                <w:spacing w:val="-4"/>
              </w:rPr>
            </w:pPr>
          </w:p>
        </w:tc>
        <w:tc>
          <w:tcPr>
            <w:tcW w:w="7720" w:type="dxa"/>
            <w:shd w:val="clear" w:color="auto" w:fill="auto"/>
          </w:tcPr>
          <w:p w14:paraId="6AD2D258" w14:textId="77777777" w:rsidR="000663F0" w:rsidRPr="0067514E" w:rsidRDefault="000663F0" w:rsidP="00361FB7">
            <w:pPr>
              <w:spacing w:after="0"/>
              <w:rPr>
                <w:spacing w:val="-6"/>
              </w:rPr>
            </w:pPr>
            <w:r>
              <w:rPr>
                <w:noProof/>
              </w:rPr>
              <w:drawing>
                <wp:inline distT="0" distB="0" distL="0" distR="0" wp14:anchorId="3469D4C6" wp14:editId="5B1487E5">
                  <wp:extent cx="4769485" cy="3483695"/>
                  <wp:effectExtent l="0" t="0" r="0" b="254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0663F0" w:rsidRPr="00343AC1" w14:paraId="0EC709D7" w14:textId="77777777" w:rsidTr="00361FB7">
        <w:trPr>
          <w:trHeight w:val="170"/>
        </w:trPr>
        <w:tc>
          <w:tcPr>
            <w:tcW w:w="1732" w:type="dxa"/>
            <w:vMerge/>
            <w:shd w:val="clear" w:color="auto" w:fill="auto"/>
            <w:tcMar>
              <w:left w:w="0" w:type="dxa"/>
            </w:tcMar>
          </w:tcPr>
          <w:p w14:paraId="0819E964" w14:textId="77777777" w:rsidR="000663F0" w:rsidRDefault="000663F0" w:rsidP="00361FB7">
            <w:pPr>
              <w:pStyle w:val="Marginlie"/>
            </w:pPr>
          </w:p>
        </w:tc>
        <w:tc>
          <w:tcPr>
            <w:tcW w:w="217" w:type="dxa"/>
            <w:vMerge/>
            <w:shd w:val="clear" w:color="auto" w:fill="auto"/>
            <w:tcMar>
              <w:left w:w="0" w:type="dxa"/>
            </w:tcMar>
          </w:tcPr>
          <w:p w14:paraId="651B46A4" w14:textId="77777777" w:rsidR="000663F0" w:rsidRDefault="000663F0" w:rsidP="00361FB7">
            <w:pPr>
              <w:pStyle w:val="Textpoznpodarou"/>
              <w:jc w:val="both"/>
              <w:rPr>
                <w:spacing w:val="-4"/>
              </w:rPr>
            </w:pPr>
          </w:p>
        </w:tc>
        <w:tc>
          <w:tcPr>
            <w:tcW w:w="7720" w:type="dxa"/>
            <w:shd w:val="clear" w:color="auto" w:fill="auto"/>
            <w:tcMar>
              <w:left w:w="0" w:type="dxa"/>
            </w:tcMar>
          </w:tcPr>
          <w:p w14:paraId="6271ECF3" w14:textId="77777777" w:rsidR="000663F0" w:rsidRPr="0050778D" w:rsidRDefault="000663F0" w:rsidP="00361FB7">
            <w:pPr>
              <w:pStyle w:val="Textpoznpodarou"/>
              <w:rPr>
                <w:spacing w:val="-2"/>
                <w:sz w:val="14"/>
                <w:szCs w:val="14"/>
              </w:rPr>
            </w:pPr>
            <w:r w:rsidRPr="0050778D">
              <w:rPr>
                <w:spacing w:val="-2"/>
                <w:sz w:val="14"/>
                <w:szCs w:val="14"/>
              </w:rPr>
              <w:t>*Pokrývají výdaje na platy v ústředních orgánech státní správy. Nezahrnují například mzdové výdaje na regionální školství.</w:t>
            </w:r>
          </w:p>
          <w:p w14:paraId="479C0B48" w14:textId="77777777" w:rsidR="000663F0" w:rsidRPr="0050778D" w:rsidRDefault="000663F0" w:rsidP="00361FB7">
            <w:pPr>
              <w:pStyle w:val="Textpoznpodarou"/>
              <w:rPr>
                <w:spacing w:val="-2"/>
                <w:sz w:val="14"/>
                <w:szCs w:val="14"/>
              </w:rPr>
            </w:pPr>
            <w:r w:rsidRPr="0050778D">
              <w:rPr>
                <w:spacing w:val="-2"/>
                <w:sz w:val="14"/>
                <w:szCs w:val="14"/>
              </w:rPr>
              <w:t>**Zahrnuje i dávky pěstounské péče.</w:t>
            </w:r>
          </w:p>
          <w:p w14:paraId="48699D4D" w14:textId="77777777" w:rsidR="000663F0" w:rsidRPr="0050778D" w:rsidRDefault="000663F0" w:rsidP="00361FB7">
            <w:pPr>
              <w:pStyle w:val="Textpoznpodarou"/>
              <w:rPr>
                <w:spacing w:val="-2"/>
                <w:sz w:val="14"/>
                <w:szCs w:val="14"/>
              </w:rPr>
            </w:pPr>
            <w:r w:rsidRPr="0050778D">
              <w:rPr>
                <w:spacing w:val="-2"/>
                <w:sz w:val="14"/>
                <w:szCs w:val="14"/>
              </w:rPr>
              <w:t>***Zahrnují dávky pomoci v hmotné nouzi, dávky osobám se zdravotním postižením, příspěvek na péči dle zákona o sociálních službách.</w:t>
            </w:r>
          </w:p>
          <w:p w14:paraId="16C46C24" w14:textId="77777777" w:rsidR="000663F0" w:rsidRPr="0050778D" w:rsidRDefault="000663F0" w:rsidP="00361FB7">
            <w:pPr>
              <w:pStyle w:val="Textpoznpodarou"/>
              <w:rPr>
                <w:spacing w:val="-2"/>
                <w:sz w:val="14"/>
                <w:szCs w:val="14"/>
              </w:rPr>
            </w:pPr>
            <w:r w:rsidRPr="0050778D">
              <w:rPr>
                <w:spacing w:val="-2"/>
                <w:sz w:val="14"/>
                <w:szCs w:val="14"/>
              </w:rPr>
              <w:t>****Obsahují zejména výdaje na nákup služeb, materiálu, energií či ostatních služeb (například výdaje na opravy a udržování).</w:t>
            </w:r>
          </w:p>
          <w:p w14:paraId="08755A67" w14:textId="77777777" w:rsidR="000663F0" w:rsidRDefault="000663F0" w:rsidP="00361FB7">
            <w:pPr>
              <w:pStyle w:val="Textpoznpodarou"/>
              <w:rPr>
                <w:spacing w:val="-2"/>
                <w:sz w:val="14"/>
                <w:szCs w:val="14"/>
              </w:rPr>
            </w:pPr>
            <w:r w:rsidRPr="0050778D">
              <w:rPr>
                <w:spacing w:val="-2"/>
                <w:sz w:val="14"/>
                <w:szCs w:val="14"/>
              </w:rPr>
              <w:t>*****Odpovídá saldu rozpočtové kapitoly Státní dluh.</w:t>
            </w:r>
          </w:p>
          <w:p w14:paraId="1919D32C" w14:textId="77777777" w:rsidR="000663F0" w:rsidRPr="0050778D" w:rsidRDefault="000663F0" w:rsidP="00361FB7">
            <w:pPr>
              <w:pStyle w:val="Textpoznpodarou"/>
              <w:spacing w:after="200"/>
              <w:rPr>
                <w:spacing w:val="-2"/>
                <w:sz w:val="14"/>
                <w:szCs w:val="14"/>
              </w:rPr>
            </w:pPr>
            <w:r w:rsidRPr="0050778D">
              <w:rPr>
                <w:spacing w:val="-2"/>
                <w:sz w:val="14"/>
                <w:szCs w:val="14"/>
              </w:rPr>
              <w:t>Zdroj: MF ČR, MPSV</w:t>
            </w:r>
          </w:p>
        </w:tc>
      </w:tr>
      <w:tr w:rsidR="000663F0" w:rsidRPr="00343AC1" w14:paraId="6A143628" w14:textId="77777777" w:rsidTr="00361FB7">
        <w:trPr>
          <w:trHeight w:val="170"/>
        </w:trPr>
        <w:tc>
          <w:tcPr>
            <w:tcW w:w="1732" w:type="dxa"/>
            <w:shd w:val="clear" w:color="auto" w:fill="auto"/>
            <w:tcMar>
              <w:left w:w="0" w:type="dxa"/>
            </w:tcMar>
          </w:tcPr>
          <w:p w14:paraId="04D14231" w14:textId="77777777" w:rsidR="000663F0" w:rsidRDefault="000663F0" w:rsidP="00361FB7">
            <w:pPr>
              <w:pStyle w:val="Marginlie"/>
            </w:pPr>
            <w:r>
              <w:t>Výše státního dluhu vzrostla meziročně téměř o čtvrtinu. Stála za tím rekordní emise státních dluhopisů během 1. pololetí.</w:t>
            </w:r>
          </w:p>
        </w:tc>
        <w:tc>
          <w:tcPr>
            <w:tcW w:w="217" w:type="dxa"/>
            <w:shd w:val="clear" w:color="auto" w:fill="auto"/>
            <w:tcMar>
              <w:left w:w="0" w:type="dxa"/>
            </w:tcMar>
          </w:tcPr>
          <w:p w14:paraId="6AE51768" w14:textId="77777777" w:rsidR="000663F0" w:rsidRDefault="000663F0" w:rsidP="00361FB7">
            <w:pPr>
              <w:pStyle w:val="Textpoznpodarou"/>
              <w:jc w:val="both"/>
              <w:rPr>
                <w:spacing w:val="-4"/>
              </w:rPr>
            </w:pPr>
          </w:p>
        </w:tc>
        <w:tc>
          <w:tcPr>
            <w:tcW w:w="7720" w:type="dxa"/>
            <w:shd w:val="clear" w:color="auto" w:fill="auto"/>
            <w:tcMar>
              <w:left w:w="0" w:type="dxa"/>
            </w:tcMar>
          </w:tcPr>
          <w:p w14:paraId="71BFE72A" w14:textId="77777777" w:rsidR="000663F0" w:rsidRPr="00464AB2" w:rsidRDefault="000663F0" w:rsidP="00361FB7">
            <w:pPr>
              <w:rPr>
                <w:spacing w:val="-3"/>
              </w:rPr>
            </w:pPr>
            <w:r w:rsidRPr="009733B3">
              <w:rPr>
                <w:spacing w:val="-3"/>
              </w:rPr>
              <w:t>Výše státního dluhu činila na konci 3.</w:t>
            </w:r>
            <w:r>
              <w:rPr>
                <w:spacing w:val="-3"/>
              </w:rPr>
              <w:t> čtvrtlet</w:t>
            </w:r>
            <w:r w:rsidRPr="009733B3">
              <w:rPr>
                <w:spacing w:val="-3"/>
              </w:rPr>
              <w:t>í 2 072</w:t>
            </w:r>
            <w:r>
              <w:rPr>
                <w:spacing w:val="-3"/>
              </w:rPr>
              <w:t> mld.</w:t>
            </w:r>
            <w:r w:rsidRPr="009733B3">
              <w:rPr>
                <w:spacing w:val="-3"/>
              </w:rPr>
              <w:t xml:space="preserve"> korun, což bylo meziročně o</w:t>
            </w:r>
            <w:r>
              <w:rPr>
                <w:spacing w:val="-3"/>
              </w:rPr>
              <w:t> </w:t>
            </w:r>
            <w:r w:rsidRPr="009733B3">
              <w:rPr>
                <w:spacing w:val="-3"/>
              </w:rPr>
              <w:t>23</w:t>
            </w:r>
            <w:r>
              <w:rPr>
                <w:spacing w:val="-3"/>
              </w:rPr>
              <w:t> </w:t>
            </w:r>
            <w:r w:rsidRPr="009733B3">
              <w:rPr>
                <w:spacing w:val="-3"/>
              </w:rPr>
              <w:t>%</w:t>
            </w:r>
            <w:r>
              <w:rPr>
                <w:spacing w:val="-3"/>
              </w:rPr>
              <w:t xml:space="preserve"> </w:t>
            </w:r>
            <w:r w:rsidRPr="009733B3">
              <w:rPr>
                <w:spacing w:val="-3"/>
              </w:rPr>
              <w:t>více. K eskalaci dluhu došlo během 1</w:t>
            </w:r>
            <w:r>
              <w:rPr>
                <w:spacing w:val="-3"/>
              </w:rPr>
              <w:t>. </w:t>
            </w:r>
            <w:r w:rsidRPr="009733B3">
              <w:rPr>
                <w:spacing w:val="-3"/>
              </w:rPr>
              <w:t>poloviny roku 2020</w:t>
            </w:r>
            <w:r>
              <w:rPr>
                <w:spacing w:val="-3"/>
              </w:rPr>
              <w:t> </w:t>
            </w:r>
            <w:r w:rsidRPr="009733B3">
              <w:rPr>
                <w:spacing w:val="-3"/>
              </w:rPr>
              <w:t xml:space="preserve">– </w:t>
            </w:r>
            <w:r>
              <w:rPr>
                <w:spacing w:val="-3"/>
              </w:rPr>
              <w:t>v </w:t>
            </w:r>
            <w:r w:rsidRPr="009733B3">
              <w:rPr>
                <w:spacing w:val="-3"/>
              </w:rPr>
              <w:t>1.</w:t>
            </w:r>
            <w:r>
              <w:rPr>
                <w:spacing w:val="-3"/>
              </w:rPr>
              <w:t> čtvrtlet</w:t>
            </w:r>
            <w:r w:rsidRPr="009733B3">
              <w:rPr>
                <w:spacing w:val="-3"/>
              </w:rPr>
              <w:t>í dluh vzrostl o 133 mld. korun, ve 2.</w:t>
            </w:r>
            <w:r>
              <w:rPr>
                <w:spacing w:val="-3"/>
              </w:rPr>
              <w:t> čtvrtlet</w:t>
            </w:r>
            <w:r w:rsidRPr="009733B3">
              <w:rPr>
                <w:spacing w:val="-3"/>
              </w:rPr>
              <w:t>í o</w:t>
            </w:r>
            <w:r>
              <w:rPr>
                <w:spacing w:val="-3"/>
              </w:rPr>
              <w:t> </w:t>
            </w:r>
            <w:r w:rsidRPr="009733B3">
              <w:rPr>
                <w:spacing w:val="-3"/>
              </w:rPr>
              <w:t>rekordních 384</w:t>
            </w:r>
            <w:r>
              <w:rPr>
                <w:spacing w:val="-3"/>
              </w:rPr>
              <w:t> mld.</w:t>
            </w:r>
            <w:r w:rsidRPr="009733B3">
              <w:rPr>
                <w:spacing w:val="-3"/>
              </w:rPr>
              <w:t xml:space="preserve"> Ke krytí letošního krizového schodku SR, plánovaných splátek dluhu (soustředěných zejména do druhé půle roku 2020) i posílení likvidních rezerv byl během 1</w:t>
            </w:r>
            <w:r>
              <w:rPr>
                <w:spacing w:val="-3"/>
              </w:rPr>
              <w:t>. </w:t>
            </w:r>
            <w:r w:rsidRPr="009733B3">
              <w:rPr>
                <w:spacing w:val="-3"/>
              </w:rPr>
              <w:t>až 3.</w:t>
            </w:r>
            <w:r>
              <w:rPr>
                <w:spacing w:val="-3"/>
              </w:rPr>
              <w:t> čtvrtlet</w:t>
            </w:r>
            <w:r w:rsidRPr="009733B3">
              <w:rPr>
                <w:spacing w:val="-3"/>
              </w:rPr>
              <w:t>í vydán rekordní objem státních dluhopisů (562 mld. korun)</w:t>
            </w:r>
            <w:r w:rsidRPr="009733B3">
              <w:rPr>
                <w:rStyle w:val="Znakapoznpodarou"/>
                <w:spacing w:val="-3"/>
              </w:rPr>
              <w:footnoteReference w:id="17"/>
            </w:r>
            <w:r w:rsidRPr="009733B3">
              <w:rPr>
                <w:spacing w:val="-3"/>
              </w:rPr>
              <w:t xml:space="preserve">. Podobně jako v předešlých letech se výpůjční aktivita soustředila </w:t>
            </w:r>
            <w:r w:rsidRPr="009733B3">
              <w:rPr>
                <w:spacing w:val="-3"/>
              </w:rPr>
              <w:lastRenderedPageBreak/>
              <w:t>z velké části na domácí trh. Korunová hodnota vnějšího dluhu se tak dále snižovala, na konci 3.</w:t>
            </w:r>
            <w:r>
              <w:rPr>
                <w:spacing w:val="-3"/>
              </w:rPr>
              <w:t> čtvrtlet</w:t>
            </w:r>
            <w:r w:rsidRPr="009733B3">
              <w:rPr>
                <w:spacing w:val="-3"/>
              </w:rPr>
              <w:t>í byla meziročně nižší o 11 %.</w:t>
            </w:r>
            <w:r w:rsidRPr="009733B3">
              <w:rPr>
                <w:rFonts w:cs="Arial"/>
                <w:color w:val="0D0D0D" w:themeColor="text1" w:themeTint="F2"/>
                <w:spacing w:val="-3"/>
              </w:rPr>
              <w:t xml:space="preserve"> Vnější dluh tvořil</w:t>
            </w:r>
            <w:r>
              <w:rPr>
                <w:rFonts w:cs="Arial"/>
                <w:color w:val="0D0D0D" w:themeColor="text1" w:themeTint="F2"/>
                <w:spacing w:val="-3"/>
              </w:rPr>
              <w:t xml:space="preserve"> </w:t>
            </w:r>
            <w:r w:rsidRPr="009733B3">
              <w:rPr>
                <w:rFonts w:cs="Arial"/>
                <w:color w:val="0D0D0D" w:themeColor="text1" w:themeTint="F2"/>
                <w:spacing w:val="-3"/>
              </w:rPr>
              <w:t>jen 8,6</w:t>
            </w:r>
            <w:r>
              <w:rPr>
                <w:rFonts w:cs="Arial"/>
                <w:color w:val="0D0D0D" w:themeColor="text1" w:themeTint="F2"/>
                <w:spacing w:val="-3"/>
              </w:rPr>
              <w:t> %</w:t>
            </w:r>
            <w:r w:rsidRPr="009733B3">
              <w:rPr>
                <w:rFonts w:cs="Arial"/>
                <w:color w:val="0D0D0D" w:themeColor="text1" w:themeTint="F2"/>
                <w:spacing w:val="-3"/>
              </w:rPr>
              <w:t xml:space="preserve"> celkového státního dluhu, nejméně od počátku roku 2004. Klíčovým držitelem tuzemských státních dluhopisů zůstávají finanční instituce s podílem 61,3</w:t>
            </w:r>
            <w:r>
              <w:rPr>
                <w:rFonts w:cs="Arial"/>
                <w:color w:val="0D0D0D" w:themeColor="text1" w:themeTint="F2"/>
                <w:spacing w:val="-3"/>
              </w:rPr>
              <w:t> </w:t>
            </w:r>
            <w:r w:rsidRPr="009733B3">
              <w:rPr>
                <w:rFonts w:cs="Arial"/>
                <w:color w:val="0D0D0D" w:themeColor="text1" w:themeTint="F2"/>
                <w:spacing w:val="-3"/>
              </w:rPr>
              <w:t>%, nerezidenti vlastnili 34,5 % dluhopisů. V dosavadní části roku 2020 pozice finančních institucí posílila a váha nerezidentů byla jedn</w:t>
            </w:r>
            <w:r>
              <w:rPr>
                <w:rFonts w:cs="Arial"/>
                <w:color w:val="0D0D0D" w:themeColor="text1" w:themeTint="F2"/>
                <w:spacing w:val="-3"/>
              </w:rPr>
              <w:t>ou</w:t>
            </w:r>
            <w:r w:rsidRPr="009733B3">
              <w:rPr>
                <w:rFonts w:cs="Arial"/>
                <w:color w:val="0D0D0D" w:themeColor="text1" w:themeTint="F2"/>
                <w:spacing w:val="-3"/>
              </w:rPr>
              <w:t xml:space="preserve"> z</w:t>
            </w:r>
            <w:r>
              <w:rPr>
                <w:rFonts w:cs="Arial"/>
                <w:color w:val="0D0D0D" w:themeColor="text1" w:themeTint="F2"/>
                <w:spacing w:val="-3"/>
              </w:rPr>
              <w:t> </w:t>
            </w:r>
            <w:r w:rsidRPr="009733B3">
              <w:rPr>
                <w:rFonts w:cs="Arial"/>
                <w:color w:val="0D0D0D" w:themeColor="text1" w:themeTint="F2"/>
                <w:spacing w:val="-3"/>
              </w:rPr>
              <w:t>nejslabšíc</w:t>
            </w:r>
            <w:r>
              <w:rPr>
                <w:rFonts w:cs="Arial"/>
                <w:color w:val="0D0D0D" w:themeColor="text1" w:themeTint="F2"/>
                <w:spacing w:val="-3"/>
              </w:rPr>
              <w:t xml:space="preserve">h od konce roku 2016 (kdy </w:t>
            </w:r>
            <w:r w:rsidRPr="009733B3">
              <w:rPr>
                <w:rFonts w:cs="Arial"/>
                <w:color w:val="0D0D0D" w:themeColor="text1" w:themeTint="F2"/>
                <w:spacing w:val="-3"/>
              </w:rPr>
              <w:t>probíhaly devizové intervence ČNB). Čisté výdaje SR na obsluhu státního dluhu</w:t>
            </w:r>
            <w:r w:rsidRPr="009733B3">
              <w:rPr>
                <w:rStyle w:val="Znakapoznpodarou"/>
                <w:spacing w:val="-3"/>
              </w:rPr>
              <w:footnoteReference w:id="18"/>
            </w:r>
            <w:r w:rsidRPr="009733B3">
              <w:rPr>
                <w:rFonts w:cs="Arial"/>
                <w:color w:val="0D0D0D" w:themeColor="text1" w:themeTint="F2"/>
                <w:spacing w:val="-3"/>
              </w:rPr>
              <w:t xml:space="preserve"> čítaly za tři čtvrtletí 32,1</w:t>
            </w:r>
            <w:r w:rsidRPr="009733B3">
              <w:rPr>
                <w:spacing w:val="-3"/>
              </w:rPr>
              <w:t> </w:t>
            </w:r>
            <w:r w:rsidRPr="009733B3">
              <w:rPr>
                <w:rFonts w:cs="Arial"/>
                <w:color w:val="0D0D0D" w:themeColor="text1" w:themeTint="F2"/>
                <w:spacing w:val="-3"/>
              </w:rPr>
              <w:t xml:space="preserve">mld. korun, podobné výše dosahovaly </w:t>
            </w:r>
            <w:r>
              <w:rPr>
                <w:rFonts w:cs="Arial"/>
                <w:color w:val="0D0D0D" w:themeColor="text1" w:themeTint="F2"/>
                <w:spacing w:val="-3"/>
              </w:rPr>
              <w:t>za stejné</w:t>
            </w:r>
            <w:r w:rsidRPr="009733B3">
              <w:rPr>
                <w:rFonts w:cs="Arial"/>
                <w:color w:val="0D0D0D" w:themeColor="text1" w:themeTint="F2"/>
                <w:spacing w:val="-3"/>
              </w:rPr>
              <w:t xml:space="preserve"> období roku i</w:t>
            </w:r>
            <w:r>
              <w:rPr>
                <w:rFonts w:cs="Arial"/>
                <w:color w:val="0D0D0D" w:themeColor="text1" w:themeTint="F2"/>
                <w:spacing w:val="-3"/>
              </w:rPr>
              <w:t> </w:t>
            </w:r>
            <w:r w:rsidRPr="009733B3">
              <w:rPr>
                <w:rFonts w:cs="Arial"/>
                <w:color w:val="0D0D0D" w:themeColor="text1" w:themeTint="F2"/>
                <w:spacing w:val="-3"/>
              </w:rPr>
              <w:t>v předchozích třech letech</w:t>
            </w:r>
            <w:r>
              <w:rPr>
                <w:rFonts w:cs="Arial"/>
                <w:color w:val="0D0D0D" w:themeColor="text1" w:themeTint="F2"/>
                <w:spacing w:val="-3"/>
              </w:rPr>
              <w:t>.</w:t>
            </w:r>
          </w:p>
        </w:tc>
      </w:tr>
      <w:tr w:rsidR="000663F0" w:rsidRPr="00343AC1" w14:paraId="5F4731C2" w14:textId="77777777" w:rsidTr="00361FB7">
        <w:trPr>
          <w:trHeight w:val="170"/>
        </w:trPr>
        <w:tc>
          <w:tcPr>
            <w:tcW w:w="1732" w:type="dxa"/>
            <w:shd w:val="clear" w:color="auto" w:fill="auto"/>
            <w:tcMar>
              <w:left w:w="0" w:type="dxa"/>
            </w:tcMar>
          </w:tcPr>
          <w:p w14:paraId="246E9F22" w14:textId="77777777" w:rsidR="000663F0" w:rsidRDefault="000663F0" w:rsidP="00361FB7">
            <w:pPr>
              <w:pStyle w:val="Marginlie"/>
            </w:pPr>
            <w:r>
              <w:lastRenderedPageBreak/>
              <w:t>Deficit hospodaření sektoru vládních institucí přesáhl ve 2. čtvrtletí hranici 100 mld. korun.</w:t>
            </w:r>
          </w:p>
        </w:tc>
        <w:tc>
          <w:tcPr>
            <w:tcW w:w="217" w:type="dxa"/>
            <w:shd w:val="clear" w:color="auto" w:fill="auto"/>
            <w:tcMar>
              <w:left w:w="0" w:type="dxa"/>
            </w:tcMar>
          </w:tcPr>
          <w:p w14:paraId="42DBA5D5" w14:textId="77777777" w:rsidR="000663F0" w:rsidRDefault="000663F0" w:rsidP="00361FB7">
            <w:pPr>
              <w:pStyle w:val="Textpoznpodarou"/>
              <w:jc w:val="both"/>
              <w:rPr>
                <w:spacing w:val="-4"/>
              </w:rPr>
            </w:pPr>
          </w:p>
        </w:tc>
        <w:tc>
          <w:tcPr>
            <w:tcW w:w="7720" w:type="dxa"/>
            <w:shd w:val="clear" w:color="auto" w:fill="auto"/>
            <w:tcMar>
              <w:left w:w="0" w:type="dxa"/>
            </w:tcMar>
          </w:tcPr>
          <w:p w14:paraId="7F75A4FB" w14:textId="77777777" w:rsidR="000663F0" w:rsidRPr="008E77E4" w:rsidRDefault="000663F0" w:rsidP="00361FB7">
            <w:pPr>
              <w:pStyle w:val="Textpoznpodarou"/>
              <w:spacing w:after="200" w:line="276" w:lineRule="auto"/>
              <w:jc w:val="both"/>
              <w:rPr>
                <w:rFonts w:cs="Arial"/>
                <w:color w:val="0D0D0D" w:themeColor="text1" w:themeTint="F2"/>
                <w:spacing w:val="-4"/>
              </w:rPr>
            </w:pPr>
            <w:r w:rsidRPr="008E77E4">
              <w:rPr>
                <w:rFonts w:cs="Arial"/>
                <w:color w:val="0D0D0D" w:themeColor="text1" w:themeTint="F2"/>
                <w:spacing w:val="-4"/>
              </w:rPr>
              <w:t>Schodek hospodaření celého sektoru vládních institucí (VI) v ČR se během první poloviny roku 2020 citelně prohloubil. V 1.</w:t>
            </w:r>
            <w:r>
              <w:rPr>
                <w:rFonts w:cs="Arial"/>
                <w:color w:val="0D0D0D" w:themeColor="text1" w:themeTint="F2"/>
                <w:spacing w:val="-4"/>
              </w:rPr>
              <w:t> čtvrtlet</w:t>
            </w:r>
            <w:r w:rsidRPr="008E77E4">
              <w:rPr>
                <w:rFonts w:cs="Arial"/>
                <w:color w:val="0D0D0D" w:themeColor="text1" w:themeTint="F2"/>
                <w:spacing w:val="-4"/>
              </w:rPr>
              <w:t>í dosáhl dle údajů ČSÚ 57,2</w:t>
            </w:r>
            <w:r>
              <w:rPr>
                <w:rFonts w:cs="Arial"/>
                <w:color w:val="0D0D0D" w:themeColor="text1" w:themeTint="F2"/>
                <w:spacing w:val="-4"/>
              </w:rPr>
              <w:t> mld.</w:t>
            </w:r>
            <w:r w:rsidRPr="008E77E4">
              <w:rPr>
                <w:rFonts w:cs="Arial"/>
                <w:color w:val="0D0D0D" w:themeColor="text1" w:themeTint="F2"/>
                <w:spacing w:val="-4"/>
              </w:rPr>
              <w:t xml:space="preserve"> korun, v následujícím</w:t>
            </w:r>
            <w:r>
              <w:rPr>
                <w:rFonts w:cs="Arial"/>
                <w:color w:val="0D0D0D" w:themeColor="text1" w:themeTint="F2"/>
                <w:spacing w:val="-4"/>
              </w:rPr>
              <w:t xml:space="preserve"> kvartálu</w:t>
            </w:r>
            <w:r w:rsidRPr="008E77E4">
              <w:rPr>
                <w:rFonts w:cs="Arial"/>
                <w:color w:val="0D0D0D" w:themeColor="text1" w:themeTint="F2"/>
                <w:spacing w:val="-4"/>
              </w:rPr>
              <w:t xml:space="preserve"> již 100,4</w:t>
            </w:r>
            <w:r>
              <w:rPr>
                <w:rFonts w:cs="Arial"/>
                <w:color w:val="0D0D0D" w:themeColor="text1" w:themeTint="F2"/>
                <w:spacing w:val="-4"/>
              </w:rPr>
              <w:t> mld.</w:t>
            </w:r>
            <w:r w:rsidRPr="008E77E4">
              <w:rPr>
                <w:rFonts w:cs="Arial"/>
                <w:color w:val="0D0D0D" w:themeColor="text1" w:themeTint="F2"/>
                <w:spacing w:val="-4"/>
              </w:rPr>
              <w:t xml:space="preserve"> V</w:t>
            </w:r>
            <w:r>
              <w:rPr>
                <w:rFonts w:cs="Arial"/>
                <w:color w:val="0D0D0D" w:themeColor="text1" w:themeTint="F2"/>
                <w:spacing w:val="-4"/>
              </w:rPr>
              <w:t> </w:t>
            </w:r>
            <w:r w:rsidRPr="008E77E4">
              <w:rPr>
                <w:rFonts w:cs="Arial"/>
                <w:color w:val="0D0D0D" w:themeColor="text1" w:themeTint="F2"/>
                <w:spacing w:val="-4"/>
              </w:rPr>
              <w:t>1.</w:t>
            </w:r>
            <w:r>
              <w:rPr>
                <w:rFonts w:cs="Arial"/>
                <w:color w:val="0D0D0D" w:themeColor="text1" w:themeTint="F2"/>
                <w:spacing w:val="-4"/>
              </w:rPr>
              <w:t> pololet</w:t>
            </w:r>
            <w:r w:rsidRPr="008E77E4">
              <w:rPr>
                <w:rFonts w:cs="Arial"/>
                <w:color w:val="0D0D0D" w:themeColor="text1" w:themeTint="F2"/>
                <w:spacing w:val="-4"/>
              </w:rPr>
              <w:t>í 2019 zůstávalo přitom hospodaření ještě mírně přebytkové (+23,2</w:t>
            </w:r>
            <w:r>
              <w:rPr>
                <w:rFonts w:cs="Arial"/>
                <w:color w:val="0D0D0D" w:themeColor="text1" w:themeTint="F2"/>
                <w:spacing w:val="-4"/>
              </w:rPr>
              <w:t> mld.</w:t>
            </w:r>
            <w:r w:rsidRPr="008E77E4">
              <w:rPr>
                <w:rFonts w:cs="Arial"/>
                <w:color w:val="0D0D0D" w:themeColor="text1" w:themeTint="F2"/>
                <w:spacing w:val="-4"/>
              </w:rPr>
              <w:t xml:space="preserve"> korun). K meziročnímu poklesu salda přispěly zejména ústřední vládní instituce, nepříznivý trend byl ale patrný i</w:t>
            </w:r>
            <w:r>
              <w:rPr>
                <w:rFonts w:cs="Arial"/>
                <w:color w:val="0D0D0D" w:themeColor="text1" w:themeTint="F2"/>
                <w:spacing w:val="-4"/>
              </w:rPr>
              <w:t> </w:t>
            </w:r>
            <w:r w:rsidRPr="008E77E4">
              <w:rPr>
                <w:rFonts w:cs="Arial"/>
                <w:color w:val="0D0D0D" w:themeColor="text1" w:themeTint="F2"/>
                <w:spacing w:val="-4"/>
              </w:rPr>
              <w:t>u</w:t>
            </w:r>
            <w:r>
              <w:rPr>
                <w:rFonts w:cs="Arial"/>
                <w:color w:val="0D0D0D" w:themeColor="text1" w:themeTint="F2"/>
                <w:spacing w:val="-4"/>
              </w:rPr>
              <w:t> </w:t>
            </w:r>
            <w:r w:rsidRPr="008E77E4">
              <w:rPr>
                <w:rFonts w:cs="Arial"/>
                <w:color w:val="0D0D0D" w:themeColor="text1" w:themeTint="F2"/>
                <w:spacing w:val="-4"/>
              </w:rPr>
              <w:t>fondů sociálního zabezpečení, stejně jako místních vládních institucí, které ale udržely přebytkové hospodaření i</w:t>
            </w:r>
            <w:r>
              <w:rPr>
                <w:rFonts w:cs="Arial"/>
                <w:color w:val="0D0D0D" w:themeColor="text1" w:themeTint="F2"/>
                <w:spacing w:val="-4"/>
              </w:rPr>
              <w:t> </w:t>
            </w:r>
            <w:r w:rsidRPr="008E77E4">
              <w:rPr>
                <w:rFonts w:cs="Arial"/>
                <w:color w:val="0D0D0D" w:themeColor="text1" w:themeTint="F2"/>
                <w:spacing w:val="-4"/>
              </w:rPr>
              <w:t>v 1.</w:t>
            </w:r>
            <w:r>
              <w:rPr>
                <w:rFonts w:cs="Arial"/>
                <w:color w:val="0D0D0D" w:themeColor="text1" w:themeTint="F2"/>
                <w:spacing w:val="-4"/>
              </w:rPr>
              <w:t> pololet</w:t>
            </w:r>
            <w:r w:rsidRPr="008E77E4">
              <w:rPr>
                <w:rFonts w:cs="Arial"/>
                <w:color w:val="0D0D0D" w:themeColor="text1" w:themeTint="F2"/>
                <w:spacing w:val="-4"/>
              </w:rPr>
              <w:t>í 2020 (+31,1</w:t>
            </w:r>
            <w:r>
              <w:rPr>
                <w:rFonts w:cs="Arial"/>
                <w:color w:val="0D0D0D" w:themeColor="text1" w:themeTint="F2"/>
                <w:spacing w:val="-4"/>
              </w:rPr>
              <w:t> mld.</w:t>
            </w:r>
            <w:r w:rsidRPr="008E77E4">
              <w:rPr>
                <w:rFonts w:cs="Arial"/>
                <w:color w:val="0D0D0D" w:themeColor="text1" w:themeTint="F2"/>
                <w:spacing w:val="-4"/>
              </w:rPr>
              <w:t xml:space="preserve"> korun).</w:t>
            </w:r>
          </w:p>
        </w:tc>
      </w:tr>
      <w:tr w:rsidR="000663F0" w:rsidRPr="00343AC1" w14:paraId="0DBD986B" w14:textId="77777777" w:rsidTr="00361FB7">
        <w:trPr>
          <w:trHeight w:val="170"/>
        </w:trPr>
        <w:tc>
          <w:tcPr>
            <w:tcW w:w="1732" w:type="dxa"/>
            <w:shd w:val="clear" w:color="auto" w:fill="auto"/>
            <w:tcMar>
              <w:left w:w="0" w:type="dxa"/>
            </w:tcMar>
          </w:tcPr>
          <w:p w14:paraId="494CD3FD" w14:textId="77777777" w:rsidR="000663F0" w:rsidRDefault="000663F0" w:rsidP="00361FB7">
            <w:pPr>
              <w:pStyle w:val="Marginlie"/>
            </w:pPr>
            <w:r>
              <w:t>Celkové příjmy v 1. pololetí meziročně klesly, růst výdajů akceleroval.</w:t>
            </w:r>
          </w:p>
          <w:p w14:paraId="236D7C0F" w14:textId="77777777" w:rsidR="000663F0" w:rsidRDefault="000663F0" w:rsidP="00361FB7">
            <w:pPr>
              <w:pStyle w:val="Marginlie"/>
            </w:pPr>
          </w:p>
          <w:p w14:paraId="3A3D1B8C" w14:textId="77777777" w:rsidR="000663F0" w:rsidRDefault="000663F0" w:rsidP="00361FB7">
            <w:pPr>
              <w:pStyle w:val="Marginlie"/>
            </w:pPr>
          </w:p>
          <w:p w14:paraId="5556AA5E" w14:textId="77777777" w:rsidR="000663F0" w:rsidRDefault="000663F0" w:rsidP="00361FB7">
            <w:pPr>
              <w:pStyle w:val="Marginlie"/>
            </w:pPr>
          </w:p>
          <w:p w14:paraId="78D2B030" w14:textId="77777777" w:rsidR="000663F0" w:rsidRDefault="000663F0" w:rsidP="00361FB7">
            <w:pPr>
              <w:pStyle w:val="Marginlie"/>
            </w:pPr>
            <w:r>
              <w:t xml:space="preserve">Přírůstek míry zadlužení byl během 2. čtvrtletí nejvyšší </w:t>
            </w:r>
            <w:r>
              <w:rPr>
                <w:rFonts w:cs="Arial"/>
                <w:color w:val="0D0D0D" w:themeColor="text1" w:themeTint="F2"/>
                <w:spacing w:val="-4"/>
              </w:rPr>
              <w:t>od začátku</w:t>
            </w:r>
            <w:r>
              <w:t xml:space="preserve"> tisíciletí.</w:t>
            </w:r>
          </w:p>
        </w:tc>
        <w:tc>
          <w:tcPr>
            <w:tcW w:w="217" w:type="dxa"/>
            <w:shd w:val="clear" w:color="auto" w:fill="auto"/>
            <w:tcMar>
              <w:left w:w="0" w:type="dxa"/>
            </w:tcMar>
          </w:tcPr>
          <w:p w14:paraId="45BE0BB0" w14:textId="77777777" w:rsidR="000663F0" w:rsidRDefault="000663F0" w:rsidP="00361FB7">
            <w:pPr>
              <w:pStyle w:val="Textpoznpodarou"/>
              <w:jc w:val="both"/>
              <w:rPr>
                <w:spacing w:val="-4"/>
              </w:rPr>
            </w:pPr>
          </w:p>
        </w:tc>
        <w:tc>
          <w:tcPr>
            <w:tcW w:w="7720" w:type="dxa"/>
            <w:shd w:val="clear" w:color="auto" w:fill="auto"/>
            <w:tcMar>
              <w:left w:w="0" w:type="dxa"/>
            </w:tcMar>
          </w:tcPr>
          <w:p w14:paraId="26D3284B" w14:textId="77777777" w:rsidR="000663F0" w:rsidRPr="008870C0" w:rsidRDefault="000663F0" w:rsidP="00361FB7">
            <w:pPr>
              <w:pStyle w:val="Textpoznpodarou"/>
              <w:spacing w:after="200" w:line="276" w:lineRule="auto"/>
              <w:jc w:val="both"/>
              <w:rPr>
                <w:rFonts w:cs="Arial"/>
                <w:color w:val="0D0D0D" w:themeColor="text1" w:themeTint="F2"/>
                <w:spacing w:val="-4"/>
              </w:rPr>
            </w:pPr>
            <w:proofErr w:type="gramStart"/>
            <w:r w:rsidRPr="008870C0">
              <w:rPr>
                <w:rFonts w:cs="Arial"/>
                <w:color w:val="0D0D0D" w:themeColor="text1" w:themeTint="F2"/>
                <w:spacing w:val="-4"/>
              </w:rPr>
              <w:t>Ze</w:t>
            </w:r>
            <w:proofErr w:type="gramEnd"/>
            <w:r w:rsidRPr="008870C0">
              <w:rPr>
                <w:rFonts w:cs="Arial"/>
                <w:color w:val="0D0D0D" w:themeColor="text1" w:themeTint="F2"/>
                <w:spacing w:val="-4"/>
              </w:rPr>
              <w:t xml:space="preserve"> sezónně a</w:t>
            </w:r>
            <w:r>
              <w:rPr>
                <w:rFonts w:cs="Arial"/>
                <w:color w:val="0D0D0D" w:themeColor="text1" w:themeTint="F2"/>
                <w:spacing w:val="-4"/>
              </w:rPr>
              <w:t> </w:t>
            </w:r>
            <w:r w:rsidRPr="008870C0">
              <w:rPr>
                <w:rFonts w:cs="Arial"/>
                <w:color w:val="0D0D0D" w:themeColor="text1" w:themeTint="F2"/>
                <w:spacing w:val="-4"/>
              </w:rPr>
              <w:t>kalendářně očištěných údajů vyplývá, že nepříznivý trend salda hospodaření sektoru</w:t>
            </w:r>
            <w:r>
              <w:rPr>
                <w:rFonts w:cs="Arial"/>
                <w:color w:val="0D0D0D" w:themeColor="text1" w:themeTint="F2"/>
                <w:spacing w:val="-4"/>
              </w:rPr>
              <w:t> </w:t>
            </w:r>
            <w:r w:rsidRPr="008870C0">
              <w:rPr>
                <w:rFonts w:cs="Arial"/>
                <w:color w:val="0D0D0D" w:themeColor="text1" w:themeTint="F2"/>
                <w:spacing w:val="-4"/>
              </w:rPr>
              <w:t>VI byl v souvislosti s cyklickým zpomalením ekonomiky patrný již ve 2</w:t>
            </w:r>
            <w:r>
              <w:rPr>
                <w:rFonts w:cs="Arial"/>
                <w:color w:val="0D0D0D" w:themeColor="text1" w:themeTint="F2"/>
                <w:spacing w:val="-4"/>
              </w:rPr>
              <w:t>. </w:t>
            </w:r>
            <w:r w:rsidRPr="008870C0">
              <w:rPr>
                <w:rFonts w:cs="Arial"/>
                <w:color w:val="0D0D0D" w:themeColor="text1" w:themeTint="F2"/>
                <w:spacing w:val="-4"/>
              </w:rPr>
              <w:t>polovině roku 2019. Takto vyjádřené saldo dosáhlo ve 2</w:t>
            </w:r>
            <w:r>
              <w:rPr>
                <w:rFonts w:cs="Arial"/>
                <w:color w:val="0D0D0D" w:themeColor="text1" w:themeTint="F2"/>
                <w:spacing w:val="-4"/>
              </w:rPr>
              <w:t xml:space="preserve">. letošním </w:t>
            </w:r>
            <w:r w:rsidRPr="008870C0">
              <w:rPr>
                <w:rFonts w:cs="Arial"/>
                <w:color w:val="0D0D0D" w:themeColor="text1" w:themeTint="F2"/>
                <w:spacing w:val="-4"/>
              </w:rPr>
              <w:t xml:space="preserve">čtvrtletí </w:t>
            </w:r>
            <w:r>
              <w:rPr>
                <w:rFonts w:cs="Arial"/>
                <w:color w:val="0D0D0D" w:themeColor="text1" w:themeTint="F2"/>
                <w:spacing w:val="-4"/>
              </w:rPr>
              <w:t>–</w:t>
            </w:r>
            <w:r w:rsidRPr="008870C0">
              <w:rPr>
                <w:rFonts w:cs="Arial"/>
                <w:color w:val="0D0D0D" w:themeColor="text1" w:themeTint="F2"/>
                <w:spacing w:val="-4"/>
              </w:rPr>
              <w:t>6,3</w:t>
            </w:r>
            <w:r>
              <w:rPr>
                <w:rFonts w:cs="Arial"/>
                <w:color w:val="0D0D0D" w:themeColor="text1" w:themeTint="F2"/>
                <w:spacing w:val="-4"/>
              </w:rPr>
              <w:t> %</w:t>
            </w:r>
            <w:r w:rsidRPr="008870C0">
              <w:rPr>
                <w:rFonts w:cs="Arial"/>
                <w:color w:val="0D0D0D" w:themeColor="text1" w:themeTint="F2"/>
                <w:spacing w:val="-4"/>
              </w:rPr>
              <w:t xml:space="preserve"> HDP, což byl nejhorší výsledek od konce roku 2012. V 1.</w:t>
            </w:r>
            <w:r>
              <w:rPr>
                <w:rFonts w:cs="Arial"/>
                <w:color w:val="0D0D0D" w:themeColor="text1" w:themeTint="F2"/>
                <w:spacing w:val="-4"/>
              </w:rPr>
              <w:t> pololetí</w:t>
            </w:r>
            <w:r w:rsidRPr="008870C0">
              <w:rPr>
                <w:rFonts w:cs="Arial"/>
                <w:color w:val="0D0D0D" w:themeColor="text1" w:themeTint="F2"/>
                <w:spacing w:val="-4"/>
              </w:rPr>
              <w:t xml:space="preserve"> klesly celkové příjmy sektoru</w:t>
            </w:r>
            <w:r>
              <w:rPr>
                <w:rFonts w:cs="Arial"/>
                <w:color w:val="0D0D0D" w:themeColor="text1" w:themeTint="F2"/>
                <w:spacing w:val="-4"/>
              </w:rPr>
              <w:t> </w:t>
            </w:r>
            <w:r w:rsidRPr="008870C0">
              <w:rPr>
                <w:rFonts w:cs="Arial"/>
                <w:color w:val="0D0D0D" w:themeColor="text1" w:themeTint="F2"/>
                <w:spacing w:val="-4"/>
              </w:rPr>
              <w:t>VI meziročně o</w:t>
            </w:r>
            <w:r>
              <w:rPr>
                <w:rFonts w:cs="Arial"/>
                <w:color w:val="0D0D0D" w:themeColor="text1" w:themeTint="F2"/>
                <w:spacing w:val="-4"/>
              </w:rPr>
              <w:t> </w:t>
            </w:r>
            <w:r w:rsidRPr="008870C0">
              <w:rPr>
                <w:rFonts w:cs="Arial"/>
                <w:color w:val="0D0D0D" w:themeColor="text1" w:themeTint="F2"/>
                <w:spacing w:val="-4"/>
              </w:rPr>
              <w:t>3,9</w:t>
            </w:r>
            <w:r>
              <w:rPr>
                <w:rFonts w:cs="Arial"/>
                <w:color w:val="0D0D0D" w:themeColor="text1" w:themeTint="F2"/>
                <w:spacing w:val="-4"/>
              </w:rPr>
              <w:t> </w:t>
            </w:r>
            <w:r w:rsidRPr="008870C0">
              <w:rPr>
                <w:rFonts w:cs="Arial"/>
                <w:color w:val="0D0D0D" w:themeColor="text1" w:themeTint="F2"/>
                <w:spacing w:val="-4"/>
              </w:rPr>
              <w:t xml:space="preserve">%, slabší pololetní tempo bylo naposledy zaznamenáno za hospodářské recese v roce 2009. Negativně letos působil pokles inkasa </w:t>
            </w:r>
            <w:r w:rsidRPr="008870C0">
              <w:rPr>
                <w:spacing w:val="-4"/>
              </w:rPr>
              <w:t>z objemově významných daní. Růst celkových výdajů naopak posílil na 11,8</w:t>
            </w:r>
            <w:r>
              <w:rPr>
                <w:spacing w:val="-4"/>
              </w:rPr>
              <w:t> %</w:t>
            </w:r>
            <w:r w:rsidRPr="008870C0">
              <w:rPr>
                <w:spacing w:val="-4"/>
              </w:rPr>
              <w:t xml:space="preserve"> a</w:t>
            </w:r>
            <w:r>
              <w:rPr>
                <w:spacing w:val="-4"/>
              </w:rPr>
              <w:t> </w:t>
            </w:r>
            <w:r w:rsidRPr="008870C0">
              <w:rPr>
                <w:spacing w:val="-4"/>
              </w:rPr>
              <w:t xml:space="preserve">byl nejvyšší od konce roku 2003. Tato nerovnováha vyústila ve dluhovou akceleraci. </w:t>
            </w:r>
            <w:r w:rsidRPr="008870C0">
              <w:rPr>
                <w:rFonts w:cs="Arial"/>
                <w:color w:val="0D0D0D" w:themeColor="text1" w:themeTint="F2"/>
                <w:spacing w:val="-4"/>
              </w:rPr>
              <w:t>Míra zadlužení sektoru</w:t>
            </w:r>
            <w:r>
              <w:rPr>
                <w:rFonts w:cs="Arial"/>
                <w:color w:val="0D0D0D" w:themeColor="text1" w:themeTint="F2"/>
                <w:spacing w:val="-4"/>
              </w:rPr>
              <w:t> </w:t>
            </w:r>
            <w:r w:rsidRPr="008870C0">
              <w:rPr>
                <w:rFonts w:cs="Arial"/>
                <w:color w:val="0D0D0D" w:themeColor="text1" w:themeTint="F2"/>
                <w:spacing w:val="-4"/>
              </w:rPr>
              <w:t xml:space="preserve">VI vystoupala na konci </w:t>
            </w:r>
            <w:r>
              <w:rPr>
                <w:rFonts w:cs="Arial"/>
                <w:color w:val="0D0D0D" w:themeColor="text1" w:themeTint="F2"/>
                <w:spacing w:val="-4"/>
              </w:rPr>
              <w:t>2. čtvrtletí 2020 na 39,9</w:t>
            </w:r>
            <w:r w:rsidRPr="008870C0">
              <w:rPr>
                <w:rFonts w:cs="Arial"/>
                <w:color w:val="0D0D0D" w:themeColor="text1" w:themeTint="F2"/>
                <w:spacing w:val="-4"/>
              </w:rPr>
              <w:t> % HDP. Mezičtvrtletní nárůst činil 7,2</w:t>
            </w:r>
            <w:r>
              <w:rPr>
                <w:rFonts w:cs="Arial"/>
                <w:color w:val="0D0D0D" w:themeColor="text1" w:themeTint="F2"/>
                <w:spacing w:val="-4"/>
              </w:rPr>
              <w:t> p. b.</w:t>
            </w:r>
            <w:r w:rsidRPr="008870C0">
              <w:rPr>
                <w:rFonts w:cs="Arial"/>
                <w:color w:val="0D0D0D" w:themeColor="text1" w:themeTint="F2"/>
                <w:spacing w:val="-4"/>
              </w:rPr>
              <w:t>, což bylo</w:t>
            </w:r>
            <w:r>
              <w:rPr>
                <w:rFonts w:cs="Arial"/>
                <w:color w:val="0D0D0D" w:themeColor="text1" w:themeTint="F2"/>
                <w:spacing w:val="-4"/>
              </w:rPr>
              <w:t xml:space="preserve"> </w:t>
            </w:r>
            <w:r w:rsidRPr="008870C0">
              <w:rPr>
                <w:rFonts w:cs="Arial"/>
                <w:color w:val="0D0D0D" w:themeColor="text1" w:themeTint="F2"/>
                <w:spacing w:val="-4"/>
              </w:rPr>
              <w:t xml:space="preserve">nejvíce </w:t>
            </w:r>
            <w:r>
              <w:rPr>
                <w:rFonts w:cs="Arial"/>
                <w:color w:val="0D0D0D" w:themeColor="text1" w:themeTint="F2"/>
                <w:spacing w:val="-4"/>
              </w:rPr>
              <w:t>od začátku</w:t>
            </w:r>
            <w:r w:rsidRPr="008870C0">
              <w:rPr>
                <w:rFonts w:cs="Arial"/>
                <w:color w:val="0D0D0D" w:themeColor="text1" w:themeTint="F2"/>
                <w:spacing w:val="-4"/>
              </w:rPr>
              <w:t xml:space="preserve"> tisíciletí. Míra zadlužení se tak po příznivém vývoji v posledních letech vrátila na úroveň roku 2015.</w:t>
            </w:r>
          </w:p>
        </w:tc>
      </w:tr>
      <w:tr w:rsidR="000663F0" w:rsidRPr="00343AC1" w14:paraId="79EAC512" w14:textId="77777777" w:rsidTr="00361FB7">
        <w:trPr>
          <w:trHeight w:val="170"/>
        </w:trPr>
        <w:tc>
          <w:tcPr>
            <w:tcW w:w="1732" w:type="dxa"/>
            <w:shd w:val="clear" w:color="auto" w:fill="auto"/>
            <w:tcMar>
              <w:left w:w="0" w:type="dxa"/>
            </w:tcMar>
          </w:tcPr>
          <w:p w14:paraId="3D8D0C2D" w14:textId="77777777" w:rsidR="000663F0" w:rsidRDefault="000663F0" w:rsidP="00361FB7">
            <w:pPr>
              <w:pStyle w:val="Marginlie"/>
            </w:pPr>
            <w:r>
              <w:t>Deficit hospodaření sektoru vládních institucí byl v celé EU ve 2. čtvrtletí téměř dvakrát hlubší než v Česku.</w:t>
            </w:r>
          </w:p>
          <w:p w14:paraId="6718E2E0" w14:textId="77777777" w:rsidR="000663F0" w:rsidRDefault="000663F0" w:rsidP="00361FB7">
            <w:pPr>
              <w:pStyle w:val="Marginlie"/>
            </w:pPr>
          </w:p>
          <w:p w14:paraId="40C4A4FC" w14:textId="77777777" w:rsidR="000663F0" w:rsidRDefault="000663F0" w:rsidP="00361FB7">
            <w:pPr>
              <w:pStyle w:val="Marginlie"/>
            </w:pPr>
          </w:p>
          <w:p w14:paraId="52FA29D1" w14:textId="77777777" w:rsidR="000663F0" w:rsidRDefault="000663F0" w:rsidP="00361FB7">
            <w:pPr>
              <w:pStyle w:val="Marginlie"/>
            </w:pPr>
          </w:p>
          <w:p w14:paraId="622321B2" w14:textId="77777777" w:rsidR="000663F0" w:rsidRDefault="000663F0" w:rsidP="00361FB7">
            <w:pPr>
              <w:pStyle w:val="Marginlie"/>
            </w:pPr>
          </w:p>
          <w:p w14:paraId="78D0A3A5" w14:textId="77777777" w:rsidR="000663F0" w:rsidRDefault="000663F0" w:rsidP="00361FB7">
            <w:pPr>
              <w:pStyle w:val="Marginlie"/>
            </w:pPr>
          </w:p>
          <w:p w14:paraId="7722E60D" w14:textId="77777777" w:rsidR="000663F0" w:rsidRDefault="000663F0" w:rsidP="00361FB7">
            <w:pPr>
              <w:pStyle w:val="Marginlie"/>
            </w:pPr>
            <w:r>
              <w:t>Míra zadlužení v Unii dosáhla na konci 2. čtvrtletí rekordních 87,8 % HDP. V Česku byla mezi členy Unie pátá nejnižší.</w:t>
            </w:r>
          </w:p>
        </w:tc>
        <w:tc>
          <w:tcPr>
            <w:tcW w:w="217" w:type="dxa"/>
            <w:shd w:val="clear" w:color="auto" w:fill="auto"/>
            <w:tcMar>
              <w:left w:w="0" w:type="dxa"/>
            </w:tcMar>
          </w:tcPr>
          <w:p w14:paraId="10E07D55" w14:textId="77777777" w:rsidR="000663F0" w:rsidRPr="008E181A" w:rsidRDefault="000663F0" w:rsidP="00361FB7">
            <w:pPr>
              <w:pStyle w:val="Textpoznpodarou"/>
              <w:jc w:val="both"/>
              <w:rPr>
                <w:spacing w:val="-6"/>
              </w:rPr>
            </w:pPr>
          </w:p>
        </w:tc>
        <w:tc>
          <w:tcPr>
            <w:tcW w:w="7720" w:type="dxa"/>
            <w:shd w:val="clear" w:color="auto" w:fill="auto"/>
            <w:tcMar>
              <w:left w:w="0" w:type="dxa"/>
            </w:tcMar>
          </w:tcPr>
          <w:p w14:paraId="0F34DC0E" w14:textId="77777777" w:rsidR="000663F0" w:rsidRPr="006C57B3" w:rsidRDefault="000663F0" w:rsidP="00361FB7">
            <w:pPr>
              <w:pStyle w:val="Textpoznpodarou"/>
              <w:spacing w:after="220" w:line="276" w:lineRule="auto"/>
              <w:jc w:val="both"/>
              <w:rPr>
                <w:rFonts w:cs="Arial"/>
                <w:color w:val="0D0D0D" w:themeColor="text1" w:themeTint="F2"/>
                <w:spacing w:val="-2"/>
              </w:rPr>
            </w:pPr>
            <w:r w:rsidRPr="006C57B3">
              <w:rPr>
                <w:rFonts w:cs="Arial"/>
                <w:color w:val="0D0D0D" w:themeColor="text1" w:themeTint="F2"/>
                <w:spacing w:val="-2"/>
              </w:rPr>
              <w:t>Zhoršování stavu veřejných financí se citelněji než v Česku projevilo v EU. Jestliže ve 4. čtvrtletí 2019 bylo sezónně očištěné saldo hospodaření sektoru</w:t>
            </w:r>
            <w:r>
              <w:rPr>
                <w:rFonts w:cs="Arial"/>
                <w:color w:val="0D0D0D" w:themeColor="text1" w:themeTint="F2"/>
                <w:spacing w:val="-2"/>
              </w:rPr>
              <w:t> </w:t>
            </w:r>
            <w:r w:rsidRPr="006C57B3">
              <w:rPr>
                <w:rFonts w:cs="Arial"/>
                <w:color w:val="0D0D0D" w:themeColor="text1" w:themeTint="F2"/>
                <w:spacing w:val="-2"/>
              </w:rPr>
              <w:t>VI stabilizované (</w:t>
            </w:r>
            <w:r>
              <w:rPr>
                <w:rFonts w:cs="Arial"/>
                <w:color w:val="0D0D0D" w:themeColor="text1" w:themeTint="F2"/>
                <w:spacing w:val="-2"/>
              </w:rPr>
              <w:t>–</w:t>
            </w:r>
            <w:r w:rsidRPr="006C57B3">
              <w:rPr>
                <w:rFonts w:cs="Arial"/>
                <w:color w:val="0D0D0D" w:themeColor="text1" w:themeTint="F2"/>
                <w:spacing w:val="-2"/>
              </w:rPr>
              <w:t>0,8</w:t>
            </w:r>
            <w:r>
              <w:rPr>
                <w:rFonts w:cs="Arial"/>
                <w:color w:val="0D0D0D" w:themeColor="text1" w:themeTint="F2"/>
                <w:spacing w:val="-2"/>
              </w:rPr>
              <w:t xml:space="preserve"> % </w:t>
            </w:r>
            <w:r w:rsidRPr="006C57B3">
              <w:rPr>
                <w:rFonts w:cs="Arial"/>
                <w:color w:val="0D0D0D" w:themeColor="text1" w:themeTint="F2"/>
                <w:spacing w:val="-2"/>
              </w:rPr>
              <w:t xml:space="preserve">HDP), v následujícím kvartálu se zhoršilo na </w:t>
            </w:r>
            <w:r>
              <w:rPr>
                <w:rFonts w:cs="Arial"/>
                <w:color w:val="0D0D0D" w:themeColor="text1" w:themeTint="F2"/>
                <w:spacing w:val="-2"/>
              </w:rPr>
              <w:t>–</w:t>
            </w:r>
            <w:r w:rsidRPr="006C57B3">
              <w:rPr>
                <w:rFonts w:cs="Arial"/>
                <w:color w:val="0D0D0D" w:themeColor="text1" w:themeTint="F2"/>
                <w:spacing w:val="-2"/>
              </w:rPr>
              <w:t>2,8</w:t>
            </w:r>
            <w:r>
              <w:rPr>
                <w:rFonts w:cs="Arial"/>
                <w:color w:val="0D0D0D" w:themeColor="text1" w:themeTint="F2"/>
                <w:spacing w:val="-2"/>
              </w:rPr>
              <w:t> %</w:t>
            </w:r>
            <w:r w:rsidRPr="006C57B3">
              <w:rPr>
                <w:rFonts w:cs="Arial"/>
                <w:color w:val="0D0D0D" w:themeColor="text1" w:themeTint="F2"/>
                <w:spacing w:val="-2"/>
              </w:rPr>
              <w:t xml:space="preserve"> HDP a</w:t>
            </w:r>
            <w:r>
              <w:rPr>
                <w:rFonts w:cs="Arial"/>
                <w:color w:val="0D0D0D" w:themeColor="text1" w:themeTint="F2"/>
                <w:spacing w:val="-2"/>
              </w:rPr>
              <w:t> </w:t>
            </w:r>
            <w:r w:rsidRPr="006C57B3">
              <w:rPr>
                <w:rFonts w:cs="Arial"/>
                <w:color w:val="0D0D0D" w:themeColor="text1" w:themeTint="F2"/>
                <w:spacing w:val="-2"/>
              </w:rPr>
              <w:t>ve 2.</w:t>
            </w:r>
            <w:r>
              <w:rPr>
                <w:rFonts w:cs="Arial"/>
                <w:color w:val="0D0D0D" w:themeColor="text1" w:themeTint="F2"/>
                <w:spacing w:val="-2"/>
              </w:rPr>
              <w:t> čtvrtlet</w:t>
            </w:r>
            <w:r w:rsidRPr="006C57B3">
              <w:rPr>
                <w:rFonts w:cs="Arial"/>
                <w:color w:val="0D0D0D" w:themeColor="text1" w:themeTint="F2"/>
                <w:spacing w:val="-2"/>
              </w:rPr>
              <w:t xml:space="preserve">í 2020 propadlo na rekordních </w:t>
            </w:r>
            <w:r>
              <w:rPr>
                <w:rFonts w:cs="Arial"/>
                <w:color w:val="0D0D0D" w:themeColor="text1" w:themeTint="F2"/>
                <w:spacing w:val="-2"/>
              </w:rPr>
              <w:t>–</w:t>
            </w:r>
            <w:r w:rsidRPr="006C57B3">
              <w:rPr>
                <w:rFonts w:cs="Arial"/>
                <w:color w:val="0D0D0D" w:themeColor="text1" w:themeTint="F2"/>
                <w:spacing w:val="-2"/>
              </w:rPr>
              <w:t>11,4</w:t>
            </w:r>
            <w:r>
              <w:rPr>
                <w:rFonts w:cs="Arial"/>
                <w:color w:val="0D0D0D" w:themeColor="text1" w:themeTint="F2"/>
                <w:spacing w:val="-2"/>
              </w:rPr>
              <w:t> %</w:t>
            </w:r>
            <w:r w:rsidRPr="006C57B3">
              <w:rPr>
                <w:rFonts w:cs="Arial"/>
                <w:color w:val="0D0D0D" w:themeColor="text1" w:themeTint="F2"/>
                <w:spacing w:val="-2"/>
              </w:rPr>
              <w:t xml:space="preserve"> HDP. Z dostupných údajů</w:t>
            </w:r>
            <w:r w:rsidRPr="006C57B3">
              <w:rPr>
                <w:rStyle w:val="Znakapoznpodarou"/>
                <w:color w:val="0D0D0D" w:themeColor="text1" w:themeTint="F2"/>
                <w:spacing w:val="-2"/>
              </w:rPr>
              <w:footnoteReference w:id="19"/>
            </w:r>
            <w:r w:rsidRPr="006C57B3">
              <w:rPr>
                <w:rFonts w:cs="Arial"/>
                <w:color w:val="0D0D0D" w:themeColor="text1" w:themeTint="F2"/>
                <w:spacing w:val="-2"/>
              </w:rPr>
              <w:t xml:space="preserve"> za jednotlivé státy EU plyne, že nejhlubších deficitů dosáhly v 1.</w:t>
            </w:r>
            <w:r>
              <w:rPr>
                <w:rFonts w:cs="Arial"/>
                <w:color w:val="0D0D0D" w:themeColor="text1" w:themeTint="F2"/>
                <w:spacing w:val="-2"/>
              </w:rPr>
              <w:t> pololet</w:t>
            </w:r>
            <w:r w:rsidRPr="006C57B3">
              <w:rPr>
                <w:rFonts w:cs="Arial"/>
                <w:color w:val="0D0D0D" w:themeColor="text1" w:themeTint="F2"/>
                <w:spacing w:val="-2"/>
              </w:rPr>
              <w:t>í Polsko (</w:t>
            </w:r>
            <w:r>
              <w:rPr>
                <w:rFonts w:cs="Arial"/>
                <w:color w:val="0D0D0D" w:themeColor="text1" w:themeTint="F2"/>
                <w:spacing w:val="-2"/>
              </w:rPr>
              <w:t>–</w:t>
            </w:r>
            <w:r w:rsidRPr="006C57B3">
              <w:rPr>
                <w:rFonts w:cs="Arial"/>
                <w:color w:val="0D0D0D" w:themeColor="text1" w:themeTint="F2"/>
                <w:spacing w:val="-2"/>
              </w:rPr>
              <w:t>11,9</w:t>
            </w:r>
            <w:r>
              <w:rPr>
                <w:rFonts w:cs="Arial"/>
                <w:color w:val="0D0D0D" w:themeColor="text1" w:themeTint="F2"/>
                <w:spacing w:val="-2"/>
              </w:rPr>
              <w:t> %</w:t>
            </w:r>
            <w:r w:rsidRPr="006C57B3">
              <w:rPr>
                <w:rFonts w:cs="Arial"/>
                <w:color w:val="0D0D0D" w:themeColor="text1" w:themeTint="F2"/>
                <w:spacing w:val="-2"/>
              </w:rPr>
              <w:t xml:space="preserve">) </w:t>
            </w:r>
            <w:r>
              <w:rPr>
                <w:rFonts w:cs="Arial"/>
                <w:color w:val="0D0D0D" w:themeColor="text1" w:themeTint="F2"/>
                <w:spacing w:val="-2"/>
              </w:rPr>
              <w:t>a </w:t>
            </w:r>
            <w:r w:rsidRPr="006C57B3">
              <w:rPr>
                <w:rFonts w:cs="Arial"/>
                <w:color w:val="0D0D0D" w:themeColor="text1" w:themeTint="F2"/>
                <w:spacing w:val="-2"/>
              </w:rPr>
              <w:t>Slovinsko (</w:t>
            </w:r>
            <w:r>
              <w:rPr>
                <w:rFonts w:cs="Arial"/>
                <w:color w:val="0D0D0D" w:themeColor="text1" w:themeTint="F2"/>
                <w:spacing w:val="-2"/>
              </w:rPr>
              <w:t>–</w:t>
            </w:r>
            <w:r w:rsidRPr="006C57B3">
              <w:rPr>
                <w:rFonts w:cs="Arial"/>
                <w:color w:val="0D0D0D" w:themeColor="text1" w:themeTint="F2"/>
                <w:spacing w:val="-2"/>
              </w:rPr>
              <w:t>10,5</w:t>
            </w:r>
            <w:r>
              <w:rPr>
                <w:rFonts w:cs="Arial"/>
                <w:color w:val="0D0D0D" w:themeColor="text1" w:themeTint="F2"/>
                <w:spacing w:val="-2"/>
              </w:rPr>
              <w:t> %</w:t>
            </w:r>
            <w:r w:rsidRPr="006C57B3">
              <w:rPr>
                <w:rFonts w:cs="Arial"/>
                <w:color w:val="0D0D0D" w:themeColor="text1" w:themeTint="F2"/>
                <w:spacing w:val="-2"/>
              </w:rPr>
              <w:t>), nejnižších Dánsko (</w:t>
            </w:r>
            <w:r>
              <w:rPr>
                <w:rFonts w:cs="Arial"/>
                <w:color w:val="0D0D0D" w:themeColor="text1" w:themeTint="F2"/>
                <w:spacing w:val="-2"/>
              </w:rPr>
              <w:t>–</w:t>
            </w:r>
            <w:r w:rsidRPr="006C57B3">
              <w:rPr>
                <w:rFonts w:cs="Arial"/>
                <w:color w:val="0D0D0D" w:themeColor="text1" w:themeTint="F2"/>
                <w:spacing w:val="-2"/>
              </w:rPr>
              <w:t>1,9 %) a</w:t>
            </w:r>
            <w:r>
              <w:rPr>
                <w:rFonts w:cs="Arial"/>
                <w:color w:val="0D0D0D" w:themeColor="text1" w:themeTint="F2"/>
                <w:spacing w:val="-2"/>
              </w:rPr>
              <w:t> </w:t>
            </w:r>
            <w:r w:rsidRPr="006C57B3">
              <w:rPr>
                <w:rFonts w:cs="Arial"/>
                <w:color w:val="0D0D0D" w:themeColor="text1" w:themeTint="F2"/>
                <w:spacing w:val="-2"/>
              </w:rPr>
              <w:t>Bulharsko (</w:t>
            </w:r>
            <w:r>
              <w:rPr>
                <w:rFonts w:cs="Arial"/>
                <w:color w:val="0D0D0D" w:themeColor="text1" w:themeTint="F2"/>
                <w:spacing w:val="-2"/>
              </w:rPr>
              <w:t>–</w:t>
            </w:r>
            <w:r w:rsidRPr="006C57B3">
              <w:rPr>
                <w:rFonts w:cs="Arial"/>
                <w:color w:val="0D0D0D" w:themeColor="text1" w:themeTint="F2"/>
                <w:spacing w:val="-2"/>
              </w:rPr>
              <w:t>3,2</w:t>
            </w:r>
            <w:r>
              <w:rPr>
                <w:rFonts w:cs="Arial"/>
                <w:color w:val="0D0D0D" w:themeColor="text1" w:themeTint="F2"/>
                <w:spacing w:val="-2"/>
              </w:rPr>
              <w:t> %</w:t>
            </w:r>
            <w:r w:rsidRPr="006C57B3">
              <w:rPr>
                <w:rFonts w:cs="Arial"/>
                <w:color w:val="0D0D0D" w:themeColor="text1" w:themeTint="F2"/>
                <w:spacing w:val="-2"/>
              </w:rPr>
              <w:t>). Ze států mimo EU postihl velmi hluboký schodek Velkou Británii (</w:t>
            </w:r>
            <w:r>
              <w:rPr>
                <w:rFonts w:cs="Arial"/>
                <w:color w:val="0D0D0D" w:themeColor="text1" w:themeTint="F2"/>
                <w:spacing w:val="-2"/>
              </w:rPr>
              <w:t>–</w:t>
            </w:r>
            <w:r w:rsidRPr="006C57B3">
              <w:rPr>
                <w:rFonts w:cs="Arial"/>
                <w:color w:val="0D0D0D" w:themeColor="text1" w:themeTint="F2"/>
                <w:spacing w:val="-2"/>
              </w:rPr>
              <w:t>13,4</w:t>
            </w:r>
            <w:r>
              <w:rPr>
                <w:rFonts w:cs="Arial"/>
                <w:color w:val="0D0D0D" w:themeColor="text1" w:themeTint="F2"/>
                <w:spacing w:val="-2"/>
              </w:rPr>
              <w:t> %</w:t>
            </w:r>
            <w:r w:rsidRPr="006C57B3">
              <w:rPr>
                <w:rFonts w:cs="Arial"/>
                <w:color w:val="0D0D0D" w:themeColor="text1" w:themeTint="F2"/>
                <w:spacing w:val="-2"/>
              </w:rPr>
              <w:t>). Tento vývoj se musel podepsat i</w:t>
            </w:r>
            <w:r>
              <w:rPr>
                <w:rFonts w:cs="Arial"/>
                <w:color w:val="0D0D0D" w:themeColor="text1" w:themeTint="F2"/>
                <w:spacing w:val="-2"/>
              </w:rPr>
              <w:t> </w:t>
            </w:r>
            <w:r w:rsidRPr="006C57B3">
              <w:rPr>
                <w:rFonts w:cs="Arial"/>
                <w:color w:val="0D0D0D" w:themeColor="text1" w:themeTint="F2"/>
                <w:spacing w:val="-2"/>
              </w:rPr>
              <w:t>na míře zadlužení. Ta v celé EU akcelerovala ze 79,4 % HDP z konce 1.</w:t>
            </w:r>
            <w:r>
              <w:rPr>
                <w:rFonts w:cs="Arial"/>
                <w:color w:val="0D0D0D" w:themeColor="text1" w:themeTint="F2"/>
                <w:spacing w:val="-2"/>
              </w:rPr>
              <w:t> čtvrtlet</w:t>
            </w:r>
            <w:r w:rsidRPr="006C57B3">
              <w:rPr>
                <w:rFonts w:cs="Arial"/>
                <w:color w:val="0D0D0D" w:themeColor="text1" w:themeTint="F2"/>
                <w:spacing w:val="-2"/>
              </w:rPr>
              <w:t>í 2020 na 87,8</w:t>
            </w:r>
            <w:r>
              <w:rPr>
                <w:rFonts w:cs="Arial"/>
                <w:color w:val="0D0D0D" w:themeColor="text1" w:themeTint="F2"/>
                <w:spacing w:val="-2"/>
              </w:rPr>
              <w:t> %</w:t>
            </w:r>
            <w:r w:rsidRPr="006C57B3">
              <w:rPr>
                <w:rFonts w:cs="Arial"/>
                <w:color w:val="0D0D0D" w:themeColor="text1" w:themeTint="F2"/>
                <w:spacing w:val="-2"/>
              </w:rPr>
              <w:t xml:space="preserve"> HDP v následujícím</w:t>
            </w:r>
            <w:r>
              <w:rPr>
                <w:rFonts w:cs="Arial"/>
                <w:color w:val="0D0D0D" w:themeColor="text1" w:themeTint="F2"/>
                <w:spacing w:val="-2"/>
              </w:rPr>
              <w:t xml:space="preserve"> kvartálu</w:t>
            </w:r>
            <w:r w:rsidRPr="006C57B3">
              <w:rPr>
                <w:rFonts w:cs="Arial"/>
                <w:color w:val="0D0D0D" w:themeColor="text1" w:themeTint="F2"/>
                <w:spacing w:val="-2"/>
              </w:rPr>
              <w:t>. Zadlužení zároveň překonalo dosud rekordní úroveň z roku 2014 (87,5</w:t>
            </w:r>
            <w:r>
              <w:rPr>
                <w:rFonts w:cs="Arial"/>
                <w:color w:val="0D0D0D" w:themeColor="text1" w:themeTint="F2"/>
                <w:spacing w:val="-2"/>
              </w:rPr>
              <w:t> %</w:t>
            </w:r>
            <w:r w:rsidRPr="006C57B3">
              <w:rPr>
                <w:rFonts w:cs="Arial"/>
                <w:color w:val="0D0D0D" w:themeColor="text1" w:themeTint="F2"/>
                <w:spacing w:val="-2"/>
              </w:rPr>
              <w:t xml:space="preserve"> HDP). Během 1.</w:t>
            </w:r>
            <w:r>
              <w:rPr>
                <w:rFonts w:cs="Arial"/>
                <w:color w:val="0D0D0D" w:themeColor="text1" w:themeTint="F2"/>
                <w:spacing w:val="-2"/>
              </w:rPr>
              <w:t> pololet</w:t>
            </w:r>
            <w:r w:rsidRPr="006C57B3">
              <w:rPr>
                <w:rFonts w:cs="Arial"/>
                <w:color w:val="0D0D0D" w:themeColor="text1" w:themeTint="F2"/>
                <w:spacing w:val="-2"/>
              </w:rPr>
              <w:t>í 2020 došlo k nárůstu míry zadlužení ve všech státech Unie</w:t>
            </w:r>
            <w:r>
              <w:rPr>
                <w:rFonts w:cs="Arial"/>
                <w:color w:val="0D0D0D" w:themeColor="text1" w:themeTint="F2"/>
                <w:spacing w:val="-2"/>
              </w:rPr>
              <w:t> </w:t>
            </w:r>
            <w:r w:rsidRPr="006C57B3">
              <w:rPr>
                <w:rFonts w:cs="Arial"/>
                <w:color w:val="0D0D0D" w:themeColor="text1" w:themeTint="F2"/>
                <w:spacing w:val="-2"/>
              </w:rPr>
              <w:t>– bohužel nejvíce v</w:t>
            </w:r>
            <w:r>
              <w:rPr>
                <w:rFonts w:cs="Arial"/>
                <w:color w:val="0D0D0D" w:themeColor="text1" w:themeTint="F2"/>
                <w:spacing w:val="-2"/>
              </w:rPr>
              <w:t> </w:t>
            </w:r>
            <w:r w:rsidRPr="006C57B3">
              <w:rPr>
                <w:rFonts w:cs="Arial"/>
                <w:color w:val="0D0D0D" w:themeColor="text1" w:themeTint="F2"/>
                <w:spacing w:val="-2"/>
              </w:rPr>
              <w:t xml:space="preserve">těch, které se </w:t>
            </w:r>
            <w:r>
              <w:rPr>
                <w:rFonts w:cs="Arial"/>
                <w:color w:val="0D0D0D" w:themeColor="text1" w:themeTint="F2"/>
                <w:spacing w:val="-2"/>
              </w:rPr>
              <w:t>s </w:t>
            </w:r>
            <w:r w:rsidRPr="006C57B3">
              <w:rPr>
                <w:rFonts w:cs="Arial"/>
                <w:color w:val="0D0D0D" w:themeColor="text1" w:themeTint="F2"/>
                <w:spacing w:val="-2"/>
              </w:rPr>
              <w:t>výraznými dluhovými problémy potýkaly ještě před „pandemickou krizí“ (Kypr, Belgie, Francie, Itálie, Španělsko). Nárůst míry zadlužení v Česku (o</w:t>
            </w:r>
            <w:r>
              <w:rPr>
                <w:rFonts w:cs="Arial"/>
                <w:color w:val="0D0D0D" w:themeColor="text1" w:themeTint="F2"/>
                <w:spacing w:val="-2"/>
              </w:rPr>
              <w:t> </w:t>
            </w:r>
            <w:r w:rsidRPr="006C57B3">
              <w:rPr>
                <w:rFonts w:cs="Arial"/>
                <w:color w:val="0D0D0D" w:themeColor="text1" w:themeTint="F2"/>
                <w:spacing w:val="-2"/>
              </w:rPr>
              <w:t>9,7</w:t>
            </w:r>
            <w:r>
              <w:rPr>
                <w:rFonts w:cs="Arial"/>
                <w:color w:val="0D0D0D" w:themeColor="text1" w:themeTint="F2"/>
                <w:spacing w:val="-2"/>
              </w:rPr>
              <w:t> p. b.</w:t>
            </w:r>
            <w:r w:rsidRPr="006C57B3">
              <w:rPr>
                <w:rFonts w:cs="Arial"/>
                <w:color w:val="0D0D0D" w:themeColor="text1" w:themeTint="F2"/>
                <w:spacing w:val="-2"/>
              </w:rPr>
              <w:t xml:space="preserve">) patřil v rámci EU k průměrným. </w:t>
            </w:r>
            <w:r>
              <w:rPr>
                <w:rFonts w:cs="Arial"/>
                <w:color w:val="0D0D0D" w:themeColor="text1" w:themeTint="F2"/>
                <w:spacing w:val="-2"/>
              </w:rPr>
              <w:t>Ze</w:t>
            </w:r>
            <w:r w:rsidRPr="006C57B3">
              <w:rPr>
                <w:rFonts w:cs="Arial"/>
                <w:color w:val="0D0D0D" w:themeColor="text1" w:themeTint="F2"/>
                <w:spacing w:val="-2"/>
              </w:rPr>
              <w:t xml:space="preserve"> států, které se vyznačovaly nízkou mírou zadlužení, byl během 1.</w:t>
            </w:r>
            <w:r>
              <w:rPr>
                <w:rFonts w:cs="Arial"/>
                <w:color w:val="0D0D0D" w:themeColor="text1" w:themeTint="F2"/>
                <w:spacing w:val="-2"/>
              </w:rPr>
              <w:t> pololet</w:t>
            </w:r>
            <w:r w:rsidRPr="006C57B3">
              <w:rPr>
                <w:rFonts w:cs="Arial"/>
                <w:color w:val="0D0D0D" w:themeColor="text1" w:themeTint="F2"/>
                <w:spacing w:val="-2"/>
              </w:rPr>
              <w:t>í 2020 zaznamenán nadprůměrný růst dluhu jen v Estonsku (z</w:t>
            </w:r>
            <w:r>
              <w:rPr>
                <w:rFonts w:cs="Arial"/>
                <w:color w:val="0D0D0D" w:themeColor="text1" w:themeTint="F2"/>
                <w:spacing w:val="-2"/>
              </w:rPr>
              <w:t> </w:t>
            </w:r>
            <w:r w:rsidRPr="006C57B3">
              <w:rPr>
                <w:rFonts w:cs="Arial"/>
                <w:color w:val="0D0D0D" w:themeColor="text1" w:themeTint="F2"/>
                <w:spacing w:val="-2"/>
              </w:rPr>
              <w:t>8,4</w:t>
            </w:r>
            <w:r>
              <w:rPr>
                <w:rFonts w:cs="Arial"/>
                <w:color w:val="0D0D0D" w:themeColor="text1" w:themeTint="F2"/>
                <w:spacing w:val="-2"/>
              </w:rPr>
              <w:t> %</w:t>
            </w:r>
            <w:r w:rsidRPr="006C57B3">
              <w:rPr>
                <w:rFonts w:cs="Arial"/>
                <w:color w:val="0D0D0D" w:themeColor="text1" w:themeTint="F2"/>
                <w:spacing w:val="-2"/>
              </w:rPr>
              <w:t xml:space="preserve"> na 18,5</w:t>
            </w:r>
            <w:r>
              <w:rPr>
                <w:rFonts w:cs="Arial"/>
                <w:color w:val="0D0D0D" w:themeColor="text1" w:themeTint="F2"/>
                <w:spacing w:val="-2"/>
              </w:rPr>
              <w:t> %</w:t>
            </w:r>
            <w:r w:rsidRPr="006C57B3">
              <w:rPr>
                <w:rFonts w:cs="Arial"/>
                <w:color w:val="0D0D0D" w:themeColor="text1" w:themeTint="F2"/>
                <w:spacing w:val="-2"/>
              </w:rPr>
              <w:t xml:space="preserve"> HDP). To si i</w:t>
            </w:r>
            <w:r>
              <w:rPr>
                <w:rFonts w:cs="Arial"/>
                <w:color w:val="0D0D0D" w:themeColor="text1" w:themeTint="F2"/>
                <w:spacing w:val="-2"/>
              </w:rPr>
              <w:t> </w:t>
            </w:r>
            <w:r w:rsidRPr="006C57B3">
              <w:rPr>
                <w:rFonts w:cs="Arial"/>
                <w:color w:val="0D0D0D" w:themeColor="text1" w:themeTint="F2"/>
                <w:spacing w:val="-2"/>
              </w:rPr>
              <w:t xml:space="preserve">tak v rámci EU drželo pozici státu </w:t>
            </w:r>
            <w:r>
              <w:rPr>
                <w:rFonts w:cs="Arial"/>
                <w:color w:val="0D0D0D" w:themeColor="text1" w:themeTint="F2"/>
                <w:spacing w:val="-2"/>
              </w:rPr>
              <w:t>s </w:t>
            </w:r>
            <w:r w:rsidRPr="006C57B3">
              <w:rPr>
                <w:rFonts w:cs="Arial"/>
                <w:color w:val="0D0D0D" w:themeColor="text1" w:themeTint="F2"/>
                <w:spacing w:val="-2"/>
              </w:rPr>
              <w:t>nejnižší mírou zadlužení (následované Bulharskem, Lucemburskem, Švédskem a</w:t>
            </w:r>
            <w:r>
              <w:rPr>
                <w:rFonts w:cs="Arial"/>
                <w:color w:val="0D0D0D" w:themeColor="text1" w:themeTint="F2"/>
                <w:spacing w:val="-2"/>
              </w:rPr>
              <w:t> </w:t>
            </w:r>
            <w:r w:rsidRPr="006C57B3">
              <w:rPr>
                <w:rFonts w:cs="Arial"/>
                <w:color w:val="0D0D0D" w:themeColor="text1" w:themeTint="F2"/>
                <w:spacing w:val="-2"/>
              </w:rPr>
              <w:t>ČR).</w:t>
            </w:r>
          </w:p>
        </w:tc>
      </w:tr>
      <w:bookmarkEnd w:id="0"/>
    </w:tbl>
    <w:p w14:paraId="3E974863" w14:textId="7F85E6B3" w:rsidR="000663F0" w:rsidRPr="00E42054" w:rsidRDefault="000663F0" w:rsidP="000663F0">
      <w:pPr>
        <w:pStyle w:val="Nadpis11"/>
        <w:spacing w:after="0"/>
        <w:rPr>
          <w:b w:val="0"/>
          <w:sz w:val="2"/>
          <w:szCs w:val="2"/>
        </w:rPr>
      </w:pPr>
    </w:p>
    <w:sectPr w:rsidR="000663F0" w:rsidRPr="00E42054" w:rsidSect="00BF1221">
      <w:headerReference w:type="even" r:id="rId11"/>
      <w:headerReference w:type="default" r:id="rId12"/>
      <w:footerReference w:type="even" r:id="rId13"/>
      <w:footerReference w:type="default" r:id="rId14"/>
      <w:pgSz w:w="11906" w:h="16838" w:code="9"/>
      <w:pgMar w:top="1134" w:right="1134" w:bottom="1418" w:left="1134" w:header="680" w:footer="737"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D51C5" w14:textId="77777777" w:rsidR="0060120D" w:rsidRDefault="0060120D" w:rsidP="00E71A58">
      <w:r>
        <w:separator/>
      </w:r>
    </w:p>
  </w:endnote>
  <w:endnote w:type="continuationSeparator" w:id="0">
    <w:p w14:paraId="7E79BE89" w14:textId="77777777" w:rsidR="0060120D" w:rsidRDefault="0060120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51A0D" w14:textId="3103AF3A" w:rsidR="008D3ACD" w:rsidRPr="00932443" w:rsidRDefault="008D3ACD"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142B29">
      <w:rPr>
        <w:szCs w:val="16"/>
      </w:rPr>
      <w:t>34</w:t>
    </w:r>
    <w:r w:rsidRPr="00932443">
      <w:rPr>
        <w:szCs w:val="16"/>
      </w:rPr>
      <w:fldChar w:fldCharType="end"/>
    </w:r>
    <w:r w:rsidRPr="00932443">
      <w:rPr>
        <w:szCs w:val="16"/>
      </w:rPr>
      <w:tab/>
    </w:r>
    <w:r>
      <w:rPr>
        <w:szCs w:val="16"/>
      </w:rPr>
      <w:t>1. až 3. čtvrtletí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7E4B" w14:textId="692BEA19" w:rsidR="008D3ACD" w:rsidRPr="00932443" w:rsidRDefault="008D3ACD" w:rsidP="00FA6CB6">
    <w:pPr>
      <w:pStyle w:val="Zpat"/>
      <w:rPr>
        <w:szCs w:val="16"/>
      </w:rPr>
    </w:pPr>
    <w:r w:rsidRPr="00FA6CB6">
      <w:rPr>
        <w:szCs w:val="16"/>
      </w:rPr>
      <w:tab/>
    </w:r>
    <w:r>
      <w:rPr>
        <w:szCs w:val="16"/>
      </w:rPr>
      <w:t xml:space="preserve">1. až 3. čtvrtletí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142B29">
      <w:rPr>
        <w:rStyle w:val="ZpatChar"/>
        <w:szCs w:val="16"/>
      </w:rPr>
      <w:t>35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3E61E" w14:textId="77777777" w:rsidR="0060120D" w:rsidRDefault="0060120D" w:rsidP="00A21B4D">
      <w:pPr>
        <w:spacing w:after="0"/>
      </w:pPr>
      <w:r>
        <w:separator/>
      </w:r>
    </w:p>
  </w:footnote>
  <w:footnote w:type="continuationSeparator" w:id="0">
    <w:p w14:paraId="14D7D261" w14:textId="77777777" w:rsidR="0060120D" w:rsidRDefault="0060120D" w:rsidP="00E71A58">
      <w:r>
        <w:continuationSeparator/>
      </w:r>
    </w:p>
  </w:footnote>
  <w:footnote w:id="1">
    <w:p w14:paraId="3DAE3F79" w14:textId="77777777" w:rsidR="008D3ACD" w:rsidRPr="006E08B8" w:rsidRDefault="008D3ACD" w:rsidP="000663F0">
      <w:pPr>
        <w:pStyle w:val="Textpoznpodarou"/>
        <w:jc w:val="both"/>
        <w:rPr>
          <w:spacing w:val="-2"/>
          <w:sz w:val="16"/>
          <w:szCs w:val="16"/>
        </w:rPr>
      </w:pPr>
      <w:r w:rsidRPr="006E08B8">
        <w:rPr>
          <w:rStyle w:val="Znakapoznpodarou"/>
          <w:spacing w:val="-2"/>
          <w:sz w:val="16"/>
          <w:szCs w:val="16"/>
        </w:rPr>
        <w:footnoteRef/>
      </w:r>
      <w:r w:rsidRPr="006E08B8">
        <w:rPr>
          <w:spacing w:val="-2"/>
          <w:sz w:val="16"/>
          <w:szCs w:val="16"/>
        </w:rPr>
        <w:t xml:space="preserve"> </w:t>
      </w:r>
      <w:r w:rsidRPr="006E08B8">
        <w:rPr>
          <w:color w:val="0D0D0D" w:themeColor="text1" w:themeTint="F2"/>
          <w:spacing w:val="-2"/>
          <w:sz w:val="16"/>
          <w:szCs w:val="16"/>
        </w:rPr>
        <w:t xml:space="preserve">Pokud není uvedeno jinak, vycházejí všechny údaje týkající se státního rozpočtu </w:t>
      </w:r>
      <w:r w:rsidRPr="006E08B8">
        <w:rPr>
          <w:rFonts w:cs="Arial"/>
          <w:color w:val="0D0D0D" w:themeColor="text1" w:themeTint="F2"/>
          <w:spacing w:val="-2"/>
          <w:sz w:val="16"/>
          <w:szCs w:val="16"/>
        </w:rPr>
        <w:t>z dat Ministerstva financí o pokladním plnění.</w:t>
      </w:r>
    </w:p>
  </w:footnote>
  <w:footnote w:id="2">
    <w:p w14:paraId="60C5D248" w14:textId="77777777" w:rsidR="008D3ACD" w:rsidRPr="007265C7" w:rsidRDefault="008D3ACD" w:rsidP="000663F0">
      <w:pPr>
        <w:pStyle w:val="Textpoznpodarou"/>
        <w:rPr>
          <w:sz w:val="16"/>
          <w:szCs w:val="16"/>
        </w:rPr>
      </w:pPr>
      <w:r w:rsidRPr="007265C7">
        <w:rPr>
          <w:rStyle w:val="Znakapoznpodarou"/>
          <w:sz w:val="16"/>
          <w:szCs w:val="16"/>
        </w:rPr>
        <w:footnoteRef/>
      </w:r>
      <w:r w:rsidRPr="007265C7">
        <w:rPr>
          <w:sz w:val="16"/>
          <w:szCs w:val="16"/>
        </w:rPr>
        <w:t xml:space="preserve"> Celkem se za období od ledna do září 2020 jednalo dle propočtů MF o</w:t>
      </w:r>
      <w:r>
        <w:rPr>
          <w:sz w:val="16"/>
          <w:szCs w:val="16"/>
        </w:rPr>
        <w:t> </w:t>
      </w:r>
      <w:r w:rsidRPr="007265C7">
        <w:rPr>
          <w:sz w:val="16"/>
          <w:szCs w:val="16"/>
        </w:rPr>
        <w:t>148</w:t>
      </w:r>
      <w:r>
        <w:rPr>
          <w:sz w:val="16"/>
          <w:szCs w:val="16"/>
        </w:rPr>
        <w:t> mld. korun.</w:t>
      </w:r>
    </w:p>
  </w:footnote>
  <w:footnote w:id="3">
    <w:p w14:paraId="2020FF62" w14:textId="77777777" w:rsidR="008D3ACD" w:rsidRPr="006E08B8" w:rsidRDefault="008D3ACD" w:rsidP="000663F0">
      <w:pPr>
        <w:pStyle w:val="Textpoznpodarou"/>
        <w:jc w:val="both"/>
        <w:rPr>
          <w:spacing w:val="-2"/>
          <w:sz w:val="16"/>
          <w:szCs w:val="16"/>
        </w:rPr>
      </w:pPr>
      <w:r w:rsidRPr="006E08B8">
        <w:rPr>
          <w:rStyle w:val="Znakapoznpodarou"/>
          <w:spacing w:val="-2"/>
          <w:sz w:val="16"/>
          <w:szCs w:val="16"/>
        </w:rPr>
        <w:footnoteRef/>
      </w:r>
      <w:r>
        <w:rPr>
          <w:spacing w:val="-2"/>
          <w:sz w:val="16"/>
          <w:szCs w:val="16"/>
        </w:rPr>
        <w:t xml:space="preserve"> Původně plánovaný</w:t>
      </w:r>
      <w:r w:rsidRPr="006E08B8">
        <w:rPr>
          <w:spacing w:val="-2"/>
          <w:sz w:val="16"/>
          <w:szCs w:val="16"/>
        </w:rPr>
        <w:t xml:space="preserve"> deficit ve výši 40</w:t>
      </w:r>
      <w:r>
        <w:rPr>
          <w:spacing w:val="-2"/>
          <w:sz w:val="16"/>
          <w:szCs w:val="16"/>
        </w:rPr>
        <w:t> mld.</w:t>
      </w:r>
      <w:r w:rsidRPr="006E08B8">
        <w:rPr>
          <w:spacing w:val="-2"/>
          <w:sz w:val="16"/>
          <w:szCs w:val="16"/>
        </w:rPr>
        <w:t xml:space="preserve"> korun vycházel ze zákona o státním rozpočtu ČR (schváleného 4. prosince 2019). </w:t>
      </w:r>
      <w:r>
        <w:rPr>
          <w:color w:val="0D0D0D" w:themeColor="text1" w:themeTint="F2"/>
          <w:spacing w:val="-2"/>
          <w:sz w:val="16"/>
          <w:szCs w:val="16"/>
        </w:rPr>
        <w:t>V březnu</w:t>
      </w:r>
      <w:r w:rsidRPr="006E08B8">
        <w:rPr>
          <w:color w:val="0D0D0D" w:themeColor="text1" w:themeTint="F2"/>
          <w:spacing w:val="-2"/>
          <w:sz w:val="16"/>
          <w:szCs w:val="16"/>
        </w:rPr>
        <w:t xml:space="preserve"> a</w:t>
      </w:r>
      <w:r>
        <w:rPr>
          <w:color w:val="0D0D0D" w:themeColor="text1" w:themeTint="F2"/>
          <w:spacing w:val="-2"/>
          <w:sz w:val="16"/>
          <w:szCs w:val="16"/>
        </w:rPr>
        <w:t> dubnu 2020 vstoupily v platnost</w:t>
      </w:r>
      <w:r w:rsidRPr="006E08B8">
        <w:rPr>
          <w:color w:val="0D0D0D" w:themeColor="text1" w:themeTint="F2"/>
          <w:spacing w:val="-2"/>
          <w:sz w:val="16"/>
          <w:szCs w:val="16"/>
        </w:rPr>
        <w:t xml:space="preserve"> zákony počíta</w:t>
      </w:r>
      <w:r>
        <w:rPr>
          <w:color w:val="0D0D0D" w:themeColor="text1" w:themeTint="F2"/>
          <w:spacing w:val="-2"/>
          <w:sz w:val="16"/>
          <w:szCs w:val="16"/>
        </w:rPr>
        <w:t xml:space="preserve">jící s prohloubením deficitu </w:t>
      </w:r>
      <w:r w:rsidRPr="006E08B8">
        <w:rPr>
          <w:color w:val="0D0D0D" w:themeColor="text1" w:themeTint="F2"/>
          <w:spacing w:val="-2"/>
          <w:sz w:val="16"/>
          <w:szCs w:val="16"/>
        </w:rPr>
        <w:t>na</w:t>
      </w:r>
      <w:r>
        <w:rPr>
          <w:color w:val="0D0D0D" w:themeColor="text1" w:themeTint="F2"/>
          <w:spacing w:val="-2"/>
          <w:sz w:val="16"/>
          <w:szCs w:val="16"/>
        </w:rPr>
        <w:t xml:space="preserve"> 200, respektive </w:t>
      </w:r>
      <w:r w:rsidRPr="006E08B8">
        <w:rPr>
          <w:color w:val="0D0D0D" w:themeColor="text1" w:themeTint="F2"/>
          <w:spacing w:val="-2"/>
          <w:sz w:val="16"/>
          <w:szCs w:val="16"/>
        </w:rPr>
        <w:t>300 mld., na počátku červe</w:t>
      </w:r>
      <w:r>
        <w:rPr>
          <w:color w:val="0D0D0D" w:themeColor="text1" w:themeTint="F2"/>
          <w:spacing w:val="-2"/>
          <w:sz w:val="16"/>
          <w:szCs w:val="16"/>
        </w:rPr>
        <w:t>nce byl pak schválen dosud platný schodek 500 mld. korun.</w:t>
      </w:r>
    </w:p>
  </w:footnote>
  <w:footnote w:id="4">
    <w:p w14:paraId="2CF2034E" w14:textId="77777777" w:rsidR="008D3ACD" w:rsidRPr="00006C99" w:rsidRDefault="008D3ACD" w:rsidP="000663F0">
      <w:pPr>
        <w:autoSpaceDE w:val="0"/>
        <w:autoSpaceDN w:val="0"/>
        <w:adjustRightInd w:val="0"/>
        <w:spacing w:after="0" w:line="240" w:lineRule="auto"/>
        <w:jc w:val="left"/>
        <w:rPr>
          <w:rFonts w:eastAsia="Calibri"/>
          <w:color w:val="0D0D0D" w:themeColor="text1" w:themeTint="F2"/>
          <w:spacing w:val="-2"/>
          <w:sz w:val="16"/>
          <w:szCs w:val="16"/>
        </w:rPr>
      </w:pPr>
      <w:r w:rsidRPr="00AA0651">
        <w:rPr>
          <w:rStyle w:val="Znakapoznpodarou"/>
          <w:sz w:val="16"/>
          <w:szCs w:val="16"/>
        </w:rPr>
        <w:footnoteRef/>
      </w:r>
      <w:r w:rsidRPr="00AA0651">
        <w:rPr>
          <w:sz w:val="16"/>
          <w:szCs w:val="16"/>
        </w:rPr>
        <w:t xml:space="preserve"> </w:t>
      </w:r>
      <w:r w:rsidRPr="00AA0651">
        <w:rPr>
          <w:rFonts w:eastAsia="Calibri"/>
          <w:color w:val="0D0D0D" w:themeColor="text1" w:themeTint="F2"/>
          <w:spacing w:val="-2"/>
          <w:sz w:val="16"/>
          <w:szCs w:val="16"/>
        </w:rPr>
        <w:t>Poplatníci mohou uplatnit odpočet odhadnuté výše ztráty za zdaňovací období 2020 již v</w:t>
      </w:r>
      <w:r>
        <w:rPr>
          <w:rFonts w:eastAsia="Calibri"/>
          <w:color w:val="0D0D0D" w:themeColor="text1" w:themeTint="F2"/>
          <w:spacing w:val="-2"/>
          <w:sz w:val="16"/>
          <w:szCs w:val="16"/>
        </w:rPr>
        <w:t> </w:t>
      </w:r>
      <w:r w:rsidRPr="00AA0651">
        <w:rPr>
          <w:rFonts w:eastAsia="Calibri"/>
          <w:color w:val="0D0D0D" w:themeColor="text1" w:themeTint="F2"/>
          <w:spacing w:val="-2"/>
          <w:sz w:val="16"/>
          <w:szCs w:val="16"/>
        </w:rPr>
        <w:t>přiznání k</w:t>
      </w:r>
      <w:r>
        <w:rPr>
          <w:rFonts w:eastAsia="Calibri"/>
          <w:color w:val="0D0D0D" w:themeColor="text1" w:themeTint="F2"/>
          <w:spacing w:val="-2"/>
          <w:sz w:val="16"/>
          <w:szCs w:val="16"/>
        </w:rPr>
        <w:t> </w:t>
      </w:r>
      <w:r w:rsidRPr="00AA0651">
        <w:rPr>
          <w:rFonts w:eastAsia="Calibri"/>
          <w:color w:val="0D0D0D" w:themeColor="text1" w:themeTint="F2"/>
          <w:spacing w:val="-2"/>
          <w:sz w:val="16"/>
          <w:szCs w:val="16"/>
        </w:rPr>
        <w:t>dani</w:t>
      </w:r>
      <w:r>
        <w:rPr>
          <w:rFonts w:eastAsia="Calibri"/>
          <w:color w:val="0D0D0D" w:themeColor="text1" w:themeTint="F2"/>
          <w:spacing w:val="-2"/>
          <w:sz w:val="16"/>
          <w:szCs w:val="16"/>
        </w:rPr>
        <w:t xml:space="preserve"> </w:t>
      </w:r>
      <w:r w:rsidRPr="00AA0651">
        <w:rPr>
          <w:rFonts w:eastAsia="Calibri"/>
          <w:color w:val="0D0D0D" w:themeColor="text1" w:themeTint="F2"/>
          <w:spacing w:val="-2"/>
          <w:sz w:val="16"/>
          <w:szCs w:val="16"/>
        </w:rPr>
        <w:t>z</w:t>
      </w:r>
      <w:r>
        <w:rPr>
          <w:rFonts w:eastAsia="Calibri"/>
          <w:color w:val="0D0D0D" w:themeColor="text1" w:themeTint="F2"/>
          <w:spacing w:val="-2"/>
          <w:sz w:val="16"/>
          <w:szCs w:val="16"/>
        </w:rPr>
        <w:t> </w:t>
      </w:r>
      <w:r w:rsidRPr="00AA0651">
        <w:rPr>
          <w:rFonts w:eastAsia="Calibri"/>
          <w:color w:val="0D0D0D" w:themeColor="text1" w:themeTint="F2"/>
          <w:spacing w:val="-2"/>
          <w:sz w:val="16"/>
          <w:szCs w:val="16"/>
        </w:rPr>
        <w:t xml:space="preserve">příjmů právnických osob za </w:t>
      </w:r>
      <w:r w:rsidRPr="00006C99">
        <w:rPr>
          <w:rFonts w:eastAsia="Calibri"/>
          <w:color w:val="0D0D0D" w:themeColor="text1" w:themeTint="F2"/>
          <w:spacing w:val="-2"/>
          <w:sz w:val="16"/>
          <w:szCs w:val="16"/>
        </w:rPr>
        <w:t>zdaňovací období</w:t>
      </w:r>
      <w:r w:rsidRPr="00006C99">
        <w:rPr>
          <w:color w:val="0D0D0D" w:themeColor="text1" w:themeTint="F2"/>
          <w:spacing w:val="-2"/>
          <w:sz w:val="16"/>
          <w:szCs w:val="16"/>
        </w:rPr>
        <w:t xml:space="preserve"> 2019.</w:t>
      </w:r>
    </w:p>
  </w:footnote>
  <w:footnote w:id="5">
    <w:p w14:paraId="5B75A3B9" w14:textId="77777777" w:rsidR="008D3ACD" w:rsidRPr="006A0205" w:rsidRDefault="008D3ACD" w:rsidP="000663F0">
      <w:pPr>
        <w:pStyle w:val="Textpoznpodarou"/>
        <w:rPr>
          <w:spacing w:val="-2"/>
        </w:rPr>
      </w:pPr>
      <w:r w:rsidRPr="006A0205">
        <w:rPr>
          <w:rStyle w:val="Znakapoznpodarou"/>
          <w:spacing w:val="-2"/>
          <w:sz w:val="16"/>
          <w:szCs w:val="16"/>
        </w:rPr>
        <w:footnoteRef/>
      </w:r>
      <w:r w:rsidRPr="006A0205">
        <w:rPr>
          <w:spacing w:val="-2"/>
          <w:sz w:val="16"/>
          <w:szCs w:val="16"/>
        </w:rPr>
        <w:t xml:space="preserve"> V 1</w:t>
      </w:r>
      <w:r>
        <w:rPr>
          <w:spacing w:val="-2"/>
          <w:sz w:val="16"/>
          <w:szCs w:val="16"/>
        </w:rPr>
        <w:t>. </w:t>
      </w:r>
      <w:r w:rsidRPr="006A0205">
        <w:rPr>
          <w:spacing w:val="-2"/>
          <w:sz w:val="16"/>
          <w:szCs w:val="16"/>
        </w:rPr>
        <w:t>až 3.</w:t>
      </w:r>
      <w:r>
        <w:rPr>
          <w:spacing w:val="-2"/>
          <w:sz w:val="16"/>
          <w:szCs w:val="16"/>
        </w:rPr>
        <w:t> čtvrtlet</w:t>
      </w:r>
      <w:r w:rsidRPr="006A0205">
        <w:rPr>
          <w:spacing w:val="-2"/>
          <w:sz w:val="16"/>
          <w:szCs w:val="16"/>
        </w:rPr>
        <w:t>í 2008 kleslo celkové inkaso této daně o</w:t>
      </w:r>
      <w:r>
        <w:rPr>
          <w:spacing w:val="-2"/>
          <w:sz w:val="16"/>
          <w:szCs w:val="16"/>
        </w:rPr>
        <w:t> </w:t>
      </w:r>
      <w:r w:rsidRPr="006A0205">
        <w:rPr>
          <w:spacing w:val="-2"/>
          <w:sz w:val="16"/>
          <w:szCs w:val="16"/>
        </w:rPr>
        <w:t>7,6</w:t>
      </w:r>
      <w:r>
        <w:rPr>
          <w:spacing w:val="-2"/>
          <w:sz w:val="16"/>
          <w:szCs w:val="16"/>
        </w:rPr>
        <w:t> %</w:t>
      </w:r>
      <w:r w:rsidRPr="006A0205">
        <w:rPr>
          <w:spacing w:val="-2"/>
          <w:sz w:val="16"/>
          <w:szCs w:val="16"/>
        </w:rPr>
        <w:t>. Zásad</w:t>
      </w:r>
      <w:r>
        <w:rPr>
          <w:spacing w:val="-2"/>
          <w:sz w:val="16"/>
          <w:szCs w:val="16"/>
        </w:rPr>
        <w:t>ní vliv tehdy</w:t>
      </w:r>
      <w:r w:rsidRPr="006A0205">
        <w:rPr>
          <w:spacing w:val="-2"/>
          <w:sz w:val="16"/>
          <w:szCs w:val="16"/>
        </w:rPr>
        <w:t xml:space="preserve"> měl</w:t>
      </w:r>
      <w:r>
        <w:rPr>
          <w:spacing w:val="-2"/>
          <w:sz w:val="16"/>
          <w:szCs w:val="16"/>
        </w:rPr>
        <w:t>o zavedení rovné 15% daně ze</w:t>
      </w:r>
      <w:r w:rsidRPr="006A0205">
        <w:rPr>
          <w:spacing w:val="-2"/>
          <w:sz w:val="16"/>
          <w:szCs w:val="16"/>
        </w:rPr>
        <w:t xml:space="preserve"> superhrubé mzdy.</w:t>
      </w:r>
    </w:p>
  </w:footnote>
  <w:footnote w:id="6">
    <w:p w14:paraId="4B16C89F" w14:textId="77777777" w:rsidR="008D3ACD" w:rsidRPr="004A62DC" w:rsidRDefault="008D3ACD" w:rsidP="000663F0">
      <w:pPr>
        <w:pStyle w:val="Textpoznpodarou"/>
        <w:rPr>
          <w:sz w:val="16"/>
          <w:szCs w:val="16"/>
        </w:rPr>
      </w:pPr>
      <w:r w:rsidRPr="004A62DC">
        <w:rPr>
          <w:rStyle w:val="Znakapoznpodarou"/>
          <w:sz w:val="16"/>
          <w:szCs w:val="16"/>
        </w:rPr>
        <w:footnoteRef/>
      </w:r>
      <w:r w:rsidRPr="004A62DC">
        <w:rPr>
          <w:sz w:val="16"/>
          <w:szCs w:val="16"/>
        </w:rPr>
        <w:t xml:space="preserve"> Kromě OSVČ byla malá část této podpory </w:t>
      </w:r>
      <w:r w:rsidRPr="00915448">
        <w:rPr>
          <w:sz w:val="16"/>
          <w:szCs w:val="16"/>
        </w:rPr>
        <w:t>vyplacena i společníkům malých s. r. o. a také osobám</w:t>
      </w:r>
      <w:r w:rsidRPr="004A62DC">
        <w:rPr>
          <w:sz w:val="16"/>
          <w:szCs w:val="16"/>
        </w:rPr>
        <w:t xml:space="preserve"> pracujícím na dohody.</w:t>
      </w:r>
    </w:p>
  </w:footnote>
  <w:footnote w:id="7">
    <w:p w14:paraId="441B627D" w14:textId="77777777" w:rsidR="008D3ACD" w:rsidRPr="009F7335" w:rsidRDefault="008D3ACD" w:rsidP="000663F0">
      <w:pPr>
        <w:pStyle w:val="Textpoznpodarou"/>
        <w:rPr>
          <w:sz w:val="16"/>
          <w:szCs w:val="16"/>
        </w:rPr>
      </w:pPr>
      <w:r w:rsidRPr="009F7335">
        <w:rPr>
          <w:rStyle w:val="Znakapoznpodarou"/>
          <w:sz w:val="16"/>
          <w:szCs w:val="16"/>
        </w:rPr>
        <w:footnoteRef/>
      </w:r>
      <w:r w:rsidRPr="009F7335">
        <w:rPr>
          <w:sz w:val="16"/>
          <w:szCs w:val="16"/>
        </w:rPr>
        <w:t xml:space="preserve"> Poz</w:t>
      </w:r>
      <w:r>
        <w:rPr>
          <w:sz w:val="16"/>
          <w:szCs w:val="16"/>
        </w:rPr>
        <w:t xml:space="preserve">itivní vývoj ve 3. čtvrtletí pramenil ze stabilizace </w:t>
      </w:r>
      <w:r w:rsidRPr="009F7335">
        <w:rPr>
          <w:sz w:val="16"/>
          <w:szCs w:val="16"/>
        </w:rPr>
        <w:t xml:space="preserve">v maloobchodu (tržby zde meziročně vzrostly </w:t>
      </w:r>
      <w:r w:rsidRPr="00E9550D">
        <w:rPr>
          <w:sz w:val="16"/>
          <w:szCs w:val="16"/>
        </w:rPr>
        <w:t>o</w:t>
      </w:r>
      <w:r>
        <w:rPr>
          <w:sz w:val="16"/>
          <w:szCs w:val="16"/>
        </w:rPr>
        <w:t> </w:t>
      </w:r>
      <w:r w:rsidRPr="00E9550D">
        <w:rPr>
          <w:sz w:val="16"/>
          <w:szCs w:val="16"/>
        </w:rPr>
        <w:t>1</w:t>
      </w:r>
      <w:r>
        <w:rPr>
          <w:sz w:val="16"/>
          <w:szCs w:val="16"/>
        </w:rPr>
        <w:t> %</w:t>
      </w:r>
      <w:r w:rsidRPr="00E9550D">
        <w:rPr>
          <w:sz w:val="16"/>
          <w:szCs w:val="16"/>
        </w:rPr>
        <w:t>) i</w:t>
      </w:r>
      <w:r>
        <w:rPr>
          <w:sz w:val="16"/>
          <w:szCs w:val="16"/>
        </w:rPr>
        <w:t> z </w:t>
      </w:r>
      <w:r w:rsidRPr="00E9550D">
        <w:rPr>
          <w:sz w:val="16"/>
          <w:szCs w:val="16"/>
        </w:rPr>
        <w:t xml:space="preserve">dodatečných úhrad části daňových povinností </w:t>
      </w:r>
      <w:r>
        <w:rPr>
          <w:sz w:val="16"/>
          <w:szCs w:val="16"/>
        </w:rPr>
        <w:t>odložených v předešlých</w:t>
      </w:r>
      <w:r w:rsidRPr="00E9550D">
        <w:rPr>
          <w:sz w:val="16"/>
          <w:szCs w:val="16"/>
        </w:rPr>
        <w:t xml:space="preserve"> měsících roku.</w:t>
      </w:r>
    </w:p>
  </w:footnote>
  <w:footnote w:id="8">
    <w:p w14:paraId="699E305F" w14:textId="77777777" w:rsidR="008D3ACD" w:rsidRPr="00E847B6" w:rsidRDefault="008D3ACD" w:rsidP="000663F0">
      <w:pPr>
        <w:pStyle w:val="Textpoznpodarou"/>
        <w:jc w:val="both"/>
        <w:rPr>
          <w:spacing w:val="-2"/>
          <w:sz w:val="16"/>
          <w:szCs w:val="16"/>
        </w:rPr>
      </w:pPr>
      <w:r w:rsidRPr="00251B78">
        <w:rPr>
          <w:rStyle w:val="Znakapoznpodarou"/>
          <w:spacing w:val="-2"/>
          <w:sz w:val="16"/>
          <w:szCs w:val="16"/>
        </w:rPr>
        <w:footnoteRef/>
      </w:r>
      <w:r w:rsidRPr="00251B78">
        <w:rPr>
          <w:spacing w:val="-2"/>
          <w:sz w:val="16"/>
          <w:szCs w:val="16"/>
        </w:rPr>
        <w:t xml:space="preserve"> </w:t>
      </w:r>
      <w:r w:rsidRPr="00251B78">
        <w:rPr>
          <w:spacing w:val="-4"/>
          <w:sz w:val="16"/>
          <w:szCs w:val="16"/>
        </w:rPr>
        <w:t>Během července a</w:t>
      </w:r>
      <w:r>
        <w:rPr>
          <w:spacing w:val="-4"/>
          <w:sz w:val="16"/>
          <w:szCs w:val="16"/>
        </w:rPr>
        <w:t> </w:t>
      </w:r>
      <w:r w:rsidRPr="00251B78">
        <w:rPr>
          <w:spacing w:val="-4"/>
          <w:sz w:val="16"/>
          <w:szCs w:val="16"/>
        </w:rPr>
        <w:t>srpna 2020 klesla spotřeba motorové nafty meziročně o 2</w:t>
      </w:r>
      <w:r>
        <w:rPr>
          <w:spacing w:val="-4"/>
          <w:sz w:val="16"/>
          <w:szCs w:val="16"/>
        </w:rPr>
        <w:t> %</w:t>
      </w:r>
      <w:r w:rsidRPr="00251B78">
        <w:rPr>
          <w:spacing w:val="-4"/>
          <w:sz w:val="16"/>
          <w:szCs w:val="16"/>
        </w:rPr>
        <w:t>, u motorového benzinu mírně rostla (o</w:t>
      </w:r>
      <w:r>
        <w:rPr>
          <w:spacing w:val="-4"/>
          <w:sz w:val="16"/>
          <w:szCs w:val="16"/>
        </w:rPr>
        <w:t> </w:t>
      </w:r>
      <w:r w:rsidRPr="00251B78">
        <w:rPr>
          <w:spacing w:val="-4"/>
          <w:sz w:val="16"/>
          <w:szCs w:val="16"/>
        </w:rPr>
        <w:t>2</w:t>
      </w:r>
      <w:r>
        <w:rPr>
          <w:spacing w:val="-4"/>
          <w:sz w:val="16"/>
          <w:szCs w:val="16"/>
        </w:rPr>
        <w:t> %</w:t>
      </w:r>
      <w:r w:rsidRPr="00251B78">
        <w:rPr>
          <w:spacing w:val="-4"/>
          <w:sz w:val="16"/>
          <w:szCs w:val="16"/>
        </w:rPr>
        <w:t>). Nadále</w:t>
      </w:r>
      <w:r>
        <w:rPr>
          <w:spacing w:val="-4"/>
          <w:sz w:val="16"/>
          <w:szCs w:val="16"/>
        </w:rPr>
        <w:t xml:space="preserve"> však</w:t>
      </w:r>
      <w:r w:rsidRPr="00251B78">
        <w:rPr>
          <w:spacing w:val="-4"/>
          <w:sz w:val="16"/>
          <w:szCs w:val="16"/>
        </w:rPr>
        <w:t xml:space="preserve"> trval hluboký pokles spotřeby leteckého petroleje (o</w:t>
      </w:r>
      <w:r>
        <w:rPr>
          <w:spacing w:val="-4"/>
          <w:sz w:val="16"/>
          <w:szCs w:val="16"/>
        </w:rPr>
        <w:t> </w:t>
      </w:r>
      <w:r w:rsidRPr="00251B78">
        <w:rPr>
          <w:spacing w:val="-4"/>
          <w:sz w:val="16"/>
          <w:szCs w:val="16"/>
        </w:rPr>
        <w:t>80</w:t>
      </w:r>
      <w:r>
        <w:rPr>
          <w:spacing w:val="-4"/>
          <w:sz w:val="16"/>
          <w:szCs w:val="16"/>
        </w:rPr>
        <w:t> %</w:t>
      </w:r>
      <w:r w:rsidRPr="00251B78">
        <w:rPr>
          <w:spacing w:val="-4"/>
          <w:sz w:val="16"/>
          <w:szCs w:val="16"/>
        </w:rPr>
        <w:t>). V úhrnu za tři čtvrtletí propadla spotřeba leteckého petroleje o</w:t>
      </w:r>
      <w:r>
        <w:rPr>
          <w:spacing w:val="-4"/>
          <w:sz w:val="16"/>
          <w:szCs w:val="16"/>
        </w:rPr>
        <w:t> </w:t>
      </w:r>
      <w:r w:rsidRPr="00251B78">
        <w:rPr>
          <w:spacing w:val="-4"/>
          <w:sz w:val="16"/>
          <w:szCs w:val="16"/>
        </w:rPr>
        <w:t>62</w:t>
      </w:r>
      <w:r>
        <w:rPr>
          <w:spacing w:val="-4"/>
          <w:sz w:val="16"/>
          <w:szCs w:val="16"/>
        </w:rPr>
        <w:t> %</w:t>
      </w:r>
      <w:r w:rsidRPr="00251B78">
        <w:rPr>
          <w:spacing w:val="-4"/>
          <w:sz w:val="16"/>
          <w:szCs w:val="16"/>
        </w:rPr>
        <w:t>, u</w:t>
      </w:r>
      <w:r>
        <w:rPr>
          <w:spacing w:val="-4"/>
          <w:sz w:val="16"/>
          <w:szCs w:val="16"/>
        </w:rPr>
        <w:t> </w:t>
      </w:r>
      <w:r w:rsidRPr="00251B78">
        <w:rPr>
          <w:spacing w:val="-4"/>
          <w:sz w:val="16"/>
          <w:szCs w:val="16"/>
        </w:rPr>
        <w:t>motorového benz</w:t>
      </w:r>
      <w:r>
        <w:rPr>
          <w:spacing w:val="-4"/>
          <w:sz w:val="16"/>
          <w:szCs w:val="16"/>
        </w:rPr>
        <w:t>i</w:t>
      </w:r>
      <w:r w:rsidRPr="00251B78">
        <w:rPr>
          <w:spacing w:val="-4"/>
          <w:sz w:val="16"/>
          <w:szCs w:val="16"/>
        </w:rPr>
        <w:t>nu byla nižší o</w:t>
      </w:r>
      <w:r>
        <w:rPr>
          <w:spacing w:val="-4"/>
          <w:sz w:val="16"/>
          <w:szCs w:val="16"/>
        </w:rPr>
        <w:t> </w:t>
      </w:r>
      <w:r w:rsidRPr="00251B78">
        <w:rPr>
          <w:spacing w:val="-4"/>
          <w:sz w:val="16"/>
          <w:szCs w:val="16"/>
        </w:rPr>
        <w:t>9</w:t>
      </w:r>
      <w:r>
        <w:rPr>
          <w:spacing w:val="-4"/>
          <w:sz w:val="16"/>
          <w:szCs w:val="16"/>
        </w:rPr>
        <w:t> %</w:t>
      </w:r>
      <w:r w:rsidRPr="00251B78">
        <w:rPr>
          <w:spacing w:val="-4"/>
          <w:sz w:val="16"/>
          <w:szCs w:val="16"/>
        </w:rPr>
        <w:t>, u</w:t>
      </w:r>
      <w:r>
        <w:rPr>
          <w:spacing w:val="-4"/>
          <w:sz w:val="16"/>
          <w:szCs w:val="16"/>
        </w:rPr>
        <w:t> </w:t>
      </w:r>
      <w:r w:rsidRPr="00251B78">
        <w:rPr>
          <w:spacing w:val="-4"/>
          <w:sz w:val="16"/>
          <w:szCs w:val="16"/>
        </w:rPr>
        <w:t>motorové nafty o</w:t>
      </w:r>
      <w:r>
        <w:rPr>
          <w:spacing w:val="-4"/>
          <w:sz w:val="16"/>
          <w:szCs w:val="16"/>
        </w:rPr>
        <w:t> </w:t>
      </w:r>
      <w:r w:rsidRPr="00251B78">
        <w:rPr>
          <w:spacing w:val="-4"/>
          <w:sz w:val="16"/>
          <w:szCs w:val="16"/>
        </w:rPr>
        <w:t>6</w:t>
      </w:r>
      <w:r>
        <w:rPr>
          <w:spacing w:val="-4"/>
          <w:sz w:val="16"/>
          <w:szCs w:val="16"/>
        </w:rPr>
        <w:t> %</w:t>
      </w:r>
      <w:r w:rsidRPr="00251B78">
        <w:rPr>
          <w:spacing w:val="-4"/>
          <w:sz w:val="16"/>
          <w:szCs w:val="16"/>
        </w:rPr>
        <w:t>. Za první dva měsíce roku 2020 přitom spotřeba všech hlavních ropných produktů rostla (např</w:t>
      </w:r>
      <w:r>
        <w:rPr>
          <w:spacing w:val="-4"/>
          <w:sz w:val="16"/>
          <w:szCs w:val="16"/>
        </w:rPr>
        <w:t>íklad</w:t>
      </w:r>
      <w:r w:rsidRPr="00251B78">
        <w:rPr>
          <w:spacing w:val="-4"/>
          <w:sz w:val="16"/>
          <w:szCs w:val="16"/>
        </w:rPr>
        <w:t xml:space="preserve"> motorová nafta </w:t>
      </w:r>
      <w:r>
        <w:rPr>
          <w:spacing w:val="-4"/>
          <w:sz w:val="16"/>
          <w:szCs w:val="16"/>
        </w:rPr>
        <w:t>o </w:t>
      </w:r>
      <w:r w:rsidRPr="00251B78">
        <w:rPr>
          <w:spacing w:val="-4"/>
          <w:sz w:val="16"/>
          <w:szCs w:val="16"/>
        </w:rPr>
        <w:t xml:space="preserve">1,8 %, motorový benzin </w:t>
      </w:r>
      <w:r>
        <w:rPr>
          <w:spacing w:val="-4"/>
          <w:sz w:val="16"/>
          <w:szCs w:val="16"/>
        </w:rPr>
        <w:t>o </w:t>
      </w:r>
      <w:r w:rsidRPr="00251B78">
        <w:rPr>
          <w:spacing w:val="-4"/>
          <w:sz w:val="16"/>
          <w:szCs w:val="16"/>
        </w:rPr>
        <w:t>0,4 %).</w:t>
      </w:r>
    </w:p>
  </w:footnote>
  <w:footnote w:id="9">
    <w:p w14:paraId="74B299FB" w14:textId="77777777" w:rsidR="008D3ACD" w:rsidRPr="007F5302" w:rsidRDefault="008D3ACD" w:rsidP="000663F0">
      <w:pPr>
        <w:pStyle w:val="Textpoznpodarou"/>
        <w:jc w:val="both"/>
        <w:rPr>
          <w:sz w:val="16"/>
          <w:szCs w:val="16"/>
        </w:rPr>
      </w:pPr>
      <w:r w:rsidRPr="007F5302">
        <w:rPr>
          <w:rStyle w:val="Znakapoznpodarou"/>
          <w:sz w:val="16"/>
          <w:szCs w:val="16"/>
        </w:rPr>
        <w:footnoteRef/>
      </w:r>
      <w:r w:rsidRPr="007F5302">
        <w:rPr>
          <w:sz w:val="16"/>
          <w:szCs w:val="16"/>
        </w:rPr>
        <w:t xml:space="preserve"> </w:t>
      </w:r>
      <w:r>
        <w:rPr>
          <w:sz w:val="16"/>
          <w:szCs w:val="16"/>
        </w:rPr>
        <w:t>Za 1. až 3. čtvrtletí 2020 šlo</w:t>
      </w:r>
      <w:r>
        <w:rPr>
          <w:color w:val="0D0D0D" w:themeColor="text1" w:themeTint="F2"/>
          <w:sz w:val="16"/>
          <w:szCs w:val="16"/>
        </w:rPr>
        <w:t xml:space="preserve"> hlavně o výdaje do zdravotnictví (29,1 mld. korun, zejména n</w:t>
      </w:r>
      <w:r w:rsidRPr="00070A5B">
        <w:rPr>
          <w:color w:val="0D0D0D" w:themeColor="text1" w:themeTint="F2"/>
          <w:sz w:val="16"/>
          <w:szCs w:val="16"/>
        </w:rPr>
        <w:t>ákup och</w:t>
      </w:r>
      <w:r>
        <w:rPr>
          <w:color w:val="0D0D0D" w:themeColor="text1" w:themeTint="F2"/>
          <w:sz w:val="16"/>
          <w:szCs w:val="16"/>
        </w:rPr>
        <w:t xml:space="preserve">ranných prostředků </w:t>
      </w:r>
      <w:r w:rsidRPr="00070A5B">
        <w:rPr>
          <w:color w:val="0D0D0D" w:themeColor="text1" w:themeTint="F2"/>
          <w:sz w:val="16"/>
          <w:szCs w:val="16"/>
        </w:rPr>
        <w:t>v</w:t>
      </w:r>
      <w:r>
        <w:rPr>
          <w:color w:val="0D0D0D" w:themeColor="text1" w:themeTint="F2"/>
          <w:sz w:val="16"/>
          <w:szCs w:val="16"/>
        </w:rPr>
        <w:t> </w:t>
      </w:r>
      <w:r w:rsidRPr="00070A5B">
        <w:rPr>
          <w:color w:val="0D0D0D" w:themeColor="text1" w:themeTint="F2"/>
          <w:sz w:val="16"/>
          <w:szCs w:val="16"/>
        </w:rPr>
        <w:t>souvislosti s</w:t>
      </w:r>
      <w:r>
        <w:rPr>
          <w:color w:val="0D0D0D" w:themeColor="text1" w:themeTint="F2"/>
          <w:sz w:val="16"/>
          <w:szCs w:val="16"/>
        </w:rPr>
        <w:t> covidem-19, oddlužení vybraných nemocnic, posílení platby státu za státní</w:t>
      </w:r>
      <w:r w:rsidRPr="00043651">
        <w:rPr>
          <w:color w:val="0D0D0D" w:themeColor="text1" w:themeTint="F2"/>
          <w:sz w:val="16"/>
          <w:szCs w:val="16"/>
        </w:rPr>
        <w:t xml:space="preserve"> pojištěnce</w:t>
      </w:r>
      <w:r>
        <w:rPr>
          <w:color w:val="0D0D0D" w:themeColor="text1" w:themeTint="F2"/>
          <w:sz w:val="16"/>
          <w:szCs w:val="16"/>
        </w:rPr>
        <w:t xml:space="preserve"> a zvýšení</w:t>
      </w:r>
      <w:r w:rsidRPr="00F452E7">
        <w:rPr>
          <w:color w:val="0D0D0D" w:themeColor="text1" w:themeTint="F2"/>
          <w:sz w:val="16"/>
          <w:szCs w:val="16"/>
        </w:rPr>
        <w:t xml:space="preserve"> osobní</w:t>
      </w:r>
      <w:r>
        <w:rPr>
          <w:color w:val="0D0D0D" w:themeColor="text1" w:themeTint="F2"/>
          <w:sz w:val="16"/>
          <w:szCs w:val="16"/>
        </w:rPr>
        <w:t>ch nákladů</w:t>
      </w:r>
      <w:r w:rsidRPr="00F452E7">
        <w:rPr>
          <w:color w:val="0D0D0D" w:themeColor="text1" w:themeTint="F2"/>
          <w:sz w:val="16"/>
          <w:szCs w:val="16"/>
        </w:rPr>
        <w:t xml:space="preserve"> pracovníků ve zdravotnictví</w:t>
      </w:r>
      <w:r>
        <w:rPr>
          <w:color w:val="0D0D0D" w:themeColor="text1" w:themeTint="F2"/>
          <w:sz w:val="16"/>
          <w:szCs w:val="16"/>
        </w:rPr>
        <w:t>), dále o program Antivirus A+B (17,8 mld.), ošetřovné pro zaměstnance a OSVČ (10,9 mld.), jednorázovou kompenzaci</w:t>
      </w:r>
      <w:r w:rsidRPr="00F452E7">
        <w:rPr>
          <w:color w:val="0D0D0D" w:themeColor="text1" w:themeTint="F2"/>
          <w:sz w:val="16"/>
          <w:szCs w:val="16"/>
        </w:rPr>
        <w:t xml:space="preserve"> výpadku příjmů pro obce a</w:t>
      </w:r>
      <w:r>
        <w:rPr>
          <w:color w:val="0D0D0D" w:themeColor="text1" w:themeTint="F2"/>
          <w:sz w:val="16"/>
          <w:szCs w:val="16"/>
        </w:rPr>
        <w:t> </w:t>
      </w:r>
      <w:r w:rsidRPr="00F452E7">
        <w:rPr>
          <w:color w:val="0D0D0D" w:themeColor="text1" w:themeTint="F2"/>
          <w:sz w:val="16"/>
          <w:szCs w:val="16"/>
        </w:rPr>
        <w:t>města</w:t>
      </w:r>
      <w:r>
        <w:rPr>
          <w:color w:val="0D0D0D" w:themeColor="text1" w:themeTint="F2"/>
          <w:sz w:val="16"/>
          <w:szCs w:val="16"/>
        </w:rPr>
        <w:t xml:space="preserve"> (13,4 mld.) či navýšení prostředků na platy a odměny v sociálních službách a dalších vybraných oblastech veřejného sektoru mimo zdravotnictví (3,1 mld.).</w:t>
      </w:r>
    </w:p>
  </w:footnote>
  <w:footnote w:id="10">
    <w:p w14:paraId="02CA1A7D" w14:textId="77777777" w:rsidR="008D3ACD" w:rsidRPr="007F5302" w:rsidRDefault="008D3ACD" w:rsidP="000663F0">
      <w:pPr>
        <w:pStyle w:val="Textpoznpodarou"/>
        <w:jc w:val="both"/>
        <w:rPr>
          <w:sz w:val="16"/>
          <w:szCs w:val="16"/>
        </w:rPr>
      </w:pPr>
      <w:r w:rsidRPr="007F5302">
        <w:rPr>
          <w:rStyle w:val="Znakapoznpodarou"/>
          <w:sz w:val="16"/>
          <w:szCs w:val="16"/>
        </w:rPr>
        <w:footnoteRef/>
      </w:r>
      <w:r w:rsidRPr="007F5302">
        <w:rPr>
          <w:sz w:val="16"/>
          <w:szCs w:val="16"/>
        </w:rPr>
        <w:t xml:space="preserve"> </w:t>
      </w:r>
      <w:r>
        <w:rPr>
          <w:sz w:val="16"/>
          <w:szCs w:val="16"/>
        </w:rPr>
        <w:t>To se negativně projevilo v deficitu nemocenského pojištění, který se dle údajů České správy sociálního zabezpečení (ČSSZ) meziročně prohloubil (z –2,0 mld. korun na –18,1 mld. korun). Přispěl k tomu i téměř 9% pokles vybraného pojistného.</w:t>
      </w:r>
    </w:p>
  </w:footnote>
  <w:footnote w:id="11">
    <w:p w14:paraId="1E66DAE5" w14:textId="77777777" w:rsidR="008D3ACD" w:rsidRPr="00396298" w:rsidRDefault="008D3ACD" w:rsidP="000663F0">
      <w:pPr>
        <w:pStyle w:val="Textpoznpodarou"/>
        <w:rPr>
          <w:sz w:val="16"/>
          <w:szCs w:val="16"/>
        </w:rPr>
      </w:pPr>
      <w:r w:rsidRPr="00396298">
        <w:rPr>
          <w:rStyle w:val="Znakapoznpodarou"/>
          <w:sz w:val="16"/>
          <w:szCs w:val="16"/>
        </w:rPr>
        <w:footnoteRef/>
      </w:r>
      <w:r w:rsidRPr="00396298">
        <w:rPr>
          <w:sz w:val="16"/>
          <w:szCs w:val="16"/>
        </w:rPr>
        <w:t xml:space="preserve"> Z údajů ČSSZ o</w:t>
      </w:r>
      <w:r>
        <w:rPr>
          <w:sz w:val="16"/>
          <w:szCs w:val="16"/>
        </w:rPr>
        <w:t> </w:t>
      </w:r>
      <w:r w:rsidRPr="00396298">
        <w:rPr>
          <w:sz w:val="16"/>
          <w:szCs w:val="16"/>
        </w:rPr>
        <w:t>dočasné pracovní neschopnosti plyne, že zatímco v 1.</w:t>
      </w:r>
      <w:r>
        <w:rPr>
          <w:sz w:val="16"/>
          <w:szCs w:val="16"/>
        </w:rPr>
        <w:t> čtvrtlet</w:t>
      </w:r>
      <w:r w:rsidRPr="00396298">
        <w:rPr>
          <w:sz w:val="16"/>
          <w:szCs w:val="16"/>
        </w:rPr>
        <w:t>í 2020 počet proston</w:t>
      </w:r>
      <w:r>
        <w:rPr>
          <w:sz w:val="16"/>
          <w:szCs w:val="16"/>
        </w:rPr>
        <w:t>aných dnů meziročně klesl o 1,5 </w:t>
      </w:r>
      <w:r w:rsidRPr="00396298">
        <w:rPr>
          <w:sz w:val="16"/>
          <w:szCs w:val="16"/>
        </w:rPr>
        <w:t>%, ve 2.</w:t>
      </w:r>
      <w:r>
        <w:rPr>
          <w:sz w:val="16"/>
          <w:szCs w:val="16"/>
        </w:rPr>
        <w:t> čtvrtlet</w:t>
      </w:r>
      <w:r w:rsidRPr="00396298">
        <w:rPr>
          <w:sz w:val="16"/>
          <w:szCs w:val="16"/>
        </w:rPr>
        <w:t>í vzrostl o</w:t>
      </w:r>
      <w:r>
        <w:rPr>
          <w:sz w:val="16"/>
          <w:szCs w:val="16"/>
        </w:rPr>
        <w:t> </w:t>
      </w:r>
      <w:r w:rsidRPr="00396298">
        <w:rPr>
          <w:sz w:val="16"/>
          <w:szCs w:val="16"/>
        </w:rPr>
        <w:t>15,8</w:t>
      </w:r>
      <w:r>
        <w:rPr>
          <w:sz w:val="16"/>
          <w:szCs w:val="16"/>
        </w:rPr>
        <w:t> %</w:t>
      </w:r>
      <w:r w:rsidRPr="00396298">
        <w:rPr>
          <w:sz w:val="16"/>
          <w:szCs w:val="16"/>
        </w:rPr>
        <w:t xml:space="preserve"> a</w:t>
      </w:r>
      <w:r>
        <w:rPr>
          <w:sz w:val="16"/>
          <w:szCs w:val="16"/>
        </w:rPr>
        <w:t> </w:t>
      </w:r>
      <w:r w:rsidRPr="00396298">
        <w:rPr>
          <w:sz w:val="16"/>
          <w:szCs w:val="16"/>
        </w:rPr>
        <w:t>v následujícím kvartálu o</w:t>
      </w:r>
      <w:r>
        <w:rPr>
          <w:sz w:val="16"/>
          <w:szCs w:val="16"/>
        </w:rPr>
        <w:t> </w:t>
      </w:r>
      <w:r w:rsidRPr="00396298">
        <w:rPr>
          <w:sz w:val="16"/>
          <w:szCs w:val="16"/>
        </w:rPr>
        <w:t>13,4</w:t>
      </w:r>
      <w:r>
        <w:rPr>
          <w:sz w:val="16"/>
          <w:szCs w:val="16"/>
        </w:rPr>
        <w:t> %</w:t>
      </w:r>
      <w:r w:rsidRPr="00396298">
        <w:rPr>
          <w:sz w:val="16"/>
          <w:szCs w:val="16"/>
        </w:rPr>
        <w:t>.</w:t>
      </w:r>
    </w:p>
  </w:footnote>
  <w:footnote w:id="12">
    <w:p w14:paraId="6AE8407C" w14:textId="77777777" w:rsidR="008D3ACD" w:rsidRPr="008C39E0" w:rsidRDefault="008D3ACD" w:rsidP="000663F0">
      <w:pPr>
        <w:pStyle w:val="Textpoznpodarou"/>
        <w:rPr>
          <w:sz w:val="16"/>
          <w:szCs w:val="16"/>
        </w:rPr>
      </w:pPr>
      <w:r w:rsidRPr="008C39E0">
        <w:rPr>
          <w:rStyle w:val="Znakapoznpodarou"/>
          <w:sz w:val="16"/>
          <w:szCs w:val="16"/>
        </w:rPr>
        <w:footnoteRef/>
      </w:r>
      <w:r w:rsidRPr="008C39E0">
        <w:rPr>
          <w:sz w:val="16"/>
          <w:szCs w:val="16"/>
        </w:rPr>
        <w:t xml:space="preserve"> </w:t>
      </w:r>
      <w:r>
        <w:rPr>
          <w:sz w:val="16"/>
          <w:szCs w:val="16"/>
        </w:rPr>
        <w:t>V září 2020 činil p</w:t>
      </w:r>
      <w:r w:rsidRPr="008C39E0">
        <w:rPr>
          <w:sz w:val="16"/>
          <w:szCs w:val="16"/>
        </w:rPr>
        <w:t>očet osob s nárokem na podporu v nezaměstn</w:t>
      </w:r>
      <w:r>
        <w:rPr>
          <w:sz w:val="16"/>
          <w:szCs w:val="16"/>
        </w:rPr>
        <w:t>anosti</w:t>
      </w:r>
      <w:r w:rsidRPr="008C39E0">
        <w:rPr>
          <w:sz w:val="16"/>
          <w:szCs w:val="16"/>
        </w:rPr>
        <w:t xml:space="preserve"> 85,5</w:t>
      </w:r>
      <w:r>
        <w:rPr>
          <w:sz w:val="16"/>
          <w:szCs w:val="16"/>
        </w:rPr>
        <w:t> tis.</w:t>
      </w:r>
      <w:r w:rsidRPr="008C39E0">
        <w:rPr>
          <w:sz w:val="16"/>
          <w:szCs w:val="16"/>
        </w:rPr>
        <w:t>, o</w:t>
      </w:r>
      <w:r>
        <w:rPr>
          <w:sz w:val="16"/>
          <w:szCs w:val="16"/>
        </w:rPr>
        <w:t> </w:t>
      </w:r>
      <w:r w:rsidRPr="008C39E0">
        <w:rPr>
          <w:sz w:val="16"/>
          <w:szCs w:val="16"/>
        </w:rPr>
        <w:t>rok dříve 70,7</w:t>
      </w:r>
      <w:r>
        <w:rPr>
          <w:sz w:val="16"/>
          <w:szCs w:val="16"/>
        </w:rPr>
        <w:t> tis. Počet všech registrovaných uchazečů o práci se přitom zvyšoval rychleji (z 202 na 277 tis.).</w:t>
      </w:r>
    </w:p>
  </w:footnote>
  <w:footnote w:id="13">
    <w:p w14:paraId="6AFEB5DA" w14:textId="77777777" w:rsidR="008D3ACD" w:rsidRPr="006D61C4" w:rsidRDefault="008D3ACD" w:rsidP="000663F0">
      <w:pPr>
        <w:pStyle w:val="Textpoznpodarou"/>
        <w:jc w:val="both"/>
        <w:rPr>
          <w:sz w:val="16"/>
          <w:szCs w:val="16"/>
        </w:rPr>
      </w:pPr>
      <w:r w:rsidRPr="006D61C4">
        <w:rPr>
          <w:rStyle w:val="Znakapoznpodarou"/>
          <w:sz w:val="16"/>
          <w:szCs w:val="16"/>
        </w:rPr>
        <w:footnoteRef/>
      </w:r>
      <w:r w:rsidRPr="006D61C4">
        <w:rPr>
          <w:sz w:val="16"/>
          <w:szCs w:val="16"/>
        </w:rPr>
        <w:t xml:space="preserve"> </w:t>
      </w:r>
      <w:r>
        <w:rPr>
          <w:color w:val="0D0D0D" w:themeColor="text1" w:themeTint="F2"/>
          <w:spacing w:val="-2"/>
          <w:sz w:val="16"/>
          <w:szCs w:val="16"/>
        </w:rPr>
        <w:t>Základní výměra</w:t>
      </w:r>
      <w:r w:rsidRPr="008274EF">
        <w:rPr>
          <w:color w:val="0D0D0D" w:themeColor="text1" w:themeTint="F2"/>
          <w:spacing w:val="-2"/>
          <w:sz w:val="16"/>
          <w:szCs w:val="16"/>
        </w:rPr>
        <w:t xml:space="preserve"> důchodu </w:t>
      </w:r>
      <w:r>
        <w:rPr>
          <w:color w:val="0D0D0D" w:themeColor="text1" w:themeTint="F2"/>
          <w:spacing w:val="-2"/>
          <w:sz w:val="16"/>
          <w:szCs w:val="16"/>
        </w:rPr>
        <w:t>se zvýšila o 220 korun (na 3 490 korun), procentní výměra vzrostla o 5,2 % a o dodatečnou částku 151 korun. Dle údajů ČSSZ činil průměrný měsíční starobní důchod (sólo) ve 3. čtvrtletí 14 448 korun, meziročně o 1 040 korun více.</w:t>
      </w:r>
    </w:p>
  </w:footnote>
  <w:footnote w:id="14">
    <w:p w14:paraId="4893601C" w14:textId="77777777" w:rsidR="008D3ACD" w:rsidRPr="006B5B53" w:rsidRDefault="008D3ACD" w:rsidP="000663F0">
      <w:pPr>
        <w:pStyle w:val="Textpoznpodarou"/>
        <w:jc w:val="both"/>
      </w:pPr>
      <w:r w:rsidRPr="000315DB">
        <w:rPr>
          <w:rStyle w:val="Znakapoznpodarou"/>
          <w:sz w:val="16"/>
          <w:szCs w:val="16"/>
        </w:rPr>
        <w:footnoteRef/>
      </w:r>
      <w:r>
        <w:rPr>
          <w:sz w:val="16"/>
          <w:szCs w:val="16"/>
        </w:rPr>
        <w:t xml:space="preserve"> Šlo o </w:t>
      </w:r>
      <w:r w:rsidRPr="00FD2E24">
        <w:rPr>
          <w:color w:val="0D0D0D" w:themeColor="text1" w:themeTint="F2"/>
          <w:spacing w:val="-2"/>
          <w:sz w:val="16"/>
          <w:szCs w:val="16"/>
        </w:rPr>
        <w:t xml:space="preserve">zrušení minimálních záloh pro OSVČ na sociální pojištění s odhadovaným </w:t>
      </w:r>
      <w:r>
        <w:rPr>
          <w:color w:val="0D0D0D" w:themeColor="text1" w:themeTint="F2"/>
          <w:spacing w:val="-2"/>
          <w:sz w:val="16"/>
          <w:szCs w:val="16"/>
        </w:rPr>
        <w:t>rozpočtovým dopadem ve výši 7,4 mld. korun a dále o p</w:t>
      </w:r>
      <w:r w:rsidRPr="002A7CDF">
        <w:rPr>
          <w:color w:val="0D0D0D" w:themeColor="text1" w:themeTint="F2"/>
          <w:spacing w:val="-2"/>
          <w:sz w:val="16"/>
          <w:szCs w:val="16"/>
        </w:rPr>
        <w:t>rominutí pojistné</w:t>
      </w:r>
      <w:r>
        <w:rPr>
          <w:color w:val="0D0D0D" w:themeColor="text1" w:themeTint="F2"/>
          <w:spacing w:val="-2"/>
          <w:sz w:val="16"/>
          <w:szCs w:val="16"/>
        </w:rPr>
        <w:t>ho na sociální zabezpečení a politiku zaměstnanosti</w:t>
      </w:r>
      <w:r w:rsidRPr="002A7CDF">
        <w:rPr>
          <w:color w:val="0D0D0D" w:themeColor="text1" w:themeTint="F2"/>
          <w:spacing w:val="-2"/>
          <w:sz w:val="16"/>
          <w:szCs w:val="16"/>
        </w:rPr>
        <w:t xml:space="preserve"> placeného zaměstnavatelem</w:t>
      </w:r>
      <w:r>
        <w:rPr>
          <w:color w:val="0D0D0D" w:themeColor="text1" w:themeTint="F2"/>
          <w:spacing w:val="-2"/>
          <w:sz w:val="16"/>
          <w:szCs w:val="16"/>
        </w:rPr>
        <w:t xml:space="preserve"> (13,3 mld.).</w:t>
      </w:r>
    </w:p>
  </w:footnote>
  <w:footnote w:id="15">
    <w:p w14:paraId="58DAEC02" w14:textId="77777777" w:rsidR="008D3ACD" w:rsidRPr="00760C00" w:rsidRDefault="008D3ACD" w:rsidP="000663F0">
      <w:pPr>
        <w:pStyle w:val="Textpoznpodarou"/>
        <w:jc w:val="both"/>
        <w:rPr>
          <w:spacing w:val="-2"/>
        </w:rPr>
      </w:pPr>
      <w:r w:rsidRPr="00760C00">
        <w:rPr>
          <w:rStyle w:val="Znakapoznpodarou"/>
          <w:spacing w:val="-2"/>
          <w:sz w:val="16"/>
          <w:szCs w:val="16"/>
        </w:rPr>
        <w:footnoteRef/>
      </w:r>
      <w:r w:rsidRPr="00760C00">
        <w:rPr>
          <w:spacing w:val="-2"/>
          <w:sz w:val="16"/>
          <w:szCs w:val="16"/>
        </w:rPr>
        <w:t xml:space="preserve"> Je vyjádřeno jako </w:t>
      </w:r>
      <w:r w:rsidRPr="00760C00">
        <w:rPr>
          <w:rFonts w:cs="Arial"/>
          <w:color w:val="000000" w:themeColor="text1"/>
          <w:spacing w:val="-2"/>
          <w:sz w:val="16"/>
          <w:szCs w:val="16"/>
        </w:rPr>
        <w:t xml:space="preserve">rozdíl mezi příjmy a výdaji na důchody ze SR. Ve výdajích nejsou zahrnuty prostředky na správu systému důchodového </w:t>
      </w:r>
      <w:r w:rsidRPr="00760C00">
        <w:rPr>
          <w:rFonts w:cs="Arial"/>
          <w:color w:val="0D0D0D" w:themeColor="text1" w:themeTint="F2"/>
          <w:spacing w:val="-2"/>
          <w:sz w:val="16"/>
          <w:szCs w:val="16"/>
        </w:rPr>
        <w:t xml:space="preserve">pojištění (za celý rok 2019 dosáhly </w:t>
      </w:r>
      <w:r w:rsidRPr="00760C00">
        <w:rPr>
          <w:rFonts w:cs="Arial"/>
          <w:color w:val="000000" w:themeColor="text1"/>
          <w:spacing w:val="-2"/>
          <w:sz w:val="16"/>
          <w:szCs w:val="16"/>
        </w:rPr>
        <w:t>dle údajů MF 6,3 mld. korun).</w:t>
      </w:r>
    </w:p>
  </w:footnote>
  <w:footnote w:id="16">
    <w:p w14:paraId="619D00C3" w14:textId="77777777" w:rsidR="008D3ACD" w:rsidRPr="00760C00" w:rsidRDefault="008D3ACD" w:rsidP="000663F0">
      <w:pPr>
        <w:pStyle w:val="Textpoznpodarou"/>
        <w:rPr>
          <w:spacing w:val="-4"/>
          <w:sz w:val="16"/>
          <w:szCs w:val="16"/>
        </w:rPr>
      </w:pPr>
      <w:r w:rsidRPr="00760C00">
        <w:rPr>
          <w:rStyle w:val="Znakapoznpodarou"/>
          <w:spacing w:val="-4"/>
          <w:sz w:val="16"/>
          <w:szCs w:val="16"/>
        </w:rPr>
        <w:footnoteRef/>
      </w:r>
      <w:r w:rsidRPr="00760C00">
        <w:rPr>
          <w:spacing w:val="-4"/>
          <w:sz w:val="16"/>
          <w:szCs w:val="16"/>
        </w:rPr>
        <w:t xml:space="preserve"> Navzdory růstu investiční aktivity SR dosáhlo čerpání v této oblasti za tři čtvrtletí 2020 jen 62</w:t>
      </w:r>
      <w:r>
        <w:rPr>
          <w:spacing w:val="-4"/>
          <w:sz w:val="16"/>
          <w:szCs w:val="16"/>
        </w:rPr>
        <w:t> %</w:t>
      </w:r>
      <w:r w:rsidRPr="00760C00">
        <w:rPr>
          <w:spacing w:val="-4"/>
          <w:sz w:val="16"/>
          <w:szCs w:val="16"/>
        </w:rPr>
        <w:t xml:space="preserve"> celoročního rozpočtem očekávaného objemu.</w:t>
      </w:r>
    </w:p>
  </w:footnote>
  <w:footnote w:id="17">
    <w:p w14:paraId="5F33123A" w14:textId="77777777" w:rsidR="008D3ACD" w:rsidRPr="00760C00" w:rsidRDefault="008D3ACD" w:rsidP="000663F0">
      <w:pPr>
        <w:pStyle w:val="Textpoznpodarou"/>
        <w:jc w:val="both"/>
        <w:rPr>
          <w:spacing w:val="-2"/>
          <w:sz w:val="16"/>
          <w:szCs w:val="16"/>
        </w:rPr>
      </w:pPr>
      <w:r w:rsidRPr="00760C00">
        <w:rPr>
          <w:rStyle w:val="Znakapoznpodarou"/>
          <w:spacing w:val="-2"/>
          <w:sz w:val="16"/>
          <w:szCs w:val="16"/>
        </w:rPr>
        <w:footnoteRef/>
      </w:r>
      <w:r w:rsidRPr="00760C00">
        <w:rPr>
          <w:spacing w:val="-2"/>
          <w:sz w:val="16"/>
          <w:szCs w:val="16"/>
        </w:rPr>
        <w:t xml:space="preserve"> </w:t>
      </w:r>
      <w:r w:rsidRPr="00760C00">
        <w:rPr>
          <w:color w:val="0D0D0D" w:themeColor="text1" w:themeTint="F2"/>
          <w:spacing w:val="-2"/>
          <w:sz w:val="16"/>
          <w:szCs w:val="16"/>
        </w:rPr>
        <w:t>Jejich</w:t>
      </w:r>
      <w:r>
        <w:rPr>
          <w:color w:val="0D0D0D" w:themeColor="text1" w:themeTint="F2"/>
          <w:spacing w:val="-2"/>
          <w:sz w:val="16"/>
          <w:szCs w:val="16"/>
        </w:rPr>
        <w:t xml:space="preserve"> průměrný roční výnos činil 1,13</w:t>
      </w:r>
      <w:r w:rsidRPr="00760C00">
        <w:rPr>
          <w:color w:val="0D0D0D" w:themeColor="text1" w:themeTint="F2"/>
          <w:spacing w:val="-2"/>
          <w:sz w:val="16"/>
          <w:szCs w:val="16"/>
        </w:rPr>
        <w:t xml:space="preserve"> %, </w:t>
      </w:r>
      <w:r>
        <w:rPr>
          <w:color w:val="0D0D0D" w:themeColor="text1" w:themeTint="F2"/>
          <w:spacing w:val="-2"/>
          <w:sz w:val="16"/>
          <w:szCs w:val="16"/>
        </w:rPr>
        <w:t>průměrná doba splatnosti pak 5,8</w:t>
      </w:r>
      <w:r w:rsidRPr="00760C00">
        <w:rPr>
          <w:color w:val="0D0D0D" w:themeColor="text1" w:themeTint="F2"/>
          <w:spacing w:val="-2"/>
          <w:sz w:val="16"/>
          <w:szCs w:val="16"/>
        </w:rPr>
        <w:t> roku.</w:t>
      </w:r>
    </w:p>
  </w:footnote>
  <w:footnote w:id="18">
    <w:p w14:paraId="454F2FA9" w14:textId="77777777" w:rsidR="008D3ACD" w:rsidRPr="007F5302" w:rsidRDefault="008D3ACD" w:rsidP="000663F0">
      <w:pPr>
        <w:pStyle w:val="Textpoznpodarou"/>
        <w:jc w:val="both"/>
        <w:rPr>
          <w:sz w:val="16"/>
          <w:szCs w:val="16"/>
        </w:rPr>
      </w:pPr>
      <w:r w:rsidRPr="00760C00">
        <w:rPr>
          <w:rStyle w:val="Znakapoznpodarou"/>
          <w:spacing w:val="-2"/>
          <w:sz w:val="16"/>
          <w:szCs w:val="16"/>
        </w:rPr>
        <w:footnoteRef/>
      </w:r>
      <w:r w:rsidRPr="00760C00">
        <w:rPr>
          <w:spacing w:val="-2"/>
          <w:sz w:val="16"/>
          <w:szCs w:val="16"/>
        </w:rPr>
        <w:t xml:space="preserve"> </w:t>
      </w:r>
      <w:r w:rsidRPr="00760C00">
        <w:rPr>
          <w:color w:val="0D0D0D" w:themeColor="text1" w:themeTint="F2"/>
          <w:spacing w:val="-2"/>
          <w:sz w:val="16"/>
          <w:szCs w:val="16"/>
        </w:rPr>
        <w:t>Odpovídá saldu rozpočtové kapitoly Státní dluh (č. 396). Je tvořen čistými úrokovými výdaji a též poplatky.</w:t>
      </w:r>
    </w:p>
  </w:footnote>
  <w:footnote w:id="19">
    <w:p w14:paraId="09E43227" w14:textId="77777777" w:rsidR="008D3ACD" w:rsidRPr="004E709A" w:rsidRDefault="008D3ACD" w:rsidP="000663F0">
      <w:pPr>
        <w:pStyle w:val="Textpoznpodarou"/>
        <w:rPr>
          <w:spacing w:val="-2"/>
          <w:sz w:val="16"/>
          <w:szCs w:val="16"/>
        </w:rPr>
      </w:pPr>
      <w:r w:rsidRPr="004E709A">
        <w:rPr>
          <w:rStyle w:val="Znakapoznpodarou"/>
          <w:spacing w:val="-2"/>
          <w:sz w:val="16"/>
          <w:szCs w:val="16"/>
        </w:rPr>
        <w:footnoteRef/>
      </w:r>
      <w:r w:rsidRPr="004E709A">
        <w:rPr>
          <w:spacing w:val="-2"/>
          <w:sz w:val="16"/>
          <w:szCs w:val="16"/>
        </w:rPr>
        <w:t xml:space="preserve"> Údaje za Irsko, Slovensko, Chorvatsko, Itálii, Kypr, Řecko a</w:t>
      </w:r>
      <w:r>
        <w:rPr>
          <w:spacing w:val="-2"/>
          <w:sz w:val="16"/>
          <w:szCs w:val="16"/>
        </w:rPr>
        <w:t> </w:t>
      </w:r>
      <w:r w:rsidRPr="004E709A">
        <w:rPr>
          <w:spacing w:val="-2"/>
          <w:sz w:val="16"/>
          <w:szCs w:val="16"/>
        </w:rPr>
        <w:t>Španělsko jsou k dispozici pouze bez sezónního a</w:t>
      </w:r>
      <w:r>
        <w:rPr>
          <w:spacing w:val="-2"/>
          <w:sz w:val="16"/>
          <w:szCs w:val="16"/>
        </w:rPr>
        <w:t> </w:t>
      </w:r>
      <w:r w:rsidRPr="004E709A">
        <w:rPr>
          <w:spacing w:val="-2"/>
          <w:sz w:val="16"/>
          <w:szCs w:val="16"/>
        </w:rPr>
        <w:t>kalendářního očištění. Dle nich docílily v 1.</w:t>
      </w:r>
      <w:r>
        <w:rPr>
          <w:spacing w:val="-2"/>
          <w:sz w:val="16"/>
          <w:szCs w:val="16"/>
        </w:rPr>
        <w:t> pololet</w:t>
      </w:r>
      <w:r w:rsidRPr="004E709A">
        <w:rPr>
          <w:spacing w:val="-2"/>
          <w:sz w:val="16"/>
          <w:szCs w:val="16"/>
        </w:rPr>
        <w:t>í nejhlubší</w:t>
      </w:r>
      <w:r>
        <w:rPr>
          <w:spacing w:val="-2"/>
          <w:sz w:val="16"/>
          <w:szCs w:val="16"/>
        </w:rPr>
        <w:t>ho</w:t>
      </w:r>
      <w:r w:rsidRPr="004E709A">
        <w:rPr>
          <w:spacing w:val="-2"/>
          <w:sz w:val="16"/>
          <w:szCs w:val="16"/>
        </w:rPr>
        <w:t xml:space="preserve"> deficitu Španělsko (</w:t>
      </w:r>
      <w:r>
        <w:rPr>
          <w:spacing w:val="-2"/>
          <w:sz w:val="16"/>
          <w:szCs w:val="16"/>
        </w:rPr>
        <w:t>–</w:t>
      </w:r>
      <w:r w:rsidRPr="004E709A">
        <w:rPr>
          <w:spacing w:val="-2"/>
          <w:sz w:val="16"/>
          <w:szCs w:val="16"/>
        </w:rPr>
        <w:t>14</w:t>
      </w:r>
      <w:r>
        <w:rPr>
          <w:spacing w:val="-2"/>
          <w:sz w:val="16"/>
          <w:szCs w:val="16"/>
        </w:rPr>
        <w:t> %</w:t>
      </w:r>
      <w:r w:rsidRPr="004E709A">
        <w:rPr>
          <w:spacing w:val="-2"/>
          <w:sz w:val="16"/>
          <w:szCs w:val="16"/>
        </w:rPr>
        <w:t xml:space="preserve"> HDP) a</w:t>
      </w:r>
      <w:r>
        <w:rPr>
          <w:spacing w:val="-2"/>
          <w:sz w:val="16"/>
          <w:szCs w:val="16"/>
        </w:rPr>
        <w:t> </w:t>
      </w:r>
      <w:r w:rsidRPr="004E709A">
        <w:rPr>
          <w:spacing w:val="-2"/>
          <w:sz w:val="16"/>
          <w:szCs w:val="16"/>
        </w:rPr>
        <w:t>Itálie (</w:t>
      </w:r>
      <w:r>
        <w:rPr>
          <w:spacing w:val="-2"/>
          <w:sz w:val="16"/>
          <w:szCs w:val="16"/>
        </w:rPr>
        <w:t>–</w:t>
      </w:r>
      <w:r w:rsidRPr="004E709A">
        <w:rPr>
          <w:spacing w:val="-2"/>
          <w:sz w:val="16"/>
          <w:szCs w:val="16"/>
        </w:rPr>
        <w:t>10</w:t>
      </w:r>
      <w:r>
        <w:rPr>
          <w:spacing w:val="-2"/>
          <w:sz w:val="16"/>
          <w:szCs w:val="16"/>
        </w:rPr>
        <w:t> %</w:t>
      </w:r>
      <w:r w:rsidRPr="004E709A">
        <w:rPr>
          <w:spacing w:val="-2"/>
          <w:sz w:val="16"/>
          <w:szCs w:val="16"/>
        </w:rPr>
        <w:t xml:space="preserve"> HDP), relativně nejnižšího pak Slovensko (</w:t>
      </w:r>
      <w:r>
        <w:rPr>
          <w:spacing w:val="-2"/>
          <w:sz w:val="16"/>
          <w:szCs w:val="16"/>
        </w:rPr>
        <w:t>–</w:t>
      </w:r>
      <w:r w:rsidRPr="004E709A">
        <w:rPr>
          <w:spacing w:val="-2"/>
          <w:sz w:val="16"/>
          <w:szCs w:val="16"/>
        </w:rPr>
        <w:t>5</w:t>
      </w:r>
      <w:r>
        <w:rPr>
          <w:spacing w:val="-2"/>
          <w:sz w:val="16"/>
          <w:szCs w:val="16"/>
        </w:rPr>
        <w:t> %</w:t>
      </w:r>
      <w:r w:rsidRPr="004E709A">
        <w:rPr>
          <w:spacing w:val="-2"/>
          <w:sz w:val="16"/>
          <w:szCs w:val="16"/>
        </w:rPr>
        <w:t xml:space="preserve"> HDP).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85C8" w14:textId="77777777" w:rsidR="008D3ACD" w:rsidRDefault="008D3ACD" w:rsidP="00937AE2">
    <w:pPr>
      <w:pStyle w:val="Zhlav"/>
    </w:pPr>
    <w:r>
      <w:t>Vývoj ekonomiky České republiky</w:t>
    </w:r>
  </w:p>
  <w:p w14:paraId="675E4C41" w14:textId="77777777" w:rsidR="008D3ACD" w:rsidRPr="006F5416" w:rsidRDefault="008D3ACD"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812FB" w14:textId="77777777" w:rsidR="008D3ACD" w:rsidRDefault="008D3ACD" w:rsidP="00937AE2">
    <w:pPr>
      <w:pStyle w:val="Zhlav"/>
    </w:pPr>
    <w:r>
      <w:t>Vývoj ekonomiky České republiky</w:t>
    </w:r>
  </w:p>
  <w:p w14:paraId="0CDCFD48" w14:textId="77777777" w:rsidR="008D3ACD" w:rsidRPr="006F5416" w:rsidRDefault="008D3ACD"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5"/>
  </w:num>
  <w:num w:numId="14">
    <w:abstractNumId w:val="12"/>
  </w:num>
  <w:num w:numId="15">
    <w:abstractNumId w:val="18"/>
  </w:num>
  <w:num w:numId="16">
    <w:abstractNumId w:val="14"/>
  </w:num>
  <w:num w:numId="17">
    <w:abstractNumId w:val="26"/>
  </w:num>
  <w:num w:numId="18">
    <w:abstractNumId w:val="19"/>
  </w:num>
  <w:num w:numId="19">
    <w:abstractNumId w:val="27"/>
  </w:num>
  <w:num w:numId="20">
    <w:abstractNumId w:val="28"/>
  </w:num>
  <w:num w:numId="21">
    <w:abstractNumId w:val="24"/>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B55"/>
    <w:rsid w:val="0000209D"/>
    <w:rsid w:val="00002566"/>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29B7"/>
    <w:rsid w:val="0001387D"/>
    <w:rsid w:val="00014ED0"/>
    <w:rsid w:val="00016420"/>
    <w:rsid w:val="00017B01"/>
    <w:rsid w:val="000205D1"/>
    <w:rsid w:val="00020F22"/>
    <w:rsid w:val="0002195D"/>
    <w:rsid w:val="000228AE"/>
    <w:rsid w:val="000233D1"/>
    <w:rsid w:val="000234D6"/>
    <w:rsid w:val="00023D29"/>
    <w:rsid w:val="00024348"/>
    <w:rsid w:val="00026389"/>
    <w:rsid w:val="0002669F"/>
    <w:rsid w:val="000279E5"/>
    <w:rsid w:val="00031AE0"/>
    <w:rsid w:val="00031BB2"/>
    <w:rsid w:val="000322EF"/>
    <w:rsid w:val="00033FCD"/>
    <w:rsid w:val="00034DF7"/>
    <w:rsid w:val="00034E68"/>
    <w:rsid w:val="000350C8"/>
    <w:rsid w:val="00036195"/>
    <w:rsid w:val="000374B2"/>
    <w:rsid w:val="000376C0"/>
    <w:rsid w:val="000403A7"/>
    <w:rsid w:val="00040632"/>
    <w:rsid w:val="00041AFC"/>
    <w:rsid w:val="00041CEC"/>
    <w:rsid w:val="00042596"/>
    <w:rsid w:val="00044183"/>
    <w:rsid w:val="0004431D"/>
    <w:rsid w:val="0004694F"/>
    <w:rsid w:val="00046F2F"/>
    <w:rsid w:val="00047AD4"/>
    <w:rsid w:val="00047D54"/>
    <w:rsid w:val="0005054A"/>
    <w:rsid w:val="00051506"/>
    <w:rsid w:val="000522E4"/>
    <w:rsid w:val="00053713"/>
    <w:rsid w:val="0005434E"/>
    <w:rsid w:val="00055CB6"/>
    <w:rsid w:val="000572DD"/>
    <w:rsid w:val="00057B1E"/>
    <w:rsid w:val="000610E1"/>
    <w:rsid w:val="000616AD"/>
    <w:rsid w:val="000622A6"/>
    <w:rsid w:val="00062EC5"/>
    <w:rsid w:val="00062F22"/>
    <w:rsid w:val="00063975"/>
    <w:rsid w:val="00063CEA"/>
    <w:rsid w:val="0006444D"/>
    <w:rsid w:val="000645FC"/>
    <w:rsid w:val="0006533F"/>
    <w:rsid w:val="00065348"/>
    <w:rsid w:val="0006551C"/>
    <w:rsid w:val="00065A75"/>
    <w:rsid w:val="000663F0"/>
    <w:rsid w:val="00066558"/>
    <w:rsid w:val="00070A87"/>
    <w:rsid w:val="000712B3"/>
    <w:rsid w:val="00071A7C"/>
    <w:rsid w:val="00072FF5"/>
    <w:rsid w:val="00073A5A"/>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290F"/>
    <w:rsid w:val="00093241"/>
    <w:rsid w:val="00093868"/>
    <w:rsid w:val="00094A84"/>
    <w:rsid w:val="00095025"/>
    <w:rsid w:val="00095135"/>
    <w:rsid w:val="0009626E"/>
    <w:rsid w:val="00097191"/>
    <w:rsid w:val="000974D1"/>
    <w:rsid w:val="00097784"/>
    <w:rsid w:val="0009799E"/>
    <w:rsid w:val="000A07CB"/>
    <w:rsid w:val="000A0BC0"/>
    <w:rsid w:val="000A1183"/>
    <w:rsid w:val="000A12ED"/>
    <w:rsid w:val="000A1D49"/>
    <w:rsid w:val="000A212B"/>
    <w:rsid w:val="000A242D"/>
    <w:rsid w:val="000A256D"/>
    <w:rsid w:val="000A2E5F"/>
    <w:rsid w:val="000A3A2C"/>
    <w:rsid w:val="000A3D9E"/>
    <w:rsid w:val="000A4A54"/>
    <w:rsid w:val="000A4ED9"/>
    <w:rsid w:val="000A5DB7"/>
    <w:rsid w:val="000A6D94"/>
    <w:rsid w:val="000A7377"/>
    <w:rsid w:val="000A7FF4"/>
    <w:rsid w:val="000B03CC"/>
    <w:rsid w:val="000B4212"/>
    <w:rsid w:val="000B67B7"/>
    <w:rsid w:val="000C0EA8"/>
    <w:rsid w:val="000C13A2"/>
    <w:rsid w:val="000C21E7"/>
    <w:rsid w:val="000C23EC"/>
    <w:rsid w:val="000C30C3"/>
    <w:rsid w:val="000C3408"/>
    <w:rsid w:val="000C35AB"/>
    <w:rsid w:val="000C3F7B"/>
    <w:rsid w:val="000C4769"/>
    <w:rsid w:val="000C4D56"/>
    <w:rsid w:val="000C5DFA"/>
    <w:rsid w:val="000C6AFD"/>
    <w:rsid w:val="000C6C90"/>
    <w:rsid w:val="000C72B7"/>
    <w:rsid w:val="000D0A26"/>
    <w:rsid w:val="000D3058"/>
    <w:rsid w:val="000D310A"/>
    <w:rsid w:val="000D3EF4"/>
    <w:rsid w:val="000D4DC0"/>
    <w:rsid w:val="000D5637"/>
    <w:rsid w:val="000D6F4E"/>
    <w:rsid w:val="000D73BB"/>
    <w:rsid w:val="000E0E96"/>
    <w:rsid w:val="000E298B"/>
    <w:rsid w:val="000E2C7D"/>
    <w:rsid w:val="000E440D"/>
    <w:rsid w:val="000E4AC5"/>
    <w:rsid w:val="000E6253"/>
    <w:rsid w:val="000E6E4D"/>
    <w:rsid w:val="000E6FBD"/>
    <w:rsid w:val="000E6FCB"/>
    <w:rsid w:val="000F090B"/>
    <w:rsid w:val="000F3F3B"/>
    <w:rsid w:val="000F47E8"/>
    <w:rsid w:val="000F70E4"/>
    <w:rsid w:val="000F76EA"/>
    <w:rsid w:val="00100A8B"/>
    <w:rsid w:val="00100F5C"/>
    <w:rsid w:val="00101CDA"/>
    <w:rsid w:val="00102037"/>
    <w:rsid w:val="00103DCB"/>
    <w:rsid w:val="00104C4C"/>
    <w:rsid w:val="00105015"/>
    <w:rsid w:val="001055D2"/>
    <w:rsid w:val="001057C2"/>
    <w:rsid w:val="0011038E"/>
    <w:rsid w:val="001125EF"/>
    <w:rsid w:val="00112CAB"/>
    <w:rsid w:val="00114C33"/>
    <w:rsid w:val="00116D3F"/>
    <w:rsid w:val="00117474"/>
    <w:rsid w:val="00117623"/>
    <w:rsid w:val="00117FEA"/>
    <w:rsid w:val="001200CF"/>
    <w:rsid w:val="001208E3"/>
    <w:rsid w:val="0012192F"/>
    <w:rsid w:val="00122994"/>
    <w:rsid w:val="00124B46"/>
    <w:rsid w:val="001257E0"/>
    <w:rsid w:val="00125D69"/>
    <w:rsid w:val="0012799C"/>
    <w:rsid w:val="00127BC2"/>
    <w:rsid w:val="00127E15"/>
    <w:rsid w:val="00130ADC"/>
    <w:rsid w:val="00130D9F"/>
    <w:rsid w:val="00132C4D"/>
    <w:rsid w:val="00133FC1"/>
    <w:rsid w:val="00134659"/>
    <w:rsid w:val="001405FA"/>
    <w:rsid w:val="00140D1A"/>
    <w:rsid w:val="00141184"/>
    <w:rsid w:val="00141315"/>
    <w:rsid w:val="00141AA0"/>
    <w:rsid w:val="001425C3"/>
    <w:rsid w:val="0014262D"/>
    <w:rsid w:val="00142B29"/>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5313"/>
    <w:rsid w:val="00167485"/>
    <w:rsid w:val="001679F5"/>
    <w:rsid w:val="00167B92"/>
    <w:rsid w:val="00167CB9"/>
    <w:rsid w:val="00167DD8"/>
    <w:rsid w:val="001705AD"/>
    <w:rsid w:val="001706D6"/>
    <w:rsid w:val="001714F2"/>
    <w:rsid w:val="00171FEA"/>
    <w:rsid w:val="00173622"/>
    <w:rsid w:val="00175B9F"/>
    <w:rsid w:val="001762F4"/>
    <w:rsid w:val="00181BBC"/>
    <w:rsid w:val="0018385F"/>
    <w:rsid w:val="00184017"/>
    <w:rsid w:val="001847BB"/>
    <w:rsid w:val="00184B08"/>
    <w:rsid w:val="00185010"/>
    <w:rsid w:val="00185C22"/>
    <w:rsid w:val="00186BA9"/>
    <w:rsid w:val="00187D50"/>
    <w:rsid w:val="0019196C"/>
    <w:rsid w:val="001926A9"/>
    <w:rsid w:val="00192F05"/>
    <w:rsid w:val="00194729"/>
    <w:rsid w:val="00194850"/>
    <w:rsid w:val="00195234"/>
    <w:rsid w:val="00196016"/>
    <w:rsid w:val="00196117"/>
    <w:rsid w:val="00197A70"/>
    <w:rsid w:val="00197C0F"/>
    <w:rsid w:val="001A0487"/>
    <w:rsid w:val="001A0675"/>
    <w:rsid w:val="001A1F68"/>
    <w:rsid w:val="001A21FA"/>
    <w:rsid w:val="001A4EF0"/>
    <w:rsid w:val="001A552F"/>
    <w:rsid w:val="001A70B1"/>
    <w:rsid w:val="001B0738"/>
    <w:rsid w:val="001B2CA9"/>
    <w:rsid w:val="001B3110"/>
    <w:rsid w:val="001B3E38"/>
    <w:rsid w:val="001B40F5"/>
    <w:rsid w:val="001B4729"/>
    <w:rsid w:val="001B4F0E"/>
    <w:rsid w:val="001B5F40"/>
    <w:rsid w:val="001B6310"/>
    <w:rsid w:val="001B6C09"/>
    <w:rsid w:val="001B6E12"/>
    <w:rsid w:val="001C05CD"/>
    <w:rsid w:val="001C0F17"/>
    <w:rsid w:val="001C1B24"/>
    <w:rsid w:val="001C1B66"/>
    <w:rsid w:val="001C31A2"/>
    <w:rsid w:val="001C351D"/>
    <w:rsid w:val="001C4B8F"/>
    <w:rsid w:val="001C4BB8"/>
    <w:rsid w:val="001C4FD0"/>
    <w:rsid w:val="001C5E46"/>
    <w:rsid w:val="001C6B3B"/>
    <w:rsid w:val="001C7A26"/>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6CD3"/>
    <w:rsid w:val="001F7CE0"/>
    <w:rsid w:val="00200085"/>
    <w:rsid w:val="00203332"/>
    <w:rsid w:val="00203CD5"/>
    <w:rsid w:val="00203D8F"/>
    <w:rsid w:val="00203DA4"/>
    <w:rsid w:val="00204EA6"/>
    <w:rsid w:val="00205186"/>
    <w:rsid w:val="00206516"/>
    <w:rsid w:val="002071D5"/>
    <w:rsid w:val="002111E5"/>
    <w:rsid w:val="002118B9"/>
    <w:rsid w:val="00213691"/>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B06"/>
    <w:rsid w:val="0024343A"/>
    <w:rsid w:val="002436BA"/>
    <w:rsid w:val="00244652"/>
    <w:rsid w:val="00244A15"/>
    <w:rsid w:val="002452D9"/>
    <w:rsid w:val="00247319"/>
    <w:rsid w:val="0024799E"/>
    <w:rsid w:val="00247E60"/>
    <w:rsid w:val="00251B08"/>
    <w:rsid w:val="00251C53"/>
    <w:rsid w:val="00252AB9"/>
    <w:rsid w:val="002532B1"/>
    <w:rsid w:val="00253C0F"/>
    <w:rsid w:val="002558C1"/>
    <w:rsid w:val="00256207"/>
    <w:rsid w:val="002575F3"/>
    <w:rsid w:val="002603E1"/>
    <w:rsid w:val="0026120E"/>
    <w:rsid w:val="00262582"/>
    <w:rsid w:val="0026291D"/>
    <w:rsid w:val="00262CF3"/>
    <w:rsid w:val="00264309"/>
    <w:rsid w:val="0026564B"/>
    <w:rsid w:val="00265C83"/>
    <w:rsid w:val="00265E85"/>
    <w:rsid w:val="00267B49"/>
    <w:rsid w:val="002700D9"/>
    <w:rsid w:val="0027025F"/>
    <w:rsid w:val="002709CC"/>
    <w:rsid w:val="00270D25"/>
    <w:rsid w:val="00271022"/>
    <w:rsid w:val="00271465"/>
    <w:rsid w:val="00271E47"/>
    <w:rsid w:val="002721F5"/>
    <w:rsid w:val="00272DF4"/>
    <w:rsid w:val="0027583D"/>
    <w:rsid w:val="00275DEF"/>
    <w:rsid w:val="002763A2"/>
    <w:rsid w:val="00276B33"/>
    <w:rsid w:val="002812E3"/>
    <w:rsid w:val="00282AD4"/>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BC2"/>
    <w:rsid w:val="002C1F09"/>
    <w:rsid w:val="002C22A4"/>
    <w:rsid w:val="002C260B"/>
    <w:rsid w:val="002C27A6"/>
    <w:rsid w:val="002C398D"/>
    <w:rsid w:val="002C40D2"/>
    <w:rsid w:val="002C43BD"/>
    <w:rsid w:val="002C5245"/>
    <w:rsid w:val="002C564A"/>
    <w:rsid w:val="002C59D8"/>
    <w:rsid w:val="002C5FEB"/>
    <w:rsid w:val="002D05CB"/>
    <w:rsid w:val="002D0E59"/>
    <w:rsid w:val="002D2C4F"/>
    <w:rsid w:val="002D3EBB"/>
    <w:rsid w:val="002D455C"/>
    <w:rsid w:val="002D6066"/>
    <w:rsid w:val="002E02A1"/>
    <w:rsid w:val="002E196A"/>
    <w:rsid w:val="002E20C7"/>
    <w:rsid w:val="002E20CD"/>
    <w:rsid w:val="002E222E"/>
    <w:rsid w:val="002E28D8"/>
    <w:rsid w:val="002E37D1"/>
    <w:rsid w:val="002E3BEE"/>
    <w:rsid w:val="002E4E4C"/>
    <w:rsid w:val="002E4EA7"/>
    <w:rsid w:val="002E5846"/>
    <w:rsid w:val="002E792B"/>
    <w:rsid w:val="002E7AEB"/>
    <w:rsid w:val="002F1B09"/>
    <w:rsid w:val="002F1D56"/>
    <w:rsid w:val="002F1DCB"/>
    <w:rsid w:val="002F1DE4"/>
    <w:rsid w:val="002F333D"/>
    <w:rsid w:val="002F351A"/>
    <w:rsid w:val="002F46D6"/>
    <w:rsid w:val="002F498A"/>
    <w:rsid w:val="002F4AD8"/>
    <w:rsid w:val="002F5285"/>
    <w:rsid w:val="002F5820"/>
    <w:rsid w:val="002F64BB"/>
    <w:rsid w:val="00300C31"/>
    <w:rsid w:val="003017EC"/>
    <w:rsid w:val="00302165"/>
    <w:rsid w:val="00304771"/>
    <w:rsid w:val="003052D4"/>
    <w:rsid w:val="003060E9"/>
    <w:rsid w:val="00306C5B"/>
    <w:rsid w:val="00307529"/>
    <w:rsid w:val="00307DB3"/>
    <w:rsid w:val="00307ED2"/>
    <w:rsid w:val="0031076D"/>
    <w:rsid w:val="0031169A"/>
    <w:rsid w:val="00311AA6"/>
    <w:rsid w:val="00311C4D"/>
    <w:rsid w:val="003121AB"/>
    <w:rsid w:val="00315169"/>
    <w:rsid w:val="003153C8"/>
    <w:rsid w:val="00315524"/>
    <w:rsid w:val="00315561"/>
    <w:rsid w:val="0032058C"/>
    <w:rsid w:val="003208D0"/>
    <w:rsid w:val="003209D6"/>
    <w:rsid w:val="003217B9"/>
    <w:rsid w:val="00321924"/>
    <w:rsid w:val="00321EB6"/>
    <w:rsid w:val="003220A5"/>
    <w:rsid w:val="003238E0"/>
    <w:rsid w:val="00323A1C"/>
    <w:rsid w:val="00324B59"/>
    <w:rsid w:val="0032656E"/>
    <w:rsid w:val="0032788F"/>
    <w:rsid w:val="00332190"/>
    <w:rsid w:val="00332A98"/>
    <w:rsid w:val="003334BD"/>
    <w:rsid w:val="00333973"/>
    <w:rsid w:val="00333CD0"/>
    <w:rsid w:val="0033448D"/>
    <w:rsid w:val="00334AD2"/>
    <w:rsid w:val="00334CB6"/>
    <w:rsid w:val="0033709C"/>
    <w:rsid w:val="003370C5"/>
    <w:rsid w:val="003373C6"/>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6077F"/>
    <w:rsid w:val="00360C86"/>
    <w:rsid w:val="00360F7A"/>
    <w:rsid w:val="00360FBC"/>
    <w:rsid w:val="00361537"/>
    <w:rsid w:val="00361FB7"/>
    <w:rsid w:val="0036242A"/>
    <w:rsid w:val="00362C23"/>
    <w:rsid w:val="00362DCA"/>
    <w:rsid w:val="00362E90"/>
    <w:rsid w:val="00364FA0"/>
    <w:rsid w:val="003657F3"/>
    <w:rsid w:val="00365844"/>
    <w:rsid w:val="00367F84"/>
    <w:rsid w:val="003712BC"/>
    <w:rsid w:val="00372164"/>
    <w:rsid w:val="003738BD"/>
    <w:rsid w:val="00374263"/>
    <w:rsid w:val="003746F0"/>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978B1"/>
    <w:rsid w:val="003A04F6"/>
    <w:rsid w:val="003A0837"/>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461F"/>
    <w:rsid w:val="003B483F"/>
    <w:rsid w:val="003B4998"/>
    <w:rsid w:val="003B5A32"/>
    <w:rsid w:val="003B5B59"/>
    <w:rsid w:val="003B7B50"/>
    <w:rsid w:val="003C0B07"/>
    <w:rsid w:val="003C2CE7"/>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0249"/>
    <w:rsid w:val="003E1EF8"/>
    <w:rsid w:val="003E2DFB"/>
    <w:rsid w:val="003E4C91"/>
    <w:rsid w:val="003E52D8"/>
    <w:rsid w:val="003E62F1"/>
    <w:rsid w:val="003F313C"/>
    <w:rsid w:val="003F33B9"/>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30C96"/>
    <w:rsid w:val="0043174F"/>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F1"/>
    <w:rsid w:val="00452E60"/>
    <w:rsid w:val="0045321B"/>
    <w:rsid w:val="00456FE5"/>
    <w:rsid w:val="00457490"/>
    <w:rsid w:val="00457953"/>
    <w:rsid w:val="004604D8"/>
    <w:rsid w:val="00460656"/>
    <w:rsid w:val="00460FB3"/>
    <w:rsid w:val="00463D3C"/>
    <w:rsid w:val="00464851"/>
    <w:rsid w:val="00466595"/>
    <w:rsid w:val="0046746A"/>
    <w:rsid w:val="00467B14"/>
    <w:rsid w:val="004707FE"/>
    <w:rsid w:val="00470EDC"/>
    <w:rsid w:val="0047276D"/>
    <w:rsid w:val="00472AF6"/>
    <w:rsid w:val="00473482"/>
    <w:rsid w:val="00474A04"/>
    <w:rsid w:val="00476240"/>
    <w:rsid w:val="00476439"/>
    <w:rsid w:val="00476450"/>
    <w:rsid w:val="004769E1"/>
    <w:rsid w:val="0047735C"/>
    <w:rsid w:val="004776BC"/>
    <w:rsid w:val="00477820"/>
    <w:rsid w:val="00477B96"/>
    <w:rsid w:val="00480BAE"/>
    <w:rsid w:val="0048139F"/>
    <w:rsid w:val="00481E40"/>
    <w:rsid w:val="00482405"/>
    <w:rsid w:val="004826A7"/>
    <w:rsid w:val="0048368C"/>
    <w:rsid w:val="0048372F"/>
    <w:rsid w:val="00484ECE"/>
    <w:rsid w:val="00485E82"/>
    <w:rsid w:val="00486132"/>
    <w:rsid w:val="0048686D"/>
    <w:rsid w:val="00486A4D"/>
    <w:rsid w:val="004915CB"/>
    <w:rsid w:val="004924DC"/>
    <w:rsid w:val="00492879"/>
    <w:rsid w:val="00493E85"/>
    <w:rsid w:val="00495145"/>
    <w:rsid w:val="004979A5"/>
    <w:rsid w:val="004A0144"/>
    <w:rsid w:val="004A036E"/>
    <w:rsid w:val="004A0498"/>
    <w:rsid w:val="004A0D0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1B8"/>
    <w:rsid w:val="004B339A"/>
    <w:rsid w:val="004B4C83"/>
    <w:rsid w:val="004B55B7"/>
    <w:rsid w:val="004B5BFA"/>
    <w:rsid w:val="004B6468"/>
    <w:rsid w:val="004B6EF8"/>
    <w:rsid w:val="004B7125"/>
    <w:rsid w:val="004B756A"/>
    <w:rsid w:val="004B7FB1"/>
    <w:rsid w:val="004C0B3F"/>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57BF"/>
    <w:rsid w:val="004E5F41"/>
    <w:rsid w:val="004E6011"/>
    <w:rsid w:val="004E6DE6"/>
    <w:rsid w:val="004E765E"/>
    <w:rsid w:val="004E7815"/>
    <w:rsid w:val="004F06F5"/>
    <w:rsid w:val="004F12A4"/>
    <w:rsid w:val="004F253F"/>
    <w:rsid w:val="004F33A0"/>
    <w:rsid w:val="004F3873"/>
    <w:rsid w:val="004F3BD2"/>
    <w:rsid w:val="004F46ED"/>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5F6"/>
    <w:rsid w:val="0054582F"/>
    <w:rsid w:val="005500F9"/>
    <w:rsid w:val="00550160"/>
    <w:rsid w:val="005523A8"/>
    <w:rsid w:val="00552F2C"/>
    <w:rsid w:val="00553A25"/>
    <w:rsid w:val="005547EB"/>
    <w:rsid w:val="005555E0"/>
    <w:rsid w:val="0055599F"/>
    <w:rsid w:val="00556D68"/>
    <w:rsid w:val="005570D6"/>
    <w:rsid w:val="00557E0E"/>
    <w:rsid w:val="00557E45"/>
    <w:rsid w:val="00560C41"/>
    <w:rsid w:val="00561F44"/>
    <w:rsid w:val="00562B4D"/>
    <w:rsid w:val="00563EB8"/>
    <w:rsid w:val="005647BF"/>
    <w:rsid w:val="00564AF1"/>
    <w:rsid w:val="005655DB"/>
    <w:rsid w:val="00565E88"/>
    <w:rsid w:val="00567339"/>
    <w:rsid w:val="005678EE"/>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20CD"/>
    <w:rsid w:val="00583BDD"/>
    <w:rsid w:val="00583E52"/>
    <w:rsid w:val="00583FFD"/>
    <w:rsid w:val="00584252"/>
    <w:rsid w:val="0058519A"/>
    <w:rsid w:val="005856BD"/>
    <w:rsid w:val="00586BCA"/>
    <w:rsid w:val="00587038"/>
    <w:rsid w:val="00590B28"/>
    <w:rsid w:val="005911BE"/>
    <w:rsid w:val="00591273"/>
    <w:rsid w:val="00591E9E"/>
    <w:rsid w:val="005927A4"/>
    <w:rsid w:val="00593152"/>
    <w:rsid w:val="00593FE6"/>
    <w:rsid w:val="005956A3"/>
    <w:rsid w:val="00595958"/>
    <w:rsid w:val="00595CAB"/>
    <w:rsid w:val="0059622E"/>
    <w:rsid w:val="00597671"/>
    <w:rsid w:val="00597BBF"/>
    <w:rsid w:val="005A0463"/>
    <w:rsid w:val="005A0948"/>
    <w:rsid w:val="005A0A03"/>
    <w:rsid w:val="005A10F2"/>
    <w:rsid w:val="005A21E0"/>
    <w:rsid w:val="005A28FF"/>
    <w:rsid w:val="005A2C09"/>
    <w:rsid w:val="005A3778"/>
    <w:rsid w:val="005A3DF8"/>
    <w:rsid w:val="005A5549"/>
    <w:rsid w:val="005A7CF8"/>
    <w:rsid w:val="005B0EDA"/>
    <w:rsid w:val="005B121D"/>
    <w:rsid w:val="005B26B0"/>
    <w:rsid w:val="005B41C9"/>
    <w:rsid w:val="005B44E6"/>
    <w:rsid w:val="005B4853"/>
    <w:rsid w:val="005B6CA1"/>
    <w:rsid w:val="005B770C"/>
    <w:rsid w:val="005C06ED"/>
    <w:rsid w:val="005C11B8"/>
    <w:rsid w:val="005C216C"/>
    <w:rsid w:val="005C2609"/>
    <w:rsid w:val="005C2B30"/>
    <w:rsid w:val="005C412B"/>
    <w:rsid w:val="005C43EC"/>
    <w:rsid w:val="005C45DD"/>
    <w:rsid w:val="005C4CB1"/>
    <w:rsid w:val="005D3F06"/>
    <w:rsid w:val="005D4B73"/>
    <w:rsid w:val="005D5645"/>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6F0"/>
    <w:rsid w:val="005F6D7F"/>
    <w:rsid w:val="005F7174"/>
    <w:rsid w:val="0060120D"/>
    <w:rsid w:val="00601ADE"/>
    <w:rsid w:val="00601EEF"/>
    <w:rsid w:val="0060255A"/>
    <w:rsid w:val="00602EB3"/>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3BD0"/>
    <w:rsid w:val="00654110"/>
    <w:rsid w:val="00656C5D"/>
    <w:rsid w:val="00656CFB"/>
    <w:rsid w:val="00657E87"/>
    <w:rsid w:val="00660D2D"/>
    <w:rsid w:val="00661C41"/>
    <w:rsid w:val="00661EC9"/>
    <w:rsid w:val="00662469"/>
    <w:rsid w:val="0066411C"/>
    <w:rsid w:val="00664205"/>
    <w:rsid w:val="00664647"/>
    <w:rsid w:val="00664803"/>
    <w:rsid w:val="006653CC"/>
    <w:rsid w:val="00665982"/>
    <w:rsid w:val="00665BA4"/>
    <w:rsid w:val="00666BF3"/>
    <w:rsid w:val="00667856"/>
    <w:rsid w:val="00667AF2"/>
    <w:rsid w:val="00670489"/>
    <w:rsid w:val="006710C9"/>
    <w:rsid w:val="00672586"/>
    <w:rsid w:val="006741CD"/>
    <w:rsid w:val="00674D89"/>
    <w:rsid w:val="0067514E"/>
    <w:rsid w:val="00675E37"/>
    <w:rsid w:val="00676736"/>
    <w:rsid w:val="006769A4"/>
    <w:rsid w:val="006769C6"/>
    <w:rsid w:val="00676D76"/>
    <w:rsid w:val="00676F9F"/>
    <w:rsid w:val="00677519"/>
    <w:rsid w:val="00677591"/>
    <w:rsid w:val="00677594"/>
    <w:rsid w:val="0068032F"/>
    <w:rsid w:val="00680D37"/>
    <w:rsid w:val="0068174E"/>
    <w:rsid w:val="00681DCE"/>
    <w:rsid w:val="00682110"/>
    <w:rsid w:val="0068260E"/>
    <w:rsid w:val="006846B3"/>
    <w:rsid w:val="00684D59"/>
    <w:rsid w:val="00684E25"/>
    <w:rsid w:val="006858A4"/>
    <w:rsid w:val="00686718"/>
    <w:rsid w:val="00686BFA"/>
    <w:rsid w:val="00686DED"/>
    <w:rsid w:val="006875A0"/>
    <w:rsid w:val="006878C6"/>
    <w:rsid w:val="00687D27"/>
    <w:rsid w:val="00691943"/>
    <w:rsid w:val="00693550"/>
    <w:rsid w:val="00695065"/>
    <w:rsid w:val="00695BEF"/>
    <w:rsid w:val="00696251"/>
    <w:rsid w:val="006966C7"/>
    <w:rsid w:val="006968C1"/>
    <w:rsid w:val="006977F6"/>
    <w:rsid w:val="00697A13"/>
    <w:rsid w:val="006A0DD4"/>
    <w:rsid w:val="006A109C"/>
    <w:rsid w:val="006A5F4B"/>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4355"/>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279A"/>
    <w:rsid w:val="006E313B"/>
    <w:rsid w:val="006E34B2"/>
    <w:rsid w:val="006E3A45"/>
    <w:rsid w:val="006E4078"/>
    <w:rsid w:val="006E53AD"/>
    <w:rsid w:val="006E58CB"/>
    <w:rsid w:val="006E7227"/>
    <w:rsid w:val="006E761A"/>
    <w:rsid w:val="006F0741"/>
    <w:rsid w:val="006F1C27"/>
    <w:rsid w:val="006F2A65"/>
    <w:rsid w:val="006F3DD6"/>
    <w:rsid w:val="006F40DF"/>
    <w:rsid w:val="006F42BB"/>
    <w:rsid w:val="006F438E"/>
    <w:rsid w:val="006F440B"/>
    <w:rsid w:val="006F48A3"/>
    <w:rsid w:val="006F4DA4"/>
    <w:rsid w:val="006F5416"/>
    <w:rsid w:val="006F624B"/>
    <w:rsid w:val="006F6D87"/>
    <w:rsid w:val="0070398A"/>
    <w:rsid w:val="00705242"/>
    <w:rsid w:val="007055E0"/>
    <w:rsid w:val="007056ED"/>
    <w:rsid w:val="00705F4E"/>
    <w:rsid w:val="007065C5"/>
    <w:rsid w:val="007068E1"/>
    <w:rsid w:val="00706AA0"/>
    <w:rsid w:val="00706AD4"/>
    <w:rsid w:val="00707150"/>
    <w:rsid w:val="007124D7"/>
    <w:rsid w:val="00712C20"/>
    <w:rsid w:val="00713549"/>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601"/>
    <w:rsid w:val="00767777"/>
    <w:rsid w:val="00770CFC"/>
    <w:rsid w:val="0077130E"/>
    <w:rsid w:val="007715EE"/>
    <w:rsid w:val="00771972"/>
    <w:rsid w:val="00772279"/>
    <w:rsid w:val="00772DAB"/>
    <w:rsid w:val="00772FF9"/>
    <w:rsid w:val="00774D2C"/>
    <w:rsid w:val="0077605B"/>
    <w:rsid w:val="00776169"/>
    <w:rsid w:val="00776527"/>
    <w:rsid w:val="00777040"/>
    <w:rsid w:val="00777CE6"/>
    <w:rsid w:val="00777D57"/>
    <w:rsid w:val="00780EF1"/>
    <w:rsid w:val="00781A91"/>
    <w:rsid w:val="00781F3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782"/>
    <w:rsid w:val="007A516D"/>
    <w:rsid w:val="007A5E65"/>
    <w:rsid w:val="007A65E1"/>
    <w:rsid w:val="007A6AAA"/>
    <w:rsid w:val="007A7033"/>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5F92"/>
    <w:rsid w:val="007C6227"/>
    <w:rsid w:val="007C6BBD"/>
    <w:rsid w:val="007C6D89"/>
    <w:rsid w:val="007C6F5E"/>
    <w:rsid w:val="007D0382"/>
    <w:rsid w:val="007D14FE"/>
    <w:rsid w:val="007D1A1F"/>
    <w:rsid w:val="007D213B"/>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114D"/>
    <w:rsid w:val="008520A8"/>
    <w:rsid w:val="00852217"/>
    <w:rsid w:val="00853282"/>
    <w:rsid w:val="0085334C"/>
    <w:rsid w:val="00855408"/>
    <w:rsid w:val="00855D03"/>
    <w:rsid w:val="00856D65"/>
    <w:rsid w:val="00861B41"/>
    <w:rsid w:val="00861B9F"/>
    <w:rsid w:val="00861BE3"/>
    <w:rsid w:val="008625D3"/>
    <w:rsid w:val="00863434"/>
    <w:rsid w:val="0086344F"/>
    <w:rsid w:val="008641AC"/>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7FE"/>
    <w:rsid w:val="00881CD7"/>
    <w:rsid w:val="00882911"/>
    <w:rsid w:val="00882F6E"/>
    <w:rsid w:val="00883202"/>
    <w:rsid w:val="00884E02"/>
    <w:rsid w:val="00885D40"/>
    <w:rsid w:val="008873D4"/>
    <w:rsid w:val="00890CB1"/>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5324"/>
    <w:rsid w:val="008B5C99"/>
    <w:rsid w:val="008B6106"/>
    <w:rsid w:val="008B7C02"/>
    <w:rsid w:val="008B7D2B"/>
    <w:rsid w:val="008B7EF9"/>
    <w:rsid w:val="008C0049"/>
    <w:rsid w:val="008C0314"/>
    <w:rsid w:val="008C0E88"/>
    <w:rsid w:val="008C1717"/>
    <w:rsid w:val="008C3B05"/>
    <w:rsid w:val="008C4B50"/>
    <w:rsid w:val="008C5A37"/>
    <w:rsid w:val="008C7569"/>
    <w:rsid w:val="008C79C3"/>
    <w:rsid w:val="008D006F"/>
    <w:rsid w:val="008D033D"/>
    <w:rsid w:val="008D0DBD"/>
    <w:rsid w:val="008D117E"/>
    <w:rsid w:val="008D127E"/>
    <w:rsid w:val="008D1CA8"/>
    <w:rsid w:val="008D1E0A"/>
    <w:rsid w:val="008D1E6A"/>
    <w:rsid w:val="008D2A16"/>
    <w:rsid w:val="008D33F5"/>
    <w:rsid w:val="008D35E4"/>
    <w:rsid w:val="008D3ACD"/>
    <w:rsid w:val="008D6C3A"/>
    <w:rsid w:val="008D70E2"/>
    <w:rsid w:val="008E0001"/>
    <w:rsid w:val="008E292B"/>
    <w:rsid w:val="008E2C57"/>
    <w:rsid w:val="008E31FF"/>
    <w:rsid w:val="008E3287"/>
    <w:rsid w:val="008E6DCB"/>
    <w:rsid w:val="008E6F06"/>
    <w:rsid w:val="008E7B8E"/>
    <w:rsid w:val="008E7FC9"/>
    <w:rsid w:val="008F0107"/>
    <w:rsid w:val="008F029B"/>
    <w:rsid w:val="008F0589"/>
    <w:rsid w:val="008F2A5D"/>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AE"/>
    <w:rsid w:val="00917251"/>
    <w:rsid w:val="0091728D"/>
    <w:rsid w:val="0092036B"/>
    <w:rsid w:val="009203CC"/>
    <w:rsid w:val="00920EC4"/>
    <w:rsid w:val="0092180B"/>
    <w:rsid w:val="00921F14"/>
    <w:rsid w:val="0092292F"/>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CF3"/>
    <w:rsid w:val="00993194"/>
    <w:rsid w:val="0099321E"/>
    <w:rsid w:val="00994171"/>
    <w:rsid w:val="00994868"/>
    <w:rsid w:val="00994D28"/>
    <w:rsid w:val="00994F2C"/>
    <w:rsid w:val="009957CC"/>
    <w:rsid w:val="009968D6"/>
    <w:rsid w:val="00997953"/>
    <w:rsid w:val="009A0BFF"/>
    <w:rsid w:val="009A10A0"/>
    <w:rsid w:val="009A1CAB"/>
    <w:rsid w:val="009A2359"/>
    <w:rsid w:val="009A24F1"/>
    <w:rsid w:val="009A27E0"/>
    <w:rsid w:val="009A4D57"/>
    <w:rsid w:val="009A51A5"/>
    <w:rsid w:val="009A60D1"/>
    <w:rsid w:val="009A6225"/>
    <w:rsid w:val="009A64F5"/>
    <w:rsid w:val="009B00D2"/>
    <w:rsid w:val="009B05B3"/>
    <w:rsid w:val="009B284F"/>
    <w:rsid w:val="009B3764"/>
    <w:rsid w:val="009B52AC"/>
    <w:rsid w:val="009B59EA"/>
    <w:rsid w:val="009B66CE"/>
    <w:rsid w:val="009B6FD3"/>
    <w:rsid w:val="009B72BE"/>
    <w:rsid w:val="009B78A4"/>
    <w:rsid w:val="009B7DB2"/>
    <w:rsid w:val="009C03DB"/>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2CF"/>
    <w:rsid w:val="009F4982"/>
    <w:rsid w:val="009F4CA7"/>
    <w:rsid w:val="009F4F6A"/>
    <w:rsid w:val="009F55BA"/>
    <w:rsid w:val="009F7D36"/>
    <w:rsid w:val="009F7D61"/>
    <w:rsid w:val="00A00E71"/>
    <w:rsid w:val="00A0306F"/>
    <w:rsid w:val="00A03B10"/>
    <w:rsid w:val="00A03E2E"/>
    <w:rsid w:val="00A04616"/>
    <w:rsid w:val="00A04717"/>
    <w:rsid w:val="00A05D8F"/>
    <w:rsid w:val="00A05EE4"/>
    <w:rsid w:val="00A06F99"/>
    <w:rsid w:val="00A1053B"/>
    <w:rsid w:val="00A10D66"/>
    <w:rsid w:val="00A113A4"/>
    <w:rsid w:val="00A14114"/>
    <w:rsid w:val="00A16413"/>
    <w:rsid w:val="00A16545"/>
    <w:rsid w:val="00A16AED"/>
    <w:rsid w:val="00A16C37"/>
    <w:rsid w:val="00A16E1D"/>
    <w:rsid w:val="00A171D5"/>
    <w:rsid w:val="00A17A15"/>
    <w:rsid w:val="00A17D5B"/>
    <w:rsid w:val="00A2016A"/>
    <w:rsid w:val="00A201E1"/>
    <w:rsid w:val="00A20FE1"/>
    <w:rsid w:val="00A21B4D"/>
    <w:rsid w:val="00A22073"/>
    <w:rsid w:val="00A223E0"/>
    <w:rsid w:val="00A22959"/>
    <w:rsid w:val="00A23158"/>
    <w:rsid w:val="00A23847"/>
    <w:rsid w:val="00A23E43"/>
    <w:rsid w:val="00A24726"/>
    <w:rsid w:val="00A24DEB"/>
    <w:rsid w:val="00A24ED9"/>
    <w:rsid w:val="00A251DB"/>
    <w:rsid w:val="00A25216"/>
    <w:rsid w:val="00A2597D"/>
    <w:rsid w:val="00A2628E"/>
    <w:rsid w:val="00A266BF"/>
    <w:rsid w:val="00A2731E"/>
    <w:rsid w:val="00A309AC"/>
    <w:rsid w:val="00A30F65"/>
    <w:rsid w:val="00A3279E"/>
    <w:rsid w:val="00A35900"/>
    <w:rsid w:val="00A40EAC"/>
    <w:rsid w:val="00A418BC"/>
    <w:rsid w:val="00A419FF"/>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A88"/>
    <w:rsid w:val="00A52CAD"/>
    <w:rsid w:val="00A53FC7"/>
    <w:rsid w:val="00A55569"/>
    <w:rsid w:val="00A566A0"/>
    <w:rsid w:val="00A601E7"/>
    <w:rsid w:val="00A60AC1"/>
    <w:rsid w:val="00A626FF"/>
    <w:rsid w:val="00A62CE1"/>
    <w:rsid w:val="00A65469"/>
    <w:rsid w:val="00A65528"/>
    <w:rsid w:val="00A655D3"/>
    <w:rsid w:val="00A662D9"/>
    <w:rsid w:val="00A6741E"/>
    <w:rsid w:val="00A67E29"/>
    <w:rsid w:val="00A7016A"/>
    <w:rsid w:val="00A7018D"/>
    <w:rsid w:val="00A7191D"/>
    <w:rsid w:val="00A722F9"/>
    <w:rsid w:val="00A72D42"/>
    <w:rsid w:val="00A746C9"/>
    <w:rsid w:val="00A74C2A"/>
    <w:rsid w:val="00A75E40"/>
    <w:rsid w:val="00A76818"/>
    <w:rsid w:val="00A77D1D"/>
    <w:rsid w:val="00A81652"/>
    <w:rsid w:val="00A82C91"/>
    <w:rsid w:val="00A83150"/>
    <w:rsid w:val="00A83398"/>
    <w:rsid w:val="00A83D6E"/>
    <w:rsid w:val="00A83FD5"/>
    <w:rsid w:val="00A8521A"/>
    <w:rsid w:val="00A857C0"/>
    <w:rsid w:val="00A85ACB"/>
    <w:rsid w:val="00A90F2C"/>
    <w:rsid w:val="00A90FED"/>
    <w:rsid w:val="00A91482"/>
    <w:rsid w:val="00A9189D"/>
    <w:rsid w:val="00A91E71"/>
    <w:rsid w:val="00A925B1"/>
    <w:rsid w:val="00A92A3E"/>
    <w:rsid w:val="00A934F9"/>
    <w:rsid w:val="00A940E3"/>
    <w:rsid w:val="00A94983"/>
    <w:rsid w:val="00A95F1A"/>
    <w:rsid w:val="00A96116"/>
    <w:rsid w:val="00A9614E"/>
    <w:rsid w:val="00A96422"/>
    <w:rsid w:val="00A96C0F"/>
    <w:rsid w:val="00A97075"/>
    <w:rsid w:val="00AA0E80"/>
    <w:rsid w:val="00AA17CD"/>
    <w:rsid w:val="00AA1D85"/>
    <w:rsid w:val="00AA212F"/>
    <w:rsid w:val="00AA26A9"/>
    <w:rsid w:val="00AA2996"/>
    <w:rsid w:val="00AA2AF4"/>
    <w:rsid w:val="00AA4282"/>
    <w:rsid w:val="00AA4790"/>
    <w:rsid w:val="00AA52BF"/>
    <w:rsid w:val="00AA559A"/>
    <w:rsid w:val="00AA6C31"/>
    <w:rsid w:val="00AA7752"/>
    <w:rsid w:val="00AA7CE8"/>
    <w:rsid w:val="00AB1457"/>
    <w:rsid w:val="00AB2AF1"/>
    <w:rsid w:val="00AB3EC7"/>
    <w:rsid w:val="00AB5A64"/>
    <w:rsid w:val="00AB5CA1"/>
    <w:rsid w:val="00AB6456"/>
    <w:rsid w:val="00AB75C5"/>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550"/>
    <w:rsid w:val="00B00913"/>
    <w:rsid w:val="00B01593"/>
    <w:rsid w:val="00B01FF9"/>
    <w:rsid w:val="00B023F2"/>
    <w:rsid w:val="00B038CA"/>
    <w:rsid w:val="00B06DB4"/>
    <w:rsid w:val="00B0750D"/>
    <w:rsid w:val="00B0799C"/>
    <w:rsid w:val="00B102CE"/>
    <w:rsid w:val="00B10A4D"/>
    <w:rsid w:val="00B10C90"/>
    <w:rsid w:val="00B11002"/>
    <w:rsid w:val="00B1114F"/>
    <w:rsid w:val="00B121B2"/>
    <w:rsid w:val="00B141B6"/>
    <w:rsid w:val="00B14BC1"/>
    <w:rsid w:val="00B162C3"/>
    <w:rsid w:val="00B16DD1"/>
    <w:rsid w:val="00B16EB8"/>
    <w:rsid w:val="00B17E71"/>
    <w:rsid w:val="00B17FDE"/>
    <w:rsid w:val="00B20632"/>
    <w:rsid w:val="00B2379C"/>
    <w:rsid w:val="00B23D5D"/>
    <w:rsid w:val="00B23E6E"/>
    <w:rsid w:val="00B2687D"/>
    <w:rsid w:val="00B3108D"/>
    <w:rsid w:val="00B32DDB"/>
    <w:rsid w:val="00B32F57"/>
    <w:rsid w:val="00B3345C"/>
    <w:rsid w:val="00B34528"/>
    <w:rsid w:val="00B34CC9"/>
    <w:rsid w:val="00B34CDA"/>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2151"/>
    <w:rsid w:val="00B530CD"/>
    <w:rsid w:val="00B53639"/>
    <w:rsid w:val="00B53C7D"/>
    <w:rsid w:val="00B53E56"/>
    <w:rsid w:val="00B55A97"/>
    <w:rsid w:val="00B55F5E"/>
    <w:rsid w:val="00B5642C"/>
    <w:rsid w:val="00B5658D"/>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80EC6"/>
    <w:rsid w:val="00B81288"/>
    <w:rsid w:val="00B81D70"/>
    <w:rsid w:val="00B833B9"/>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7ACC"/>
    <w:rsid w:val="00B97FE2"/>
    <w:rsid w:val="00BA0E0B"/>
    <w:rsid w:val="00BA201A"/>
    <w:rsid w:val="00BA361D"/>
    <w:rsid w:val="00BA3787"/>
    <w:rsid w:val="00BA403A"/>
    <w:rsid w:val="00BA46E8"/>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327F"/>
    <w:rsid w:val="00BC3512"/>
    <w:rsid w:val="00BC50BE"/>
    <w:rsid w:val="00BC5332"/>
    <w:rsid w:val="00BC5715"/>
    <w:rsid w:val="00BC5C12"/>
    <w:rsid w:val="00BC7154"/>
    <w:rsid w:val="00BC731E"/>
    <w:rsid w:val="00BC7614"/>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4BF"/>
    <w:rsid w:val="00BE557B"/>
    <w:rsid w:val="00BE7F5F"/>
    <w:rsid w:val="00BF02C8"/>
    <w:rsid w:val="00BF1221"/>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246C"/>
    <w:rsid w:val="00C1493E"/>
    <w:rsid w:val="00C15DBD"/>
    <w:rsid w:val="00C2010D"/>
    <w:rsid w:val="00C20CB5"/>
    <w:rsid w:val="00C21430"/>
    <w:rsid w:val="00C216DF"/>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5CC"/>
    <w:rsid w:val="00C719A3"/>
    <w:rsid w:val="00C71D2F"/>
    <w:rsid w:val="00C72984"/>
    <w:rsid w:val="00C73885"/>
    <w:rsid w:val="00C73C93"/>
    <w:rsid w:val="00C7435A"/>
    <w:rsid w:val="00C747B1"/>
    <w:rsid w:val="00C75510"/>
    <w:rsid w:val="00C755F9"/>
    <w:rsid w:val="00C75752"/>
    <w:rsid w:val="00C770C9"/>
    <w:rsid w:val="00C81070"/>
    <w:rsid w:val="00C8174E"/>
    <w:rsid w:val="00C82191"/>
    <w:rsid w:val="00C83134"/>
    <w:rsid w:val="00C831E7"/>
    <w:rsid w:val="00C832F3"/>
    <w:rsid w:val="00C84307"/>
    <w:rsid w:val="00C845A4"/>
    <w:rsid w:val="00C85545"/>
    <w:rsid w:val="00C855B5"/>
    <w:rsid w:val="00C85F0E"/>
    <w:rsid w:val="00C90CF4"/>
    <w:rsid w:val="00C91C20"/>
    <w:rsid w:val="00C922DE"/>
    <w:rsid w:val="00C92843"/>
    <w:rsid w:val="00C92EB6"/>
    <w:rsid w:val="00C93389"/>
    <w:rsid w:val="00C948E6"/>
    <w:rsid w:val="00C94CDD"/>
    <w:rsid w:val="00C97588"/>
    <w:rsid w:val="00CA0346"/>
    <w:rsid w:val="00CA0DA1"/>
    <w:rsid w:val="00CA1BD6"/>
    <w:rsid w:val="00CA37FF"/>
    <w:rsid w:val="00CA423A"/>
    <w:rsid w:val="00CA47BC"/>
    <w:rsid w:val="00CA5EAD"/>
    <w:rsid w:val="00CA6AB4"/>
    <w:rsid w:val="00CA7255"/>
    <w:rsid w:val="00CB1BEE"/>
    <w:rsid w:val="00CB2351"/>
    <w:rsid w:val="00CB4930"/>
    <w:rsid w:val="00CB4BA9"/>
    <w:rsid w:val="00CB4C63"/>
    <w:rsid w:val="00CB5A48"/>
    <w:rsid w:val="00CB5E10"/>
    <w:rsid w:val="00CB613B"/>
    <w:rsid w:val="00CB6152"/>
    <w:rsid w:val="00CB64E1"/>
    <w:rsid w:val="00CB6E4D"/>
    <w:rsid w:val="00CC0834"/>
    <w:rsid w:val="00CC0AEA"/>
    <w:rsid w:val="00CC20FE"/>
    <w:rsid w:val="00CC2E7D"/>
    <w:rsid w:val="00CC5BE8"/>
    <w:rsid w:val="00CC612B"/>
    <w:rsid w:val="00CC655F"/>
    <w:rsid w:val="00CC66F9"/>
    <w:rsid w:val="00CC6C2A"/>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5C57"/>
    <w:rsid w:val="00CD6331"/>
    <w:rsid w:val="00CE14BE"/>
    <w:rsid w:val="00CE17A4"/>
    <w:rsid w:val="00CE1BA9"/>
    <w:rsid w:val="00CE2D8F"/>
    <w:rsid w:val="00CE3E48"/>
    <w:rsid w:val="00CE47B8"/>
    <w:rsid w:val="00CE62FA"/>
    <w:rsid w:val="00CE670B"/>
    <w:rsid w:val="00CE6833"/>
    <w:rsid w:val="00CF020B"/>
    <w:rsid w:val="00CF2E4D"/>
    <w:rsid w:val="00CF4205"/>
    <w:rsid w:val="00CF4908"/>
    <w:rsid w:val="00CF51EC"/>
    <w:rsid w:val="00CF545D"/>
    <w:rsid w:val="00CF5873"/>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4C5B"/>
    <w:rsid w:val="00D15FED"/>
    <w:rsid w:val="00D16712"/>
    <w:rsid w:val="00D214EF"/>
    <w:rsid w:val="00D215B0"/>
    <w:rsid w:val="00D21D6D"/>
    <w:rsid w:val="00D21D83"/>
    <w:rsid w:val="00D22A47"/>
    <w:rsid w:val="00D235B7"/>
    <w:rsid w:val="00D23FAE"/>
    <w:rsid w:val="00D25F28"/>
    <w:rsid w:val="00D26071"/>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84E"/>
    <w:rsid w:val="00D544E7"/>
    <w:rsid w:val="00D5499F"/>
    <w:rsid w:val="00D5560A"/>
    <w:rsid w:val="00D56FBF"/>
    <w:rsid w:val="00D57677"/>
    <w:rsid w:val="00D5781F"/>
    <w:rsid w:val="00D60415"/>
    <w:rsid w:val="00D60E3C"/>
    <w:rsid w:val="00D61FAB"/>
    <w:rsid w:val="00D63BE5"/>
    <w:rsid w:val="00D6475F"/>
    <w:rsid w:val="00D66223"/>
    <w:rsid w:val="00D667B8"/>
    <w:rsid w:val="00D70289"/>
    <w:rsid w:val="00D70822"/>
    <w:rsid w:val="00D72076"/>
    <w:rsid w:val="00D726A9"/>
    <w:rsid w:val="00D72DBA"/>
    <w:rsid w:val="00D743E0"/>
    <w:rsid w:val="00D7490C"/>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2E65"/>
    <w:rsid w:val="00DA3ADF"/>
    <w:rsid w:val="00DA4174"/>
    <w:rsid w:val="00DA544C"/>
    <w:rsid w:val="00DA5F8E"/>
    <w:rsid w:val="00DA6364"/>
    <w:rsid w:val="00DA7114"/>
    <w:rsid w:val="00DA7C0C"/>
    <w:rsid w:val="00DB03DD"/>
    <w:rsid w:val="00DB08A9"/>
    <w:rsid w:val="00DB0B33"/>
    <w:rsid w:val="00DB2DFA"/>
    <w:rsid w:val="00DB2EC8"/>
    <w:rsid w:val="00DB321D"/>
    <w:rsid w:val="00DB459B"/>
    <w:rsid w:val="00DB47FD"/>
    <w:rsid w:val="00DB5E3A"/>
    <w:rsid w:val="00DB5E9A"/>
    <w:rsid w:val="00DB613B"/>
    <w:rsid w:val="00DB657E"/>
    <w:rsid w:val="00DB7342"/>
    <w:rsid w:val="00DB7489"/>
    <w:rsid w:val="00DC17D0"/>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D8B"/>
    <w:rsid w:val="00DE1237"/>
    <w:rsid w:val="00DE140F"/>
    <w:rsid w:val="00DE17E9"/>
    <w:rsid w:val="00DE2491"/>
    <w:rsid w:val="00DE450F"/>
    <w:rsid w:val="00DE5CA6"/>
    <w:rsid w:val="00DE7AC8"/>
    <w:rsid w:val="00DF0830"/>
    <w:rsid w:val="00DF2C5D"/>
    <w:rsid w:val="00DF3643"/>
    <w:rsid w:val="00DF42FF"/>
    <w:rsid w:val="00DF4369"/>
    <w:rsid w:val="00DF4423"/>
    <w:rsid w:val="00DF4ADF"/>
    <w:rsid w:val="00DF5D1E"/>
    <w:rsid w:val="00DF77E4"/>
    <w:rsid w:val="00DF7F88"/>
    <w:rsid w:val="00E01C0E"/>
    <w:rsid w:val="00E0368F"/>
    <w:rsid w:val="00E03D73"/>
    <w:rsid w:val="00E03F9A"/>
    <w:rsid w:val="00E040DA"/>
    <w:rsid w:val="00E04694"/>
    <w:rsid w:val="00E1168B"/>
    <w:rsid w:val="00E12191"/>
    <w:rsid w:val="00E129E7"/>
    <w:rsid w:val="00E12ABE"/>
    <w:rsid w:val="00E12B1E"/>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30F15"/>
    <w:rsid w:val="00E31771"/>
    <w:rsid w:val="00E3186D"/>
    <w:rsid w:val="00E31A3E"/>
    <w:rsid w:val="00E32080"/>
    <w:rsid w:val="00E3309D"/>
    <w:rsid w:val="00E350B1"/>
    <w:rsid w:val="00E35A53"/>
    <w:rsid w:val="00E3656B"/>
    <w:rsid w:val="00E3724A"/>
    <w:rsid w:val="00E378B1"/>
    <w:rsid w:val="00E417BE"/>
    <w:rsid w:val="00E41CD5"/>
    <w:rsid w:val="00E42054"/>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1EF0"/>
    <w:rsid w:val="00E53470"/>
    <w:rsid w:val="00E5368D"/>
    <w:rsid w:val="00E539F6"/>
    <w:rsid w:val="00E54698"/>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C5F"/>
    <w:rsid w:val="00E71A58"/>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90CA8"/>
    <w:rsid w:val="00E930A1"/>
    <w:rsid w:val="00E93820"/>
    <w:rsid w:val="00E94A86"/>
    <w:rsid w:val="00E953F6"/>
    <w:rsid w:val="00E96143"/>
    <w:rsid w:val="00E96833"/>
    <w:rsid w:val="00E97506"/>
    <w:rsid w:val="00E97BB5"/>
    <w:rsid w:val="00EA0C68"/>
    <w:rsid w:val="00EA1D0E"/>
    <w:rsid w:val="00EA2072"/>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851"/>
    <w:rsid w:val="00ED3F10"/>
    <w:rsid w:val="00ED4D04"/>
    <w:rsid w:val="00ED566D"/>
    <w:rsid w:val="00ED5907"/>
    <w:rsid w:val="00ED5F5B"/>
    <w:rsid w:val="00ED62C6"/>
    <w:rsid w:val="00ED64C1"/>
    <w:rsid w:val="00ED781F"/>
    <w:rsid w:val="00EE249F"/>
    <w:rsid w:val="00EE2EB4"/>
    <w:rsid w:val="00EE3446"/>
    <w:rsid w:val="00EE3E78"/>
    <w:rsid w:val="00EE41FD"/>
    <w:rsid w:val="00EE460E"/>
    <w:rsid w:val="00EE4B1B"/>
    <w:rsid w:val="00EE5FBA"/>
    <w:rsid w:val="00EE6E06"/>
    <w:rsid w:val="00EE7179"/>
    <w:rsid w:val="00EF0D90"/>
    <w:rsid w:val="00EF150D"/>
    <w:rsid w:val="00EF1F5A"/>
    <w:rsid w:val="00EF23B5"/>
    <w:rsid w:val="00EF47BF"/>
    <w:rsid w:val="00EF59B1"/>
    <w:rsid w:val="00EF5A13"/>
    <w:rsid w:val="00EF5FF9"/>
    <w:rsid w:val="00EF77D4"/>
    <w:rsid w:val="00EF7CC7"/>
    <w:rsid w:val="00F00853"/>
    <w:rsid w:val="00F00866"/>
    <w:rsid w:val="00F00EC8"/>
    <w:rsid w:val="00F0160B"/>
    <w:rsid w:val="00F0193E"/>
    <w:rsid w:val="00F03E2F"/>
    <w:rsid w:val="00F03F8D"/>
    <w:rsid w:val="00F04811"/>
    <w:rsid w:val="00F0488C"/>
    <w:rsid w:val="00F073ED"/>
    <w:rsid w:val="00F07C4C"/>
    <w:rsid w:val="00F10F11"/>
    <w:rsid w:val="00F11159"/>
    <w:rsid w:val="00F115E4"/>
    <w:rsid w:val="00F12CFB"/>
    <w:rsid w:val="00F13E60"/>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B1"/>
    <w:rsid w:val="00F27FD6"/>
    <w:rsid w:val="00F307CB"/>
    <w:rsid w:val="00F30C65"/>
    <w:rsid w:val="00F321D2"/>
    <w:rsid w:val="00F32649"/>
    <w:rsid w:val="00F33523"/>
    <w:rsid w:val="00F3364D"/>
    <w:rsid w:val="00F33914"/>
    <w:rsid w:val="00F349BF"/>
    <w:rsid w:val="00F34DDC"/>
    <w:rsid w:val="00F36191"/>
    <w:rsid w:val="00F3629F"/>
    <w:rsid w:val="00F36DF3"/>
    <w:rsid w:val="00F37EDC"/>
    <w:rsid w:val="00F437CC"/>
    <w:rsid w:val="00F44537"/>
    <w:rsid w:val="00F46185"/>
    <w:rsid w:val="00F46423"/>
    <w:rsid w:val="00F4696A"/>
    <w:rsid w:val="00F47067"/>
    <w:rsid w:val="00F47234"/>
    <w:rsid w:val="00F525AB"/>
    <w:rsid w:val="00F525EB"/>
    <w:rsid w:val="00F52CB5"/>
    <w:rsid w:val="00F53378"/>
    <w:rsid w:val="00F53A68"/>
    <w:rsid w:val="00F54934"/>
    <w:rsid w:val="00F55A92"/>
    <w:rsid w:val="00F575D3"/>
    <w:rsid w:val="00F62BFF"/>
    <w:rsid w:val="00F63AAE"/>
    <w:rsid w:val="00F63DDE"/>
    <w:rsid w:val="00F63FB7"/>
    <w:rsid w:val="00F6421B"/>
    <w:rsid w:val="00F647F1"/>
    <w:rsid w:val="00F649D2"/>
    <w:rsid w:val="00F6602B"/>
    <w:rsid w:val="00F7150B"/>
    <w:rsid w:val="00F717E4"/>
    <w:rsid w:val="00F71DE6"/>
    <w:rsid w:val="00F72D71"/>
    <w:rsid w:val="00F7381C"/>
    <w:rsid w:val="00F73A0C"/>
    <w:rsid w:val="00F7549F"/>
    <w:rsid w:val="00F756DB"/>
    <w:rsid w:val="00F767A8"/>
    <w:rsid w:val="00F77590"/>
    <w:rsid w:val="00F82D14"/>
    <w:rsid w:val="00F84E7D"/>
    <w:rsid w:val="00F85066"/>
    <w:rsid w:val="00F87A4D"/>
    <w:rsid w:val="00F93688"/>
    <w:rsid w:val="00F939F3"/>
    <w:rsid w:val="00F93C6E"/>
    <w:rsid w:val="00F93F2C"/>
    <w:rsid w:val="00F962AD"/>
    <w:rsid w:val="00F9644E"/>
    <w:rsid w:val="00FA0105"/>
    <w:rsid w:val="00FA05A0"/>
    <w:rsid w:val="00FA0AEF"/>
    <w:rsid w:val="00FA17CC"/>
    <w:rsid w:val="00FA1CFE"/>
    <w:rsid w:val="00FA1F01"/>
    <w:rsid w:val="00FA26DF"/>
    <w:rsid w:val="00FA32BC"/>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3D9"/>
    <w:rsid w:val="00FC64DE"/>
    <w:rsid w:val="00FC684B"/>
    <w:rsid w:val="00FC7D98"/>
    <w:rsid w:val="00FD1135"/>
    <w:rsid w:val="00FD3265"/>
    <w:rsid w:val="00FD3CF7"/>
    <w:rsid w:val="00FD4916"/>
    <w:rsid w:val="00FD4D12"/>
    <w:rsid w:val="00FD4F73"/>
    <w:rsid w:val="00FD595E"/>
    <w:rsid w:val="00FD7802"/>
    <w:rsid w:val="00FE27C7"/>
    <w:rsid w:val="00FE2C7E"/>
    <w:rsid w:val="00FE2F78"/>
    <w:rsid w:val="00FE3137"/>
    <w:rsid w:val="00FE346B"/>
    <w:rsid w:val="00FE346F"/>
    <w:rsid w:val="00FE48E4"/>
    <w:rsid w:val="00FE634C"/>
    <w:rsid w:val="00FE6E69"/>
    <w:rsid w:val="00FE6F59"/>
    <w:rsid w:val="00FF01B6"/>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20\Q-makro\1.a&#382;%203.%20&#269;tvrtlet&#237;%202020\Statn&#237;%20rozpo&#269;et\Grafy-st&#225;tn&#237;%20rozpo&#269;et-rok-1-3.q-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20\Q-makro\1.a&#382;%203.%20&#269;tvrtlet&#237;%202020\Statn&#237;%20rozpo&#269;et\Grafy-st&#225;tn&#237;%20rozpo&#269;et-rok-1-pol-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08338784405057E-2"/>
          <c:y val="1.7107238390107405E-2"/>
          <c:w val="0.84381833758037139"/>
          <c:h val="0.81522316394353223"/>
        </c:manualLayout>
      </c:layout>
      <c:barChart>
        <c:barDir val="col"/>
        <c:grouping val="clustered"/>
        <c:varyColors val="0"/>
        <c:ser>
          <c:idx val="4"/>
          <c:order val="3"/>
          <c:tx>
            <c:strRef>
              <c:f>'G1-Státní rozpočet-příjmy'!$A$39</c:f>
              <c:strCache>
                <c:ptCount val="1"/>
                <c:pt idx="0">
                  <c:v>Saldo státního rozpočtu (SR, pravá osa)</c:v>
                </c:pt>
              </c:strCache>
            </c:strRef>
          </c:tx>
          <c:spPr>
            <a:solidFill>
              <a:schemeClr val="bg1">
                <a:lumMod val="65000"/>
              </a:schemeClr>
            </a:solidFill>
          </c:spPr>
          <c:invertIfNegative val="0"/>
          <c:cat>
            <c:numRef>
              <c:f>'G1-Státní rozpočet-příjmy'!$B$35:$Q$35</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rozpočet-příjmy'!$B$39:$Q$39</c:f>
              <c:numCache>
                <c:formatCode>0.0</c:formatCode>
                <c:ptCount val="16"/>
                <c:pt idx="0">
                  <c:v>25.75</c:v>
                </c:pt>
                <c:pt idx="1">
                  <c:v>1.49</c:v>
                </c:pt>
                <c:pt idx="2">
                  <c:v>36.316000000000003</c:v>
                </c:pt>
                <c:pt idx="3">
                  <c:v>10.473000000000001</c:v>
                </c:pt>
                <c:pt idx="4">
                  <c:v>-87.296000000000006</c:v>
                </c:pt>
                <c:pt idx="5">
                  <c:v>-99.555000000000007</c:v>
                </c:pt>
                <c:pt idx="6">
                  <c:v>-105.13800000000001</c:v>
                </c:pt>
                <c:pt idx="7">
                  <c:v>-71.412000000000006</c:v>
                </c:pt>
                <c:pt idx="8">
                  <c:v>-38.241</c:v>
                </c:pt>
                <c:pt idx="9">
                  <c:v>-34.39</c:v>
                </c:pt>
                <c:pt idx="10">
                  <c:v>-2.77</c:v>
                </c:pt>
                <c:pt idx="11">
                  <c:v>82.27</c:v>
                </c:pt>
                <c:pt idx="12">
                  <c:v>17.399999999999999</c:v>
                </c:pt>
                <c:pt idx="13">
                  <c:v>16.77</c:v>
                </c:pt>
                <c:pt idx="14">
                  <c:v>-20.99</c:v>
                </c:pt>
                <c:pt idx="15">
                  <c:v>-252.66738666548986</c:v>
                </c:pt>
              </c:numCache>
            </c:numRef>
          </c:val>
          <c:extLst>
            <c:ext xmlns:c16="http://schemas.microsoft.com/office/drawing/2014/chart" uri="{C3380CC4-5D6E-409C-BE32-E72D297353CC}">
              <c16:uniqueId val="{00000000-6587-4147-B2F4-A0BF3D98A448}"/>
            </c:ext>
          </c:extLst>
        </c:ser>
        <c:ser>
          <c:idx val="2"/>
          <c:order val="4"/>
          <c:tx>
            <c:strRef>
              <c:f>'G1-Státní rozpočet-příjmy'!$A$40</c:f>
              <c:strCache>
                <c:ptCount val="1"/>
                <c:pt idx="0">
                  <c:v>Saldo SR očišť. o vliv EU a FM* (pr. osa)</c:v>
                </c:pt>
              </c:strCache>
            </c:strRef>
          </c:tx>
          <c:spPr>
            <a:solidFill>
              <a:schemeClr val="bg1">
                <a:lumMod val="85000"/>
              </a:schemeClr>
            </a:solidFill>
            <a:ln w="28575">
              <a:noFill/>
            </a:ln>
          </c:spPr>
          <c:invertIfNegative val="0"/>
          <c:cat>
            <c:numRef>
              <c:f>'G1-Státní rozpočet-příjmy'!$B$35:$Q$35</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rozpočet-příjmy'!$B$40:$Q$40</c:f>
              <c:numCache>
                <c:formatCode>General</c:formatCode>
                <c:ptCount val="16"/>
                <c:pt idx="8" formatCode="#\ ##0.0">
                  <c:v>-65.2</c:v>
                </c:pt>
                <c:pt idx="9" formatCode="#\ ##0.0">
                  <c:v>-52.7</c:v>
                </c:pt>
                <c:pt idx="10" formatCode="#\ ##0.0">
                  <c:v>-40.5</c:v>
                </c:pt>
                <c:pt idx="11" formatCode="#\ ##0.0">
                  <c:v>-7.2</c:v>
                </c:pt>
                <c:pt idx="12" formatCode="#\ ##0.0">
                  <c:v>0.9</c:v>
                </c:pt>
                <c:pt idx="13" formatCode="#\ ##0.0">
                  <c:v>-4.8</c:v>
                </c:pt>
                <c:pt idx="14" formatCode="#\ ##0.0">
                  <c:v>-19</c:v>
                </c:pt>
                <c:pt idx="15" formatCode="#\ ##0.0">
                  <c:v>-256.10000000000002</c:v>
                </c:pt>
              </c:numCache>
            </c:numRef>
          </c:val>
          <c:extLst>
            <c:ext xmlns:c16="http://schemas.microsoft.com/office/drawing/2014/chart" uri="{C3380CC4-5D6E-409C-BE32-E72D297353CC}">
              <c16:uniqueId val="{00000001-6587-4147-B2F4-A0BF3D98A448}"/>
            </c:ext>
          </c:extLst>
        </c:ser>
        <c:dLbls>
          <c:showLegendKey val="0"/>
          <c:showVal val="0"/>
          <c:showCatName val="0"/>
          <c:showSerName val="0"/>
          <c:showPercent val="0"/>
          <c:showBubbleSize val="0"/>
        </c:dLbls>
        <c:gapWidth val="65"/>
        <c:axId val="337259904"/>
        <c:axId val="337258656"/>
      </c:barChart>
      <c:lineChart>
        <c:grouping val="standard"/>
        <c:varyColors val="0"/>
        <c:ser>
          <c:idx val="0"/>
          <c:order val="0"/>
          <c:tx>
            <c:strRef>
              <c:f>'G1-Státní rozpočet-příjmy'!$A$36</c:f>
              <c:strCache>
                <c:ptCount val="1"/>
                <c:pt idx="0">
                  <c:v>DPH a spotřební daně</c:v>
                </c:pt>
              </c:strCache>
            </c:strRef>
          </c:tx>
          <c:spPr>
            <a:ln w="19050">
              <a:noFill/>
            </a:ln>
          </c:spPr>
          <c:marker>
            <c:symbol val="diamond"/>
            <c:size val="6"/>
            <c:spPr>
              <a:solidFill>
                <a:srgbClr val="00B050"/>
              </a:solidFill>
              <a:ln>
                <a:noFill/>
              </a:ln>
            </c:spPr>
          </c:marker>
          <c:cat>
            <c:numRef>
              <c:f>'G1-Státní rozpočet-příjmy'!$B$35:$Q$35</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rozpočet-příjmy'!$B$36:$Q$36</c:f>
              <c:numCache>
                <c:formatCode>0.0</c:formatCode>
                <c:ptCount val="16"/>
                <c:pt idx="0">
                  <c:v>19.645907749650576</c:v>
                </c:pt>
                <c:pt idx="1">
                  <c:v>5.7329525787469748</c:v>
                </c:pt>
                <c:pt idx="2">
                  <c:v>8.1761263657568435</c:v>
                </c:pt>
                <c:pt idx="3">
                  <c:v>6.3968223945526574</c:v>
                </c:pt>
                <c:pt idx="4">
                  <c:v>-1.464836805802463</c:v>
                </c:pt>
                <c:pt idx="5">
                  <c:v>7.8227610593923629</c:v>
                </c:pt>
                <c:pt idx="6">
                  <c:v>3.2527943243424176</c:v>
                </c:pt>
                <c:pt idx="7">
                  <c:v>-1.0306605302391887</c:v>
                </c:pt>
                <c:pt idx="8">
                  <c:v>6.0223997904112991</c:v>
                </c:pt>
                <c:pt idx="9">
                  <c:v>4.1328185328185327</c:v>
                </c:pt>
                <c:pt idx="10">
                  <c:v>1.4445466140657857</c:v>
                </c:pt>
                <c:pt idx="11">
                  <c:v>6.0994152046783654</c:v>
                </c:pt>
                <c:pt idx="12">
                  <c:v>8.1298572452185311</c:v>
                </c:pt>
                <c:pt idx="13">
                  <c:v>5.6198389234376691</c:v>
                </c:pt>
                <c:pt idx="14">
                  <c:v>3.3348616104823492</c:v>
                </c:pt>
                <c:pt idx="15">
                  <c:v>-2.1407457022604319</c:v>
                </c:pt>
              </c:numCache>
            </c:numRef>
          </c:val>
          <c:smooth val="0"/>
          <c:extLst>
            <c:ext xmlns:c16="http://schemas.microsoft.com/office/drawing/2014/chart" uri="{C3380CC4-5D6E-409C-BE32-E72D297353CC}">
              <c16:uniqueId val="{00000002-6587-4147-B2F4-A0BF3D98A448}"/>
            </c:ext>
          </c:extLst>
        </c:ser>
        <c:ser>
          <c:idx val="1"/>
          <c:order val="1"/>
          <c:tx>
            <c:strRef>
              <c:f>'G1-Státní rozpočet-příjmy'!$A$37</c:f>
              <c:strCache>
                <c:ptCount val="1"/>
                <c:pt idx="0">
                  <c:v>Daně z příjmů (DPFO) ze závislé činnosti</c:v>
                </c:pt>
              </c:strCache>
            </c:strRef>
          </c:tx>
          <c:spPr>
            <a:ln w="19050">
              <a:solidFill>
                <a:srgbClr val="BD1B25"/>
              </a:solidFill>
              <a:prstDash val="sysDash"/>
            </a:ln>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3-6587-4147-B2F4-A0BF3D98A448}"/>
                </c:ext>
              </c:extLst>
            </c:dLbl>
            <c:dLbl>
              <c:idx val="1"/>
              <c:delete val="1"/>
              <c:extLst>
                <c:ext xmlns:c15="http://schemas.microsoft.com/office/drawing/2012/chart" uri="{CE6537A1-D6FC-4f65-9D91-7224C49458BB}"/>
                <c:ext xmlns:c16="http://schemas.microsoft.com/office/drawing/2014/chart" uri="{C3380CC4-5D6E-409C-BE32-E72D297353CC}">
                  <c16:uniqueId val="{00000004-6587-4147-B2F4-A0BF3D98A448}"/>
                </c:ext>
              </c:extLst>
            </c:dLbl>
            <c:dLbl>
              <c:idx val="2"/>
              <c:delete val="1"/>
              <c:extLst>
                <c:ext xmlns:c15="http://schemas.microsoft.com/office/drawing/2012/chart" uri="{CE6537A1-D6FC-4f65-9D91-7224C49458BB}"/>
                <c:ext xmlns:c16="http://schemas.microsoft.com/office/drawing/2014/chart" uri="{C3380CC4-5D6E-409C-BE32-E72D297353CC}">
                  <c16:uniqueId val="{00000005-6587-4147-B2F4-A0BF3D98A448}"/>
                </c:ext>
              </c:extLst>
            </c:dLbl>
            <c:dLbl>
              <c:idx val="3"/>
              <c:delete val="1"/>
              <c:extLst>
                <c:ext xmlns:c15="http://schemas.microsoft.com/office/drawing/2012/chart" uri="{CE6537A1-D6FC-4f65-9D91-7224C49458BB}"/>
                <c:ext xmlns:c16="http://schemas.microsoft.com/office/drawing/2014/chart" uri="{C3380CC4-5D6E-409C-BE32-E72D297353CC}">
                  <c16:uniqueId val="{00000006-6587-4147-B2F4-A0BF3D98A448}"/>
                </c:ext>
              </c:extLst>
            </c:dLbl>
            <c:dLbl>
              <c:idx val="4"/>
              <c:delete val="1"/>
              <c:extLst>
                <c:ext xmlns:c15="http://schemas.microsoft.com/office/drawing/2012/chart" uri="{CE6537A1-D6FC-4f65-9D91-7224C49458BB}"/>
                <c:ext xmlns:c16="http://schemas.microsoft.com/office/drawing/2014/chart" uri="{C3380CC4-5D6E-409C-BE32-E72D297353CC}">
                  <c16:uniqueId val="{00000007-6587-4147-B2F4-A0BF3D98A448}"/>
                </c:ext>
              </c:extLst>
            </c:dLbl>
            <c:dLbl>
              <c:idx val="5"/>
              <c:delete val="1"/>
              <c:extLst>
                <c:ext xmlns:c15="http://schemas.microsoft.com/office/drawing/2012/chart" uri="{CE6537A1-D6FC-4f65-9D91-7224C49458BB}"/>
                <c:ext xmlns:c16="http://schemas.microsoft.com/office/drawing/2014/chart" uri="{C3380CC4-5D6E-409C-BE32-E72D297353CC}">
                  <c16:uniqueId val="{00000008-6587-4147-B2F4-A0BF3D98A448}"/>
                </c:ext>
              </c:extLst>
            </c:dLbl>
            <c:dLbl>
              <c:idx val="6"/>
              <c:delete val="1"/>
              <c:extLst>
                <c:ext xmlns:c15="http://schemas.microsoft.com/office/drawing/2012/chart" uri="{CE6537A1-D6FC-4f65-9D91-7224C49458BB}"/>
                <c:ext xmlns:c16="http://schemas.microsoft.com/office/drawing/2014/chart" uri="{C3380CC4-5D6E-409C-BE32-E72D297353CC}">
                  <c16:uniqueId val="{00000009-6587-4147-B2F4-A0BF3D98A448}"/>
                </c:ext>
              </c:extLst>
            </c:dLbl>
            <c:dLbl>
              <c:idx val="7"/>
              <c:delete val="1"/>
              <c:extLst>
                <c:ext xmlns:c15="http://schemas.microsoft.com/office/drawing/2012/chart" uri="{CE6537A1-D6FC-4f65-9D91-7224C49458BB}"/>
                <c:ext xmlns:c16="http://schemas.microsoft.com/office/drawing/2014/chart" uri="{C3380CC4-5D6E-409C-BE32-E72D297353CC}">
                  <c16:uniqueId val="{0000000A-6587-4147-B2F4-A0BF3D98A448}"/>
                </c:ext>
              </c:extLst>
            </c:dLbl>
            <c:dLbl>
              <c:idx val="8"/>
              <c:delete val="1"/>
              <c:extLst>
                <c:ext xmlns:c15="http://schemas.microsoft.com/office/drawing/2012/chart" uri="{CE6537A1-D6FC-4f65-9D91-7224C49458BB}"/>
                <c:ext xmlns:c16="http://schemas.microsoft.com/office/drawing/2014/chart" uri="{C3380CC4-5D6E-409C-BE32-E72D297353CC}">
                  <c16:uniqueId val="{0000000B-6587-4147-B2F4-A0BF3D98A448}"/>
                </c:ext>
              </c:extLst>
            </c:dLbl>
            <c:dLbl>
              <c:idx val="9"/>
              <c:delete val="1"/>
              <c:extLst>
                <c:ext xmlns:c15="http://schemas.microsoft.com/office/drawing/2012/chart" uri="{CE6537A1-D6FC-4f65-9D91-7224C49458BB}"/>
                <c:ext xmlns:c16="http://schemas.microsoft.com/office/drawing/2014/chart" uri="{C3380CC4-5D6E-409C-BE32-E72D297353CC}">
                  <c16:uniqueId val="{0000000C-6587-4147-B2F4-A0BF3D98A448}"/>
                </c:ext>
              </c:extLst>
            </c:dLbl>
            <c:dLbl>
              <c:idx val="10"/>
              <c:delete val="1"/>
              <c:extLst>
                <c:ext xmlns:c15="http://schemas.microsoft.com/office/drawing/2012/chart" uri="{CE6537A1-D6FC-4f65-9D91-7224C49458BB}"/>
                <c:ext xmlns:c16="http://schemas.microsoft.com/office/drawing/2014/chart" uri="{C3380CC4-5D6E-409C-BE32-E72D297353CC}">
                  <c16:uniqueId val="{0000000D-6587-4147-B2F4-A0BF3D98A448}"/>
                </c:ext>
              </c:extLst>
            </c:dLbl>
            <c:dLbl>
              <c:idx val="11"/>
              <c:delete val="1"/>
              <c:extLst>
                <c:ext xmlns:c15="http://schemas.microsoft.com/office/drawing/2012/chart" uri="{CE6537A1-D6FC-4f65-9D91-7224C49458BB}"/>
                <c:ext xmlns:c16="http://schemas.microsoft.com/office/drawing/2014/chart" uri="{C3380CC4-5D6E-409C-BE32-E72D297353CC}">
                  <c16:uniqueId val="{0000000E-6587-4147-B2F4-A0BF3D98A448}"/>
                </c:ext>
              </c:extLst>
            </c:dLbl>
            <c:dLbl>
              <c:idx val="12"/>
              <c:delete val="1"/>
              <c:extLst>
                <c:ext xmlns:c15="http://schemas.microsoft.com/office/drawing/2012/chart" uri="{CE6537A1-D6FC-4f65-9D91-7224C49458BB}"/>
                <c:ext xmlns:c16="http://schemas.microsoft.com/office/drawing/2014/chart" uri="{C3380CC4-5D6E-409C-BE32-E72D297353CC}">
                  <c16:uniqueId val="{0000000F-6587-4147-B2F4-A0BF3D98A448}"/>
                </c:ext>
              </c:extLst>
            </c:dLbl>
            <c:dLbl>
              <c:idx val="13"/>
              <c:layout>
                <c:manualLayout>
                  <c:x val="-8.2992648699718452E-3"/>
                  <c:y val="0.57962600904050265"/>
                </c:manualLayout>
              </c:layout>
              <c:tx>
                <c:rich>
                  <a:bodyPr/>
                  <a:lstStyle/>
                  <a:p>
                    <a:r>
                      <a:rPr lang="en-US"/>
                      <a:t>-253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6587-4147-B2F4-A0BF3D98A448}"/>
                </c:ext>
              </c:extLst>
            </c:dLbl>
            <c:dLbl>
              <c:idx val="14"/>
              <c:layout>
                <c:manualLayout>
                  <c:x val="-5.9376614952432551E-2"/>
                  <c:y val="0.5928985265834098"/>
                </c:manualLayout>
              </c:layout>
              <c:tx>
                <c:rich>
                  <a:bodyPr/>
                  <a:lstStyle/>
                  <a:p>
                    <a:r>
                      <a:rPr lang="en-US"/>
                      <a:t>-256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6587-4147-B2F4-A0BF3D98A448}"/>
                </c:ext>
              </c:extLst>
            </c:dLbl>
            <c:dLbl>
              <c:idx val="15"/>
              <c:delete val="1"/>
              <c:extLst>
                <c:ext xmlns:c15="http://schemas.microsoft.com/office/drawing/2012/chart" uri="{CE6537A1-D6FC-4f65-9D91-7224C49458BB}"/>
                <c:ext xmlns:c16="http://schemas.microsoft.com/office/drawing/2014/chart" uri="{C3380CC4-5D6E-409C-BE32-E72D297353CC}">
                  <c16:uniqueId val="{00000012-6587-4147-B2F4-A0BF3D98A448}"/>
                </c:ext>
              </c:extLst>
            </c:dLbl>
            <c:spPr>
              <a:noFill/>
              <a:ln>
                <a:noFill/>
              </a:ln>
              <a:effectLst/>
            </c:spPr>
            <c:txPr>
              <a:bodyPr wrap="square" lIns="38100" tIns="19050" rIns="38100" bIns="19050" anchor="ctr">
                <a:spAutoFit/>
              </a:bodyPr>
              <a:lstStyle/>
              <a:p>
                <a:pPr>
                  <a:defRPr sz="700"/>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'G1-Státní rozpočet-příjmy'!$B$35:$Q$35</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rozpočet-příjmy'!$B$37:$Q$37</c:f>
              <c:numCache>
                <c:formatCode>0.0</c:formatCode>
                <c:ptCount val="16"/>
                <c:pt idx="0">
                  <c:v>8.3720930232558146</c:v>
                </c:pt>
                <c:pt idx="1">
                  <c:v>1.0224690734662971</c:v>
                </c:pt>
                <c:pt idx="2">
                  <c:v>13.007622141696856</c:v>
                </c:pt>
                <c:pt idx="3">
                  <c:v>-7.5961963732861619</c:v>
                </c:pt>
                <c:pt idx="4">
                  <c:v>-4.5470862749790655</c:v>
                </c:pt>
                <c:pt idx="5">
                  <c:v>0.46383352137395661</c:v>
                </c:pt>
                <c:pt idx="6">
                  <c:v>6.8754679311205535</c:v>
                </c:pt>
                <c:pt idx="7">
                  <c:v>0.93403385872736067</c:v>
                </c:pt>
                <c:pt idx="8">
                  <c:v>5.6217466743782438</c:v>
                </c:pt>
                <c:pt idx="9">
                  <c:v>4.1616471361296732</c:v>
                </c:pt>
                <c:pt idx="10">
                  <c:v>2.5864788140048205</c:v>
                </c:pt>
                <c:pt idx="11">
                  <c:v>10.17730859895461</c:v>
                </c:pt>
                <c:pt idx="12">
                  <c:v>12.865116279069767</c:v>
                </c:pt>
                <c:pt idx="13">
                  <c:v>15.099315915272399</c:v>
                </c:pt>
                <c:pt idx="14">
                  <c:v>12.459720730397422</c:v>
                </c:pt>
                <c:pt idx="15">
                  <c:v>-8.6605587445081227</c:v>
                </c:pt>
              </c:numCache>
            </c:numRef>
          </c:val>
          <c:smooth val="0"/>
          <c:extLst>
            <c:ext xmlns:c16="http://schemas.microsoft.com/office/drawing/2014/chart" uri="{C3380CC4-5D6E-409C-BE32-E72D297353CC}">
              <c16:uniqueId val="{00000013-6587-4147-B2F4-A0BF3D98A448}"/>
            </c:ext>
          </c:extLst>
        </c:ser>
        <c:ser>
          <c:idx val="3"/>
          <c:order val="2"/>
          <c:tx>
            <c:strRef>
              <c:f>'G1-Státní rozpočet-příjmy'!$A$38</c:f>
              <c:strCache>
                <c:ptCount val="1"/>
                <c:pt idx="0">
                  <c:v>Daně z příjmů právnických osob (DPPO)</c:v>
                </c:pt>
              </c:strCache>
            </c:strRef>
          </c:tx>
          <c:spPr>
            <a:ln w="19050">
              <a:solidFill>
                <a:srgbClr val="0071BC"/>
              </a:solidFill>
              <a:prstDash val="sysDash"/>
            </a:ln>
          </c:spPr>
          <c:marker>
            <c:symbol val="none"/>
          </c:marker>
          <c:cat>
            <c:numRef>
              <c:f>'G1-Státní rozpočet-příjmy'!$B$35:$Q$35</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rozpočet-příjmy'!$B$38:$Q$38</c:f>
              <c:numCache>
                <c:formatCode>0.0</c:formatCode>
                <c:ptCount val="16"/>
                <c:pt idx="0">
                  <c:v>24.216106474170985</c:v>
                </c:pt>
                <c:pt idx="1">
                  <c:v>-5.7568328339235251</c:v>
                </c:pt>
                <c:pt idx="2">
                  <c:v>21.023219963387604</c:v>
                </c:pt>
                <c:pt idx="3">
                  <c:v>16.598996895151672</c:v>
                </c:pt>
                <c:pt idx="4">
                  <c:v>-35.982520824798584</c:v>
                </c:pt>
                <c:pt idx="5">
                  <c:v>5.5140784982935003</c:v>
                </c:pt>
                <c:pt idx="6">
                  <c:v>-6.1356514707368888</c:v>
                </c:pt>
                <c:pt idx="7">
                  <c:v>8.9812621150118446</c:v>
                </c:pt>
                <c:pt idx="8">
                  <c:v>-5.8794466403162176</c:v>
                </c:pt>
                <c:pt idx="9">
                  <c:v>8.8503937007874214</c:v>
                </c:pt>
                <c:pt idx="10">
                  <c:v>11.140046296296305</c:v>
                </c:pt>
                <c:pt idx="11">
                  <c:v>12.9219821227111</c:v>
                </c:pt>
                <c:pt idx="12">
                  <c:v>0.20750076852134214</c:v>
                </c:pt>
                <c:pt idx="13">
                  <c:v>2.3084592376716273</c:v>
                </c:pt>
                <c:pt idx="14">
                  <c:v>8.8380809595202265</c:v>
                </c:pt>
                <c:pt idx="15">
                  <c:v>-19.592139564501679</c:v>
                </c:pt>
              </c:numCache>
            </c:numRef>
          </c:val>
          <c:smooth val="0"/>
          <c:extLst>
            <c:ext xmlns:c16="http://schemas.microsoft.com/office/drawing/2014/chart" uri="{C3380CC4-5D6E-409C-BE32-E72D297353CC}">
              <c16:uniqueId val="{00000014-6587-4147-B2F4-A0BF3D98A448}"/>
            </c:ext>
          </c:extLst>
        </c:ser>
        <c:dLbls>
          <c:showLegendKey val="0"/>
          <c:showVal val="0"/>
          <c:showCatName val="0"/>
          <c:showSerName val="0"/>
          <c:showPercent val="0"/>
          <c:showBubbleSize val="0"/>
        </c:dLbls>
        <c:marker val="1"/>
        <c:smooth val="0"/>
        <c:axId val="79288576"/>
        <c:axId val="66855296"/>
      </c:lineChart>
      <c:catAx>
        <c:axId val="79288576"/>
        <c:scaling>
          <c:orientation val="minMax"/>
        </c:scaling>
        <c:delete val="0"/>
        <c:axPos val="b"/>
        <c:numFmt formatCode="General" sourceLinked="1"/>
        <c:majorTickMark val="out"/>
        <c:minorTickMark val="none"/>
        <c:tickLblPos val="low"/>
        <c:spPr>
          <a:ln w="6350">
            <a:solidFill>
              <a:schemeClr val="tx1"/>
            </a:solidFill>
          </a:ln>
        </c:spPr>
        <c:crossAx val="66855296"/>
        <c:crosses val="autoZero"/>
        <c:auto val="1"/>
        <c:lblAlgn val="ctr"/>
        <c:lblOffset val="0"/>
        <c:noMultiLvlLbl val="0"/>
      </c:catAx>
      <c:valAx>
        <c:axId val="66855296"/>
        <c:scaling>
          <c:orientation val="minMax"/>
          <c:max val="30"/>
          <c:min val="-45"/>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baseline="0">
                    <a:effectLst/>
                  </a:rPr>
                  <a:t>Jednotlivé druhy příjmů (změna v</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a:t>
                </a:r>
                <a:r>
                  <a:rPr lang="cs-CZ" sz="700" b="0" i="1" baseline="0">
                    <a:effectLst/>
                  </a:rPr>
                  <a:t>)</a:t>
                </a:r>
                <a:endParaRPr lang="cs-CZ" sz="700" b="0" i="1">
                  <a:effectLst/>
                </a:endParaRPr>
              </a:p>
            </c:rich>
          </c:tx>
          <c:overlay val="0"/>
        </c:title>
        <c:numFmt formatCode="0" sourceLinked="0"/>
        <c:majorTickMark val="out"/>
        <c:minorTickMark val="none"/>
        <c:tickLblPos val="nextTo"/>
        <c:spPr>
          <a:ln w="6350">
            <a:solidFill>
              <a:schemeClr val="tx1"/>
            </a:solidFill>
          </a:ln>
        </c:spPr>
        <c:crossAx val="79288576"/>
        <c:crosses val="autoZero"/>
        <c:crossBetween val="between"/>
        <c:majorUnit val="5"/>
      </c:valAx>
      <c:valAx>
        <c:axId val="337258656"/>
        <c:scaling>
          <c:orientation val="minMax"/>
          <c:max val="90"/>
          <c:min val="-135"/>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baseline="0">
                    <a:effectLst/>
                  </a:rPr>
                  <a:t>Saldo státního rozpočtu (v</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mld.</a:t>
                </a:r>
                <a:r>
                  <a:rPr lang="cs-CZ" sz="700" b="0" i="1" baseline="0">
                    <a:effectLst/>
                  </a:rPr>
                  <a:t> korun)</a:t>
                </a:r>
                <a:endParaRPr lang="cs-CZ" sz="700" i="1">
                  <a:effectLst/>
                </a:endParaRPr>
              </a:p>
            </c:rich>
          </c:tx>
          <c:layout>
            <c:manualLayout>
              <c:xMode val="edge"/>
              <c:yMode val="edge"/>
              <c:x val="0.97027241952391585"/>
              <c:y val="0.19370288341385586"/>
            </c:manualLayout>
          </c:layout>
          <c:overlay val="0"/>
        </c:title>
        <c:numFmt formatCode="#,##0" sourceLinked="0"/>
        <c:majorTickMark val="out"/>
        <c:minorTickMark val="none"/>
        <c:tickLblPos val="nextTo"/>
        <c:spPr>
          <a:ln w="6350"/>
        </c:spPr>
        <c:crossAx val="337259904"/>
        <c:crosses val="max"/>
        <c:crossBetween val="between"/>
        <c:majorUnit val="15"/>
      </c:valAx>
      <c:catAx>
        <c:axId val="337259904"/>
        <c:scaling>
          <c:orientation val="minMax"/>
        </c:scaling>
        <c:delete val="1"/>
        <c:axPos val="b"/>
        <c:numFmt formatCode="General" sourceLinked="1"/>
        <c:majorTickMark val="out"/>
        <c:minorTickMark val="none"/>
        <c:tickLblPos val="nextTo"/>
        <c:crossAx val="337258656"/>
        <c:crosses val="autoZero"/>
        <c:auto val="1"/>
        <c:lblAlgn val="ctr"/>
        <c:lblOffset val="100"/>
        <c:noMultiLvlLbl val="0"/>
      </c:catAx>
      <c:spPr>
        <a:ln w="6350">
          <a:solidFill>
            <a:schemeClr val="tx1"/>
          </a:solidFill>
        </a:ln>
      </c:spPr>
    </c:plotArea>
    <c:legend>
      <c:legendPos val="b"/>
      <c:layout>
        <c:manualLayout>
          <c:xMode val="edge"/>
          <c:yMode val="edge"/>
          <c:x val="1.7057291008819572E-2"/>
          <c:y val="0.8871124825006298"/>
          <c:w val="0.96687376745768305"/>
          <c:h val="9.8483288509762304E-2"/>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261536239710156E-2"/>
          <c:y val="1.7112323287741892E-2"/>
          <c:w val="0.84586291999023488"/>
          <c:h val="0.7751075308524743"/>
        </c:manualLayout>
      </c:layout>
      <c:barChart>
        <c:barDir val="col"/>
        <c:grouping val="clustered"/>
        <c:varyColors val="0"/>
        <c:ser>
          <c:idx val="0"/>
          <c:order val="0"/>
          <c:tx>
            <c:strRef>
              <c:f>'G2-Stání rozpočet-výdaje'!$B$32</c:f>
              <c:strCache>
                <c:ptCount val="1"/>
                <c:pt idx="0">
                  <c:v>Běžné výdaje (pravá osa)</c:v>
                </c:pt>
              </c:strCache>
            </c:strRef>
          </c:tx>
          <c:spPr>
            <a:solidFill>
              <a:schemeClr val="bg1">
                <a:lumMod val="85000"/>
              </a:schemeClr>
            </a:solidFill>
            <a:ln>
              <a:noFill/>
            </a:ln>
          </c:spPr>
          <c:invertIfNegative val="0"/>
          <c:cat>
            <c:numRef>
              <c:f>'G2-Stání rozpočet-výdaje'!$A$33:$A$48</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rozpočet-výdaje'!$B$33:$B$48</c:f>
              <c:numCache>
                <c:formatCode>0.0</c:formatCode>
                <c:ptCount val="16"/>
                <c:pt idx="0">
                  <c:v>572.85</c:v>
                </c:pt>
                <c:pt idx="1">
                  <c:v>623.23</c:v>
                </c:pt>
                <c:pt idx="2">
                  <c:v>657.36</c:v>
                </c:pt>
                <c:pt idx="3">
                  <c:v>707.04</c:v>
                </c:pt>
                <c:pt idx="4">
                  <c:v>734.05</c:v>
                </c:pt>
                <c:pt idx="5">
                  <c:v>754.15</c:v>
                </c:pt>
                <c:pt idx="6">
                  <c:v>764.93</c:v>
                </c:pt>
                <c:pt idx="7">
                  <c:v>755.57</c:v>
                </c:pt>
                <c:pt idx="8">
                  <c:v>786.27</c:v>
                </c:pt>
                <c:pt idx="9">
                  <c:v>801.1</c:v>
                </c:pt>
                <c:pt idx="10">
                  <c:v>822.78</c:v>
                </c:pt>
                <c:pt idx="11">
                  <c:v>831.33</c:v>
                </c:pt>
                <c:pt idx="12">
                  <c:v>881.38</c:v>
                </c:pt>
                <c:pt idx="13">
                  <c:v>946.49</c:v>
                </c:pt>
                <c:pt idx="14">
                  <c:v>1039.0999999999999</c:v>
                </c:pt>
                <c:pt idx="15">
                  <c:v>1205.0999999999999</c:v>
                </c:pt>
              </c:numCache>
            </c:numRef>
          </c:val>
          <c:extLst>
            <c:ext xmlns:c16="http://schemas.microsoft.com/office/drawing/2014/chart" uri="{C3380CC4-5D6E-409C-BE32-E72D297353CC}">
              <c16:uniqueId val="{00000000-3000-4375-9F78-14106F9F2DFD}"/>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'G2-Stání rozpočet-výdaje'!$C$32</c:f>
              <c:strCache>
                <c:ptCount val="1"/>
                <c:pt idx="0">
                  <c:v>Platy státních zaměstnanců*</c:v>
                </c:pt>
              </c:strCache>
            </c:strRef>
          </c:tx>
          <c:spPr>
            <a:ln w="15875">
              <a:solidFill>
                <a:srgbClr val="984807"/>
              </a:solidFill>
            </a:ln>
          </c:spPr>
          <c:marker>
            <c:symbol val="none"/>
          </c:marker>
          <c:cat>
            <c:numRef>
              <c:f>'G2-Stání rozpočet-výdaje'!$A$33:$A$48</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rozpočet-výdaje'!$C$33:$C$48</c:f>
              <c:numCache>
                <c:formatCode>0.0</c:formatCode>
                <c:ptCount val="16"/>
                <c:pt idx="0">
                  <c:v>55.24</c:v>
                </c:pt>
                <c:pt idx="1">
                  <c:v>57.61</c:v>
                </c:pt>
                <c:pt idx="2">
                  <c:v>61.35</c:v>
                </c:pt>
                <c:pt idx="3">
                  <c:v>61.44</c:v>
                </c:pt>
                <c:pt idx="4">
                  <c:v>63.79</c:v>
                </c:pt>
                <c:pt idx="5">
                  <c:v>63.5</c:v>
                </c:pt>
                <c:pt idx="6">
                  <c:v>57.88</c:v>
                </c:pt>
                <c:pt idx="7">
                  <c:v>58.77</c:v>
                </c:pt>
                <c:pt idx="8">
                  <c:v>60.04</c:v>
                </c:pt>
                <c:pt idx="9">
                  <c:v>61.89</c:v>
                </c:pt>
                <c:pt idx="10">
                  <c:v>67.66</c:v>
                </c:pt>
                <c:pt idx="11">
                  <c:v>70.25</c:v>
                </c:pt>
                <c:pt idx="12">
                  <c:v>76.150000000000006</c:v>
                </c:pt>
                <c:pt idx="13">
                  <c:v>86.54</c:v>
                </c:pt>
                <c:pt idx="14">
                  <c:v>93.2</c:v>
                </c:pt>
                <c:pt idx="15">
                  <c:v>97.9</c:v>
                </c:pt>
              </c:numCache>
            </c:numRef>
          </c:val>
          <c:smooth val="0"/>
          <c:extLst>
            <c:ext xmlns:c16="http://schemas.microsoft.com/office/drawing/2014/chart" uri="{C3380CC4-5D6E-409C-BE32-E72D297353CC}">
              <c16:uniqueId val="{00000001-3000-4375-9F78-14106F9F2DFD}"/>
            </c:ext>
          </c:extLst>
        </c:ser>
        <c:ser>
          <c:idx val="6"/>
          <c:order val="2"/>
          <c:tx>
            <c:strRef>
              <c:f>'G2-Stání rozpočet-výdaje'!$D$32</c:f>
              <c:strCache>
                <c:ptCount val="1"/>
                <c:pt idx="0">
                  <c:v>Podpora v nezaměstnanosti</c:v>
                </c:pt>
              </c:strCache>
            </c:strRef>
          </c:tx>
          <c:spPr>
            <a:ln w="15875">
              <a:solidFill>
                <a:srgbClr val="48AEE7"/>
              </a:solidFill>
            </a:ln>
          </c:spPr>
          <c:marker>
            <c:symbol val="none"/>
          </c:marker>
          <c:cat>
            <c:numRef>
              <c:f>'G2-Stání rozpočet-výdaje'!$A$33:$A$48</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rozpočet-výdaje'!$D$33:$D$48</c:f>
              <c:numCache>
                <c:formatCode>0.0</c:formatCode>
                <c:ptCount val="16"/>
                <c:pt idx="0">
                  <c:v>5.38</c:v>
                </c:pt>
                <c:pt idx="1">
                  <c:v>5.63</c:v>
                </c:pt>
                <c:pt idx="2">
                  <c:v>5.44</c:v>
                </c:pt>
                <c:pt idx="3">
                  <c:v>5.29</c:v>
                </c:pt>
                <c:pt idx="4">
                  <c:v>11.41</c:v>
                </c:pt>
                <c:pt idx="5">
                  <c:v>10.65</c:v>
                </c:pt>
                <c:pt idx="6">
                  <c:v>8.36</c:v>
                </c:pt>
                <c:pt idx="7">
                  <c:v>6.78</c:v>
                </c:pt>
                <c:pt idx="8">
                  <c:v>7.53</c:v>
                </c:pt>
                <c:pt idx="9">
                  <c:v>7.33</c:v>
                </c:pt>
                <c:pt idx="10">
                  <c:v>6.46</c:v>
                </c:pt>
                <c:pt idx="11">
                  <c:v>6.39</c:v>
                </c:pt>
                <c:pt idx="12">
                  <c:v>6.11</c:v>
                </c:pt>
                <c:pt idx="13">
                  <c:v>5.77</c:v>
                </c:pt>
                <c:pt idx="14">
                  <c:v>6.19</c:v>
                </c:pt>
                <c:pt idx="15">
                  <c:v>8</c:v>
                </c:pt>
              </c:numCache>
            </c:numRef>
          </c:val>
          <c:smooth val="0"/>
          <c:extLst>
            <c:ext xmlns:c16="http://schemas.microsoft.com/office/drawing/2014/chart" uri="{C3380CC4-5D6E-409C-BE32-E72D297353CC}">
              <c16:uniqueId val="{00000002-3000-4375-9F78-14106F9F2DFD}"/>
            </c:ext>
          </c:extLst>
        </c:ser>
        <c:ser>
          <c:idx val="7"/>
          <c:order val="3"/>
          <c:tx>
            <c:strRef>
              <c:f>'G2-Stání rozpočet-výdaje'!$E$32</c:f>
              <c:strCache>
                <c:ptCount val="1"/>
                <c:pt idx="0">
                  <c:v>Státní sociální podpora**</c:v>
                </c:pt>
              </c:strCache>
            </c:strRef>
          </c:tx>
          <c:spPr>
            <a:ln w="15875">
              <a:solidFill>
                <a:srgbClr val="00B050"/>
              </a:solidFill>
            </a:ln>
          </c:spPr>
          <c:marker>
            <c:symbol val="none"/>
          </c:marker>
          <c:cat>
            <c:numRef>
              <c:f>'G2-Stání rozpočet-výdaje'!$A$33:$A$48</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rozpočet-výdaje'!$E$33:$E$48</c:f>
              <c:numCache>
                <c:formatCode>General</c:formatCode>
                <c:ptCount val="16"/>
                <c:pt idx="0" formatCode="0.00">
                  <c:v>25.01</c:v>
                </c:pt>
                <c:pt idx="1">
                  <c:v>25.77</c:v>
                </c:pt>
                <c:pt idx="2">
                  <c:v>36.409999999999997</c:v>
                </c:pt>
                <c:pt idx="3">
                  <c:v>31.98</c:v>
                </c:pt>
                <c:pt idx="4">
                  <c:v>30.95</c:v>
                </c:pt>
                <c:pt idx="5">
                  <c:v>30.85</c:v>
                </c:pt>
                <c:pt idx="6">
                  <c:v>27.32</c:v>
                </c:pt>
                <c:pt idx="7">
                  <c:v>26.77</c:v>
                </c:pt>
                <c:pt idx="8">
                  <c:v>28.04</c:v>
                </c:pt>
                <c:pt idx="9">
                  <c:v>28.22</c:v>
                </c:pt>
                <c:pt idx="10">
                  <c:v>28.27</c:v>
                </c:pt>
                <c:pt idx="11">
                  <c:v>28.38</c:v>
                </c:pt>
                <c:pt idx="12">
                  <c:v>28.02</c:v>
                </c:pt>
                <c:pt idx="13">
                  <c:v>29.32</c:v>
                </c:pt>
                <c:pt idx="14">
                  <c:v>28.28</c:v>
                </c:pt>
                <c:pt idx="15">
                  <c:v>38.700000000000003</c:v>
                </c:pt>
              </c:numCache>
            </c:numRef>
          </c:val>
          <c:smooth val="0"/>
          <c:extLst>
            <c:ext xmlns:c16="http://schemas.microsoft.com/office/drawing/2014/chart" uri="{C3380CC4-5D6E-409C-BE32-E72D297353CC}">
              <c16:uniqueId val="{00000003-3000-4375-9F78-14106F9F2DFD}"/>
            </c:ext>
          </c:extLst>
        </c:ser>
        <c:ser>
          <c:idx val="2"/>
          <c:order val="4"/>
          <c:tx>
            <c:strRef>
              <c:f>'G2-Stání rozpočet-výdaje'!$F$32</c:f>
              <c:strCache>
                <c:ptCount val="1"/>
                <c:pt idx="0">
                  <c:v>Dávky nemocenského pojištění</c:v>
                </c:pt>
              </c:strCache>
            </c:strRef>
          </c:tx>
          <c:spPr>
            <a:ln w="15875">
              <a:solidFill>
                <a:srgbClr val="0071BC"/>
              </a:solidFill>
            </a:ln>
          </c:spPr>
          <c:marker>
            <c:symbol val="none"/>
          </c:marker>
          <c:cat>
            <c:numRef>
              <c:f>'G2-Stání rozpočet-výdaje'!$A$33:$A$48</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rozpočet-výdaje'!$F$33:$F$48</c:f>
              <c:numCache>
                <c:formatCode>0.00</c:formatCode>
                <c:ptCount val="16"/>
                <c:pt idx="0">
                  <c:v>24.5</c:v>
                </c:pt>
                <c:pt idx="1">
                  <c:v>25.2</c:v>
                </c:pt>
                <c:pt idx="2">
                  <c:v>26.13</c:v>
                </c:pt>
                <c:pt idx="3">
                  <c:v>24.12</c:v>
                </c:pt>
                <c:pt idx="4">
                  <c:v>20.07</c:v>
                </c:pt>
                <c:pt idx="5">
                  <c:v>16.8</c:v>
                </c:pt>
                <c:pt idx="6">
                  <c:v>16.82</c:v>
                </c:pt>
                <c:pt idx="7">
                  <c:v>14.84</c:v>
                </c:pt>
                <c:pt idx="8">
                  <c:v>15.44</c:v>
                </c:pt>
                <c:pt idx="9">
                  <c:v>16.649999999999999</c:v>
                </c:pt>
                <c:pt idx="10">
                  <c:v>18.23</c:v>
                </c:pt>
                <c:pt idx="11">
                  <c:v>19.88</c:v>
                </c:pt>
                <c:pt idx="12">
                  <c:v>21.43</c:v>
                </c:pt>
                <c:pt idx="13">
                  <c:v>25.48</c:v>
                </c:pt>
                <c:pt idx="14">
                  <c:v>29.3</c:v>
                </c:pt>
                <c:pt idx="15">
                  <c:v>43.2</c:v>
                </c:pt>
              </c:numCache>
            </c:numRef>
          </c:val>
          <c:smooth val="0"/>
          <c:extLst>
            <c:ext xmlns:c16="http://schemas.microsoft.com/office/drawing/2014/chart" uri="{C3380CC4-5D6E-409C-BE32-E72D297353CC}">
              <c16:uniqueId val="{00000004-3000-4375-9F78-14106F9F2DFD}"/>
            </c:ext>
          </c:extLst>
        </c:ser>
        <c:ser>
          <c:idx val="3"/>
          <c:order val="5"/>
          <c:tx>
            <c:strRef>
              <c:f>'G2-Stání rozpočet-výdaje'!$G$32</c:f>
              <c:strCache>
                <c:ptCount val="1"/>
                <c:pt idx="0">
                  <c:v>Dávky sociální péče***</c:v>
                </c:pt>
              </c:strCache>
            </c:strRef>
          </c:tx>
          <c:spPr>
            <a:ln w="15875">
              <a:solidFill>
                <a:srgbClr val="7030A0"/>
              </a:solidFill>
            </a:ln>
          </c:spPr>
          <c:marker>
            <c:symbol val="none"/>
          </c:marker>
          <c:cat>
            <c:numRef>
              <c:f>'G2-Stání rozpočet-výdaje'!$A$33:$A$48</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rozpočet-výdaje'!$G$33:$G$48</c:f>
              <c:numCache>
                <c:formatCode>General</c:formatCode>
                <c:ptCount val="16"/>
                <c:pt idx="2" formatCode="0.00">
                  <c:v>16.7</c:v>
                </c:pt>
                <c:pt idx="3" formatCode="0.00">
                  <c:v>18.600000000000001</c:v>
                </c:pt>
                <c:pt idx="4" formatCode="0.00">
                  <c:v>18.899999999999999</c:v>
                </c:pt>
                <c:pt idx="5" formatCode="0.00">
                  <c:v>19.600000000000001</c:v>
                </c:pt>
                <c:pt idx="6" formatCode="0.00">
                  <c:v>19.100000000000001</c:v>
                </c:pt>
                <c:pt idx="7" formatCode="0.00">
                  <c:v>20.309999999999999</c:v>
                </c:pt>
                <c:pt idx="8" formatCode="0.00">
                  <c:v>23.73</c:v>
                </c:pt>
                <c:pt idx="9" formatCode="0.00">
                  <c:v>25.18</c:v>
                </c:pt>
                <c:pt idx="10" formatCode="0.00">
                  <c:v>25.26</c:v>
                </c:pt>
                <c:pt idx="11" formatCode="0.00">
                  <c:v>25.4</c:v>
                </c:pt>
                <c:pt idx="12" formatCode="0.00">
                  <c:v>25.96</c:v>
                </c:pt>
                <c:pt idx="13" formatCode="0.00">
                  <c:v>25.547999999999998</c:v>
                </c:pt>
                <c:pt idx="14" formatCode="0.00">
                  <c:v>27.04</c:v>
                </c:pt>
                <c:pt idx="15" formatCode="0.00">
                  <c:v>30.2</c:v>
                </c:pt>
              </c:numCache>
            </c:numRef>
          </c:val>
          <c:smooth val="0"/>
          <c:extLst>
            <c:ext xmlns:c16="http://schemas.microsoft.com/office/drawing/2014/chart" uri="{C3380CC4-5D6E-409C-BE32-E72D297353CC}">
              <c16:uniqueId val="{00000005-3000-4375-9F78-14106F9F2DFD}"/>
            </c:ext>
          </c:extLst>
        </c:ser>
        <c:ser>
          <c:idx val="4"/>
          <c:order val="6"/>
          <c:tx>
            <c:strRef>
              <c:f>'G2-Stání rozpočet-výdaje'!$H$32</c:f>
              <c:strCache>
                <c:ptCount val="1"/>
                <c:pt idx="0">
                  <c:v>Neinvestiční nákupy a souvis. výdaje****</c:v>
                </c:pt>
              </c:strCache>
            </c:strRef>
          </c:tx>
          <c:spPr>
            <a:ln w="15875">
              <a:solidFill>
                <a:srgbClr val="F8A124"/>
              </a:solidFill>
              <a:prstDash val="solid"/>
            </a:ln>
          </c:spPr>
          <c:marker>
            <c:symbol val="none"/>
          </c:marker>
          <c:cat>
            <c:numRef>
              <c:f>'G2-Stání rozpočet-výdaje'!$A$33:$A$48</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rozpočet-výdaje'!$H$33:$H$48</c:f>
              <c:numCache>
                <c:formatCode>0.0</c:formatCode>
                <c:ptCount val="16"/>
                <c:pt idx="0">
                  <c:v>36.356999999999999</c:v>
                </c:pt>
                <c:pt idx="1">
                  <c:v>39.716000000000008</c:v>
                </c:pt>
                <c:pt idx="2">
                  <c:v>41.124000000000002</c:v>
                </c:pt>
                <c:pt idx="3">
                  <c:v>46.384999999999998</c:v>
                </c:pt>
                <c:pt idx="4">
                  <c:v>46.423000000000002</c:v>
                </c:pt>
                <c:pt idx="5">
                  <c:v>43.066999999999993</c:v>
                </c:pt>
                <c:pt idx="6">
                  <c:v>38.64</c:v>
                </c:pt>
                <c:pt idx="7">
                  <c:v>34.989999999999995</c:v>
                </c:pt>
                <c:pt idx="8">
                  <c:v>33.93</c:v>
                </c:pt>
                <c:pt idx="9">
                  <c:v>33.94</c:v>
                </c:pt>
                <c:pt idx="10">
                  <c:v>38.31</c:v>
                </c:pt>
                <c:pt idx="11">
                  <c:v>36.659999999999997</c:v>
                </c:pt>
                <c:pt idx="12">
                  <c:v>41.17</c:v>
                </c:pt>
                <c:pt idx="13">
                  <c:v>42.379999999999995</c:v>
                </c:pt>
                <c:pt idx="14">
                  <c:v>43.46</c:v>
                </c:pt>
                <c:pt idx="15">
                  <c:v>50.7</c:v>
                </c:pt>
              </c:numCache>
            </c:numRef>
          </c:val>
          <c:smooth val="0"/>
          <c:extLst>
            <c:ext xmlns:c16="http://schemas.microsoft.com/office/drawing/2014/chart" uri="{C3380CC4-5D6E-409C-BE32-E72D297353CC}">
              <c16:uniqueId val="{00000006-3000-4375-9F78-14106F9F2DFD}"/>
            </c:ext>
          </c:extLst>
        </c:ser>
        <c:ser>
          <c:idx val="5"/>
          <c:order val="7"/>
          <c:tx>
            <c:strRef>
              <c:f>'G2-Stání rozpočet-výdaje'!$I$32</c:f>
              <c:strCache>
                <c:ptCount val="1"/>
                <c:pt idx="0">
                  <c:v>Státní dluh (čisté výdaje)*****</c:v>
                </c:pt>
              </c:strCache>
            </c:strRef>
          </c:tx>
          <c:spPr>
            <a:ln w="15875">
              <a:solidFill>
                <a:srgbClr val="BD1B25"/>
              </a:solidFill>
            </a:ln>
          </c:spPr>
          <c:marker>
            <c:symbol val="none"/>
          </c:marker>
          <c:cat>
            <c:numRef>
              <c:f>'G2-Stání rozpočet-výdaje'!$A$33:$A$48</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rozpočet-výdaje'!$I$33:$I$48</c:f>
              <c:numCache>
                <c:formatCode>0.0</c:formatCode>
                <c:ptCount val="16"/>
                <c:pt idx="0">
                  <c:v>18.248999999999999</c:v>
                </c:pt>
                <c:pt idx="1">
                  <c:v>23.291</c:v>
                </c:pt>
                <c:pt idx="2">
                  <c:v>25.084</c:v>
                </c:pt>
                <c:pt idx="3">
                  <c:v>24.46</c:v>
                </c:pt>
                <c:pt idx="4">
                  <c:v>33.33</c:v>
                </c:pt>
                <c:pt idx="5">
                  <c:v>24.92</c:v>
                </c:pt>
                <c:pt idx="6">
                  <c:v>35.89</c:v>
                </c:pt>
                <c:pt idx="7">
                  <c:v>35.86</c:v>
                </c:pt>
                <c:pt idx="8">
                  <c:v>44.55</c:v>
                </c:pt>
                <c:pt idx="9">
                  <c:v>43.16</c:v>
                </c:pt>
                <c:pt idx="10">
                  <c:v>41.03</c:v>
                </c:pt>
                <c:pt idx="11">
                  <c:v>38.1</c:v>
                </c:pt>
                <c:pt idx="12">
                  <c:v>33.849999999999994</c:v>
                </c:pt>
                <c:pt idx="13">
                  <c:v>32.616999999999997</c:v>
                </c:pt>
                <c:pt idx="14">
                  <c:v>33.350999999999999</c:v>
                </c:pt>
                <c:pt idx="15">
                  <c:v>32.1</c:v>
                </c:pt>
              </c:numCache>
            </c:numRef>
          </c:val>
          <c:smooth val="0"/>
          <c:extLst>
            <c:ext xmlns:c16="http://schemas.microsoft.com/office/drawing/2014/chart" uri="{C3380CC4-5D6E-409C-BE32-E72D297353CC}">
              <c16:uniqueId val="{00000007-3000-4375-9F78-14106F9F2DFD}"/>
            </c:ext>
          </c:extLst>
        </c:ser>
        <c:ser>
          <c:idx val="8"/>
          <c:order val="8"/>
          <c:tx>
            <c:strRef>
              <c:f>'G2-Stání rozpočet-výdaje'!$J$32</c:f>
              <c:strCache>
                <c:ptCount val="1"/>
                <c:pt idx="0">
                  <c:v>Kapitálové výdaje</c:v>
                </c:pt>
              </c:strCache>
            </c:strRef>
          </c:tx>
          <c:spPr>
            <a:ln w="15875">
              <a:solidFill>
                <a:schemeClr val="tx1">
                  <a:lumMod val="95000"/>
                  <a:lumOff val="5000"/>
                </a:schemeClr>
              </a:solidFill>
              <a:prstDash val="sysDash"/>
            </a:ln>
          </c:spPr>
          <c:marker>
            <c:symbol val="none"/>
          </c:marker>
          <c:cat>
            <c:numRef>
              <c:f>'G2-Stání rozpočet-výdaje'!$A$33:$A$48</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rozpočet-výdaje'!$J$33:$J$48</c:f>
              <c:numCache>
                <c:formatCode>0.0</c:formatCode>
                <c:ptCount val="16"/>
                <c:pt idx="0">
                  <c:v>35.47</c:v>
                </c:pt>
                <c:pt idx="1">
                  <c:v>48.78</c:v>
                </c:pt>
                <c:pt idx="2">
                  <c:v>54.85</c:v>
                </c:pt>
                <c:pt idx="3">
                  <c:v>76.95</c:v>
                </c:pt>
                <c:pt idx="4">
                  <c:v>80.024000000000001</c:v>
                </c:pt>
                <c:pt idx="5">
                  <c:v>91.36</c:v>
                </c:pt>
                <c:pt idx="6">
                  <c:v>82.07</c:v>
                </c:pt>
                <c:pt idx="7">
                  <c:v>72.98</c:v>
                </c:pt>
                <c:pt idx="8">
                  <c:v>58.39</c:v>
                </c:pt>
                <c:pt idx="9">
                  <c:v>59.67</c:v>
                </c:pt>
                <c:pt idx="10">
                  <c:v>88.53</c:v>
                </c:pt>
                <c:pt idx="11">
                  <c:v>51.6</c:v>
                </c:pt>
                <c:pt idx="12">
                  <c:v>41.37</c:v>
                </c:pt>
                <c:pt idx="13">
                  <c:v>60.93</c:v>
                </c:pt>
                <c:pt idx="14">
                  <c:v>85.1</c:v>
                </c:pt>
                <c:pt idx="15">
                  <c:v>105.9</c:v>
                </c:pt>
              </c:numCache>
            </c:numRef>
          </c:val>
          <c:smooth val="0"/>
          <c:extLst>
            <c:ext xmlns:c16="http://schemas.microsoft.com/office/drawing/2014/chart" uri="{C3380CC4-5D6E-409C-BE32-E72D297353CC}">
              <c16:uniqueId val="{00000008-3000-4375-9F78-14106F9F2DFD}"/>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121"/>
          <c:min val="0"/>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baseline="0">
                    <a:effectLst/>
                  </a:rPr>
                  <a:t>Ostatní výdaje (v</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mld.</a:t>
                </a:r>
                <a:r>
                  <a:rPr lang="cs-CZ" sz="700" b="0" i="1" baseline="0">
                    <a:effectLst/>
                  </a:rPr>
                  <a:t> korun)</a:t>
                </a:r>
                <a:endParaRPr lang="cs-CZ" sz="700">
                  <a:effectLst/>
                </a:endParaRPr>
              </a:p>
            </c:rich>
          </c:tx>
          <c:layout>
            <c:manualLayout>
              <c:xMode val="edge"/>
              <c:yMode val="edge"/>
              <c:x val="0"/>
              <c:y val="0.22613499913827934"/>
            </c:manualLayout>
          </c:layout>
          <c:overlay val="0"/>
        </c:title>
        <c:numFmt formatCode="0" sourceLinked="0"/>
        <c:majorTickMark val="out"/>
        <c:minorTickMark val="none"/>
        <c:tickLblPos val="nextTo"/>
        <c:spPr>
          <a:ln w="6350">
            <a:solidFill>
              <a:schemeClr val="tx1"/>
            </a:solidFill>
          </a:ln>
        </c:spPr>
        <c:crossAx val="72827648"/>
        <c:crosses val="autoZero"/>
        <c:crossBetween val="between"/>
        <c:majorUnit val="10"/>
      </c:valAx>
      <c:valAx>
        <c:axId val="72835072"/>
        <c:scaling>
          <c:orientation val="minMax"/>
          <c:max val="1210"/>
          <c:min val="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1"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baseline="0">
                    <a:effectLst/>
                  </a:rPr>
                  <a:t>Běžné výdaje celkem (v</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mld.</a:t>
                </a:r>
                <a:r>
                  <a:rPr lang="cs-CZ" sz="700" b="0" i="1" baseline="0">
                    <a:effectLst/>
                  </a:rPr>
                  <a:t> korun)</a:t>
                </a:r>
                <a:endParaRPr lang="cs-CZ" sz="700" i="1">
                  <a:effectLst/>
                </a:endParaRPr>
              </a:p>
            </c:rich>
          </c:tx>
          <c:layout>
            <c:manualLayout>
              <c:xMode val="edge"/>
              <c:yMode val="edge"/>
              <c:x val="0.97053250319037876"/>
              <c:y val="0.18723657086670256"/>
            </c:manualLayout>
          </c:layout>
          <c:overlay val="0"/>
        </c:title>
        <c:numFmt formatCode="0" sourceLinked="0"/>
        <c:majorTickMark val="out"/>
        <c:minorTickMark val="none"/>
        <c:tickLblPos val="nextTo"/>
        <c:spPr>
          <a:ln w="6350">
            <a:solidFill>
              <a:schemeClr val="tx1"/>
            </a:solidFill>
          </a:ln>
        </c:spPr>
        <c:crossAx val="72836608"/>
        <c:crosses val="max"/>
        <c:crossBetween val="between"/>
        <c:majorUnit val="10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1.3103505681009297E-2"/>
          <c:y val="0.8410389783953548"/>
          <c:w val="0.95277458561056982"/>
          <c:h val="0.15537724601441247"/>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0.85282</cdr:x>
      <cdr:y>0.6918</cdr:y>
    </cdr:from>
    <cdr:to>
      <cdr:x>0.91862</cdr:x>
      <cdr:y>0.72239</cdr:y>
    </cdr:to>
    <cdr:sp macro="" textlink="">
      <cdr:nvSpPr>
        <cdr:cNvPr id="2" name="Kosoúhelník 1"/>
        <cdr:cNvSpPr/>
      </cdr:nvSpPr>
      <cdr:spPr bwMode="auto">
        <a:xfrm xmlns:a="http://schemas.openxmlformats.org/drawingml/2006/main" rot="19738280">
          <a:off x="4054657" y="2433708"/>
          <a:ext cx="312839" cy="107614"/>
        </a:xfrm>
        <a:prstGeom xmlns:a="http://schemas.openxmlformats.org/drawingml/2006/main" prst="parallelogram">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cs-CZ"/>
        </a:p>
      </cdr:txBody>
    </cdr:sp>
  </cdr:relSizeAnchor>
  <cdr:relSizeAnchor xmlns:cdr="http://schemas.openxmlformats.org/drawingml/2006/chartDrawing">
    <cdr:from>
      <cdr:x>0.84231</cdr:x>
      <cdr:y>0.75667</cdr:y>
    </cdr:from>
    <cdr:to>
      <cdr:x>0.88007</cdr:x>
      <cdr:y>0.75822</cdr:y>
    </cdr:to>
    <cdr:cxnSp macro="">
      <cdr:nvCxnSpPr>
        <cdr:cNvPr id="4" name="Přímá spojnice se šipkou 3"/>
        <cdr:cNvCxnSpPr/>
      </cdr:nvCxnSpPr>
      <cdr:spPr bwMode="auto">
        <a:xfrm xmlns:a="http://schemas.openxmlformats.org/drawingml/2006/main" flipV="1">
          <a:off x="4004677" y="2661933"/>
          <a:ext cx="179526" cy="5453"/>
        </a:xfrm>
        <a:prstGeom xmlns:a="http://schemas.openxmlformats.org/drawingml/2006/main" prst="straightConnector1">
          <a:avLst/>
        </a:prstGeom>
        <a:solidFill xmlns:a="http://schemas.openxmlformats.org/drawingml/2006/main">
          <a:srgbClr val="FFFFFF"/>
        </a:solidFill>
        <a:ln xmlns:a="http://schemas.openxmlformats.org/drawingml/2006/main" w="6350" cap="flat" cmpd="sng" algn="ctr">
          <a:solidFill>
            <a:schemeClr val="bg1">
              <a:lumMod val="50000"/>
            </a:schemeClr>
          </a:solidFill>
          <a:prstDash val="solid"/>
          <a:round/>
          <a:headEnd type="none" w="med" len="med"/>
          <a:tailEnd type="triangle" w="sm" len="med"/>
        </a:ln>
        <a:effectLst xmlns:a="http://schemas.openxmlformats.org/drawingml/2006/main"/>
      </cdr:spPr>
    </cdr:cxnSp>
  </cdr:relSizeAnchor>
  <cdr:relSizeAnchor xmlns:cdr="http://schemas.openxmlformats.org/drawingml/2006/chartDrawing">
    <cdr:from>
      <cdr:x>0.84228</cdr:x>
      <cdr:y>0.80159</cdr:y>
    </cdr:from>
    <cdr:to>
      <cdr:x>0.90411</cdr:x>
      <cdr:y>0.81182</cdr:y>
    </cdr:to>
    <cdr:cxnSp macro="">
      <cdr:nvCxnSpPr>
        <cdr:cNvPr id="5" name="Přímá spojnice se šipkou 4"/>
        <cdr:cNvCxnSpPr/>
      </cdr:nvCxnSpPr>
      <cdr:spPr bwMode="auto">
        <a:xfrm xmlns:a="http://schemas.openxmlformats.org/drawingml/2006/main">
          <a:off x="4004553" y="2819963"/>
          <a:ext cx="293945" cy="35973"/>
        </a:xfrm>
        <a:prstGeom xmlns:a="http://schemas.openxmlformats.org/drawingml/2006/main" prst="straightConnector1">
          <a:avLst/>
        </a:prstGeom>
        <a:solidFill xmlns:a="http://schemas.openxmlformats.org/drawingml/2006/main">
          <a:srgbClr val="FFFFFF"/>
        </a:solidFill>
        <a:ln xmlns:a="http://schemas.openxmlformats.org/drawingml/2006/main" w="6350" cap="flat" cmpd="sng" algn="ctr">
          <a:solidFill>
            <a:schemeClr val="bg1">
              <a:lumMod val="50000"/>
            </a:schemeClr>
          </a:solidFill>
          <a:prstDash val="solid"/>
          <a:round/>
          <a:headEnd type="none" w="med" len="med"/>
          <a:tailEnd type="triangle" w="sm" len="med"/>
        </a:ln>
        <a:effectLst xmlns:a="http://schemas.openxmlformats.org/drawingml/2006/main"/>
      </cdr:spPr>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BFEEC-555B-468C-9496-7B0F163A8B6D}">
  <ds:schemaRefs>
    <ds:schemaRef ds:uri="http://schemas.openxmlformats.org/officeDocument/2006/bibliography"/>
  </ds:schemaRefs>
</ds:datastoreItem>
</file>

<file path=customXml/itemProps2.xml><?xml version="1.0" encoding="utf-8"?>
<ds:datastoreItem xmlns:ds="http://schemas.openxmlformats.org/officeDocument/2006/customXml" ds:itemID="{844627F8-3586-452C-A4C4-A11705E0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2</TotalTime>
  <Pages>5</Pages>
  <Words>2478</Words>
  <Characters>14621</Characters>
  <Application>Microsoft Office Word</Application>
  <DocSecurity>0</DocSecurity>
  <Lines>121</Lines>
  <Paragraphs>34</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17065</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4</cp:revision>
  <cp:lastPrinted>2019-04-08T10:52:00Z</cp:lastPrinted>
  <dcterms:created xsi:type="dcterms:W3CDTF">2020-12-16T06:31:00Z</dcterms:created>
  <dcterms:modified xsi:type="dcterms:W3CDTF">2020-12-16T08:00:00Z</dcterms:modified>
</cp:coreProperties>
</file>