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6D0C2C" w14:textId="71574550" w:rsidR="00CC0F9A" w:rsidRDefault="00CC0F9A" w:rsidP="00D83A33">
      <w:pPr>
        <w:pStyle w:val="Nadpis1"/>
        <w:numPr>
          <w:ilvl w:val="0"/>
          <w:numId w:val="30"/>
        </w:numPr>
        <w:spacing w:after="0"/>
      </w:pPr>
      <w:bookmarkStart w:id="0" w:name="_Toc17873164"/>
      <w:r>
        <w:t>Nezaměstnanost</w:t>
      </w:r>
      <w:bookmarkEnd w:id="0"/>
    </w:p>
    <w:tbl>
      <w:tblPr>
        <w:tblW w:w="9644" w:type="dxa"/>
        <w:tblInd w:w="-15" w:type="dxa"/>
        <w:tblLayout w:type="fixed"/>
        <w:tblCellMar>
          <w:left w:w="0" w:type="dxa"/>
          <w:right w:w="0" w:type="dxa"/>
        </w:tblCellMar>
        <w:tblLook w:val="00A0" w:firstRow="1" w:lastRow="0" w:firstColumn="1" w:lastColumn="0" w:noHBand="0" w:noVBand="0"/>
      </w:tblPr>
      <w:tblGrid>
        <w:gridCol w:w="1814"/>
        <w:gridCol w:w="221"/>
        <w:gridCol w:w="7609"/>
      </w:tblGrid>
      <w:tr w:rsidR="00EF0FC4" w14:paraId="316CF26B" w14:textId="77777777" w:rsidTr="00A500A7">
        <w:trPr>
          <w:trHeight w:val="145"/>
        </w:trPr>
        <w:tc>
          <w:tcPr>
            <w:tcW w:w="1814" w:type="dxa"/>
          </w:tcPr>
          <w:p w14:paraId="7578D769" w14:textId="53BE7FF0" w:rsidR="00EF0FC4" w:rsidRDefault="00EF0FC4" w:rsidP="00A500A7">
            <w:pPr>
              <w:pStyle w:val="Marginlie"/>
            </w:pPr>
            <w:r>
              <w:t>Míra nezaměstnanosti loni nadále klesala, avšak výrazně skromnějším tempem než v předešlých letech.</w:t>
            </w:r>
          </w:p>
        </w:tc>
        <w:tc>
          <w:tcPr>
            <w:tcW w:w="221" w:type="dxa"/>
          </w:tcPr>
          <w:p w14:paraId="37ECD8C5" w14:textId="77777777" w:rsidR="00EF0FC4" w:rsidRPr="005E4483" w:rsidRDefault="00EF0FC4" w:rsidP="00A500A7">
            <w:pPr>
              <w:pStyle w:val="Textpoznpodarou"/>
              <w:jc w:val="both"/>
              <w:rPr>
                <w:spacing w:val="-4"/>
              </w:rPr>
            </w:pPr>
          </w:p>
        </w:tc>
        <w:tc>
          <w:tcPr>
            <w:tcW w:w="7609" w:type="dxa"/>
          </w:tcPr>
          <w:p w14:paraId="1444E0B3" w14:textId="4009E05D" w:rsidR="00EF0FC4" w:rsidRDefault="00EF0FC4" w:rsidP="0019361E">
            <w:pPr>
              <w:spacing w:after="160"/>
            </w:pPr>
            <w:r>
              <w:t>Svižný hospodářský růst</w:t>
            </w:r>
            <w:r w:rsidR="00276B4C">
              <w:t>,</w:t>
            </w:r>
            <w:r>
              <w:t xml:space="preserve"> projevující se již pátým rokem v</w:t>
            </w:r>
            <w:r w:rsidR="00276B4C">
              <w:t> </w:t>
            </w:r>
            <w:r>
              <w:t>řadě</w:t>
            </w:r>
            <w:r w:rsidR="00276B4C">
              <w:t>,</w:t>
            </w:r>
            <w:r>
              <w:t xml:space="preserve"> se </w:t>
            </w:r>
            <w:r w:rsidR="00BC7833">
              <w:t>i </w:t>
            </w:r>
            <w:r>
              <w:t>loni otiskl</w:t>
            </w:r>
            <w:r w:rsidR="006454CC">
              <w:t xml:space="preserve"> </w:t>
            </w:r>
            <w:r>
              <w:t xml:space="preserve">v redukci počtu nezaměstnaných. Na rozdíl od předešlých let ale tempo tohoto poklesu výrazně zmírnilo. Zčásti šlo </w:t>
            </w:r>
            <w:r w:rsidR="00BC7833">
              <w:t>o </w:t>
            </w:r>
            <w:r>
              <w:t xml:space="preserve">přirozenou reakci na zvolnění růstu výkonu tuzemské ekonomiky, </w:t>
            </w:r>
            <w:r w:rsidR="00276B4C">
              <w:t>které bylo reflektováno</w:t>
            </w:r>
            <w:r>
              <w:t xml:space="preserve"> </w:t>
            </w:r>
            <w:r w:rsidR="00BC7833">
              <w:t>i </w:t>
            </w:r>
            <w:r>
              <w:t>ve slabších konju</w:t>
            </w:r>
            <w:r w:rsidR="00276B4C">
              <w:t>n</w:t>
            </w:r>
            <w:r>
              <w:t>kturních očekáváních v oblasti zaměstnanosti</w:t>
            </w:r>
            <w:r w:rsidR="0037734D">
              <w:t xml:space="preserve"> – </w:t>
            </w:r>
            <w:r>
              <w:t xml:space="preserve">zejména v průmyslu </w:t>
            </w:r>
            <w:r w:rsidR="00BC7833">
              <w:t>a </w:t>
            </w:r>
            <w:r>
              <w:t>v některých službách</w:t>
            </w:r>
            <w:r>
              <w:rPr>
                <w:rStyle w:val="Znakapoznpodarou"/>
              </w:rPr>
              <w:footnoteReference w:id="1"/>
            </w:r>
            <w:r>
              <w:t>. Dominantní vliv ale patrně mělo faktické vyčerpání „rezerv“ (na pracovním trhu „uplatnitelných osob“ z řad nezaměstnaných)</w:t>
            </w:r>
            <w:r w:rsidR="00DB5913">
              <w:t>,</w:t>
            </w:r>
            <w:r>
              <w:t xml:space="preserve"> po němž nezaměstnanost narážela na své přirozené limity. Mezi nezaměstnanými tak na sklonku loňského roku zbývaly jak osoby s minimálními či dlouhodobě neudržovanými pracovními zkušenostmi, tak početně významná skupina frikčně nezaměstnaných</w:t>
            </w:r>
            <w:r>
              <w:rPr>
                <w:rStyle w:val="Znakapoznpodarou"/>
              </w:rPr>
              <w:footnoteReference w:id="2"/>
            </w:r>
            <w:r>
              <w:t>. Možnosti další redukce obou těchto skupin se jevily již jako značně omezené.</w:t>
            </w:r>
          </w:p>
        </w:tc>
      </w:tr>
    </w:tbl>
    <w:p w14:paraId="3B9CBFF9" w14:textId="77777777" w:rsidR="00EF0FC4" w:rsidRPr="00765565" w:rsidRDefault="00765565" w:rsidP="00765565">
      <w:pPr>
        <w:spacing w:after="0"/>
        <w:rPr>
          <w:rFonts w:eastAsia="MS Gothic"/>
          <w:b/>
          <w:bCs/>
          <w:color w:val="71818C"/>
          <w:sz w:val="28"/>
          <w:szCs w:val="28"/>
        </w:rPr>
      </w:pPr>
      <w:r>
        <w:rPr>
          <w:rFonts w:eastAsia="MS Gothic"/>
          <w:b/>
          <w:bCs/>
          <w:color w:val="71818C"/>
          <w:sz w:val="28"/>
          <w:szCs w:val="28"/>
        </w:rPr>
        <w:t xml:space="preserve">2.1. </w:t>
      </w:r>
      <w:r w:rsidR="00EF0FC4" w:rsidRPr="00765565">
        <w:rPr>
          <w:rFonts w:eastAsia="MS Gothic"/>
          <w:b/>
          <w:bCs/>
          <w:color w:val="71818C"/>
          <w:sz w:val="28"/>
          <w:szCs w:val="28"/>
        </w:rPr>
        <w:t>Míry nezaměstnanosti</w:t>
      </w:r>
    </w:p>
    <w:tbl>
      <w:tblPr>
        <w:tblW w:w="9649" w:type="dxa"/>
        <w:tblInd w:w="-15" w:type="dxa"/>
        <w:tblLayout w:type="fixed"/>
        <w:tblCellMar>
          <w:left w:w="0" w:type="dxa"/>
          <w:right w:w="0" w:type="dxa"/>
        </w:tblCellMar>
        <w:tblLook w:val="00A0" w:firstRow="1" w:lastRow="0" w:firstColumn="1" w:lastColumn="0" w:noHBand="0" w:noVBand="0"/>
      </w:tblPr>
      <w:tblGrid>
        <w:gridCol w:w="1815"/>
        <w:gridCol w:w="221"/>
        <w:gridCol w:w="7613"/>
      </w:tblGrid>
      <w:tr w:rsidR="00CC0F9A" w:rsidRPr="001502B1" w14:paraId="79AC7324" w14:textId="77777777" w:rsidTr="007F4B7E">
        <w:trPr>
          <w:trHeight w:val="145"/>
        </w:trPr>
        <w:tc>
          <w:tcPr>
            <w:tcW w:w="1815" w:type="dxa"/>
          </w:tcPr>
          <w:p w14:paraId="077D89C7" w14:textId="77777777" w:rsidR="00765565" w:rsidRDefault="00765565" w:rsidP="00765565">
            <w:pPr>
              <w:pStyle w:val="Marginlie"/>
            </w:pPr>
            <w:r>
              <w:t xml:space="preserve">Míra nezaměstnanosti mužů </w:t>
            </w:r>
            <w:r w:rsidR="00BC7833">
              <w:t>i </w:t>
            </w:r>
            <w:r>
              <w:t>žen již druhým rokem v řadě posunula své historické minimum.</w:t>
            </w:r>
          </w:p>
          <w:p w14:paraId="761B545B" w14:textId="77777777" w:rsidR="00CC0F9A" w:rsidRDefault="00CC0F9A" w:rsidP="006F668F">
            <w:pPr>
              <w:pStyle w:val="Marginlie"/>
            </w:pPr>
          </w:p>
        </w:tc>
        <w:tc>
          <w:tcPr>
            <w:tcW w:w="221" w:type="dxa"/>
          </w:tcPr>
          <w:p w14:paraId="118028B0" w14:textId="77777777" w:rsidR="00CC0F9A" w:rsidRPr="005E4483" w:rsidRDefault="00CC0F9A" w:rsidP="006F668F">
            <w:pPr>
              <w:pStyle w:val="Textpoznpodarou"/>
              <w:jc w:val="both"/>
              <w:rPr>
                <w:spacing w:val="-4"/>
              </w:rPr>
            </w:pPr>
          </w:p>
        </w:tc>
        <w:tc>
          <w:tcPr>
            <w:tcW w:w="7613" w:type="dxa"/>
          </w:tcPr>
          <w:p w14:paraId="7CA5A4B3" w14:textId="77777777" w:rsidR="00CC0F9A" w:rsidRDefault="00765565" w:rsidP="006F668F">
            <w:pPr>
              <w:spacing w:after="200"/>
            </w:pPr>
            <w:r>
              <w:rPr>
                <w:spacing w:val="-2"/>
              </w:rPr>
              <w:t xml:space="preserve">Obecná míra nezaměstnanosti v úhrnu za celý rok 2018 </w:t>
            </w:r>
            <w:r w:rsidRPr="000D0BB2">
              <w:rPr>
                <w:spacing w:val="-2"/>
              </w:rPr>
              <w:t>činila 2,2</w:t>
            </w:r>
            <w:r w:rsidR="006454CC">
              <w:rPr>
                <w:spacing w:val="-2"/>
              </w:rPr>
              <w:t> %</w:t>
            </w:r>
            <w:r w:rsidRPr="000D0BB2">
              <w:rPr>
                <w:spacing w:val="-2"/>
              </w:rPr>
              <w:t xml:space="preserve"> </w:t>
            </w:r>
            <w:r w:rsidR="00BC7833" w:rsidRPr="000D0BB2">
              <w:rPr>
                <w:spacing w:val="-2"/>
              </w:rPr>
              <w:t>a</w:t>
            </w:r>
            <w:r w:rsidR="00BC7833">
              <w:rPr>
                <w:spacing w:val="-2"/>
              </w:rPr>
              <w:t> </w:t>
            </w:r>
            <w:r w:rsidRPr="000D0BB2">
              <w:rPr>
                <w:spacing w:val="-2"/>
              </w:rPr>
              <w:t>již druhým rokem v řadě stanovila nové historické minimum v éře samostatné</w:t>
            </w:r>
            <w:r w:rsidR="00DB5913">
              <w:rPr>
                <w:spacing w:val="-2"/>
              </w:rPr>
              <w:t> </w:t>
            </w:r>
            <w:r w:rsidRPr="000D0BB2">
              <w:rPr>
                <w:spacing w:val="-2"/>
              </w:rPr>
              <w:t xml:space="preserve">ČR. </w:t>
            </w:r>
            <w:r w:rsidR="00DB5913">
              <w:rPr>
                <w:spacing w:val="-2"/>
              </w:rPr>
              <w:t>Platilo to</w:t>
            </w:r>
            <w:r w:rsidRPr="000D0BB2">
              <w:rPr>
                <w:spacing w:val="-2"/>
              </w:rPr>
              <w:t xml:space="preserve"> pro nezaměstnanost mužů (1,8</w:t>
            </w:r>
            <w:r w:rsidR="006454CC">
              <w:rPr>
                <w:spacing w:val="-2"/>
              </w:rPr>
              <w:t> %</w:t>
            </w:r>
            <w:r w:rsidRPr="000D0BB2">
              <w:rPr>
                <w:spacing w:val="-2"/>
              </w:rPr>
              <w:t xml:space="preserve">) </w:t>
            </w:r>
            <w:r w:rsidR="00BC7833" w:rsidRPr="000D0BB2">
              <w:rPr>
                <w:spacing w:val="-2"/>
              </w:rPr>
              <w:t>i</w:t>
            </w:r>
            <w:r w:rsidR="00BC7833">
              <w:rPr>
                <w:spacing w:val="-2"/>
              </w:rPr>
              <w:t> </w:t>
            </w:r>
            <w:r w:rsidRPr="000D0BB2">
              <w:rPr>
                <w:spacing w:val="-2"/>
              </w:rPr>
              <w:t>žen (2,8</w:t>
            </w:r>
            <w:r w:rsidR="006454CC">
              <w:rPr>
                <w:spacing w:val="-2"/>
              </w:rPr>
              <w:t> %</w:t>
            </w:r>
            <w:r w:rsidRPr="000D0BB2">
              <w:rPr>
                <w:spacing w:val="-2"/>
              </w:rPr>
              <w:t xml:space="preserve">). Již pátým rokem v řadě se míra nezaměstnanosti žen snižovala dynamičtěji než </w:t>
            </w:r>
            <w:r w:rsidR="00BC7833" w:rsidRPr="000D0BB2">
              <w:rPr>
                <w:spacing w:val="-2"/>
              </w:rPr>
              <w:t>u</w:t>
            </w:r>
            <w:r w:rsidR="00BC7833">
              <w:rPr>
                <w:spacing w:val="-2"/>
              </w:rPr>
              <w:t> </w:t>
            </w:r>
            <w:r w:rsidRPr="000D0BB2">
              <w:rPr>
                <w:spacing w:val="-2"/>
              </w:rPr>
              <w:t>mu</w:t>
            </w:r>
            <w:r>
              <w:rPr>
                <w:spacing w:val="-2"/>
              </w:rPr>
              <w:t>žů. Rozdíl v dosažené úrovni těchto ukazatelů</w:t>
            </w:r>
            <w:r w:rsidRPr="000D0BB2">
              <w:rPr>
                <w:spacing w:val="-2"/>
              </w:rPr>
              <w:t xml:space="preserve"> mezi pohlavími </w:t>
            </w:r>
            <w:r w:rsidR="00F927E6" w:rsidRPr="000D0BB2">
              <w:rPr>
                <w:spacing w:val="-2"/>
              </w:rPr>
              <w:t>(1,0</w:t>
            </w:r>
            <w:r w:rsidR="00F927E6">
              <w:rPr>
                <w:spacing w:val="-2"/>
              </w:rPr>
              <w:t> p. b.</w:t>
            </w:r>
            <w:r w:rsidR="00F927E6" w:rsidRPr="000D0BB2">
              <w:rPr>
                <w:spacing w:val="-2"/>
              </w:rPr>
              <w:t>)</w:t>
            </w:r>
            <w:r w:rsidR="00F927E6">
              <w:rPr>
                <w:spacing w:val="-2"/>
              </w:rPr>
              <w:t xml:space="preserve"> </w:t>
            </w:r>
            <w:r w:rsidRPr="000D0BB2">
              <w:rPr>
                <w:spacing w:val="-2"/>
              </w:rPr>
              <w:t>byl vloni zároveň nejnižší v novodobé historii.</w:t>
            </w:r>
          </w:p>
        </w:tc>
      </w:tr>
      <w:tr w:rsidR="007A4167" w:rsidRPr="001502B1" w14:paraId="1433FB50" w14:textId="77777777" w:rsidTr="007F4B7E">
        <w:trPr>
          <w:trHeight w:val="145"/>
        </w:trPr>
        <w:tc>
          <w:tcPr>
            <w:tcW w:w="1815" w:type="dxa"/>
          </w:tcPr>
          <w:p w14:paraId="4D00DC58" w14:textId="0202EE04" w:rsidR="007A4167" w:rsidRDefault="007A4167" w:rsidP="007A4167">
            <w:pPr>
              <w:pStyle w:val="Marginlie"/>
            </w:pPr>
            <w:r>
              <w:t>Pokles nezaměstnanosti měl nadále převážně plošný charakter – jak z pohledu věku, tak i vzdělání.</w:t>
            </w:r>
          </w:p>
        </w:tc>
        <w:tc>
          <w:tcPr>
            <w:tcW w:w="221" w:type="dxa"/>
          </w:tcPr>
          <w:p w14:paraId="3511FB5A" w14:textId="77777777" w:rsidR="007A4167" w:rsidRPr="005E4483" w:rsidRDefault="007A4167" w:rsidP="007A4167">
            <w:pPr>
              <w:pStyle w:val="Textpoznpodarou"/>
              <w:jc w:val="both"/>
              <w:rPr>
                <w:spacing w:val="-4"/>
              </w:rPr>
            </w:pPr>
          </w:p>
        </w:tc>
        <w:tc>
          <w:tcPr>
            <w:tcW w:w="7613" w:type="dxa"/>
          </w:tcPr>
          <w:p w14:paraId="0DE48E4E" w14:textId="682A5629" w:rsidR="007A4167" w:rsidRDefault="007A4167" w:rsidP="007A4167">
            <w:pPr>
              <w:spacing w:after="200"/>
              <w:rPr>
                <w:spacing w:val="-2"/>
              </w:rPr>
            </w:pPr>
            <w:r>
              <w:rPr>
                <w:spacing w:val="-2"/>
              </w:rPr>
              <w:t>Vyšší míra nezaměstnanosti</w:t>
            </w:r>
            <w:r w:rsidRPr="000D0BB2">
              <w:rPr>
                <w:spacing w:val="-2"/>
              </w:rPr>
              <w:t xml:space="preserve"> žen oproti mužům</w:t>
            </w:r>
            <w:r>
              <w:rPr>
                <w:spacing w:val="-2"/>
              </w:rPr>
              <w:t xml:space="preserve"> byla patrná ve všech</w:t>
            </w:r>
            <w:r w:rsidRPr="000D0BB2">
              <w:rPr>
                <w:spacing w:val="-2"/>
              </w:rPr>
              <w:t xml:space="preserve"> věkových skupinách (vyjma váhově okrajových skupin 15–19</w:t>
            </w:r>
            <w:r>
              <w:rPr>
                <w:spacing w:val="-2"/>
              </w:rPr>
              <w:t> </w:t>
            </w:r>
            <w:r w:rsidRPr="000D0BB2">
              <w:rPr>
                <w:spacing w:val="-2"/>
              </w:rPr>
              <w:t>let a</w:t>
            </w:r>
            <w:r>
              <w:rPr>
                <w:spacing w:val="-2"/>
              </w:rPr>
              <w:t> </w:t>
            </w:r>
            <w:r w:rsidRPr="000D0BB2">
              <w:rPr>
                <w:spacing w:val="-2"/>
              </w:rPr>
              <w:t>60–64</w:t>
            </w:r>
            <w:r>
              <w:rPr>
                <w:spacing w:val="-2"/>
              </w:rPr>
              <w:t> </w:t>
            </w:r>
            <w:r w:rsidRPr="000D0BB2">
              <w:rPr>
                <w:spacing w:val="-2"/>
              </w:rPr>
              <w:t>let</w:t>
            </w:r>
            <w:r w:rsidRPr="000D0BB2">
              <w:rPr>
                <w:rStyle w:val="Znakapoznpodarou"/>
                <w:spacing w:val="-2"/>
              </w:rPr>
              <w:footnoteReference w:id="3"/>
            </w:r>
            <w:r>
              <w:rPr>
                <w:spacing w:val="-2"/>
              </w:rPr>
              <w:t>), nejvíce ve skupině 35–39 let. Zde</w:t>
            </w:r>
            <w:r w:rsidRPr="000D0BB2">
              <w:rPr>
                <w:spacing w:val="-2"/>
              </w:rPr>
              <w:t xml:space="preserve"> se dlouhodobě projevuje vliv obtížnějšího návratu některých skupin žen na pracovní trh po ukončení rodičovské dovolené. Přestože tempo redukce míry nezaměstnanosti loni citelně zvolnilo, úbytek počtu lidí bez práce měl stále převážně plošný charakter, tj.</w:t>
            </w:r>
            <w:r>
              <w:rPr>
                <w:spacing w:val="-2"/>
              </w:rPr>
              <w:t> </w:t>
            </w:r>
            <w:r w:rsidRPr="000D0BB2">
              <w:rPr>
                <w:spacing w:val="-2"/>
              </w:rPr>
              <w:t>probíhal napříč různými sociodemografickými skupinami. To se týkalo i</w:t>
            </w:r>
            <w:r>
              <w:rPr>
                <w:spacing w:val="-2"/>
              </w:rPr>
              <w:t> </w:t>
            </w:r>
            <w:r w:rsidRPr="000D0BB2">
              <w:rPr>
                <w:spacing w:val="-2"/>
              </w:rPr>
              <w:t>vzdělání. Byť nejsvižněji loni klesala nezaměstnanost osob se základním vzděláním (v</w:t>
            </w:r>
            <w:r>
              <w:rPr>
                <w:spacing w:val="-2"/>
              </w:rPr>
              <w:t>četně neukončeného) – ze 13,0 % na 10,7 %</w:t>
            </w:r>
            <w:r w:rsidRPr="000D0BB2">
              <w:rPr>
                <w:spacing w:val="-2"/>
              </w:rPr>
              <w:t>, k meziročnímu snížení celkové nezaměstnanosti přispěli nejvíce lidé se středním vzděláním bez maturity (celo</w:t>
            </w:r>
            <w:r>
              <w:rPr>
                <w:spacing w:val="-2"/>
              </w:rPr>
              <w:t>u</w:t>
            </w:r>
            <w:r w:rsidRPr="000D0BB2">
              <w:rPr>
                <w:spacing w:val="-2"/>
              </w:rPr>
              <w:t xml:space="preserve"> polovinou). Rozd</w:t>
            </w:r>
            <w:r>
              <w:rPr>
                <w:spacing w:val="-2"/>
              </w:rPr>
              <w:t>íly měr nezaměstnanosti dle úrovně</w:t>
            </w:r>
            <w:r w:rsidRPr="000D0BB2">
              <w:rPr>
                <w:spacing w:val="-2"/>
              </w:rPr>
              <w:t xml:space="preserve"> vzdělání uchazečů byly loni na úrovni celé</w:t>
            </w:r>
            <w:r>
              <w:rPr>
                <w:spacing w:val="-2"/>
              </w:rPr>
              <w:t> </w:t>
            </w:r>
            <w:r w:rsidRPr="000D0BB2">
              <w:rPr>
                <w:spacing w:val="-2"/>
              </w:rPr>
              <w:t>ČR již malé (vyjma skupiny se základním vzděláním).</w:t>
            </w:r>
          </w:p>
        </w:tc>
      </w:tr>
      <w:tr w:rsidR="007A4167" w:rsidRPr="001502B1" w14:paraId="64804CA4" w14:textId="77777777" w:rsidTr="007F4B7E">
        <w:trPr>
          <w:trHeight w:val="145"/>
        </w:trPr>
        <w:tc>
          <w:tcPr>
            <w:tcW w:w="1815" w:type="dxa"/>
          </w:tcPr>
          <w:p w14:paraId="1350790C" w14:textId="11234582" w:rsidR="007A4167" w:rsidRDefault="007A4167" w:rsidP="007A4167">
            <w:pPr>
              <w:pStyle w:val="Marginlie"/>
            </w:pPr>
            <w:r>
              <w:rPr>
                <w:color w:val="0D0D0D" w:themeColor="text1" w:themeTint="F2"/>
              </w:rPr>
              <w:t>Pokles celkové nezaměstnanosti byl stále z poloviny tažen redukcí počtu lidí, kteří neměli práci déle než rok.</w:t>
            </w:r>
          </w:p>
        </w:tc>
        <w:tc>
          <w:tcPr>
            <w:tcW w:w="221" w:type="dxa"/>
          </w:tcPr>
          <w:p w14:paraId="11408AF1" w14:textId="77777777" w:rsidR="007A4167" w:rsidRPr="005E4483" w:rsidRDefault="007A4167" w:rsidP="007A4167">
            <w:pPr>
              <w:pStyle w:val="Textpoznpodarou"/>
              <w:jc w:val="both"/>
              <w:rPr>
                <w:spacing w:val="-4"/>
              </w:rPr>
            </w:pPr>
          </w:p>
        </w:tc>
        <w:tc>
          <w:tcPr>
            <w:tcW w:w="7613" w:type="dxa"/>
          </w:tcPr>
          <w:p w14:paraId="741F0143" w14:textId="6561F9C5" w:rsidR="007A4167" w:rsidRDefault="007A4167" w:rsidP="007A4167">
            <w:pPr>
              <w:spacing w:after="200"/>
              <w:rPr>
                <w:spacing w:val="-2"/>
              </w:rPr>
            </w:pPr>
            <w:r w:rsidRPr="00D10AF4">
              <w:rPr>
                <w:color w:val="0D0D0D" w:themeColor="text1" w:themeTint="F2"/>
                <w:spacing w:val="-3"/>
              </w:rPr>
              <w:t>Redukce počtu lidí, kteří byli bez práce déle než rok, přispěla loni k meziročnímu poklesu nezaměstnaných celou polovinou (v</w:t>
            </w:r>
            <w:r>
              <w:rPr>
                <w:color w:val="0D0D0D" w:themeColor="text1" w:themeTint="F2"/>
                <w:spacing w:val="-3"/>
              </w:rPr>
              <w:t> </w:t>
            </w:r>
            <w:r w:rsidRPr="00D10AF4">
              <w:rPr>
                <w:color w:val="0D0D0D" w:themeColor="text1" w:themeTint="F2"/>
                <w:spacing w:val="-3"/>
              </w:rPr>
              <w:t>předešlých dvou letech téměř ze dvou třetin). Mezi muži bylo loni dlouhodobě nezaměstnaných 32,5</w:t>
            </w:r>
            <w:r>
              <w:rPr>
                <w:color w:val="0D0D0D" w:themeColor="text1" w:themeTint="F2"/>
                <w:spacing w:val="-3"/>
              </w:rPr>
              <w:t> %</w:t>
            </w:r>
            <w:r w:rsidRPr="00D10AF4">
              <w:rPr>
                <w:color w:val="0D0D0D" w:themeColor="text1" w:themeTint="F2"/>
                <w:spacing w:val="-3"/>
              </w:rPr>
              <w:t>, u</w:t>
            </w:r>
            <w:r>
              <w:rPr>
                <w:color w:val="0D0D0D" w:themeColor="text1" w:themeTint="F2"/>
                <w:spacing w:val="-3"/>
              </w:rPr>
              <w:t> </w:t>
            </w:r>
            <w:r w:rsidRPr="00D10AF4">
              <w:rPr>
                <w:color w:val="0D0D0D" w:themeColor="text1" w:themeTint="F2"/>
                <w:spacing w:val="-3"/>
              </w:rPr>
              <w:t>žen pak 28,9</w:t>
            </w:r>
            <w:r>
              <w:rPr>
                <w:color w:val="0D0D0D" w:themeColor="text1" w:themeTint="F2"/>
                <w:spacing w:val="-3"/>
              </w:rPr>
              <w:t> %</w:t>
            </w:r>
            <w:r w:rsidRPr="00D10AF4">
              <w:rPr>
                <w:color w:val="0D0D0D" w:themeColor="text1" w:themeTint="F2"/>
                <w:spacing w:val="-3"/>
              </w:rPr>
              <w:t>. Podíl takto nezaměstnaných se snižoval čtvrtým rokem v řadě, loni svižněji u</w:t>
            </w:r>
            <w:r>
              <w:rPr>
                <w:color w:val="0D0D0D" w:themeColor="text1" w:themeTint="F2"/>
                <w:spacing w:val="-3"/>
              </w:rPr>
              <w:t> </w:t>
            </w:r>
            <w:r w:rsidRPr="00D10AF4">
              <w:rPr>
                <w:color w:val="0D0D0D" w:themeColor="text1" w:themeTint="F2"/>
                <w:spacing w:val="-3"/>
              </w:rPr>
              <w:t>žen než u</w:t>
            </w:r>
            <w:r>
              <w:rPr>
                <w:color w:val="0D0D0D" w:themeColor="text1" w:themeTint="F2"/>
                <w:spacing w:val="-3"/>
              </w:rPr>
              <w:t> </w:t>
            </w:r>
            <w:r w:rsidRPr="00D10AF4">
              <w:rPr>
                <w:color w:val="0D0D0D" w:themeColor="text1" w:themeTint="F2"/>
                <w:spacing w:val="-3"/>
              </w:rPr>
              <w:t>mužů. Nadpoloviční podíl dlouhodobě nezaměstnaných sužoval uchazeče o</w:t>
            </w:r>
            <w:r w:rsidRPr="00D10AF4">
              <w:rPr>
                <w:spacing w:val="-3"/>
              </w:rPr>
              <w:t> </w:t>
            </w:r>
            <w:r w:rsidRPr="00D10AF4">
              <w:rPr>
                <w:color w:val="0D0D0D" w:themeColor="text1" w:themeTint="F2"/>
                <w:spacing w:val="-3"/>
              </w:rPr>
              <w:t xml:space="preserve">práci ve věku </w:t>
            </w:r>
            <w:r>
              <w:rPr>
                <w:color w:val="0D0D0D" w:themeColor="text1" w:themeTint="F2"/>
                <w:spacing w:val="-3"/>
              </w:rPr>
              <w:br/>
            </w:r>
            <w:r w:rsidRPr="00D10AF4">
              <w:rPr>
                <w:color w:val="0D0D0D" w:themeColor="text1" w:themeTint="F2"/>
                <w:spacing w:val="-3"/>
              </w:rPr>
              <w:t>55</w:t>
            </w:r>
            <w:r w:rsidRPr="00D10AF4">
              <w:rPr>
                <w:spacing w:val="-3"/>
              </w:rPr>
              <w:t>–</w:t>
            </w:r>
            <w:r w:rsidRPr="00D10AF4">
              <w:rPr>
                <w:color w:val="0D0D0D" w:themeColor="text1" w:themeTint="F2"/>
                <w:spacing w:val="-3"/>
              </w:rPr>
              <w:t>59</w:t>
            </w:r>
            <w:r>
              <w:rPr>
                <w:color w:val="0D0D0D" w:themeColor="text1" w:themeTint="F2"/>
                <w:spacing w:val="-3"/>
              </w:rPr>
              <w:t> </w:t>
            </w:r>
            <w:r w:rsidRPr="00D10AF4">
              <w:rPr>
                <w:color w:val="0D0D0D" w:themeColor="text1" w:themeTint="F2"/>
                <w:spacing w:val="-3"/>
              </w:rPr>
              <w:t>let (51</w:t>
            </w:r>
            <w:r>
              <w:rPr>
                <w:color w:val="0D0D0D" w:themeColor="text1" w:themeTint="F2"/>
                <w:spacing w:val="-3"/>
              </w:rPr>
              <w:t> %</w:t>
            </w:r>
            <w:r w:rsidRPr="00D10AF4">
              <w:rPr>
                <w:color w:val="0D0D0D" w:themeColor="text1" w:themeTint="F2"/>
                <w:spacing w:val="-3"/>
              </w:rPr>
              <w:t>), vyšší hodnoty přetrvávaly i</w:t>
            </w:r>
            <w:r>
              <w:rPr>
                <w:color w:val="0D0D0D" w:themeColor="text1" w:themeTint="F2"/>
                <w:spacing w:val="-3"/>
              </w:rPr>
              <w:t> u </w:t>
            </w:r>
            <w:r w:rsidRPr="00D10AF4">
              <w:rPr>
                <w:color w:val="0D0D0D" w:themeColor="text1" w:themeTint="F2"/>
                <w:spacing w:val="-3"/>
              </w:rPr>
              <w:t>skupiny 45</w:t>
            </w:r>
            <w:r>
              <w:rPr>
                <w:color w:val="0D0D0D" w:themeColor="text1" w:themeTint="F2"/>
                <w:spacing w:val="-3"/>
              </w:rPr>
              <w:t>–</w:t>
            </w:r>
            <w:r w:rsidRPr="00D10AF4">
              <w:rPr>
                <w:color w:val="0D0D0D" w:themeColor="text1" w:themeTint="F2"/>
                <w:spacing w:val="-3"/>
              </w:rPr>
              <w:t>54</w:t>
            </w:r>
            <w:r>
              <w:rPr>
                <w:color w:val="0D0D0D" w:themeColor="text1" w:themeTint="F2"/>
                <w:spacing w:val="-3"/>
              </w:rPr>
              <w:t> </w:t>
            </w:r>
            <w:r w:rsidRPr="00D10AF4">
              <w:rPr>
                <w:color w:val="0D0D0D" w:themeColor="text1" w:themeTint="F2"/>
                <w:spacing w:val="-3"/>
              </w:rPr>
              <w:t>let (44</w:t>
            </w:r>
            <w:r w:rsidRPr="00D10AF4">
              <w:rPr>
                <w:spacing w:val="-3"/>
              </w:rPr>
              <w:t> </w:t>
            </w:r>
            <w:r w:rsidRPr="00D10AF4">
              <w:rPr>
                <w:color w:val="0D0D0D" w:themeColor="text1" w:themeTint="F2"/>
                <w:spacing w:val="-3"/>
              </w:rPr>
              <w:t>%).</w:t>
            </w:r>
          </w:p>
        </w:tc>
      </w:tr>
      <w:tr w:rsidR="007A4167" w:rsidRPr="001502B1" w14:paraId="734220D4" w14:textId="77777777" w:rsidTr="007F4B7E">
        <w:trPr>
          <w:trHeight w:val="145"/>
        </w:trPr>
        <w:tc>
          <w:tcPr>
            <w:tcW w:w="1815" w:type="dxa"/>
          </w:tcPr>
          <w:p w14:paraId="67CA1FB1" w14:textId="77777777" w:rsidR="007A4167" w:rsidRPr="00106639" w:rsidRDefault="007A4167" w:rsidP="007A4167">
            <w:pPr>
              <w:pStyle w:val="Marginlie"/>
            </w:pPr>
          </w:p>
        </w:tc>
        <w:tc>
          <w:tcPr>
            <w:tcW w:w="221" w:type="dxa"/>
          </w:tcPr>
          <w:p w14:paraId="502EADA1" w14:textId="77777777" w:rsidR="007A4167" w:rsidRPr="005E4483" w:rsidRDefault="007A4167" w:rsidP="007A4167">
            <w:pPr>
              <w:pStyle w:val="Textpoznpodarou"/>
              <w:jc w:val="both"/>
              <w:rPr>
                <w:spacing w:val="-4"/>
              </w:rPr>
            </w:pPr>
          </w:p>
        </w:tc>
        <w:tc>
          <w:tcPr>
            <w:tcW w:w="7613" w:type="dxa"/>
          </w:tcPr>
          <w:p w14:paraId="29C7DBA5" w14:textId="67C4A7C7" w:rsidR="007A4167" w:rsidRPr="005A2E40" w:rsidRDefault="007A4167" w:rsidP="007A4167">
            <w:pPr>
              <w:spacing w:after="0"/>
              <w:rPr>
                <w:b/>
                <w:szCs w:val="20"/>
              </w:rPr>
            </w:pPr>
            <w:r>
              <w:rPr>
                <w:b/>
              </w:rPr>
              <w:t xml:space="preserve">Graf č. 17  </w:t>
            </w:r>
            <w:r w:rsidRPr="00425211">
              <w:rPr>
                <w:rFonts w:cs="Arial"/>
                <w:b/>
                <w:bCs/>
                <w:spacing w:val="-2"/>
              </w:rPr>
              <w:t>Obecná míra nezaměstnanosti mužů a</w:t>
            </w:r>
            <w:r>
              <w:rPr>
                <w:rFonts w:cs="Arial"/>
                <w:b/>
                <w:bCs/>
                <w:spacing w:val="-2"/>
              </w:rPr>
              <w:t> </w:t>
            </w:r>
            <w:r w:rsidRPr="00425211">
              <w:rPr>
                <w:rFonts w:cs="Arial"/>
                <w:b/>
                <w:bCs/>
                <w:spacing w:val="-2"/>
              </w:rPr>
              <w:t>žen</w:t>
            </w:r>
            <w:r>
              <w:rPr>
                <w:rFonts w:cs="Arial"/>
                <w:b/>
                <w:bCs/>
                <w:spacing w:val="-2"/>
              </w:rPr>
              <w:t xml:space="preserve">, podíl </w:t>
            </w:r>
            <w:r w:rsidRPr="00425211">
              <w:rPr>
                <w:rFonts w:cs="Arial"/>
                <w:b/>
                <w:bCs/>
                <w:spacing w:val="-2"/>
              </w:rPr>
              <w:t xml:space="preserve">nezaměstnaných </w:t>
            </w:r>
            <w:r w:rsidRPr="00425211">
              <w:rPr>
                <w:rFonts w:cs="Arial"/>
                <w:bCs/>
                <w:spacing w:val="-2"/>
              </w:rPr>
              <w:t>(v</w:t>
            </w:r>
            <w:r>
              <w:rPr>
                <w:rFonts w:cs="Arial"/>
                <w:bCs/>
                <w:spacing w:val="-2"/>
              </w:rPr>
              <w:t> %</w:t>
            </w:r>
            <w:r w:rsidRPr="00425211">
              <w:rPr>
                <w:rFonts w:cs="Arial"/>
                <w:bCs/>
                <w:spacing w:val="-2"/>
              </w:rPr>
              <w:t xml:space="preserve">) </w:t>
            </w:r>
            <w:r>
              <w:rPr>
                <w:rFonts w:cs="Arial"/>
                <w:b/>
                <w:bCs/>
                <w:spacing w:val="-2"/>
              </w:rPr>
              <w:t>a </w:t>
            </w:r>
            <w:r w:rsidRPr="00425211">
              <w:rPr>
                <w:rFonts w:cs="Arial"/>
                <w:b/>
                <w:bCs/>
                <w:spacing w:val="-2"/>
              </w:rPr>
              <w:t>ekonomicky neaktivní chtějící</w:t>
            </w:r>
            <w:r>
              <w:rPr>
                <w:rFonts w:cs="Arial"/>
                <w:b/>
                <w:bCs/>
                <w:spacing w:val="-2"/>
              </w:rPr>
              <w:t>ch</w:t>
            </w:r>
            <w:r w:rsidRPr="00425211">
              <w:rPr>
                <w:rFonts w:cs="Arial"/>
                <w:b/>
                <w:bCs/>
                <w:spacing w:val="-2"/>
              </w:rPr>
              <w:t xml:space="preserve"> pracovat </w:t>
            </w:r>
            <w:r>
              <w:rPr>
                <w:rFonts w:cs="Arial"/>
                <w:b/>
                <w:bCs/>
                <w:spacing w:val="-2"/>
              </w:rPr>
              <w:t xml:space="preserve">v ČR </w:t>
            </w:r>
            <w:r w:rsidRPr="00425211">
              <w:rPr>
                <w:rFonts w:cs="Arial"/>
                <w:bCs/>
                <w:spacing w:val="-2"/>
              </w:rPr>
              <w:t>(v</w:t>
            </w:r>
            <w:r>
              <w:rPr>
                <w:rFonts w:cs="Arial"/>
                <w:bCs/>
                <w:spacing w:val="-2"/>
              </w:rPr>
              <w:t> </w:t>
            </w:r>
            <w:r w:rsidRPr="00425211">
              <w:rPr>
                <w:rFonts w:cs="Arial"/>
                <w:bCs/>
                <w:spacing w:val="-2"/>
              </w:rPr>
              <w:t>tis.)</w:t>
            </w:r>
            <w:r>
              <w:rPr>
                <w:rFonts w:cs="Arial"/>
                <w:bCs/>
                <w:spacing w:val="-2"/>
              </w:rPr>
              <w:t>*</w:t>
            </w:r>
          </w:p>
        </w:tc>
      </w:tr>
      <w:tr w:rsidR="007A4167" w:rsidRPr="001502B1" w14:paraId="25FB4C63" w14:textId="77777777" w:rsidTr="007F4B7E">
        <w:tblPrEx>
          <w:tblCellMar>
            <w:left w:w="70" w:type="dxa"/>
            <w:right w:w="70" w:type="dxa"/>
          </w:tblCellMar>
        </w:tblPrEx>
        <w:trPr>
          <w:trHeight w:val="145"/>
        </w:trPr>
        <w:tc>
          <w:tcPr>
            <w:tcW w:w="1815" w:type="dxa"/>
          </w:tcPr>
          <w:p w14:paraId="4AF267B1" w14:textId="77777777" w:rsidR="007A4167" w:rsidRDefault="007A4167" w:rsidP="007A4167">
            <w:pPr>
              <w:pStyle w:val="Marginlie"/>
            </w:pPr>
          </w:p>
        </w:tc>
        <w:tc>
          <w:tcPr>
            <w:tcW w:w="221" w:type="dxa"/>
          </w:tcPr>
          <w:p w14:paraId="5080C2BF" w14:textId="77777777" w:rsidR="007A4167" w:rsidRPr="005E4483" w:rsidRDefault="007A4167" w:rsidP="007A4167">
            <w:pPr>
              <w:pStyle w:val="Textpoznpodarou"/>
              <w:jc w:val="both"/>
              <w:rPr>
                <w:spacing w:val="-4"/>
              </w:rPr>
            </w:pPr>
          </w:p>
        </w:tc>
        <w:tc>
          <w:tcPr>
            <w:tcW w:w="7613" w:type="dxa"/>
          </w:tcPr>
          <w:p w14:paraId="76BC043B" w14:textId="761449A8" w:rsidR="007A4167" w:rsidRDefault="007A4167" w:rsidP="007A4167">
            <w:pPr>
              <w:spacing w:after="0"/>
            </w:pPr>
            <w:r>
              <w:rPr>
                <w:noProof/>
              </w:rPr>
              <w:drawing>
                <wp:inline distT="0" distB="0" distL="0" distR="0" wp14:anchorId="035AA8CC" wp14:editId="71062F28">
                  <wp:extent cx="4745355" cy="3277209"/>
                  <wp:effectExtent l="0" t="0" r="0" b="0"/>
                  <wp:docPr id="60" name="Graf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r w:rsidR="007A4167" w:rsidRPr="001502B1" w14:paraId="55BC5F5B" w14:textId="77777777" w:rsidTr="007F4B7E">
        <w:trPr>
          <w:trHeight w:val="145"/>
        </w:trPr>
        <w:tc>
          <w:tcPr>
            <w:tcW w:w="1815" w:type="dxa"/>
          </w:tcPr>
          <w:p w14:paraId="34AE3CAB" w14:textId="77777777" w:rsidR="007A4167" w:rsidRDefault="007A4167" w:rsidP="007A4167">
            <w:pPr>
              <w:pStyle w:val="Marginlie"/>
            </w:pPr>
          </w:p>
        </w:tc>
        <w:tc>
          <w:tcPr>
            <w:tcW w:w="221" w:type="dxa"/>
          </w:tcPr>
          <w:p w14:paraId="1B5A49A2" w14:textId="77777777" w:rsidR="007A4167" w:rsidRPr="005E4483" w:rsidRDefault="007A4167" w:rsidP="007A4167">
            <w:pPr>
              <w:pStyle w:val="Textpoznpodarou"/>
              <w:jc w:val="both"/>
              <w:rPr>
                <w:spacing w:val="-4"/>
              </w:rPr>
            </w:pPr>
          </w:p>
        </w:tc>
        <w:tc>
          <w:tcPr>
            <w:tcW w:w="7613" w:type="dxa"/>
          </w:tcPr>
          <w:p w14:paraId="71C799B3" w14:textId="77777777" w:rsidR="007A4167" w:rsidRDefault="007A4167" w:rsidP="007A4167">
            <w:pPr>
              <w:spacing w:after="0" w:line="240" w:lineRule="auto"/>
              <w:rPr>
                <w:rFonts w:cs="Arial"/>
                <w:sz w:val="14"/>
                <w:szCs w:val="14"/>
              </w:rPr>
            </w:pPr>
            <w:r>
              <w:rPr>
                <w:rFonts w:cs="Arial"/>
                <w:sz w:val="14"/>
                <w:szCs w:val="14"/>
              </w:rPr>
              <w:t>*</w:t>
            </w:r>
            <w:r w:rsidRPr="002C6DCD">
              <w:rPr>
                <w:rFonts w:cs="Arial"/>
                <w:sz w:val="14"/>
                <w:szCs w:val="14"/>
              </w:rPr>
              <w:t>Podíl všech nezaměstnaných uchazečů registrovaných na úřadech práce v</w:t>
            </w:r>
            <w:r>
              <w:rPr>
                <w:rFonts w:cs="Arial"/>
                <w:sz w:val="14"/>
                <w:szCs w:val="14"/>
              </w:rPr>
              <w:t> </w:t>
            </w:r>
            <w:r w:rsidRPr="002C6DCD">
              <w:rPr>
                <w:rFonts w:cs="Arial"/>
                <w:sz w:val="14"/>
                <w:szCs w:val="14"/>
              </w:rPr>
              <w:t>ČR</w:t>
            </w:r>
            <w:r>
              <w:rPr>
                <w:rFonts w:cs="Arial"/>
                <w:sz w:val="14"/>
                <w:szCs w:val="14"/>
              </w:rPr>
              <w:t xml:space="preserve"> (ÚP)</w:t>
            </w:r>
            <w:r w:rsidRPr="002C6DCD">
              <w:rPr>
                <w:rFonts w:cs="Arial"/>
                <w:sz w:val="14"/>
                <w:szCs w:val="14"/>
              </w:rPr>
              <w:t xml:space="preserve"> k počtu obyvatel ve věku 15 až 64</w:t>
            </w:r>
            <w:r>
              <w:rPr>
                <w:rFonts w:cs="Arial"/>
                <w:sz w:val="14"/>
                <w:szCs w:val="14"/>
              </w:rPr>
              <w:t> </w:t>
            </w:r>
            <w:r w:rsidRPr="002C6DCD">
              <w:rPr>
                <w:rFonts w:cs="Arial"/>
                <w:sz w:val="14"/>
                <w:szCs w:val="14"/>
              </w:rPr>
              <w:t>let.</w:t>
            </w:r>
            <w:r>
              <w:rPr>
                <w:rFonts w:cs="Arial"/>
                <w:sz w:val="14"/>
                <w:szCs w:val="14"/>
              </w:rPr>
              <w:t xml:space="preserve"> Časová řada není sezónně očištěna (podobně jako obecná míra nezaměstnanosti celkem).</w:t>
            </w:r>
          </w:p>
          <w:p w14:paraId="11605DAB" w14:textId="77777777" w:rsidR="007A4167" w:rsidRDefault="007A4167" w:rsidP="007A4167">
            <w:pPr>
              <w:spacing w:after="0" w:line="240" w:lineRule="auto"/>
              <w:rPr>
                <w:rFonts w:cs="Arial"/>
                <w:color w:val="0D0D0D" w:themeColor="text1" w:themeTint="F2"/>
                <w:sz w:val="14"/>
                <w:szCs w:val="14"/>
              </w:rPr>
            </w:pPr>
            <w:r>
              <w:rPr>
                <w:rFonts w:cs="Arial"/>
                <w:sz w:val="14"/>
                <w:szCs w:val="14"/>
              </w:rPr>
              <w:t>*</w:t>
            </w:r>
            <w:r w:rsidRPr="00FF12EF">
              <w:rPr>
                <w:rFonts w:cs="Arial"/>
                <w:color w:val="0D0D0D" w:themeColor="text1" w:themeTint="F2"/>
                <w:sz w:val="14"/>
                <w:szCs w:val="14"/>
              </w:rPr>
              <w:t>*</w:t>
            </w:r>
            <w:r>
              <w:rPr>
                <w:rFonts w:cs="Arial"/>
                <w:bCs/>
                <w:color w:val="0D0D0D" w:themeColor="text1" w:themeTint="F2"/>
                <w:sz w:val="14"/>
                <w:szCs w:val="14"/>
              </w:rPr>
              <w:t>O</w:t>
            </w:r>
            <w:r w:rsidRPr="00FF12EF">
              <w:rPr>
                <w:rFonts w:cs="Arial"/>
                <w:bCs/>
                <w:color w:val="0D0D0D" w:themeColor="text1" w:themeTint="F2"/>
                <w:sz w:val="14"/>
                <w:szCs w:val="14"/>
              </w:rPr>
              <w:t>soby, které nepracují, aktivně práci nehledají (a</w:t>
            </w:r>
            <w:r>
              <w:rPr>
                <w:rFonts w:cs="Arial"/>
                <w:bCs/>
                <w:color w:val="0D0D0D" w:themeColor="text1" w:themeTint="F2"/>
                <w:sz w:val="14"/>
                <w:szCs w:val="14"/>
              </w:rPr>
              <w:t> </w:t>
            </w:r>
            <w:r w:rsidRPr="00FF12EF">
              <w:rPr>
                <w:rFonts w:cs="Arial"/>
                <w:bCs/>
                <w:color w:val="0D0D0D" w:themeColor="text1" w:themeTint="F2"/>
                <w:sz w:val="14"/>
                <w:szCs w:val="14"/>
              </w:rPr>
              <w:t>nesplňují tak podmínky ILO pro nezaměstnané),</w:t>
            </w:r>
            <w:r w:rsidRPr="00FF12EF">
              <w:rPr>
                <w:rFonts w:cs="Arial"/>
                <w:color w:val="0D0D0D" w:themeColor="text1" w:themeTint="F2"/>
                <w:sz w:val="14"/>
                <w:szCs w:val="14"/>
              </w:rPr>
              <w:t xml:space="preserve"> ale přitom </w:t>
            </w:r>
            <w:r>
              <w:rPr>
                <w:rFonts w:cs="Arial"/>
                <w:color w:val="0D0D0D" w:themeColor="text1" w:themeTint="F2"/>
                <w:sz w:val="14"/>
                <w:szCs w:val="14"/>
              </w:rPr>
              <w:t>uvádějí, že by chtěly pracovat.</w:t>
            </w:r>
          </w:p>
          <w:p w14:paraId="38F6237E" w14:textId="77777777" w:rsidR="007A4167" w:rsidRPr="00BF1C20" w:rsidRDefault="007A4167" w:rsidP="007A4167">
            <w:pPr>
              <w:spacing w:after="200" w:line="240" w:lineRule="auto"/>
              <w:rPr>
                <w:rFonts w:cs="Arial"/>
                <w:color w:val="0D0D0D" w:themeColor="text1" w:themeTint="F2"/>
                <w:sz w:val="14"/>
                <w:szCs w:val="14"/>
              </w:rPr>
            </w:pPr>
            <w:r w:rsidRPr="00444E6D">
              <w:rPr>
                <w:rFonts w:cs="Arial"/>
                <w:sz w:val="14"/>
                <w:szCs w:val="14"/>
              </w:rPr>
              <w:t xml:space="preserve">Zdroj: </w:t>
            </w:r>
            <w:r>
              <w:rPr>
                <w:rFonts w:cs="Arial"/>
                <w:sz w:val="14"/>
                <w:szCs w:val="14"/>
              </w:rPr>
              <w:t>ČSÚ, MPSV</w:t>
            </w:r>
          </w:p>
        </w:tc>
      </w:tr>
      <w:tr w:rsidR="007A4167" w:rsidRPr="001502B1" w14:paraId="40959F1F" w14:textId="77777777" w:rsidTr="007F4B7E">
        <w:trPr>
          <w:trHeight w:val="145"/>
        </w:trPr>
        <w:tc>
          <w:tcPr>
            <w:tcW w:w="1815" w:type="dxa"/>
          </w:tcPr>
          <w:p w14:paraId="360A3166" w14:textId="2EDF6D14" w:rsidR="007A4167" w:rsidRPr="008529B6" w:rsidRDefault="007A4167" w:rsidP="007A4167">
            <w:pPr>
              <w:pStyle w:val="Marginlie"/>
              <w:rPr>
                <w:color w:val="0D0D0D" w:themeColor="text1" w:themeTint="F2"/>
              </w:rPr>
            </w:pPr>
            <w:r>
              <w:rPr>
                <w:color w:val="0D0D0D" w:themeColor="text1" w:themeTint="F2"/>
              </w:rPr>
              <w:t>Díky silné poptávce po práci se dařilo zapojovat na trh práce také znevýhodněné skupiny uchazečů.</w:t>
            </w:r>
          </w:p>
        </w:tc>
        <w:tc>
          <w:tcPr>
            <w:tcW w:w="221" w:type="dxa"/>
          </w:tcPr>
          <w:p w14:paraId="4015E1E2" w14:textId="77777777" w:rsidR="007A4167" w:rsidRPr="008529B6" w:rsidRDefault="007A4167" w:rsidP="007A4167">
            <w:pPr>
              <w:pStyle w:val="Textpoznpodarou"/>
              <w:jc w:val="both"/>
              <w:rPr>
                <w:color w:val="0D0D0D" w:themeColor="text1" w:themeTint="F2"/>
                <w:spacing w:val="-4"/>
              </w:rPr>
            </w:pPr>
          </w:p>
        </w:tc>
        <w:tc>
          <w:tcPr>
            <w:tcW w:w="7613" w:type="dxa"/>
          </w:tcPr>
          <w:p w14:paraId="22876E0D" w14:textId="70BAD0E0" w:rsidR="007A4167" w:rsidRPr="00D10AF4" w:rsidRDefault="007A4167" w:rsidP="007A4167">
            <w:pPr>
              <w:spacing w:after="200"/>
              <w:rPr>
                <w:color w:val="0D0D0D" w:themeColor="text1" w:themeTint="F2"/>
                <w:spacing w:val="-3"/>
              </w:rPr>
            </w:pPr>
            <w:r w:rsidRPr="00D10AF4">
              <w:rPr>
                <w:color w:val="0D0D0D" w:themeColor="text1" w:themeTint="F2"/>
                <w:spacing w:val="-3"/>
              </w:rPr>
              <w:t>Mezi uchazeči se základním vzděláním bylo dlouhodobě nezaměstnaných 40 %, skoro dvakrát více než mezi nezaměstnanými s maturitním či terciárním vzděláním. Díky silné poptávce po pracovní síle se v posledních letech daří zapojovat na pracovní trh i</w:t>
            </w:r>
            <w:r>
              <w:rPr>
                <w:color w:val="0D0D0D" w:themeColor="text1" w:themeTint="F2"/>
                <w:spacing w:val="-3"/>
              </w:rPr>
              <w:t> </w:t>
            </w:r>
            <w:r w:rsidRPr="00D10AF4">
              <w:rPr>
                <w:color w:val="0D0D0D" w:themeColor="text1" w:themeTint="F2"/>
                <w:spacing w:val="-3"/>
              </w:rPr>
              <w:t xml:space="preserve">další </w:t>
            </w:r>
            <w:r>
              <w:rPr>
                <w:color w:val="0D0D0D" w:themeColor="text1" w:themeTint="F2"/>
                <w:spacing w:val="-3"/>
              </w:rPr>
              <w:t>znevýhodněné</w:t>
            </w:r>
            <w:r w:rsidRPr="00D10AF4">
              <w:rPr>
                <w:color w:val="0D0D0D" w:themeColor="text1" w:themeTint="F2"/>
                <w:spacing w:val="-3"/>
              </w:rPr>
              <w:t xml:space="preserve"> skupiny nezaměstnaných. Jde např.</w:t>
            </w:r>
            <w:r>
              <w:rPr>
                <w:color w:val="0D0D0D" w:themeColor="text1" w:themeTint="F2"/>
                <w:spacing w:val="-3"/>
              </w:rPr>
              <w:t> </w:t>
            </w:r>
            <w:r w:rsidRPr="00D10AF4">
              <w:rPr>
                <w:color w:val="0D0D0D" w:themeColor="text1" w:themeTint="F2"/>
                <w:spacing w:val="-3"/>
              </w:rPr>
              <w:t>o</w:t>
            </w:r>
            <w:r>
              <w:rPr>
                <w:color w:val="0D0D0D" w:themeColor="text1" w:themeTint="F2"/>
                <w:spacing w:val="-3"/>
              </w:rPr>
              <w:t> </w:t>
            </w:r>
            <w:r w:rsidRPr="00D10AF4">
              <w:rPr>
                <w:color w:val="0D0D0D" w:themeColor="text1" w:themeTint="F2"/>
                <w:spacing w:val="-3"/>
              </w:rPr>
              <w:t>lidi pečující o</w:t>
            </w:r>
            <w:r>
              <w:rPr>
                <w:color w:val="0D0D0D" w:themeColor="text1" w:themeTint="F2"/>
                <w:spacing w:val="-3"/>
              </w:rPr>
              <w:t> </w:t>
            </w:r>
            <w:r w:rsidRPr="00D10AF4">
              <w:rPr>
                <w:color w:val="0D0D0D" w:themeColor="text1" w:themeTint="F2"/>
                <w:spacing w:val="-3"/>
              </w:rPr>
              <w:t>dítě do 15</w:t>
            </w:r>
            <w:r>
              <w:rPr>
                <w:color w:val="0D0D0D" w:themeColor="text1" w:themeTint="F2"/>
                <w:spacing w:val="-3"/>
              </w:rPr>
              <w:t> </w:t>
            </w:r>
            <w:r w:rsidRPr="00D10AF4">
              <w:rPr>
                <w:color w:val="0D0D0D" w:themeColor="text1" w:themeTint="F2"/>
                <w:spacing w:val="-3"/>
              </w:rPr>
              <w:t>let věku, kteří na konci roku 2018 tvořili již jen 11</w:t>
            </w:r>
            <w:r>
              <w:rPr>
                <w:color w:val="0D0D0D" w:themeColor="text1" w:themeTint="F2"/>
                <w:spacing w:val="-3"/>
              </w:rPr>
              <w:t> %</w:t>
            </w:r>
            <w:r w:rsidRPr="00D10AF4">
              <w:rPr>
                <w:color w:val="0D0D0D" w:themeColor="text1" w:themeTint="F2"/>
                <w:spacing w:val="-3"/>
              </w:rPr>
              <w:t xml:space="preserve"> všech nez</w:t>
            </w:r>
            <w:r>
              <w:rPr>
                <w:color w:val="0D0D0D" w:themeColor="text1" w:themeTint="F2"/>
                <w:spacing w:val="-3"/>
              </w:rPr>
              <w:t>aměstnaných. Klesal i počet nezaměstnaných</w:t>
            </w:r>
            <w:r w:rsidRPr="00D10AF4">
              <w:rPr>
                <w:color w:val="0D0D0D" w:themeColor="text1" w:themeTint="F2"/>
                <w:spacing w:val="-3"/>
              </w:rPr>
              <w:t xml:space="preserve"> se zdravotním postižením, jeji</w:t>
            </w:r>
            <w:r>
              <w:rPr>
                <w:color w:val="0D0D0D" w:themeColor="text1" w:themeTint="F2"/>
                <w:spacing w:val="-3"/>
              </w:rPr>
              <w:t>ch podíl na všech uchazečích o práci</w:t>
            </w:r>
            <w:r w:rsidRPr="00D10AF4">
              <w:rPr>
                <w:color w:val="0D0D0D" w:themeColor="text1" w:themeTint="F2"/>
                <w:spacing w:val="-3"/>
              </w:rPr>
              <w:t xml:space="preserve"> ale </w:t>
            </w:r>
            <w:r>
              <w:rPr>
                <w:color w:val="0D0D0D" w:themeColor="text1" w:themeTint="F2"/>
                <w:spacing w:val="-3"/>
              </w:rPr>
              <w:t xml:space="preserve">mírně </w:t>
            </w:r>
            <w:r w:rsidRPr="00D10AF4">
              <w:rPr>
                <w:color w:val="0D0D0D" w:themeColor="text1" w:themeTint="F2"/>
                <w:spacing w:val="-3"/>
              </w:rPr>
              <w:t>rostl (na</w:t>
            </w:r>
            <w:r>
              <w:rPr>
                <w:color w:val="0D0D0D" w:themeColor="text1" w:themeTint="F2"/>
                <w:spacing w:val="-3"/>
              </w:rPr>
              <w:t> </w:t>
            </w:r>
            <w:r w:rsidRPr="00D10AF4">
              <w:rPr>
                <w:color w:val="0D0D0D" w:themeColor="text1" w:themeTint="F2"/>
                <w:spacing w:val="-3"/>
              </w:rPr>
              <w:t>17</w:t>
            </w:r>
            <w:r>
              <w:rPr>
                <w:color w:val="0D0D0D" w:themeColor="text1" w:themeTint="F2"/>
                <w:spacing w:val="-3"/>
              </w:rPr>
              <w:t> %</w:t>
            </w:r>
            <w:r w:rsidRPr="00D10AF4">
              <w:rPr>
                <w:color w:val="0D0D0D" w:themeColor="text1" w:themeTint="F2"/>
                <w:spacing w:val="-3"/>
              </w:rPr>
              <w:t>).</w:t>
            </w:r>
          </w:p>
        </w:tc>
      </w:tr>
      <w:tr w:rsidR="007A4167" w14:paraId="76B228B9" w14:textId="77777777" w:rsidTr="007F4B7E">
        <w:trPr>
          <w:trHeight w:val="145"/>
        </w:trPr>
        <w:tc>
          <w:tcPr>
            <w:tcW w:w="1815" w:type="dxa"/>
          </w:tcPr>
          <w:p w14:paraId="47063D28" w14:textId="77777777" w:rsidR="007A4167" w:rsidRDefault="007A4167" w:rsidP="007A4167">
            <w:pPr>
              <w:pStyle w:val="Marginlie"/>
            </w:pPr>
          </w:p>
        </w:tc>
        <w:tc>
          <w:tcPr>
            <w:tcW w:w="221" w:type="dxa"/>
          </w:tcPr>
          <w:p w14:paraId="5564F9A7" w14:textId="77777777" w:rsidR="007A4167" w:rsidRPr="005E4483" w:rsidRDefault="007A4167" w:rsidP="007A4167">
            <w:pPr>
              <w:pStyle w:val="Textpoznpodarou"/>
              <w:jc w:val="both"/>
              <w:rPr>
                <w:spacing w:val="-4"/>
              </w:rPr>
            </w:pPr>
          </w:p>
        </w:tc>
        <w:tc>
          <w:tcPr>
            <w:tcW w:w="7613" w:type="dxa"/>
          </w:tcPr>
          <w:p w14:paraId="1DCA5882" w14:textId="33905104" w:rsidR="007A4167" w:rsidRPr="000D0BB2" w:rsidRDefault="007A4167" w:rsidP="007A4167">
            <w:pPr>
              <w:spacing w:after="0"/>
              <w:rPr>
                <w:spacing w:val="-4"/>
              </w:rPr>
            </w:pPr>
            <w:r>
              <w:rPr>
                <w:b/>
                <w:spacing w:val="-4"/>
              </w:rPr>
              <w:t>Graf č. 18</w:t>
            </w:r>
            <w:r w:rsidRPr="000D0BB2">
              <w:rPr>
                <w:b/>
                <w:spacing w:val="-4"/>
              </w:rPr>
              <w:t xml:space="preserve">  </w:t>
            </w:r>
            <w:r w:rsidRPr="000D0BB2">
              <w:rPr>
                <w:rFonts w:cs="Arial"/>
                <w:b/>
                <w:bCs/>
                <w:spacing w:val="-4"/>
              </w:rPr>
              <w:t>Míra nezaměstnanost</w:t>
            </w:r>
            <w:r>
              <w:rPr>
                <w:rFonts w:cs="Arial"/>
                <w:b/>
                <w:bCs/>
                <w:spacing w:val="-4"/>
              </w:rPr>
              <w:t>i</w:t>
            </w:r>
            <w:r w:rsidRPr="000D0BB2">
              <w:rPr>
                <w:rFonts w:cs="Arial"/>
                <w:b/>
                <w:bCs/>
                <w:spacing w:val="-4"/>
              </w:rPr>
              <w:t xml:space="preserve"> dle stupňů vzdělání a</w:t>
            </w:r>
            <w:r>
              <w:rPr>
                <w:rFonts w:cs="Arial"/>
                <w:b/>
                <w:bCs/>
                <w:spacing w:val="-4"/>
              </w:rPr>
              <w:t> </w:t>
            </w:r>
            <w:r w:rsidRPr="000D0BB2">
              <w:rPr>
                <w:rFonts w:cs="Arial"/>
                <w:b/>
                <w:bCs/>
                <w:spacing w:val="-4"/>
              </w:rPr>
              <w:t xml:space="preserve">věkových skupin v ČR </w:t>
            </w:r>
            <w:r w:rsidRPr="000D0BB2">
              <w:rPr>
                <w:rFonts w:cs="Arial"/>
                <w:bCs/>
                <w:spacing w:val="-4"/>
              </w:rPr>
              <w:t>(v</w:t>
            </w:r>
            <w:r>
              <w:rPr>
                <w:rFonts w:cs="Arial"/>
                <w:bCs/>
                <w:spacing w:val="-4"/>
              </w:rPr>
              <w:t> %</w:t>
            </w:r>
            <w:r w:rsidRPr="000D0BB2">
              <w:rPr>
                <w:rFonts w:cs="Arial"/>
                <w:bCs/>
                <w:spacing w:val="-4"/>
              </w:rPr>
              <w:t>)</w:t>
            </w:r>
          </w:p>
        </w:tc>
      </w:tr>
      <w:tr w:rsidR="007A4167" w14:paraId="67157481" w14:textId="77777777" w:rsidTr="007F4B7E">
        <w:trPr>
          <w:trHeight w:val="145"/>
        </w:trPr>
        <w:tc>
          <w:tcPr>
            <w:tcW w:w="1815" w:type="dxa"/>
          </w:tcPr>
          <w:p w14:paraId="2BD13592" w14:textId="77777777" w:rsidR="007A4167" w:rsidRDefault="007A4167" w:rsidP="007A4167">
            <w:pPr>
              <w:pStyle w:val="Marginlie"/>
            </w:pPr>
          </w:p>
        </w:tc>
        <w:tc>
          <w:tcPr>
            <w:tcW w:w="221" w:type="dxa"/>
          </w:tcPr>
          <w:p w14:paraId="1400FF54" w14:textId="77777777" w:rsidR="007A4167" w:rsidRPr="005E4483" w:rsidRDefault="007A4167" w:rsidP="007A4167">
            <w:pPr>
              <w:pStyle w:val="Textpoznpodarou"/>
              <w:jc w:val="both"/>
              <w:rPr>
                <w:spacing w:val="-4"/>
              </w:rPr>
            </w:pPr>
          </w:p>
        </w:tc>
        <w:tc>
          <w:tcPr>
            <w:tcW w:w="7613" w:type="dxa"/>
          </w:tcPr>
          <w:p w14:paraId="054FF277" w14:textId="77777777" w:rsidR="007A4167" w:rsidRDefault="007A4167" w:rsidP="007A4167">
            <w:pPr>
              <w:spacing w:after="0"/>
            </w:pPr>
            <w:r>
              <w:rPr>
                <w:noProof/>
              </w:rPr>
              <w:drawing>
                <wp:inline distT="0" distB="0" distL="0" distR="0" wp14:anchorId="79ED1D77" wp14:editId="5AD78A29">
                  <wp:extent cx="4604385" cy="2999232"/>
                  <wp:effectExtent l="0" t="0" r="5715" b="0"/>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r w:rsidR="007A4167" w14:paraId="3231F853" w14:textId="77777777" w:rsidTr="007F4B7E">
        <w:trPr>
          <w:trHeight w:val="145"/>
        </w:trPr>
        <w:tc>
          <w:tcPr>
            <w:tcW w:w="1815" w:type="dxa"/>
          </w:tcPr>
          <w:p w14:paraId="3D235853" w14:textId="77777777" w:rsidR="007A4167" w:rsidRDefault="007A4167" w:rsidP="007A4167">
            <w:pPr>
              <w:pStyle w:val="Marginlie"/>
            </w:pPr>
          </w:p>
        </w:tc>
        <w:tc>
          <w:tcPr>
            <w:tcW w:w="221" w:type="dxa"/>
          </w:tcPr>
          <w:p w14:paraId="10002B5E" w14:textId="77777777" w:rsidR="007A4167" w:rsidRPr="005E4483" w:rsidRDefault="007A4167" w:rsidP="007A4167">
            <w:pPr>
              <w:pStyle w:val="Textpoznpodarou"/>
              <w:jc w:val="both"/>
              <w:rPr>
                <w:spacing w:val="-4"/>
              </w:rPr>
            </w:pPr>
          </w:p>
        </w:tc>
        <w:tc>
          <w:tcPr>
            <w:tcW w:w="7613" w:type="dxa"/>
          </w:tcPr>
          <w:p w14:paraId="718C6600" w14:textId="77777777" w:rsidR="007A4167" w:rsidRDefault="007A4167" w:rsidP="007A4167">
            <w:pPr>
              <w:spacing w:after="200"/>
            </w:pPr>
            <w:r w:rsidRPr="00444E6D">
              <w:rPr>
                <w:rFonts w:cs="Arial"/>
                <w:sz w:val="14"/>
                <w:szCs w:val="14"/>
              </w:rPr>
              <w:t xml:space="preserve">Zdroj: </w:t>
            </w:r>
            <w:r>
              <w:rPr>
                <w:rFonts w:cs="Arial"/>
                <w:sz w:val="14"/>
                <w:szCs w:val="14"/>
              </w:rPr>
              <w:t>ČSÚ</w:t>
            </w:r>
          </w:p>
        </w:tc>
      </w:tr>
      <w:tr w:rsidR="007A4167" w:rsidRPr="00AA5EA1" w14:paraId="733F7B9B" w14:textId="77777777" w:rsidTr="007F4B7E">
        <w:trPr>
          <w:trHeight w:val="145"/>
        </w:trPr>
        <w:tc>
          <w:tcPr>
            <w:tcW w:w="1815" w:type="dxa"/>
          </w:tcPr>
          <w:p w14:paraId="42105867" w14:textId="70E4C499" w:rsidR="007A4167" w:rsidRPr="008529B6" w:rsidRDefault="007A4167" w:rsidP="007A4167">
            <w:pPr>
              <w:pStyle w:val="Marginlie"/>
              <w:rPr>
                <w:color w:val="0D0D0D" w:themeColor="text1" w:themeTint="F2"/>
              </w:rPr>
            </w:pPr>
            <w:r>
              <w:rPr>
                <w:color w:val="0D0D0D" w:themeColor="text1" w:themeTint="F2"/>
              </w:rPr>
              <w:t xml:space="preserve">Počet nezaměstnaných se snižoval vlivem čistého </w:t>
            </w:r>
            <w:r>
              <w:rPr>
                <w:color w:val="0D0D0D" w:themeColor="text1" w:themeTint="F2"/>
              </w:rPr>
              <w:lastRenderedPageBreak/>
              <w:t>odlivu nezaměstnaných do stavu zaměstnanosti. Toky mezi nezaměstnaností a neaktivitou naopak počty lidí bez práce nepatrně navyšovaly.</w:t>
            </w:r>
          </w:p>
        </w:tc>
        <w:tc>
          <w:tcPr>
            <w:tcW w:w="221" w:type="dxa"/>
          </w:tcPr>
          <w:p w14:paraId="081C2F81" w14:textId="77777777" w:rsidR="007A4167" w:rsidRPr="008529B6" w:rsidRDefault="007A4167" w:rsidP="007A4167">
            <w:pPr>
              <w:pStyle w:val="Textpoznpodarou"/>
              <w:jc w:val="both"/>
              <w:rPr>
                <w:color w:val="0D0D0D" w:themeColor="text1" w:themeTint="F2"/>
                <w:spacing w:val="-4"/>
              </w:rPr>
            </w:pPr>
          </w:p>
        </w:tc>
        <w:tc>
          <w:tcPr>
            <w:tcW w:w="7613" w:type="dxa"/>
          </w:tcPr>
          <w:p w14:paraId="3C57114D" w14:textId="31F20FC9" w:rsidR="007A4167" w:rsidRPr="00B074F5" w:rsidRDefault="007A4167" w:rsidP="007A4167">
            <w:pPr>
              <w:spacing w:after="200"/>
              <w:rPr>
                <w:color w:val="0D0D0D" w:themeColor="text1" w:themeTint="F2"/>
                <w:spacing w:val="-2"/>
              </w:rPr>
            </w:pPr>
            <w:r w:rsidRPr="00B074F5">
              <w:rPr>
                <w:color w:val="0D0D0D" w:themeColor="text1" w:themeTint="F2"/>
                <w:spacing w:val="-2"/>
              </w:rPr>
              <w:t>Z</w:t>
            </w:r>
            <w:r>
              <w:rPr>
                <w:color w:val="0D0D0D" w:themeColor="text1" w:themeTint="F2"/>
                <w:spacing w:val="-2"/>
              </w:rPr>
              <w:t> </w:t>
            </w:r>
            <w:r w:rsidRPr="00B074F5">
              <w:rPr>
                <w:color w:val="0D0D0D" w:themeColor="text1" w:themeTint="F2"/>
                <w:spacing w:val="-2"/>
              </w:rPr>
              <w:t xml:space="preserve">mezičtvrtletních toků nezaměstnanosti plyne, že za jejím poklesem stál loni </w:t>
            </w:r>
            <w:r>
              <w:rPr>
                <w:color w:val="0D0D0D" w:themeColor="text1" w:themeTint="F2"/>
                <w:spacing w:val="-2"/>
              </w:rPr>
              <w:t>čistý</w:t>
            </w:r>
            <w:r w:rsidRPr="00B074F5">
              <w:rPr>
                <w:color w:val="0D0D0D" w:themeColor="text1" w:themeTint="F2"/>
                <w:spacing w:val="-2"/>
              </w:rPr>
              <w:t xml:space="preserve"> odliv nezaměstnaných do stavu zaměstnaných. Opačným směrem (ale s nižší intenzitou) </w:t>
            </w:r>
            <w:r w:rsidRPr="00B074F5">
              <w:rPr>
                <w:color w:val="0D0D0D" w:themeColor="text1" w:themeTint="F2"/>
                <w:spacing w:val="-2"/>
              </w:rPr>
              <w:lastRenderedPageBreak/>
              <w:t>působil čistý odliv z ekonomické neaktivity do stavu nezaměstnaných</w:t>
            </w:r>
            <w:r w:rsidRPr="00B074F5">
              <w:rPr>
                <w:rStyle w:val="Znakapoznpodarou"/>
                <w:spacing w:val="-2"/>
              </w:rPr>
              <w:footnoteReference w:id="4"/>
            </w:r>
            <w:r w:rsidRPr="00B074F5">
              <w:rPr>
                <w:color w:val="0D0D0D" w:themeColor="text1" w:themeTint="F2"/>
                <w:spacing w:val="-2"/>
              </w:rPr>
              <w:t xml:space="preserve">. </w:t>
            </w:r>
            <w:r>
              <w:rPr>
                <w:color w:val="0D0D0D" w:themeColor="text1" w:themeTint="F2"/>
                <w:spacing w:val="-2"/>
              </w:rPr>
              <w:t>Obdobný vzorec platil po všechna</w:t>
            </w:r>
            <w:r w:rsidRPr="00B074F5">
              <w:rPr>
                <w:color w:val="0D0D0D" w:themeColor="text1" w:themeTint="F2"/>
                <w:spacing w:val="-2"/>
              </w:rPr>
              <w:t xml:space="preserve"> loňská čtvrtletí vyjma třetího. Tehdy</w:t>
            </w:r>
            <w:r>
              <w:rPr>
                <w:color w:val="0D0D0D" w:themeColor="text1" w:themeTint="F2"/>
                <w:spacing w:val="-2"/>
              </w:rPr>
              <w:t>,</w:t>
            </w:r>
            <w:r w:rsidRPr="00B074F5">
              <w:rPr>
                <w:color w:val="0D0D0D" w:themeColor="text1" w:themeTint="F2"/>
                <w:spacing w:val="-2"/>
              </w:rPr>
              <w:t xml:space="preserve"> zejména vlivem nižšího počtu nezaměstnaných, kteří v tomto období našli práci, celkový sezónně neočištěný počet nezaměstnaných oproti 2</w:t>
            </w:r>
            <w:r>
              <w:rPr>
                <w:color w:val="0D0D0D" w:themeColor="text1" w:themeTint="F2"/>
                <w:spacing w:val="-2"/>
              </w:rPr>
              <w:t>. </w:t>
            </w:r>
            <w:r w:rsidRPr="00B074F5">
              <w:rPr>
                <w:color w:val="0D0D0D" w:themeColor="text1" w:themeTint="F2"/>
                <w:spacing w:val="-2"/>
              </w:rPr>
              <w:t>čtvrtletí mírně vzrostl. Z dlouhodobějšího hlediska je klíč</w:t>
            </w:r>
            <w:r>
              <w:rPr>
                <w:color w:val="0D0D0D" w:themeColor="text1" w:themeTint="F2"/>
                <w:spacing w:val="-2"/>
              </w:rPr>
              <w:t>ovým faktorem formujícím objem</w:t>
            </w:r>
            <w:r w:rsidRPr="00B074F5">
              <w:rPr>
                <w:color w:val="0D0D0D" w:themeColor="text1" w:themeTint="F2"/>
                <w:spacing w:val="-2"/>
              </w:rPr>
              <w:t xml:space="preserve"> toků nezaměstnaných stabilní hospodářský růst. Ten postupně zastiňoval přirozeně se opakující sezónní vlivy působící na nezaměstnanost (nabídka krátkodobých míst v zemědělství, lesnictví, těžbě, stavebnictví a</w:t>
            </w:r>
            <w:r>
              <w:rPr>
                <w:color w:val="0D0D0D" w:themeColor="text1" w:themeTint="F2"/>
                <w:spacing w:val="-2"/>
              </w:rPr>
              <w:t> </w:t>
            </w:r>
            <w:r w:rsidRPr="00B074F5">
              <w:rPr>
                <w:color w:val="0D0D0D" w:themeColor="text1" w:themeTint="F2"/>
                <w:spacing w:val="-2"/>
              </w:rPr>
              <w:t>v aktivitách vázaných na cestovní ruch)</w:t>
            </w:r>
            <w:r w:rsidRPr="00B074F5">
              <w:rPr>
                <w:rStyle w:val="Znakapoznpodarou"/>
                <w:spacing w:val="-2"/>
              </w:rPr>
              <w:footnoteReference w:id="5"/>
            </w:r>
            <w:r w:rsidRPr="00B074F5">
              <w:rPr>
                <w:color w:val="0D0D0D" w:themeColor="text1" w:themeTint="F2"/>
                <w:spacing w:val="-2"/>
              </w:rPr>
              <w:t>.</w:t>
            </w:r>
          </w:p>
        </w:tc>
      </w:tr>
      <w:tr w:rsidR="007A4167" w:rsidRPr="00AA5EA1" w14:paraId="66F58D1F" w14:textId="77777777" w:rsidTr="007F4B7E">
        <w:trPr>
          <w:trHeight w:val="145"/>
        </w:trPr>
        <w:tc>
          <w:tcPr>
            <w:tcW w:w="1815" w:type="dxa"/>
          </w:tcPr>
          <w:p w14:paraId="6575D1D5" w14:textId="77777777" w:rsidR="007A4167" w:rsidRDefault="007A4167" w:rsidP="007A4167">
            <w:pPr>
              <w:pStyle w:val="Marginlie"/>
            </w:pPr>
          </w:p>
        </w:tc>
        <w:tc>
          <w:tcPr>
            <w:tcW w:w="221" w:type="dxa"/>
          </w:tcPr>
          <w:p w14:paraId="73FFC133" w14:textId="77777777" w:rsidR="007A4167" w:rsidRPr="005E4483" w:rsidRDefault="007A4167" w:rsidP="007A4167">
            <w:pPr>
              <w:pStyle w:val="Textpoznpodarou"/>
              <w:jc w:val="both"/>
              <w:rPr>
                <w:spacing w:val="-4"/>
              </w:rPr>
            </w:pPr>
          </w:p>
        </w:tc>
        <w:tc>
          <w:tcPr>
            <w:tcW w:w="7613" w:type="dxa"/>
          </w:tcPr>
          <w:p w14:paraId="35A3C627" w14:textId="77777777" w:rsidR="007A4167" w:rsidRPr="00AA5EA1" w:rsidRDefault="007A4167" w:rsidP="007A4167">
            <w:pPr>
              <w:spacing w:after="0"/>
              <w:rPr>
                <w:rFonts w:cs="Arial"/>
                <w:color w:val="0D0D0D" w:themeColor="text1" w:themeTint="F2"/>
                <w:spacing w:val="-2"/>
              </w:rPr>
            </w:pPr>
            <w:r>
              <w:rPr>
                <w:b/>
                <w:spacing w:val="-4"/>
              </w:rPr>
              <w:t>Graf č. 19</w:t>
            </w:r>
            <w:r w:rsidRPr="00DD7E93">
              <w:rPr>
                <w:b/>
                <w:spacing w:val="-4"/>
              </w:rPr>
              <w:t xml:space="preserve">  </w:t>
            </w:r>
            <w:r w:rsidRPr="00DD7E93">
              <w:rPr>
                <w:rFonts w:cs="Arial"/>
                <w:b/>
                <w:bCs/>
                <w:spacing w:val="-4"/>
              </w:rPr>
              <w:t>Mezičtvrtletní toky mezi nezaměstnaností, zaměstnaností a</w:t>
            </w:r>
            <w:r>
              <w:rPr>
                <w:rFonts w:cs="Arial"/>
                <w:b/>
                <w:bCs/>
                <w:spacing w:val="-4"/>
              </w:rPr>
              <w:t> </w:t>
            </w:r>
            <w:r w:rsidRPr="00DD7E93">
              <w:rPr>
                <w:rFonts w:cs="Arial"/>
                <w:b/>
                <w:bCs/>
                <w:spacing w:val="-4"/>
              </w:rPr>
              <w:t xml:space="preserve">ekonomickou </w:t>
            </w:r>
            <w:r w:rsidRPr="00D04A25">
              <w:rPr>
                <w:rFonts w:cs="Arial"/>
                <w:b/>
                <w:bCs/>
                <w:spacing w:val="-2"/>
              </w:rPr>
              <w:t xml:space="preserve">neaktivitou </w:t>
            </w:r>
            <w:r>
              <w:rPr>
                <w:rFonts w:cs="Arial"/>
                <w:b/>
                <w:bCs/>
                <w:spacing w:val="-2"/>
              </w:rPr>
              <w:t xml:space="preserve">v ČR </w:t>
            </w:r>
            <w:r w:rsidRPr="00D04A25">
              <w:rPr>
                <w:rFonts w:cs="Arial"/>
                <w:bCs/>
                <w:spacing w:val="-2"/>
              </w:rPr>
              <w:t>(v</w:t>
            </w:r>
            <w:r>
              <w:rPr>
                <w:rFonts w:cs="Arial"/>
                <w:bCs/>
                <w:spacing w:val="-2"/>
              </w:rPr>
              <w:t> </w:t>
            </w:r>
            <w:r w:rsidRPr="00D04A25">
              <w:rPr>
                <w:rFonts w:cs="Arial"/>
                <w:bCs/>
                <w:spacing w:val="-2"/>
              </w:rPr>
              <w:t>tis.</w:t>
            </w:r>
            <w:r>
              <w:rPr>
                <w:rFonts w:cs="Arial"/>
                <w:bCs/>
                <w:spacing w:val="-2"/>
              </w:rPr>
              <w:t xml:space="preserve"> osob</w:t>
            </w:r>
            <w:r w:rsidRPr="00D04A25">
              <w:rPr>
                <w:rFonts w:cs="Arial"/>
                <w:bCs/>
                <w:spacing w:val="-2"/>
              </w:rPr>
              <w:t>, v</w:t>
            </w:r>
            <w:r>
              <w:rPr>
                <w:rFonts w:cs="Arial"/>
                <w:bCs/>
                <w:spacing w:val="-2"/>
              </w:rPr>
              <w:t> %</w:t>
            </w:r>
            <w:r w:rsidRPr="00D04A25">
              <w:rPr>
                <w:rFonts w:cs="Arial"/>
                <w:bCs/>
                <w:spacing w:val="-2"/>
              </w:rPr>
              <w:t xml:space="preserve"> všech nezaměstnaných)</w:t>
            </w:r>
          </w:p>
        </w:tc>
      </w:tr>
      <w:tr w:rsidR="007A4167" w:rsidRPr="00AA5EA1" w14:paraId="5FBA71B8" w14:textId="77777777" w:rsidTr="004E684C">
        <w:tblPrEx>
          <w:tblCellMar>
            <w:left w:w="70" w:type="dxa"/>
            <w:right w:w="70" w:type="dxa"/>
          </w:tblCellMar>
        </w:tblPrEx>
        <w:trPr>
          <w:trHeight w:val="145"/>
        </w:trPr>
        <w:tc>
          <w:tcPr>
            <w:tcW w:w="1815" w:type="dxa"/>
          </w:tcPr>
          <w:p w14:paraId="7533DEFC" w14:textId="77777777" w:rsidR="007A4167" w:rsidRPr="00106639" w:rsidRDefault="007A4167" w:rsidP="007A4167">
            <w:pPr>
              <w:pStyle w:val="Marginlie"/>
            </w:pPr>
          </w:p>
          <w:p w14:paraId="61FE6BFF" w14:textId="77777777" w:rsidR="007A4167" w:rsidRDefault="007A4167" w:rsidP="007A4167">
            <w:pPr>
              <w:pStyle w:val="Marginlie"/>
            </w:pPr>
          </w:p>
        </w:tc>
        <w:tc>
          <w:tcPr>
            <w:tcW w:w="221" w:type="dxa"/>
          </w:tcPr>
          <w:p w14:paraId="7881F89D" w14:textId="77777777" w:rsidR="007A4167" w:rsidRPr="005E4483" w:rsidRDefault="007A4167" w:rsidP="007A4167">
            <w:pPr>
              <w:pStyle w:val="Textpoznpodarou"/>
              <w:jc w:val="both"/>
              <w:rPr>
                <w:spacing w:val="-4"/>
              </w:rPr>
            </w:pPr>
          </w:p>
          <w:p w14:paraId="2D2B9D37" w14:textId="77777777" w:rsidR="007A4167" w:rsidRPr="005E4483" w:rsidRDefault="007A4167" w:rsidP="007A4167">
            <w:pPr>
              <w:pStyle w:val="Textpoznpodarou"/>
              <w:jc w:val="both"/>
              <w:rPr>
                <w:spacing w:val="-4"/>
              </w:rPr>
            </w:pPr>
          </w:p>
        </w:tc>
        <w:tc>
          <w:tcPr>
            <w:tcW w:w="7613" w:type="dxa"/>
          </w:tcPr>
          <w:p w14:paraId="7D3B1C52" w14:textId="649ED9CE" w:rsidR="007A4167" w:rsidRPr="004B2669" w:rsidRDefault="007A4167" w:rsidP="007A4167">
            <w:pPr>
              <w:spacing w:after="0"/>
              <w:rPr>
                <w:spacing w:val="-2"/>
              </w:rPr>
            </w:pPr>
            <w:r>
              <w:rPr>
                <w:noProof/>
              </w:rPr>
              <w:drawing>
                <wp:inline distT="0" distB="0" distL="0" distR="0" wp14:anchorId="3D16A31B" wp14:editId="084A08BE">
                  <wp:extent cx="4834255" cy="3525927"/>
                  <wp:effectExtent l="0" t="0" r="4445" b="0"/>
                  <wp:docPr id="63" name="Graf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7A4167" w:rsidRPr="005A2E40" w14:paraId="68908170" w14:textId="77777777" w:rsidTr="007F4B7E">
        <w:trPr>
          <w:trHeight w:val="370"/>
        </w:trPr>
        <w:tc>
          <w:tcPr>
            <w:tcW w:w="1815" w:type="dxa"/>
          </w:tcPr>
          <w:p w14:paraId="0EA98A78" w14:textId="77777777" w:rsidR="007A4167" w:rsidRPr="00106639" w:rsidRDefault="007A4167" w:rsidP="007A4167">
            <w:pPr>
              <w:pStyle w:val="Marginlie"/>
            </w:pPr>
          </w:p>
        </w:tc>
        <w:tc>
          <w:tcPr>
            <w:tcW w:w="221" w:type="dxa"/>
          </w:tcPr>
          <w:p w14:paraId="1931E348" w14:textId="77777777" w:rsidR="007A4167" w:rsidRPr="005E4483" w:rsidRDefault="007A4167" w:rsidP="007A4167">
            <w:pPr>
              <w:pStyle w:val="Textpoznpodarou"/>
              <w:jc w:val="both"/>
              <w:rPr>
                <w:spacing w:val="-4"/>
              </w:rPr>
            </w:pPr>
          </w:p>
        </w:tc>
        <w:tc>
          <w:tcPr>
            <w:tcW w:w="7613" w:type="dxa"/>
          </w:tcPr>
          <w:p w14:paraId="29E8F1C9" w14:textId="77777777" w:rsidR="007A4167" w:rsidRPr="009054FE" w:rsidRDefault="007A4167" w:rsidP="007A4167">
            <w:pPr>
              <w:spacing w:after="0" w:line="240" w:lineRule="auto"/>
              <w:rPr>
                <w:rFonts w:cs="Arial"/>
                <w:sz w:val="14"/>
                <w:szCs w:val="14"/>
              </w:rPr>
            </w:pPr>
            <w:r>
              <w:rPr>
                <w:rFonts w:cs="Arial"/>
                <w:sz w:val="14"/>
                <w:szCs w:val="14"/>
              </w:rPr>
              <w:t>Poznámka. Údaje nejsou sezónně očištěny.                                                                                      Z</w:t>
            </w:r>
            <w:r w:rsidRPr="00444E6D">
              <w:rPr>
                <w:rFonts w:cs="Arial"/>
                <w:sz w:val="14"/>
                <w:szCs w:val="14"/>
              </w:rPr>
              <w:t xml:space="preserve">droj: </w:t>
            </w:r>
            <w:r>
              <w:rPr>
                <w:rFonts w:cs="Arial"/>
                <w:sz w:val="14"/>
                <w:szCs w:val="14"/>
              </w:rPr>
              <w:t>ČSÚ, Eurostat</w:t>
            </w:r>
          </w:p>
        </w:tc>
      </w:tr>
      <w:tr w:rsidR="007A4167" w:rsidRPr="008529B6" w14:paraId="669B7889" w14:textId="77777777" w:rsidTr="007F4B7E">
        <w:trPr>
          <w:trHeight w:val="145"/>
        </w:trPr>
        <w:tc>
          <w:tcPr>
            <w:tcW w:w="1815" w:type="dxa"/>
          </w:tcPr>
          <w:p w14:paraId="0AC2823A" w14:textId="77777777" w:rsidR="007A4167" w:rsidRDefault="007A4167" w:rsidP="007A4167">
            <w:pPr>
              <w:pStyle w:val="Marginlie"/>
            </w:pPr>
            <w:r w:rsidRPr="008529B6">
              <w:rPr>
                <w:color w:val="0D0D0D" w:themeColor="text1" w:themeTint="F2"/>
              </w:rPr>
              <w:t>Počet ekonomicky neaktivních deklarujících o</w:t>
            </w:r>
            <w:r>
              <w:rPr>
                <w:color w:val="0D0D0D" w:themeColor="text1" w:themeTint="F2"/>
              </w:rPr>
              <w:t>chotu pracovat se snížil na historické minimum (na 100 </w:t>
            </w:r>
            <w:r w:rsidRPr="008529B6">
              <w:rPr>
                <w:color w:val="0D0D0D" w:themeColor="text1" w:themeTint="F2"/>
              </w:rPr>
              <w:t>tis.</w:t>
            </w:r>
            <w:r>
              <w:rPr>
                <w:color w:val="0D0D0D" w:themeColor="text1" w:themeTint="F2"/>
              </w:rPr>
              <w:t xml:space="preserve"> osob).</w:t>
            </w:r>
          </w:p>
        </w:tc>
        <w:tc>
          <w:tcPr>
            <w:tcW w:w="221" w:type="dxa"/>
          </w:tcPr>
          <w:p w14:paraId="630AAB0F" w14:textId="77777777" w:rsidR="007A4167" w:rsidRPr="005E4483" w:rsidRDefault="007A4167" w:rsidP="007A4167">
            <w:pPr>
              <w:pStyle w:val="Textpoznpodarou"/>
              <w:jc w:val="both"/>
              <w:rPr>
                <w:spacing w:val="-4"/>
              </w:rPr>
            </w:pPr>
          </w:p>
        </w:tc>
        <w:tc>
          <w:tcPr>
            <w:tcW w:w="7613" w:type="dxa"/>
          </w:tcPr>
          <w:p w14:paraId="54F95B5B" w14:textId="77777777" w:rsidR="007A4167" w:rsidRDefault="007A4167" w:rsidP="007A4167">
            <w:pPr>
              <w:spacing w:after="220"/>
              <w:rPr>
                <w:color w:val="0D0D0D" w:themeColor="text1" w:themeTint="F2"/>
                <w:spacing w:val="-2"/>
              </w:rPr>
            </w:pPr>
            <w:r w:rsidRPr="00B074F5">
              <w:rPr>
                <w:color w:val="0D0D0D" w:themeColor="text1" w:themeTint="F2"/>
                <w:spacing w:val="-2"/>
              </w:rPr>
              <w:t>Jedním z projevů nedostatečně saturované poptávky po pracovnících v době konjunktury je i</w:t>
            </w:r>
            <w:r>
              <w:rPr>
                <w:color w:val="0D0D0D" w:themeColor="text1" w:themeTint="F2"/>
                <w:spacing w:val="-2"/>
              </w:rPr>
              <w:t> </w:t>
            </w:r>
            <w:r w:rsidRPr="00B074F5">
              <w:rPr>
                <w:color w:val="0D0D0D" w:themeColor="text1" w:themeTint="F2"/>
                <w:spacing w:val="-2"/>
              </w:rPr>
              <w:t>pokles četnosti „prekérních“ forem pracovních úvazků. To dobře dokládá i</w:t>
            </w:r>
            <w:r>
              <w:rPr>
                <w:color w:val="0D0D0D" w:themeColor="text1" w:themeTint="F2"/>
                <w:spacing w:val="-2"/>
              </w:rPr>
              <w:t> </w:t>
            </w:r>
            <w:r w:rsidRPr="00B074F5">
              <w:rPr>
                <w:color w:val="0D0D0D" w:themeColor="text1" w:themeTint="F2"/>
                <w:spacing w:val="-2"/>
              </w:rPr>
              <w:t>nižší podíl zaměstnanců pracujících na dobu určitou</w:t>
            </w:r>
            <w:r w:rsidRPr="00B074F5">
              <w:rPr>
                <w:rStyle w:val="Znakapoznpodarou"/>
                <w:spacing w:val="-2"/>
              </w:rPr>
              <w:footnoteReference w:id="6"/>
            </w:r>
            <w:r w:rsidRPr="00B074F5">
              <w:rPr>
                <w:color w:val="0D0D0D" w:themeColor="text1" w:themeTint="F2"/>
                <w:spacing w:val="-2"/>
              </w:rPr>
              <w:t xml:space="preserve">. Jiným projevem je ústup dlouhodobé i strukturální složky nezaměstnanosti ve prospěch složky frikční. Již téměř polovině </w:t>
            </w:r>
            <w:r>
              <w:rPr>
                <w:color w:val="0D0D0D" w:themeColor="text1" w:themeTint="F2"/>
                <w:spacing w:val="-2"/>
              </w:rPr>
              <w:t xml:space="preserve">čerstvě </w:t>
            </w:r>
            <w:r w:rsidRPr="00B074F5">
              <w:rPr>
                <w:color w:val="0D0D0D" w:themeColor="text1" w:themeTint="F2"/>
                <w:spacing w:val="-2"/>
              </w:rPr>
              <w:t>nezaměstnaných se v následujícím čtvrtletí podařilo nalézt práci,</w:t>
            </w:r>
            <w:r>
              <w:rPr>
                <w:color w:val="0D0D0D" w:themeColor="text1" w:themeTint="F2"/>
                <w:spacing w:val="-2"/>
              </w:rPr>
              <w:t xml:space="preserve"> v období recese (2012 až 2013)</w:t>
            </w:r>
            <w:r w:rsidRPr="00B074F5">
              <w:rPr>
                <w:color w:val="0D0D0D" w:themeColor="text1" w:themeTint="F2"/>
                <w:spacing w:val="-2"/>
              </w:rPr>
              <w:t xml:space="preserve"> byla takto úspěšná zhruba jen čtvrtina z nich. Vedle nezaměstnaný</w:t>
            </w:r>
            <w:r>
              <w:rPr>
                <w:color w:val="0D0D0D" w:themeColor="text1" w:themeTint="F2"/>
                <w:spacing w:val="-2"/>
              </w:rPr>
              <w:t>ch způsobuje silná poptávka</w:t>
            </w:r>
            <w:r w:rsidRPr="00B074F5">
              <w:rPr>
                <w:color w:val="0D0D0D" w:themeColor="text1" w:themeTint="F2"/>
                <w:spacing w:val="-2"/>
              </w:rPr>
              <w:t xml:space="preserve"> po pracovnících i</w:t>
            </w:r>
            <w:r>
              <w:rPr>
                <w:color w:val="0D0D0D" w:themeColor="text1" w:themeTint="F2"/>
                <w:spacing w:val="-2"/>
              </w:rPr>
              <w:t> snižování počtu</w:t>
            </w:r>
            <w:r w:rsidRPr="00B074F5">
              <w:rPr>
                <w:color w:val="0D0D0D" w:themeColor="text1" w:themeTint="F2"/>
                <w:spacing w:val="-2"/>
              </w:rPr>
              <w:t xml:space="preserve"> ekonomicky neaktivních. Jde o</w:t>
            </w:r>
            <w:r>
              <w:rPr>
                <w:color w:val="0D0D0D" w:themeColor="text1" w:themeTint="F2"/>
                <w:spacing w:val="-2"/>
              </w:rPr>
              <w:t> </w:t>
            </w:r>
            <w:r w:rsidRPr="00B074F5">
              <w:rPr>
                <w:color w:val="0D0D0D" w:themeColor="text1" w:themeTint="F2"/>
                <w:spacing w:val="-2"/>
              </w:rPr>
              <w:t>osoby chtějící pracovat, ale práci nehledající (příp.</w:t>
            </w:r>
            <w:r>
              <w:rPr>
                <w:color w:val="0D0D0D" w:themeColor="text1" w:themeTint="F2"/>
                <w:spacing w:val="-2"/>
              </w:rPr>
              <w:t> </w:t>
            </w:r>
            <w:r w:rsidRPr="00B074F5">
              <w:rPr>
                <w:color w:val="0D0D0D" w:themeColor="text1" w:themeTint="F2"/>
                <w:spacing w:val="-2"/>
              </w:rPr>
              <w:t>hledající, ale neschopné do ní do 14</w:t>
            </w:r>
            <w:r>
              <w:rPr>
                <w:color w:val="0D0D0D" w:themeColor="text1" w:themeTint="F2"/>
                <w:spacing w:val="-2"/>
              </w:rPr>
              <w:t> </w:t>
            </w:r>
            <w:r w:rsidRPr="00B074F5">
              <w:rPr>
                <w:color w:val="0D0D0D" w:themeColor="text1" w:themeTint="F2"/>
                <w:spacing w:val="-2"/>
              </w:rPr>
              <w:t>dnů nastoupit). Jejich četnost klesla na konci roku</w:t>
            </w:r>
            <w:r>
              <w:rPr>
                <w:color w:val="0D0D0D" w:themeColor="text1" w:themeTint="F2"/>
                <w:spacing w:val="-2"/>
              </w:rPr>
              <w:t xml:space="preserve"> 2018 ke 100tisícové hranici. Šlo o</w:t>
            </w:r>
            <w:r w:rsidRPr="00B074F5">
              <w:rPr>
                <w:color w:val="0D0D0D" w:themeColor="text1" w:themeTint="F2"/>
                <w:spacing w:val="-2"/>
              </w:rPr>
              <w:t> historické minimum v</w:t>
            </w:r>
            <w:r>
              <w:rPr>
                <w:color w:val="0D0D0D" w:themeColor="text1" w:themeTint="F2"/>
                <w:spacing w:val="-2"/>
              </w:rPr>
              <w:t> </w:t>
            </w:r>
            <w:r w:rsidRPr="00B074F5">
              <w:rPr>
                <w:color w:val="0D0D0D" w:themeColor="text1" w:themeTint="F2"/>
                <w:spacing w:val="-2"/>
              </w:rPr>
              <w:t>éře</w:t>
            </w:r>
            <w:r>
              <w:rPr>
                <w:color w:val="0D0D0D" w:themeColor="text1" w:themeTint="F2"/>
                <w:spacing w:val="-2"/>
              </w:rPr>
              <w:t> </w:t>
            </w:r>
            <w:r w:rsidRPr="00B074F5">
              <w:rPr>
                <w:color w:val="0D0D0D" w:themeColor="text1" w:themeTint="F2"/>
                <w:spacing w:val="-2"/>
              </w:rPr>
              <w:t>ČR. Tyto osoby prostupují všemi věkovými skupin</w:t>
            </w:r>
            <w:r>
              <w:rPr>
                <w:color w:val="0D0D0D" w:themeColor="text1" w:themeTint="F2"/>
                <w:spacing w:val="-2"/>
              </w:rPr>
              <w:t>ami – </w:t>
            </w:r>
            <w:r w:rsidRPr="00B074F5">
              <w:rPr>
                <w:color w:val="0D0D0D" w:themeColor="text1" w:themeTint="F2"/>
                <w:spacing w:val="-2"/>
              </w:rPr>
              <w:t>zahrnují seniory, studenty, matky s malými dětmi či zdravotně postižené.</w:t>
            </w:r>
          </w:p>
          <w:p w14:paraId="2B513CEF" w14:textId="364A21A4" w:rsidR="00D83A33" w:rsidRPr="008529B6" w:rsidRDefault="00D83A33" w:rsidP="007A4167">
            <w:pPr>
              <w:spacing w:after="220"/>
              <w:rPr>
                <w:color w:val="0D0D0D" w:themeColor="text1" w:themeTint="F2"/>
                <w:spacing w:val="-2"/>
              </w:rPr>
            </w:pPr>
          </w:p>
        </w:tc>
      </w:tr>
    </w:tbl>
    <w:p w14:paraId="756C0632" w14:textId="77777777" w:rsidR="006169F2" w:rsidRPr="006169F2" w:rsidRDefault="006169F2" w:rsidP="006169F2">
      <w:pPr>
        <w:spacing w:after="0"/>
        <w:rPr>
          <w:rFonts w:eastAsia="MS Gothic"/>
          <w:b/>
          <w:bCs/>
          <w:color w:val="71818C"/>
          <w:sz w:val="28"/>
          <w:szCs w:val="28"/>
        </w:rPr>
      </w:pPr>
      <w:r>
        <w:rPr>
          <w:rFonts w:eastAsia="MS Gothic"/>
          <w:b/>
          <w:bCs/>
          <w:color w:val="71818C"/>
          <w:sz w:val="28"/>
          <w:szCs w:val="28"/>
        </w:rPr>
        <w:lastRenderedPageBreak/>
        <w:t xml:space="preserve">2.2. Registrovaní uchazeči </w:t>
      </w:r>
      <w:r w:rsidR="00BC7833">
        <w:rPr>
          <w:rFonts w:eastAsia="MS Gothic"/>
          <w:b/>
          <w:bCs/>
          <w:color w:val="71818C"/>
          <w:sz w:val="28"/>
          <w:szCs w:val="28"/>
        </w:rPr>
        <w:t>o </w:t>
      </w:r>
      <w:r>
        <w:rPr>
          <w:rFonts w:eastAsia="MS Gothic"/>
          <w:b/>
          <w:bCs/>
          <w:color w:val="71818C"/>
          <w:sz w:val="28"/>
          <w:szCs w:val="28"/>
        </w:rPr>
        <w:t xml:space="preserve">práci </w:t>
      </w:r>
      <w:r w:rsidR="00BC7833">
        <w:rPr>
          <w:rFonts w:eastAsia="MS Gothic"/>
          <w:b/>
          <w:bCs/>
          <w:color w:val="71818C"/>
          <w:sz w:val="28"/>
          <w:szCs w:val="28"/>
        </w:rPr>
        <w:t>a </w:t>
      </w:r>
      <w:r>
        <w:rPr>
          <w:rFonts w:eastAsia="MS Gothic"/>
          <w:b/>
          <w:bCs/>
          <w:color w:val="71818C"/>
          <w:sz w:val="28"/>
          <w:szCs w:val="28"/>
        </w:rPr>
        <w:t>volná pracovní místa</w:t>
      </w:r>
    </w:p>
    <w:tbl>
      <w:tblPr>
        <w:tblW w:w="9644" w:type="dxa"/>
        <w:tblInd w:w="-10" w:type="dxa"/>
        <w:tblLayout w:type="fixed"/>
        <w:tblCellMar>
          <w:left w:w="0" w:type="dxa"/>
          <w:right w:w="0" w:type="dxa"/>
        </w:tblCellMar>
        <w:tblLook w:val="00A0" w:firstRow="1" w:lastRow="0" w:firstColumn="1" w:lastColumn="0" w:noHBand="0" w:noVBand="0"/>
      </w:tblPr>
      <w:tblGrid>
        <w:gridCol w:w="1814"/>
        <w:gridCol w:w="221"/>
        <w:gridCol w:w="7609"/>
      </w:tblGrid>
      <w:tr w:rsidR="006169F2" w:rsidRPr="0040263F" w14:paraId="468304D4" w14:textId="77777777" w:rsidTr="006169F2">
        <w:trPr>
          <w:trHeight w:val="145"/>
        </w:trPr>
        <w:tc>
          <w:tcPr>
            <w:tcW w:w="1814" w:type="dxa"/>
          </w:tcPr>
          <w:p w14:paraId="4C36919E" w14:textId="77777777" w:rsidR="006169F2" w:rsidRDefault="006169F2" w:rsidP="00A500A7">
            <w:pPr>
              <w:pStyle w:val="Marginlie"/>
            </w:pPr>
            <w:r>
              <w:t>Nabídka volných míst prostřednictvím úřadů práce v první polovině roku akcelerovala, v jeho zbylé části růstové tempo ochabovalo.</w:t>
            </w:r>
          </w:p>
        </w:tc>
        <w:tc>
          <w:tcPr>
            <w:tcW w:w="221" w:type="dxa"/>
          </w:tcPr>
          <w:p w14:paraId="647D3223" w14:textId="77777777" w:rsidR="006169F2" w:rsidRPr="005E4483" w:rsidRDefault="006169F2" w:rsidP="00A500A7">
            <w:pPr>
              <w:pStyle w:val="Textpoznpodarou"/>
              <w:jc w:val="both"/>
              <w:rPr>
                <w:spacing w:val="-4"/>
              </w:rPr>
            </w:pPr>
          </w:p>
        </w:tc>
        <w:tc>
          <w:tcPr>
            <w:tcW w:w="7609" w:type="dxa"/>
          </w:tcPr>
          <w:p w14:paraId="31F95D74" w14:textId="77777777" w:rsidR="006169F2" w:rsidRPr="0040263F" w:rsidRDefault="006169F2" w:rsidP="00A500A7">
            <w:pPr>
              <w:spacing w:after="220"/>
              <w:rPr>
                <w:rFonts w:cs="Arial"/>
                <w:color w:val="0D0D0D" w:themeColor="text1" w:themeTint="F2"/>
                <w:spacing w:val="-2"/>
              </w:rPr>
            </w:pPr>
            <w:r w:rsidRPr="008529B6">
              <w:rPr>
                <w:color w:val="0D0D0D" w:themeColor="text1" w:themeTint="F2"/>
                <w:spacing w:val="-2"/>
              </w:rPr>
              <w:t xml:space="preserve">Pokles nezaměstnanosti byl doprovázen strmým růstem nabídky </w:t>
            </w:r>
            <w:r w:rsidRPr="00B074F5">
              <w:rPr>
                <w:color w:val="0D0D0D" w:themeColor="text1" w:themeTint="F2"/>
                <w:spacing w:val="-2"/>
              </w:rPr>
              <w:t xml:space="preserve">volných pracovních míst. </w:t>
            </w:r>
            <w:r w:rsidRPr="00B074F5">
              <w:rPr>
                <w:rFonts w:cs="Arial"/>
                <w:color w:val="0D0D0D" w:themeColor="text1" w:themeTint="F2"/>
                <w:spacing w:val="-2"/>
              </w:rPr>
              <w:t>Na ko</w:t>
            </w:r>
            <w:r>
              <w:rPr>
                <w:rFonts w:cs="Arial"/>
                <w:color w:val="0D0D0D" w:themeColor="text1" w:themeTint="F2"/>
                <w:spacing w:val="-2"/>
              </w:rPr>
              <w:t>nci loňského roku jejich četnost (dle evidence ÚP</w:t>
            </w:r>
            <w:r w:rsidRPr="008529B6">
              <w:rPr>
                <w:rFonts w:cs="Arial"/>
                <w:color w:val="0D0D0D" w:themeColor="text1" w:themeTint="F2"/>
                <w:spacing w:val="-2"/>
              </w:rPr>
              <w:t xml:space="preserve">) </w:t>
            </w:r>
            <w:r>
              <w:rPr>
                <w:rFonts w:cs="Arial"/>
                <w:color w:val="0D0D0D" w:themeColor="text1" w:themeTint="F2"/>
                <w:spacing w:val="-2"/>
              </w:rPr>
              <w:t>dosáhla rekordních 324,</w:t>
            </w:r>
            <w:r w:rsidR="00D82A1E">
              <w:rPr>
                <w:rFonts w:cs="Arial"/>
                <w:color w:val="0D0D0D" w:themeColor="text1" w:themeTint="F2"/>
                <w:spacing w:val="-2"/>
              </w:rPr>
              <w:t>4 </w:t>
            </w:r>
            <w:r>
              <w:rPr>
                <w:rFonts w:cs="Arial"/>
                <w:color w:val="0D0D0D" w:themeColor="text1" w:themeTint="F2"/>
                <w:spacing w:val="-2"/>
              </w:rPr>
              <w:t xml:space="preserve">tis. Bezprecedentní bylo </w:t>
            </w:r>
            <w:r w:rsidR="00BC7833">
              <w:rPr>
                <w:rFonts w:cs="Arial"/>
                <w:color w:val="0D0D0D" w:themeColor="text1" w:themeTint="F2"/>
                <w:spacing w:val="-2"/>
              </w:rPr>
              <w:t>i </w:t>
            </w:r>
            <w:r>
              <w:rPr>
                <w:rFonts w:cs="Arial"/>
                <w:color w:val="0D0D0D" w:themeColor="text1" w:themeTint="F2"/>
                <w:spacing w:val="-2"/>
              </w:rPr>
              <w:t>jejich meziroční navýšení (+107,</w:t>
            </w:r>
            <w:r w:rsidR="00D82A1E">
              <w:rPr>
                <w:rFonts w:cs="Arial"/>
                <w:color w:val="0D0D0D" w:themeColor="text1" w:themeTint="F2"/>
                <w:spacing w:val="-2"/>
              </w:rPr>
              <w:t>8 </w:t>
            </w:r>
            <w:r>
              <w:rPr>
                <w:rFonts w:cs="Arial"/>
                <w:color w:val="0D0D0D" w:themeColor="text1" w:themeTint="F2"/>
                <w:spacing w:val="-2"/>
              </w:rPr>
              <w:t xml:space="preserve">tis.), které odráželo především vysokou dynamiku v první polovině roku. V jeho zbývající části růstové tempo citelně polevilo (za posledních pět měsíců roku se nabídka pracovních pozic rozšířila „jen“ </w:t>
            </w:r>
            <w:r w:rsidR="00BC7833">
              <w:rPr>
                <w:rFonts w:cs="Arial"/>
                <w:color w:val="0D0D0D" w:themeColor="text1" w:themeTint="F2"/>
                <w:spacing w:val="-2"/>
              </w:rPr>
              <w:t>o </w:t>
            </w:r>
            <w:r>
              <w:rPr>
                <w:rFonts w:cs="Arial"/>
                <w:color w:val="0D0D0D" w:themeColor="text1" w:themeTint="F2"/>
                <w:spacing w:val="-2"/>
              </w:rPr>
              <w:t>14,</w:t>
            </w:r>
            <w:r w:rsidR="00D82A1E">
              <w:rPr>
                <w:rFonts w:cs="Arial"/>
                <w:color w:val="0D0D0D" w:themeColor="text1" w:themeTint="F2"/>
                <w:spacing w:val="-2"/>
              </w:rPr>
              <w:t>4 </w:t>
            </w:r>
            <w:r>
              <w:rPr>
                <w:rFonts w:cs="Arial"/>
                <w:color w:val="0D0D0D" w:themeColor="text1" w:themeTint="F2"/>
                <w:spacing w:val="-2"/>
              </w:rPr>
              <w:t>tis.). Vliv svižného hospodářského růstu již několik čtvrtletí v řadě zastiňuje přirozené sezónní efekty. Poslední meziměsíční pokles počtu nezaměstnaných se tak datuje k prosinci 2016.</w:t>
            </w:r>
          </w:p>
        </w:tc>
      </w:tr>
      <w:tr w:rsidR="006169F2" w:rsidRPr="0040263F" w14:paraId="691D5FA3" w14:textId="77777777" w:rsidTr="006169F2">
        <w:trPr>
          <w:trHeight w:val="145"/>
        </w:trPr>
        <w:tc>
          <w:tcPr>
            <w:tcW w:w="1814" w:type="dxa"/>
          </w:tcPr>
          <w:p w14:paraId="2B5D231E" w14:textId="77777777" w:rsidR="006169F2" w:rsidRPr="008529B6" w:rsidRDefault="006169F2" w:rsidP="00A500A7">
            <w:pPr>
              <w:pStyle w:val="Marginlie"/>
              <w:rPr>
                <w:color w:val="0D0D0D" w:themeColor="text1" w:themeTint="F2"/>
              </w:rPr>
            </w:pPr>
            <w:r>
              <w:rPr>
                <w:color w:val="0D0D0D" w:themeColor="text1" w:themeTint="F2"/>
              </w:rPr>
              <w:t>Růst nabídky volných míst byl stále více nevyvážený. Akcelerovaly počty pozic</w:t>
            </w:r>
            <w:r w:rsidRPr="008529B6">
              <w:rPr>
                <w:color w:val="0D0D0D" w:themeColor="text1" w:themeTint="F2"/>
              </w:rPr>
              <w:t xml:space="preserve"> </w:t>
            </w:r>
            <w:r>
              <w:rPr>
                <w:color w:val="0D0D0D" w:themeColor="text1" w:themeTint="F2"/>
              </w:rPr>
              <w:t xml:space="preserve">s nízkými nároky na kvalifikaci. Z významné části šlo patrně </w:t>
            </w:r>
            <w:r w:rsidR="00BC7833">
              <w:rPr>
                <w:color w:val="0D0D0D" w:themeColor="text1" w:themeTint="F2"/>
              </w:rPr>
              <w:t>o </w:t>
            </w:r>
            <w:r>
              <w:rPr>
                <w:color w:val="0D0D0D" w:themeColor="text1" w:themeTint="F2"/>
              </w:rPr>
              <w:t xml:space="preserve">pozice cílené na pracovníky </w:t>
            </w:r>
            <w:r w:rsidR="00BC7833">
              <w:rPr>
                <w:color w:val="0D0D0D" w:themeColor="text1" w:themeTint="F2"/>
              </w:rPr>
              <w:t>z </w:t>
            </w:r>
            <w:r>
              <w:rPr>
                <w:color w:val="0D0D0D" w:themeColor="text1" w:themeTint="F2"/>
              </w:rPr>
              <w:t>„třetích zemí“.</w:t>
            </w:r>
          </w:p>
          <w:p w14:paraId="2F18F12B" w14:textId="77777777" w:rsidR="006169F2" w:rsidRDefault="006169F2" w:rsidP="00A500A7">
            <w:pPr>
              <w:pStyle w:val="Marginlie"/>
            </w:pPr>
          </w:p>
        </w:tc>
        <w:tc>
          <w:tcPr>
            <w:tcW w:w="221" w:type="dxa"/>
          </w:tcPr>
          <w:p w14:paraId="6AE8CC18" w14:textId="77777777" w:rsidR="006169F2" w:rsidRPr="005E4483" w:rsidRDefault="006169F2" w:rsidP="00A500A7">
            <w:pPr>
              <w:pStyle w:val="Textpoznpodarou"/>
              <w:jc w:val="both"/>
              <w:rPr>
                <w:spacing w:val="-4"/>
              </w:rPr>
            </w:pPr>
          </w:p>
        </w:tc>
        <w:tc>
          <w:tcPr>
            <w:tcW w:w="7609" w:type="dxa"/>
          </w:tcPr>
          <w:p w14:paraId="7FEAADE0" w14:textId="0B51B54C" w:rsidR="006169F2" w:rsidRPr="006169F2" w:rsidRDefault="006169F2" w:rsidP="00A500A7">
            <w:pPr>
              <w:spacing w:after="200"/>
              <w:rPr>
                <w:spacing w:val="-3"/>
              </w:rPr>
            </w:pPr>
            <w:r w:rsidRPr="006169F2">
              <w:rPr>
                <w:rFonts w:cs="Arial"/>
                <w:color w:val="0D0D0D" w:themeColor="text1" w:themeTint="F2"/>
                <w:spacing w:val="-3"/>
              </w:rPr>
              <w:t>Ze strukturálního hlediska byl ale nedávný silný růst nabídky pracovních míst značně nerovnoměrný (</w:t>
            </w:r>
            <w:r w:rsidR="00BC7833" w:rsidRPr="006169F2">
              <w:rPr>
                <w:rFonts w:cs="Arial"/>
                <w:color w:val="0D0D0D" w:themeColor="text1" w:themeTint="F2"/>
                <w:spacing w:val="-3"/>
              </w:rPr>
              <w:t>z</w:t>
            </w:r>
            <w:r w:rsidR="00BC7833">
              <w:rPr>
                <w:rFonts w:cs="Arial"/>
                <w:color w:val="0D0D0D" w:themeColor="text1" w:themeTint="F2"/>
                <w:spacing w:val="-3"/>
              </w:rPr>
              <w:t> </w:t>
            </w:r>
            <w:r w:rsidRPr="006169F2">
              <w:rPr>
                <w:rFonts w:cs="Arial"/>
                <w:color w:val="0D0D0D" w:themeColor="text1" w:themeTint="F2"/>
                <w:spacing w:val="-3"/>
              </w:rPr>
              <w:t xml:space="preserve">pohledu kvalifikačních </w:t>
            </w:r>
            <w:r w:rsidR="00BC7833" w:rsidRPr="006169F2">
              <w:rPr>
                <w:rFonts w:cs="Arial"/>
                <w:color w:val="0D0D0D" w:themeColor="text1" w:themeTint="F2"/>
                <w:spacing w:val="-3"/>
              </w:rPr>
              <w:t>a</w:t>
            </w:r>
            <w:r w:rsidR="00BC7833">
              <w:rPr>
                <w:rFonts w:cs="Arial"/>
                <w:color w:val="0D0D0D" w:themeColor="text1" w:themeTint="F2"/>
                <w:spacing w:val="-3"/>
              </w:rPr>
              <w:t> </w:t>
            </w:r>
            <w:r w:rsidRPr="006169F2">
              <w:rPr>
                <w:rFonts w:cs="Arial"/>
                <w:color w:val="0D0D0D" w:themeColor="text1" w:themeTint="F2"/>
                <w:spacing w:val="-3"/>
              </w:rPr>
              <w:t>vzdělanostních nároků, popř.</w:t>
            </w:r>
            <w:r w:rsidR="00603030">
              <w:rPr>
                <w:rFonts w:cs="Arial"/>
                <w:color w:val="0D0D0D" w:themeColor="text1" w:themeTint="F2"/>
                <w:spacing w:val="-3"/>
              </w:rPr>
              <w:t> </w:t>
            </w:r>
            <w:r w:rsidRPr="006169F2">
              <w:rPr>
                <w:rFonts w:cs="Arial"/>
                <w:color w:val="0D0D0D" w:themeColor="text1" w:themeTint="F2"/>
                <w:spacing w:val="-3"/>
              </w:rPr>
              <w:t>odvětvového či regionálního členění). Tato nevyváženost se navíc v čase značně prohlubovala. Zatímco míst s vyššími kvalifikačními nároky (alespoň maturitní vzdělání či v prvních třech kvalifikačních třídách</w:t>
            </w:r>
            <w:r w:rsidR="0037734D">
              <w:rPr>
                <w:rFonts w:cs="Arial"/>
                <w:color w:val="0D0D0D" w:themeColor="text1" w:themeTint="F2"/>
                <w:spacing w:val="-3"/>
              </w:rPr>
              <w:t xml:space="preserve"> – </w:t>
            </w:r>
            <w:r w:rsidRPr="006169F2">
              <w:rPr>
                <w:rFonts w:cs="Arial"/>
                <w:color w:val="0D0D0D" w:themeColor="text1" w:themeTint="F2"/>
                <w:spacing w:val="-3"/>
              </w:rPr>
              <w:t xml:space="preserve">vedoucí </w:t>
            </w:r>
            <w:r w:rsidR="00BC7833" w:rsidRPr="006169F2">
              <w:rPr>
                <w:rFonts w:cs="Arial"/>
                <w:color w:val="0D0D0D" w:themeColor="text1" w:themeTint="F2"/>
                <w:spacing w:val="-3"/>
              </w:rPr>
              <w:t>a</w:t>
            </w:r>
            <w:r w:rsidR="00BC7833">
              <w:rPr>
                <w:rFonts w:cs="Arial"/>
                <w:color w:val="0D0D0D" w:themeColor="text1" w:themeTint="F2"/>
                <w:spacing w:val="-3"/>
              </w:rPr>
              <w:t> </w:t>
            </w:r>
            <w:r w:rsidRPr="006169F2">
              <w:rPr>
                <w:rFonts w:cs="Arial"/>
                <w:color w:val="0D0D0D" w:themeColor="text1" w:themeTint="F2"/>
                <w:spacing w:val="-3"/>
              </w:rPr>
              <w:t>řídící pracovníci, specialisté, techničtí a odborní pracovníci) přibývalo jen poskro</w:t>
            </w:r>
            <w:r w:rsidR="00603030">
              <w:rPr>
                <w:rFonts w:cs="Arial"/>
                <w:color w:val="0D0D0D" w:themeColor="text1" w:themeTint="F2"/>
                <w:spacing w:val="-3"/>
              </w:rPr>
              <w:t>v</w:t>
            </w:r>
            <w:r w:rsidRPr="006169F2">
              <w:rPr>
                <w:rFonts w:cs="Arial"/>
                <w:color w:val="0D0D0D" w:themeColor="text1" w:themeTint="F2"/>
                <w:spacing w:val="-3"/>
              </w:rPr>
              <w:t xml:space="preserve">nu </w:t>
            </w:r>
            <w:r w:rsidR="00BC7833" w:rsidRPr="006169F2">
              <w:rPr>
                <w:rFonts w:cs="Arial"/>
                <w:color w:val="0D0D0D" w:themeColor="text1" w:themeTint="F2"/>
                <w:spacing w:val="-3"/>
              </w:rPr>
              <w:t>a</w:t>
            </w:r>
            <w:r w:rsidR="00BC7833">
              <w:rPr>
                <w:rFonts w:cs="Arial"/>
                <w:color w:val="0D0D0D" w:themeColor="text1" w:themeTint="F2"/>
                <w:spacing w:val="-3"/>
              </w:rPr>
              <w:t> </w:t>
            </w:r>
            <w:r w:rsidRPr="006169F2">
              <w:rPr>
                <w:rFonts w:cs="Arial"/>
                <w:color w:val="0D0D0D" w:themeColor="text1" w:themeTint="F2"/>
                <w:spacing w:val="-3"/>
              </w:rPr>
              <w:t xml:space="preserve">tempo jejich meziročního růstu v období 2016 až 2018 zůstávalo stabilní, </w:t>
            </w:r>
            <w:r w:rsidR="00BC7833" w:rsidRPr="006169F2">
              <w:rPr>
                <w:rFonts w:cs="Arial"/>
                <w:color w:val="0D0D0D" w:themeColor="text1" w:themeTint="F2"/>
                <w:spacing w:val="-3"/>
              </w:rPr>
              <w:t>u</w:t>
            </w:r>
            <w:r w:rsidR="00BC7833">
              <w:rPr>
                <w:rFonts w:cs="Arial"/>
                <w:color w:val="0D0D0D" w:themeColor="text1" w:themeTint="F2"/>
                <w:spacing w:val="-3"/>
              </w:rPr>
              <w:t> </w:t>
            </w:r>
            <w:r w:rsidRPr="006169F2">
              <w:rPr>
                <w:rFonts w:cs="Arial"/>
                <w:color w:val="0D0D0D" w:themeColor="text1" w:themeTint="F2"/>
                <w:spacing w:val="-3"/>
              </w:rPr>
              <w:t xml:space="preserve">nízkokvalifikovaných pozic tomu bylo naopak. Z celkového loňského přírůstku pracovních míst jich </w:t>
            </w:r>
            <w:r w:rsidR="00603030">
              <w:rPr>
                <w:rFonts w:cs="Arial"/>
                <w:color w:val="0D0D0D" w:themeColor="text1" w:themeTint="F2"/>
                <w:spacing w:val="-3"/>
              </w:rPr>
              <w:t>plných</w:t>
            </w:r>
            <w:r w:rsidR="00603030" w:rsidRPr="006169F2">
              <w:rPr>
                <w:rFonts w:cs="Arial"/>
                <w:color w:val="0D0D0D" w:themeColor="text1" w:themeTint="F2"/>
                <w:spacing w:val="-3"/>
              </w:rPr>
              <w:t xml:space="preserve"> </w:t>
            </w:r>
            <w:r w:rsidRPr="006169F2">
              <w:rPr>
                <w:rFonts w:cs="Arial"/>
                <w:color w:val="0D0D0D" w:themeColor="text1" w:themeTint="F2"/>
                <w:spacing w:val="-3"/>
              </w:rPr>
              <w:t>87</w:t>
            </w:r>
            <w:r w:rsidR="006454CC">
              <w:rPr>
                <w:rFonts w:cs="Arial"/>
                <w:color w:val="0D0D0D" w:themeColor="text1" w:themeTint="F2"/>
                <w:spacing w:val="-3"/>
              </w:rPr>
              <w:t> %</w:t>
            </w:r>
            <w:r w:rsidRPr="006169F2">
              <w:rPr>
                <w:rFonts w:cs="Arial"/>
                <w:color w:val="0D0D0D" w:themeColor="text1" w:themeTint="F2"/>
                <w:spacing w:val="-3"/>
              </w:rPr>
              <w:t xml:space="preserve"> připadalo na místa s minimálními deklarovanými kvalifikačními nároky (na něž postačovalo základní vzdělání</w:t>
            </w:r>
            <w:r w:rsidR="0037734D">
              <w:rPr>
                <w:rFonts w:cs="Arial"/>
                <w:color w:val="0D0D0D" w:themeColor="text1" w:themeTint="F2"/>
                <w:spacing w:val="-3"/>
              </w:rPr>
              <w:t xml:space="preserve"> – </w:t>
            </w:r>
            <w:r w:rsidRPr="006169F2">
              <w:rPr>
                <w:rFonts w:cs="Arial"/>
                <w:color w:val="0D0D0D" w:themeColor="text1" w:themeTint="F2"/>
                <w:spacing w:val="-3"/>
              </w:rPr>
              <w:t xml:space="preserve">šlo hlavně </w:t>
            </w:r>
            <w:r w:rsidR="00BC7833" w:rsidRPr="006169F2">
              <w:rPr>
                <w:rFonts w:cs="Arial"/>
                <w:color w:val="0D0D0D" w:themeColor="text1" w:themeTint="F2"/>
                <w:spacing w:val="-3"/>
              </w:rPr>
              <w:t>o</w:t>
            </w:r>
            <w:r w:rsidR="00BC7833">
              <w:rPr>
                <w:rFonts w:cs="Arial"/>
                <w:color w:val="0D0D0D" w:themeColor="text1" w:themeTint="F2"/>
                <w:spacing w:val="-3"/>
              </w:rPr>
              <w:t> </w:t>
            </w:r>
            <w:r w:rsidRPr="006169F2">
              <w:rPr>
                <w:rFonts w:cs="Arial"/>
                <w:color w:val="0D0D0D" w:themeColor="text1" w:themeTint="F2"/>
                <w:spacing w:val="-3"/>
              </w:rPr>
              <w:t xml:space="preserve">pozice ve zpracovatelském průmyslu </w:t>
            </w:r>
            <w:r w:rsidR="00BC7833" w:rsidRPr="006169F2">
              <w:rPr>
                <w:rFonts w:cs="Arial"/>
                <w:color w:val="0D0D0D" w:themeColor="text1" w:themeTint="F2"/>
                <w:spacing w:val="-3"/>
              </w:rPr>
              <w:t>a</w:t>
            </w:r>
            <w:r w:rsidR="00BC7833">
              <w:rPr>
                <w:rFonts w:cs="Arial"/>
                <w:color w:val="0D0D0D" w:themeColor="text1" w:themeTint="F2"/>
                <w:spacing w:val="-3"/>
              </w:rPr>
              <w:t> </w:t>
            </w:r>
            <w:r w:rsidRPr="006169F2">
              <w:rPr>
                <w:rFonts w:cs="Arial"/>
                <w:color w:val="0D0D0D" w:themeColor="text1" w:themeTint="F2"/>
                <w:spacing w:val="-3"/>
              </w:rPr>
              <w:t>stavebnictví). V roce 2016 to bylo „jen“ 67</w:t>
            </w:r>
            <w:r w:rsidR="006454CC">
              <w:rPr>
                <w:rFonts w:cs="Arial"/>
                <w:color w:val="0D0D0D" w:themeColor="text1" w:themeTint="F2"/>
                <w:spacing w:val="-3"/>
              </w:rPr>
              <w:t> %</w:t>
            </w:r>
            <w:r w:rsidRPr="006169F2">
              <w:rPr>
                <w:rFonts w:cs="Arial"/>
                <w:color w:val="0D0D0D" w:themeColor="text1" w:themeTint="F2"/>
                <w:spacing w:val="-3"/>
              </w:rPr>
              <w:t xml:space="preserve">. Není bez zajímavosti, že přestože zaměstnavatelé </w:t>
            </w:r>
            <w:r w:rsidR="00603030">
              <w:rPr>
                <w:rFonts w:cs="Arial"/>
                <w:color w:val="0D0D0D" w:themeColor="text1" w:themeTint="F2"/>
                <w:spacing w:val="-3"/>
              </w:rPr>
              <w:t>počítají</w:t>
            </w:r>
            <w:r w:rsidRPr="006169F2">
              <w:rPr>
                <w:rFonts w:cs="Arial"/>
                <w:color w:val="0D0D0D" w:themeColor="text1" w:themeTint="F2"/>
                <w:spacing w:val="-3"/>
              </w:rPr>
              <w:t xml:space="preserve"> u těchto míst pouze se základním vzděláním uchazečů, jsou zároveň často řazen</w:t>
            </w:r>
            <w:r w:rsidR="00603030">
              <w:rPr>
                <w:rFonts w:cs="Arial"/>
                <w:color w:val="0D0D0D" w:themeColor="text1" w:themeTint="F2"/>
                <w:spacing w:val="-3"/>
              </w:rPr>
              <w:t>a</w:t>
            </w:r>
            <w:r w:rsidRPr="006169F2">
              <w:rPr>
                <w:rFonts w:cs="Arial"/>
                <w:color w:val="0D0D0D" w:themeColor="text1" w:themeTint="F2"/>
                <w:spacing w:val="-3"/>
              </w:rPr>
              <w:t xml:space="preserve"> do kategorie obsluha strojů </w:t>
            </w:r>
            <w:r w:rsidR="00BC7833" w:rsidRPr="006169F2">
              <w:rPr>
                <w:rFonts w:cs="Arial"/>
                <w:color w:val="0D0D0D" w:themeColor="text1" w:themeTint="F2"/>
                <w:spacing w:val="-3"/>
              </w:rPr>
              <w:t>a</w:t>
            </w:r>
            <w:r w:rsidR="00BC7833">
              <w:rPr>
                <w:rFonts w:cs="Arial"/>
                <w:color w:val="0D0D0D" w:themeColor="text1" w:themeTint="F2"/>
                <w:spacing w:val="-3"/>
              </w:rPr>
              <w:t> </w:t>
            </w:r>
            <w:r w:rsidRPr="006169F2">
              <w:rPr>
                <w:rFonts w:cs="Arial"/>
                <w:color w:val="0D0D0D" w:themeColor="text1" w:themeTint="F2"/>
                <w:spacing w:val="-3"/>
              </w:rPr>
              <w:t>zařízení</w:t>
            </w:r>
            <w:r w:rsidR="0037734D">
              <w:rPr>
                <w:rFonts w:cs="Arial"/>
                <w:color w:val="0D0D0D" w:themeColor="text1" w:themeTint="F2"/>
                <w:spacing w:val="-3"/>
              </w:rPr>
              <w:t xml:space="preserve"> – </w:t>
            </w:r>
            <w:r w:rsidRPr="006169F2">
              <w:rPr>
                <w:rFonts w:cs="Arial"/>
                <w:color w:val="0D0D0D" w:themeColor="text1" w:themeTint="F2"/>
                <w:spacing w:val="-3"/>
              </w:rPr>
              <w:t xml:space="preserve">tedy kvalifikační třídy, </w:t>
            </w:r>
            <w:r w:rsidR="00BC7833" w:rsidRPr="006169F2">
              <w:rPr>
                <w:rFonts w:cs="Arial"/>
                <w:color w:val="0D0D0D" w:themeColor="text1" w:themeTint="F2"/>
                <w:spacing w:val="-3"/>
              </w:rPr>
              <w:t>v</w:t>
            </w:r>
            <w:r w:rsidR="00BC7833">
              <w:rPr>
                <w:rFonts w:cs="Arial"/>
                <w:color w:val="0D0D0D" w:themeColor="text1" w:themeTint="F2"/>
                <w:spacing w:val="-3"/>
              </w:rPr>
              <w:t> </w:t>
            </w:r>
            <w:r w:rsidRPr="006169F2">
              <w:rPr>
                <w:rFonts w:cs="Arial"/>
                <w:color w:val="0D0D0D" w:themeColor="text1" w:themeTint="F2"/>
                <w:spacing w:val="-3"/>
              </w:rPr>
              <w:t>níž většina současných pracovníků dosahuje učňovského vzdělání, někteří pak dokonce i maturitního</w:t>
            </w:r>
            <w:r w:rsidRPr="006169F2">
              <w:rPr>
                <w:rStyle w:val="Znakapoznpodarou"/>
                <w:rFonts w:cs="Arial"/>
                <w:color w:val="0D0D0D" w:themeColor="text1" w:themeTint="F2"/>
                <w:spacing w:val="-3"/>
              </w:rPr>
              <w:footnoteReference w:id="7"/>
            </w:r>
            <w:r w:rsidRPr="006169F2">
              <w:rPr>
                <w:rFonts w:cs="Arial"/>
                <w:color w:val="0D0D0D" w:themeColor="text1" w:themeTint="F2"/>
                <w:spacing w:val="-3"/>
              </w:rPr>
              <w:t>. Velká část těchto volných míst byla v ČR orientov</w:t>
            </w:r>
            <w:r w:rsidR="00603030">
              <w:rPr>
                <w:rFonts w:cs="Arial"/>
                <w:color w:val="0D0D0D" w:themeColor="text1" w:themeTint="F2"/>
                <w:spacing w:val="-3"/>
              </w:rPr>
              <w:t>ána</w:t>
            </w:r>
            <w:r w:rsidRPr="006169F2">
              <w:rPr>
                <w:rFonts w:cs="Arial"/>
                <w:color w:val="0D0D0D" w:themeColor="text1" w:themeTint="F2"/>
                <w:spacing w:val="-3"/>
              </w:rPr>
              <w:t xml:space="preserve"> na relativně levnější zahraniční pracovní sílu, především ze zemí mimo</w:t>
            </w:r>
            <w:r w:rsidR="00603030">
              <w:rPr>
                <w:rFonts w:cs="Arial"/>
                <w:color w:val="0D0D0D" w:themeColor="text1" w:themeTint="F2"/>
                <w:spacing w:val="-3"/>
              </w:rPr>
              <w:t> </w:t>
            </w:r>
            <w:r w:rsidRPr="006169F2">
              <w:rPr>
                <w:rFonts w:cs="Arial"/>
                <w:color w:val="0D0D0D" w:themeColor="text1" w:themeTint="F2"/>
                <w:spacing w:val="-3"/>
              </w:rPr>
              <w:t>EU</w:t>
            </w:r>
            <w:r w:rsidRPr="006169F2">
              <w:rPr>
                <w:rStyle w:val="Znakapoznpodarou"/>
                <w:rFonts w:cs="Arial"/>
                <w:color w:val="0D0D0D" w:themeColor="text1" w:themeTint="F2"/>
                <w:spacing w:val="-3"/>
              </w:rPr>
              <w:footnoteReference w:id="8"/>
            </w:r>
            <w:r w:rsidRPr="006169F2">
              <w:rPr>
                <w:rFonts w:cs="Arial"/>
                <w:color w:val="0D0D0D" w:themeColor="text1" w:themeTint="F2"/>
                <w:spacing w:val="-3"/>
              </w:rPr>
              <w:t>. Navzdory sílícím tokům pracovní migrace do</w:t>
            </w:r>
            <w:r w:rsidR="00603030">
              <w:rPr>
                <w:rFonts w:cs="Arial"/>
                <w:color w:val="0D0D0D" w:themeColor="text1" w:themeTint="F2"/>
                <w:spacing w:val="-3"/>
              </w:rPr>
              <w:t> </w:t>
            </w:r>
            <w:r w:rsidRPr="006169F2">
              <w:rPr>
                <w:rFonts w:cs="Arial"/>
                <w:color w:val="0D0D0D" w:themeColor="text1" w:themeTint="F2"/>
                <w:spacing w:val="-3"/>
              </w:rPr>
              <w:t>ČR nemohla být tat</w:t>
            </w:r>
            <w:r>
              <w:rPr>
                <w:rFonts w:cs="Arial"/>
                <w:color w:val="0D0D0D" w:themeColor="text1" w:themeTint="F2"/>
                <w:spacing w:val="-3"/>
              </w:rPr>
              <w:t xml:space="preserve">o poptávka zdaleka </w:t>
            </w:r>
            <w:r w:rsidRPr="006169F2">
              <w:rPr>
                <w:rFonts w:cs="Arial"/>
                <w:color w:val="0D0D0D" w:themeColor="text1" w:themeTint="F2"/>
                <w:spacing w:val="-3"/>
              </w:rPr>
              <w:t>uspokojena a nezanedbatelná část volných míst zůstala dlouhodobě neobsazena</w:t>
            </w:r>
            <w:r w:rsidRPr="006169F2">
              <w:rPr>
                <w:rStyle w:val="Znakapoznpodarou"/>
                <w:rFonts w:cs="Arial"/>
                <w:color w:val="0D0D0D" w:themeColor="text1" w:themeTint="F2"/>
                <w:spacing w:val="-3"/>
              </w:rPr>
              <w:footnoteReference w:id="9"/>
            </w:r>
            <w:r w:rsidRPr="006169F2">
              <w:rPr>
                <w:rFonts w:cs="Arial"/>
                <w:color w:val="0D0D0D" w:themeColor="text1" w:themeTint="F2"/>
                <w:spacing w:val="-3"/>
              </w:rPr>
              <w:t>. Strmý růst počtu nabízených nízkokvalifikovaných pracovních míst nebyl v roce 2018 příliš v souladu s opatrnějšími konjunkturálními vyhlídkami podniků v oblasti zaměstnanosti.</w:t>
            </w:r>
          </w:p>
        </w:tc>
      </w:tr>
      <w:tr w:rsidR="00723859" w:rsidRPr="0040263F" w14:paraId="1DBA289B" w14:textId="77777777" w:rsidTr="006169F2">
        <w:trPr>
          <w:trHeight w:val="145"/>
        </w:trPr>
        <w:tc>
          <w:tcPr>
            <w:tcW w:w="1814" w:type="dxa"/>
          </w:tcPr>
          <w:p w14:paraId="3F5B5E5E" w14:textId="57D8A99A" w:rsidR="00723859" w:rsidRDefault="00723859" w:rsidP="00723859">
            <w:pPr>
              <w:pStyle w:val="Marginlie"/>
              <w:rPr>
                <w:color w:val="0D0D0D" w:themeColor="text1" w:themeTint="F2"/>
              </w:rPr>
            </w:pPr>
            <w:r>
              <w:t>Počet volných míst poprvé od roku 1991 převýšil četnost uchazečů o práci. Šance na pracovní uplatnění se zvýšily plošně, tj. napříč kvalifikačními i vzdělanostními třídami.</w:t>
            </w:r>
          </w:p>
        </w:tc>
        <w:tc>
          <w:tcPr>
            <w:tcW w:w="221" w:type="dxa"/>
          </w:tcPr>
          <w:p w14:paraId="2F4022F4" w14:textId="77777777" w:rsidR="00723859" w:rsidRPr="005E4483" w:rsidRDefault="00723859" w:rsidP="00723859">
            <w:pPr>
              <w:pStyle w:val="Textpoznpodarou"/>
              <w:jc w:val="both"/>
              <w:rPr>
                <w:spacing w:val="-4"/>
              </w:rPr>
            </w:pPr>
          </w:p>
        </w:tc>
        <w:tc>
          <w:tcPr>
            <w:tcW w:w="7609" w:type="dxa"/>
          </w:tcPr>
          <w:p w14:paraId="4A89A635" w14:textId="2DEF56FB" w:rsidR="00723859" w:rsidRPr="006169F2" w:rsidRDefault="00723859" w:rsidP="00723859">
            <w:pPr>
              <w:spacing w:after="200"/>
              <w:rPr>
                <w:rFonts w:cs="Arial"/>
                <w:color w:val="0D0D0D" w:themeColor="text1" w:themeTint="F2"/>
                <w:spacing w:val="-3"/>
              </w:rPr>
            </w:pPr>
            <w:r>
              <w:rPr>
                <w:spacing w:val="-2"/>
              </w:rPr>
              <w:t>Šance nezaměstnaných na jejich pracovní začlenění se nadále podstatně zvyšovala. Během dubna 2018 převýšil počet volných míst četnost registrovaných uchazečů o</w:t>
            </w:r>
            <w:r w:rsidRPr="008529B6">
              <w:rPr>
                <w:rFonts w:cs="Arial"/>
                <w:color w:val="0D0D0D" w:themeColor="text1" w:themeTint="F2"/>
                <w:spacing w:val="-4"/>
              </w:rPr>
              <w:t> </w:t>
            </w:r>
            <w:r>
              <w:rPr>
                <w:spacing w:val="-2"/>
              </w:rPr>
              <w:t>zaměstnání. Stalo se tak poprvé v historii měsíčního sledování (od počátku roku 1991). Na sklonku loňského roku připadalo na</w:t>
            </w:r>
            <w:r w:rsidRPr="008529B6">
              <w:rPr>
                <w:rFonts w:cs="Arial"/>
                <w:color w:val="0D0D0D" w:themeColor="text1" w:themeTint="F2"/>
                <w:spacing w:val="-4"/>
              </w:rPr>
              <w:t xml:space="preserve"> jedno volné místo</w:t>
            </w:r>
            <w:r>
              <w:rPr>
                <w:rFonts w:cs="Arial"/>
                <w:color w:val="0D0D0D" w:themeColor="text1" w:themeTint="F2"/>
                <w:spacing w:val="-4"/>
              </w:rPr>
              <w:t xml:space="preserve"> již pouze 0,7 uchazeče (o</w:t>
            </w:r>
            <w:r>
              <w:rPr>
                <w:spacing w:val="-2"/>
              </w:rPr>
              <w:t> </w:t>
            </w:r>
            <w:r>
              <w:rPr>
                <w:rFonts w:cs="Arial"/>
                <w:color w:val="0D0D0D" w:themeColor="text1" w:themeTint="F2"/>
                <w:spacing w:val="-4"/>
              </w:rPr>
              <w:t>polovinu méně než v prosinci 2017).</w:t>
            </w:r>
            <w:r w:rsidRPr="00EA592E">
              <w:rPr>
                <w:rFonts w:cs="Arial"/>
                <w:color w:val="0D0D0D" w:themeColor="text1" w:themeTint="F2"/>
                <w:spacing w:val="-4"/>
              </w:rPr>
              <w:t xml:space="preserve"> </w:t>
            </w:r>
            <w:r>
              <w:rPr>
                <w:rFonts w:cs="Arial"/>
                <w:color w:val="0D0D0D" w:themeColor="text1" w:themeTint="F2"/>
                <w:spacing w:val="-4"/>
              </w:rPr>
              <w:t>Vyhlídky</w:t>
            </w:r>
            <w:r w:rsidRPr="00EA592E">
              <w:rPr>
                <w:rFonts w:cs="Arial"/>
                <w:color w:val="0D0D0D" w:themeColor="text1" w:themeTint="F2"/>
                <w:spacing w:val="-4"/>
              </w:rPr>
              <w:t xml:space="preserve"> nezaměstnaných na uplatnění</w:t>
            </w:r>
            <w:r>
              <w:rPr>
                <w:rFonts w:cs="Arial"/>
                <w:color w:val="0D0D0D" w:themeColor="text1" w:themeTint="F2"/>
                <w:spacing w:val="-4"/>
              </w:rPr>
              <w:t xml:space="preserve"> se meziročně zlepšily ve všech vzdělanostních i kvalifikačních skupinách. Mírný převis počtu uchazečů nad volnými místy ale stále přetrvával ve váhově nejpočetnější vzdělanostní skupině – střední odborné vzdělání s výučním listem (1,6). Ještě o něco složitější situaci museli čelit uchazeči s úplným středním odborným vzděláním (2,8). Naopak uchazeči s maximálně základním vzděláním by mohli loni v ČR nalézt práci všichni (při předpokladu jejich dokonalé prostorové mobility). Výraznější disproporce mezi skladbou volných pozic a</w:t>
            </w:r>
            <w:r>
              <w:rPr>
                <w:spacing w:val="-2"/>
              </w:rPr>
              <w:t> </w:t>
            </w:r>
            <w:r>
              <w:rPr>
                <w:rFonts w:cs="Arial"/>
                <w:color w:val="0D0D0D" w:themeColor="text1" w:themeTint="F2"/>
                <w:spacing w:val="-4"/>
              </w:rPr>
              <w:t>uchazeči lze nalézt u kvalifikačních tříd. To je patrné ze srovnání dvou početně nejvýznamnějších kategorií – obsluhy strojů a zařízení (0,2) a pracovníků ve službách a</w:t>
            </w:r>
            <w:r>
              <w:rPr>
                <w:spacing w:val="-2"/>
              </w:rPr>
              <w:t> </w:t>
            </w:r>
            <w:r>
              <w:rPr>
                <w:rFonts w:cs="Arial"/>
                <w:color w:val="0D0D0D" w:themeColor="text1" w:themeTint="F2"/>
                <w:spacing w:val="-4"/>
              </w:rPr>
              <w:t xml:space="preserve">prodeji (1,5). Mezi třídami se střední a vyšší kvalifikací se objevil převis volných míst nad uchazeči jen u specialistů (0,7). Uchazeči s vyšší kvalifikací obvykle ale nespoléhají jen na </w:t>
            </w:r>
            <w:r>
              <w:rPr>
                <w:rFonts w:cs="Arial"/>
                <w:color w:val="0D0D0D" w:themeColor="text1" w:themeTint="F2"/>
                <w:spacing w:val="-4"/>
              </w:rPr>
              <w:lastRenderedPageBreak/>
              <w:t>možnosti úřadu práce a mnohem častěji podnikají aktivní kroky k nalezení nového místa sami</w:t>
            </w:r>
            <w:r w:rsidRPr="008529B6">
              <w:rPr>
                <w:rStyle w:val="Znakapoznpodarou"/>
                <w:color w:val="0D0D0D" w:themeColor="text1" w:themeTint="F2"/>
                <w:spacing w:val="-2"/>
              </w:rPr>
              <w:footnoteReference w:id="10"/>
            </w:r>
            <w:r>
              <w:rPr>
                <w:rFonts w:cs="Arial"/>
                <w:color w:val="0D0D0D" w:themeColor="text1" w:themeTint="F2"/>
                <w:spacing w:val="-4"/>
              </w:rPr>
              <w:t>.</w:t>
            </w:r>
          </w:p>
        </w:tc>
      </w:tr>
      <w:tr w:rsidR="00723859" w:rsidRPr="00DD7E93" w14:paraId="08C2FF0D" w14:textId="77777777" w:rsidTr="006169F2">
        <w:trPr>
          <w:trHeight w:val="170"/>
        </w:trPr>
        <w:tc>
          <w:tcPr>
            <w:tcW w:w="1814" w:type="dxa"/>
            <w:vMerge w:val="restart"/>
          </w:tcPr>
          <w:p w14:paraId="26EAD465" w14:textId="77777777" w:rsidR="00723859" w:rsidRPr="00106639" w:rsidRDefault="00723859" w:rsidP="00723859">
            <w:pPr>
              <w:pStyle w:val="Marginlie"/>
              <w:spacing w:after="200"/>
            </w:pPr>
          </w:p>
        </w:tc>
        <w:tc>
          <w:tcPr>
            <w:tcW w:w="221" w:type="dxa"/>
            <w:vMerge w:val="restart"/>
          </w:tcPr>
          <w:p w14:paraId="19E2FAEA" w14:textId="77777777" w:rsidR="00723859" w:rsidRPr="005E4483" w:rsidRDefault="00723859" w:rsidP="00723859">
            <w:pPr>
              <w:pStyle w:val="Textpoznpodarou"/>
              <w:jc w:val="both"/>
              <w:rPr>
                <w:spacing w:val="-4"/>
              </w:rPr>
            </w:pPr>
          </w:p>
          <w:p w14:paraId="33C09CC7" w14:textId="77777777" w:rsidR="00723859" w:rsidRPr="005E4483" w:rsidRDefault="00723859" w:rsidP="00723859">
            <w:pPr>
              <w:pStyle w:val="Textpoznpodarou"/>
              <w:jc w:val="both"/>
              <w:rPr>
                <w:spacing w:val="-4"/>
              </w:rPr>
            </w:pPr>
          </w:p>
        </w:tc>
        <w:tc>
          <w:tcPr>
            <w:tcW w:w="7609" w:type="dxa"/>
          </w:tcPr>
          <w:p w14:paraId="7F4B59DA" w14:textId="2C0C3FAC" w:rsidR="00723859" w:rsidRPr="00DD7E93" w:rsidRDefault="00723859" w:rsidP="00723859">
            <w:pPr>
              <w:spacing w:after="0"/>
              <w:jc w:val="left"/>
              <w:rPr>
                <w:b/>
                <w:spacing w:val="-4"/>
                <w:szCs w:val="20"/>
              </w:rPr>
            </w:pPr>
            <w:r w:rsidRPr="00065A5A">
              <w:rPr>
                <w:b/>
              </w:rPr>
              <w:t>G</w:t>
            </w:r>
            <w:r>
              <w:rPr>
                <w:b/>
              </w:rPr>
              <w:t>raf č. 20</w:t>
            </w:r>
            <w:r w:rsidRPr="00065A5A">
              <w:rPr>
                <w:b/>
              </w:rPr>
              <w:t xml:space="preserve">  Růst počtu volných pracovních míst </w:t>
            </w:r>
            <w:r>
              <w:rPr>
                <w:b/>
              </w:rPr>
              <w:t xml:space="preserve">(v evidenci ÚP) </w:t>
            </w:r>
            <w:r w:rsidRPr="00065A5A">
              <w:rPr>
                <w:b/>
              </w:rPr>
              <w:t>dle vzdělání, kvalifikačních tříd a</w:t>
            </w:r>
            <w:r>
              <w:rPr>
                <w:b/>
              </w:rPr>
              <w:t> </w:t>
            </w:r>
            <w:r w:rsidRPr="00065A5A">
              <w:rPr>
                <w:b/>
              </w:rPr>
              <w:t>hlavních odvětví</w:t>
            </w:r>
            <w:r w:rsidRPr="00065A5A">
              <w:t xml:space="preserve"> (meziročně v</w:t>
            </w:r>
            <w:r>
              <w:t> %</w:t>
            </w:r>
            <w:r w:rsidRPr="00065A5A">
              <w:t xml:space="preserve"> ze stavů k 31.</w:t>
            </w:r>
            <w:r>
              <w:t> </w:t>
            </w:r>
            <w:r w:rsidRPr="00065A5A">
              <w:t>12.)</w:t>
            </w:r>
          </w:p>
        </w:tc>
      </w:tr>
      <w:tr w:rsidR="00723859" w14:paraId="186DD789" w14:textId="77777777" w:rsidTr="00212D83">
        <w:tblPrEx>
          <w:tblCellMar>
            <w:left w:w="70" w:type="dxa"/>
            <w:right w:w="70" w:type="dxa"/>
          </w:tblCellMar>
        </w:tblPrEx>
        <w:trPr>
          <w:trHeight w:val="170"/>
        </w:trPr>
        <w:tc>
          <w:tcPr>
            <w:tcW w:w="1814" w:type="dxa"/>
            <w:vMerge/>
          </w:tcPr>
          <w:p w14:paraId="3BBF5D21" w14:textId="77777777" w:rsidR="00723859" w:rsidRPr="00106639" w:rsidRDefault="00723859" w:rsidP="00723859">
            <w:pPr>
              <w:pStyle w:val="Marginlie"/>
            </w:pPr>
          </w:p>
        </w:tc>
        <w:tc>
          <w:tcPr>
            <w:tcW w:w="221" w:type="dxa"/>
            <w:vMerge/>
          </w:tcPr>
          <w:p w14:paraId="376498CD" w14:textId="77777777" w:rsidR="00723859" w:rsidRPr="005E4483" w:rsidRDefault="00723859" w:rsidP="00723859">
            <w:pPr>
              <w:pStyle w:val="Textpoznpodarou"/>
              <w:jc w:val="both"/>
              <w:rPr>
                <w:spacing w:val="-4"/>
              </w:rPr>
            </w:pPr>
          </w:p>
        </w:tc>
        <w:tc>
          <w:tcPr>
            <w:tcW w:w="7609" w:type="dxa"/>
          </w:tcPr>
          <w:p w14:paraId="2946B3D6" w14:textId="45D860E5" w:rsidR="00723859" w:rsidRDefault="00723859" w:rsidP="00723859">
            <w:pPr>
              <w:spacing w:after="0"/>
            </w:pPr>
            <w:r>
              <w:rPr>
                <w:noProof/>
              </w:rPr>
              <w:drawing>
                <wp:inline distT="0" distB="0" distL="0" distR="0" wp14:anchorId="190A07F6" wp14:editId="3AFB26C6">
                  <wp:extent cx="4742815" cy="3295015"/>
                  <wp:effectExtent l="0" t="0" r="635" b="635"/>
                  <wp:docPr id="64" name="Graf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723859" w:rsidRPr="00E05F1F" w14:paraId="16D490C8" w14:textId="77777777" w:rsidTr="006169F2">
        <w:trPr>
          <w:trHeight w:val="170"/>
        </w:trPr>
        <w:tc>
          <w:tcPr>
            <w:tcW w:w="1814" w:type="dxa"/>
            <w:vMerge/>
          </w:tcPr>
          <w:p w14:paraId="48F25E7D" w14:textId="77777777" w:rsidR="00723859" w:rsidRPr="00106639" w:rsidRDefault="00723859" w:rsidP="00723859">
            <w:pPr>
              <w:pStyle w:val="Marginlie"/>
            </w:pPr>
          </w:p>
        </w:tc>
        <w:tc>
          <w:tcPr>
            <w:tcW w:w="221" w:type="dxa"/>
            <w:vMerge/>
          </w:tcPr>
          <w:p w14:paraId="151FB256" w14:textId="77777777" w:rsidR="00723859" w:rsidRPr="005E4483" w:rsidRDefault="00723859" w:rsidP="00723859">
            <w:pPr>
              <w:pStyle w:val="Textpoznpodarou"/>
              <w:jc w:val="both"/>
              <w:rPr>
                <w:spacing w:val="-4"/>
              </w:rPr>
            </w:pPr>
          </w:p>
        </w:tc>
        <w:tc>
          <w:tcPr>
            <w:tcW w:w="7609" w:type="dxa"/>
          </w:tcPr>
          <w:p w14:paraId="7C09474F" w14:textId="4832707A" w:rsidR="00723859" w:rsidRPr="00E05F1F" w:rsidRDefault="00723859" w:rsidP="00723859">
            <w:pPr>
              <w:spacing w:after="0"/>
              <w:rPr>
                <w:spacing w:val="-4"/>
                <w:sz w:val="14"/>
                <w:szCs w:val="14"/>
              </w:rPr>
            </w:pPr>
            <w:r w:rsidRPr="00E05F1F">
              <w:rPr>
                <w:spacing w:val="-4"/>
                <w:sz w:val="14"/>
                <w:szCs w:val="14"/>
              </w:rPr>
              <w:t>*Třídy</w:t>
            </w:r>
            <w:r>
              <w:rPr>
                <w:spacing w:val="-4"/>
                <w:sz w:val="14"/>
                <w:szCs w:val="14"/>
              </w:rPr>
              <w:t> </w:t>
            </w:r>
            <w:r w:rsidRPr="00E05F1F">
              <w:rPr>
                <w:spacing w:val="-4"/>
                <w:sz w:val="14"/>
                <w:szCs w:val="14"/>
              </w:rPr>
              <w:t>1</w:t>
            </w:r>
            <w:r>
              <w:rPr>
                <w:spacing w:val="-4"/>
                <w:sz w:val="14"/>
                <w:szCs w:val="14"/>
              </w:rPr>
              <w:t>–</w:t>
            </w:r>
            <w:r w:rsidRPr="00E05F1F">
              <w:rPr>
                <w:spacing w:val="-4"/>
                <w:sz w:val="14"/>
                <w:szCs w:val="14"/>
              </w:rPr>
              <w:t>3</w:t>
            </w:r>
            <w:r>
              <w:rPr>
                <w:spacing w:val="-4"/>
                <w:sz w:val="14"/>
                <w:szCs w:val="14"/>
              </w:rPr>
              <w:t xml:space="preserve"> </w:t>
            </w:r>
            <w:r w:rsidRPr="00E05F1F">
              <w:rPr>
                <w:spacing w:val="-4"/>
                <w:sz w:val="14"/>
                <w:szCs w:val="14"/>
              </w:rPr>
              <w:t>zahrnují kategorie: Zákonodárci a</w:t>
            </w:r>
            <w:r>
              <w:rPr>
                <w:spacing w:val="-4"/>
                <w:sz w:val="14"/>
                <w:szCs w:val="14"/>
              </w:rPr>
              <w:t> </w:t>
            </w:r>
            <w:r w:rsidRPr="00E05F1F">
              <w:rPr>
                <w:spacing w:val="-4"/>
                <w:sz w:val="14"/>
                <w:szCs w:val="14"/>
              </w:rPr>
              <w:t>řídící pracovníci, Specialisté, Techničtí a</w:t>
            </w:r>
            <w:r>
              <w:rPr>
                <w:spacing w:val="-4"/>
                <w:sz w:val="14"/>
                <w:szCs w:val="14"/>
              </w:rPr>
              <w:t> </w:t>
            </w:r>
            <w:r w:rsidRPr="00E05F1F">
              <w:rPr>
                <w:spacing w:val="-4"/>
                <w:sz w:val="14"/>
                <w:szCs w:val="14"/>
              </w:rPr>
              <w:t>odborní pracovníci.</w:t>
            </w:r>
          </w:p>
          <w:p w14:paraId="0B019923" w14:textId="49127839" w:rsidR="00723859" w:rsidRPr="00E05F1F" w:rsidRDefault="00723859" w:rsidP="00723859">
            <w:pPr>
              <w:spacing w:after="0"/>
              <w:rPr>
                <w:spacing w:val="-4"/>
                <w:sz w:val="14"/>
                <w:szCs w:val="14"/>
              </w:rPr>
            </w:pPr>
            <w:r w:rsidRPr="00E05F1F">
              <w:rPr>
                <w:spacing w:val="-4"/>
                <w:sz w:val="14"/>
                <w:szCs w:val="14"/>
              </w:rPr>
              <w:t>*Třídy</w:t>
            </w:r>
            <w:r>
              <w:rPr>
                <w:spacing w:val="-4"/>
                <w:sz w:val="14"/>
                <w:szCs w:val="14"/>
              </w:rPr>
              <w:t> </w:t>
            </w:r>
            <w:r w:rsidRPr="00E05F1F">
              <w:rPr>
                <w:spacing w:val="-4"/>
                <w:sz w:val="14"/>
                <w:szCs w:val="14"/>
              </w:rPr>
              <w:t>4</w:t>
            </w:r>
            <w:r>
              <w:rPr>
                <w:spacing w:val="-4"/>
                <w:sz w:val="14"/>
                <w:szCs w:val="14"/>
              </w:rPr>
              <w:t>–</w:t>
            </w:r>
            <w:r w:rsidRPr="00E05F1F">
              <w:rPr>
                <w:spacing w:val="-4"/>
                <w:sz w:val="14"/>
                <w:szCs w:val="14"/>
              </w:rPr>
              <w:t>6</w:t>
            </w:r>
            <w:r>
              <w:rPr>
                <w:spacing w:val="-4"/>
                <w:sz w:val="14"/>
                <w:szCs w:val="14"/>
              </w:rPr>
              <w:t xml:space="preserve"> </w:t>
            </w:r>
            <w:r w:rsidRPr="00E05F1F">
              <w:rPr>
                <w:spacing w:val="-4"/>
                <w:sz w:val="14"/>
                <w:szCs w:val="14"/>
              </w:rPr>
              <w:t>zahrnují kategorie: Úředníci, Pracovníci ve s</w:t>
            </w:r>
            <w:r>
              <w:rPr>
                <w:spacing w:val="-4"/>
                <w:sz w:val="14"/>
                <w:szCs w:val="14"/>
              </w:rPr>
              <w:t>lužbách a prodeji, Kvalifik.</w:t>
            </w:r>
            <w:r w:rsidRPr="00E05F1F">
              <w:rPr>
                <w:spacing w:val="-4"/>
                <w:sz w:val="14"/>
                <w:szCs w:val="14"/>
              </w:rPr>
              <w:t xml:space="preserve"> pracovníci v</w:t>
            </w:r>
            <w:r>
              <w:rPr>
                <w:spacing w:val="-4"/>
                <w:sz w:val="14"/>
                <w:szCs w:val="14"/>
              </w:rPr>
              <w:t> </w:t>
            </w:r>
            <w:r w:rsidRPr="00E05F1F">
              <w:rPr>
                <w:spacing w:val="-4"/>
                <w:sz w:val="14"/>
                <w:szCs w:val="14"/>
              </w:rPr>
              <w:t>zemědělství, lesnictví a</w:t>
            </w:r>
            <w:r>
              <w:rPr>
                <w:spacing w:val="-4"/>
                <w:sz w:val="14"/>
                <w:szCs w:val="14"/>
              </w:rPr>
              <w:t> </w:t>
            </w:r>
            <w:r w:rsidRPr="00E05F1F">
              <w:rPr>
                <w:spacing w:val="-4"/>
                <w:sz w:val="14"/>
                <w:szCs w:val="14"/>
              </w:rPr>
              <w:t>rybářství</w:t>
            </w:r>
          </w:p>
          <w:p w14:paraId="575C9BDF" w14:textId="6495E66D" w:rsidR="00723859" w:rsidRPr="00E05F1F" w:rsidRDefault="00723859" w:rsidP="00723859">
            <w:pPr>
              <w:spacing w:after="200" w:line="240" w:lineRule="auto"/>
              <w:rPr>
                <w:rFonts w:cs="Arial"/>
                <w:spacing w:val="-4"/>
                <w:sz w:val="14"/>
                <w:szCs w:val="14"/>
              </w:rPr>
            </w:pPr>
            <w:r w:rsidRPr="00E05F1F">
              <w:rPr>
                <w:spacing w:val="-4"/>
                <w:sz w:val="14"/>
                <w:szCs w:val="14"/>
              </w:rPr>
              <w:t>Zdroj</w:t>
            </w:r>
            <w:r>
              <w:rPr>
                <w:spacing w:val="-4"/>
                <w:sz w:val="14"/>
                <w:szCs w:val="14"/>
              </w:rPr>
              <w:t>:</w:t>
            </w:r>
            <w:r w:rsidRPr="00E05F1F">
              <w:rPr>
                <w:spacing w:val="-4"/>
                <w:sz w:val="14"/>
                <w:szCs w:val="14"/>
              </w:rPr>
              <w:t xml:space="preserve"> MPSV</w:t>
            </w:r>
          </w:p>
        </w:tc>
      </w:tr>
      <w:tr w:rsidR="00723859" w:rsidRPr="004B2669" w14:paraId="15611681" w14:textId="77777777" w:rsidTr="006169F2">
        <w:trPr>
          <w:trHeight w:val="145"/>
        </w:trPr>
        <w:tc>
          <w:tcPr>
            <w:tcW w:w="1814" w:type="dxa"/>
          </w:tcPr>
          <w:p w14:paraId="5C8836A9" w14:textId="58A4DF34" w:rsidR="00723859" w:rsidRPr="008529B6" w:rsidRDefault="00723859" w:rsidP="00723859">
            <w:pPr>
              <w:pStyle w:val="Marginlie"/>
              <w:rPr>
                <w:color w:val="0D0D0D" w:themeColor="text1" w:themeTint="F2"/>
              </w:rPr>
            </w:pPr>
            <w:r w:rsidRPr="008529B6">
              <w:rPr>
                <w:color w:val="0D0D0D" w:themeColor="text1" w:themeTint="F2"/>
              </w:rPr>
              <w:t>Vyšší nezaměstnanost přetrvává v některých mikroregionech znevýhodněný</w:t>
            </w:r>
            <w:r>
              <w:rPr>
                <w:color w:val="0D0D0D" w:themeColor="text1" w:themeTint="F2"/>
              </w:rPr>
              <w:t>ch</w:t>
            </w:r>
            <w:r w:rsidRPr="008529B6">
              <w:rPr>
                <w:color w:val="0D0D0D" w:themeColor="text1" w:themeTint="F2"/>
              </w:rPr>
              <w:t xml:space="preserve"> polohou, dopravní obslužností či vzdělanostní skladbou populace v produktivním věku.</w:t>
            </w:r>
          </w:p>
          <w:p w14:paraId="70A5D233" w14:textId="77777777" w:rsidR="00723859" w:rsidRDefault="00723859" w:rsidP="00723859">
            <w:pPr>
              <w:pStyle w:val="Marginlie"/>
            </w:pPr>
          </w:p>
        </w:tc>
        <w:tc>
          <w:tcPr>
            <w:tcW w:w="221" w:type="dxa"/>
          </w:tcPr>
          <w:p w14:paraId="247DE272" w14:textId="77777777" w:rsidR="00723859" w:rsidRPr="005E4483" w:rsidRDefault="00723859" w:rsidP="00723859">
            <w:pPr>
              <w:pStyle w:val="Textpoznpodarou"/>
              <w:jc w:val="both"/>
              <w:rPr>
                <w:spacing w:val="-4"/>
              </w:rPr>
            </w:pPr>
          </w:p>
        </w:tc>
        <w:tc>
          <w:tcPr>
            <w:tcW w:w="7609" w:type="dxa"/>
          </w:tcPr>
          <w:p w14:paraId="0C64E2E5" w14:textId="3555BFC3" w:rsidR="00723859" w:rsidRPr="004B2669" w:rsidRDefault="00723859" w:rsidP="00723859">
            <w:pPr>
              <w:spacing w:after="200"/>
              <w:rPr>
                <w:spacing w:val="-2"/>
              </w:rPr>
            </w:pPr>
            <w:r w:rsidRPr="008529B6">
              <w:rPr>
                <w:color w:val="0D0D0D" w:themeColor="text1" w:themeTint="F2"/>
                <w:spacing w:val="-2"/>
              </w:rPr>
              <w:t>Údaje z evidence úřadů práce dokumentují na příkladu malých území (téměř 400</w:t>
            </w:r>
            <w:r>
              <w:rPr>
                <w:color w:val="0D0D0D" w:themeColor="text1" w:themeTint="F2"/>
                <w:spacing w:val="-2"/>
              </w:rPr>
              <w:t> </w:t>
            </w:r>
            <w:r w:rsidRPr="008529B6">
              <w:rPr>
                <w:color w:val="0D0D0D" w:themeColor="text1" w:themeTint="F2"/>
                <w:spacing w:val="-2"/>
              </w:rPr>
              <w:t xml:space="preserve">obvodů pověřených obecních úřadů), že pokles nezaměstnanosti měl </w:t>
            </w:r>
            <w:r>
              <w:rPr>
                <w:color w:val="0D0D0D" w:themeColor="text1" w:themeTint="F2"/>
                <w:spacing w:val="-2"/>
              </w:rPr>
              <w:t>i během roku 2018</w:t>
            </w:r>
            <w:r w:rsidRPr="008529B6">
              <w:rPr>
                <w:color w:val="0D0D0D" w:themeColor="text1" w:themeTint="F2"/>
                <w:spacing w:val="-2"/>
              </w:rPr>
              <w:t xml:space="preserve"> plošný charakter</w:t>
            </w:r>
            <w:r w:rsidRPr="008529B6">
              <w:rPr>
                <w:rStyle w:val="Znakapoznpodarou"/>
                <w:color w:val="0D0D0D" w:themeColor="text1" w:themeTint="F2"/>
                <w:spacing w:val="-2"/>
              </w:rPr>
              <w:footnoteReference w:id="11"/>
            </w:r>
            <w:r w:rsidRPr="008529B6">
              <w:rPr>
                <w:color w:val="0D0D0D" w:themeColor="text1" w:themeTint="F2"/>
                <w:spacing w:val="-2"/>
              </w:rPr>
              <w:t xml:space="preserve">. </w:t>
            </w:r>
            <w:r>
              <w:rPr>
                <w:color w:val="0D0D0D" w:themeColor="text1" w:themeTint="F2"/>
                <w:spacing w:val="-2"/>
              </w:rPr>
              <w:t>Relativně vyšší</w:t>
            </w:r>
            <w:r w:rsidRPr="008529B6">
              <w:rPr>
                <w:color w:val="0D0D0D" w:themeColor="text1" w:themeTint="F2"/>
                <w:spacing w:val="-2"/>
              </w:rPr>
              <w:t xml:space="preserve"> nezaměstnanost přetrvávala na konci roku hlavně ve strukturálně </w:t>
            </w:r>
            <w:r w:rsidRPr="00A039C6">
              <w:rPr>
                <w:color w:val="0D0D0D" w:themeColor="text1" w:themeTint="F2"/>
                <w:spacing w:val="-2"/>
              </w:rPr>
              <w:t>postižených mikroregionech</w:t>
            </w:r>
            <w:r>
              <w:rPr>
                <w:color w:val="0D0D0D" w:themeColor="text1" w:themeTint="F2"/>
                <w:spacing w:val="-2"/>
              </w:rPr>
              <w:t xml:space="preserve"> Ústeckého, </w:t>
            </w:r>
            <w:r w:rsidRPr="008529B6">
              <w:rPr>
                <w:color w:val="0D0D0D" w:themeColor="text1" w:themeTint="F2"/>
                <w:spacing w:val="-2"/>
              </w:rPr>
              <w:t>Moravskoslezského</w:t>
            </w:r>
            <w:r>
              <w:rPr>
                <w:color w:val="0D0D0D" w:themeColor="text1" w:themeTint="F2"/>
                <w:spacing w:val="-2"/>
              </w:rPr>
              <w:t xml:space="preserve"> či Jihomoravského</w:t>
            </w:r>
            <w:r w:rsidRPr="008529B6">
              <w:rPr>
                <w:color w:val="0D0D0D" w:themeColor="text1" w:themeTint="F2"/>
                <w:spacing w:val="-2"/>
              </w:rPr>
              <w:t xml:space="preserve"> kraje a</w:t>
            </w:r>
            <w:r>
              <w:rPr>
                <w:color w:val="0D0D0D" w:themeColor="text1" w:themeTint="F2"/>
                <w:spacing w:val="-2"/>
              </w:rPr>
              <w:t> </w:t>
            </w:r>
            <w:r w:rsidRPr="008529B6">
              <w:rPr>
                <w:color w:val="0D0D0D" w:themeColor="text1" w:themeTint="F2"/>
                <w:spacing w:val="-2"/>
              </w:rPr>
              <w:t xml:space="preserve">dále </w:t>
            </w:r>
            <w:r>
              <w:rPr>
                <w:color w:val="0D0D0D" w:themeColor="text1" w:themeTint="F2"/>
                <w:spacing w:val="-2"/>
              </w:rPr>
              <w:t xml:space="preserve">také </w:t>
            </w:r>
            <w:r w:rsidRPr="008529B6">
              <w:rPr>
                <w:color w:val="0D0D0D" w:themeColor="text1" w:themeTint="F2"/>
                <w:spacing w:val="-2"/>
              </w:rPr>
              <w:t>v periferních územích se zhoršenou dopravní obslužností (často při hranicích krajů), kde je mnohdy navíc nezaměstnanost na sklonku roku výrazněji ovlivněna omezením sezónních prací.</w:t>
            </w:r>
            <w:r>
              <w:rPr>
                <w:color w:val="0D0D0D" w:themeColor="text1" w:themeTint="F2"/>
                <w:spacing w:val="-2"/>
              </w:rPr>
              <w:t xml:space="preserve"> Rozdíly dle pohlaví nenabývaly větší významnosti, přesto lze konstatovat, že ve většině moravských krajů mírně převažovala nezaměstnanost žen (s ohledem na odvětvovou skladbu pracovních míst není překvapivé, že v Ústeckém kraji tomu bylo naopak). Možnost návratu na pracovní trh významně ovlivňuje i kvalifikační profil uchazečů, jak je patrno na příkladu jinak relativně výhodně položených oblastí (Kladensko, Slánsko, příhraniční část jižní Moravy). Podstatné mikroregionální rozdíly přetrvávají také u</w:t>
            </w:r>
            <w:r w:rsidRPr="008529B6">
              <w:rPr>
                <w:color w:val="0D0D0D" w:themeColor="text1" w:themeTint="F2"/>
                <w:spacing w:val="-2"/>
              </w:rPr>
              <w:t> </w:t>
            </w:r>
            <w:r>
              <w:rPr>
                <w:color w:val="0D0D0D" w:themeColor="text1" w:themeTint="F2"/>
                <w:spacing w:val="-2"/>
              </w:rPr>
              <w:t>podílu dlouhodobě nezaměstnaných (s velmi příznivým profilem v jihozápadní a východní části Čech a problémovým ve většině moravských krajů, na Ústecku a v části středních Čech a</w:t>
            </w:r>
            <w:r w:rsidRPr="008529B6">
              <w:rPr>
                <w:color w:val="0D0D0D" w:themeColor="text1" w:themeTint="F2"/>
                <w:spacing w:val="-2"/>
              </w:rPr>
              <w:t> </w:t>
            </w:r>
            <w:r>
              <w:rPr>
                <w:color w:val="0D0D0D" w:themeColor="text1" w:themeTint="F2"/>
                <w:spacing w:val="-2"/>
              </w:rPr>
              <w:t>Vysočiny). Nežádoucí regionální rozdíly mohou být v blízké budoucnosti zčásti utlumeny i</w:t>
            </w:r>
            <w:r w:rsidRPr="008529B6">
              <w:rPr>
                <w:color w:val="0D0D0D" w:themeColor="text1" w:themeTint="F2"/>
                <w:spacing w:val="-2"/>
              </w:rPr>
              <w:t> </w:t>
            </w:r>
            <w:r>
              <w:rPr>
                <w:color w:val="0D0D0D" w:themeColor="text1" w:themeTint="F2"/>
                <w:spacing w:val="-2"/>
              </w:rPr>
              <w:t>některými většími investiční projekty (např. na Žatecku).</w:t>
            </w:r>
          </w:p>
        </w:tc>
      </w:tr>
      <w:tr w:rsidR="00723859" w:rsidRPr="004B2669" w14:paraId="08597216" w14:textId="77777777" w:rsidTr="006169F2">
        <w:trPr>
          <w:trHeight w:val="145"/>
        </w:trPr>
        <w:tc>
          <w:tcPr>
            <w:tcW w:w="1814" w:type="dxa"/>
          </w:tcPr>
          <w:p w14:paraId="48A905E4" w14:textId="77777777" w:rsidR="00723859" w:rsidRDefault="00723859" w:rsidP="00723859">
            <w:pPr>
              <w:pStyle w:val="Marginlie"/>
            </w:pPr>
            <w:r>
              <w:t xml:space="preserve">Převis nabídky volných míst nad poptávkou ze strany uchazečů o práci </w:t>
            </w:r>
            <w:r>
              <w:lastRenderedPageBreak/>
              <w:t>registrovala mírně nadpoloviční část okresů.</w:t>
            </w:r>
          </w:p>
        </w:tc>
        <w:tc>
          <w:tcPr>
            <w:tcW w:w="221" w:type="dxa"/>
          </w:tcPr>
          <w:p w14:paraId="1753CA0E" w14:textId="77777777" w:rsidR="00723859" w:rsidRPr="005E4483" w:rsidRDefault="00723859" w:rsidP="00723859">
            <w:pPr>
              <w:pStyle w:val="Textpoznpodarou"/>
              <w:jc w:val="both"/>
              <w:rPr>
                <w:spacing w:val="-4"/>
              </w:rPr>
            </w:pPr>
          </w:p>
        </w:tc>
        <w:tc>
          <w:tcPr>
            <w:tcW w:w="7609" w:type="dxa"/>
          </w:tcPr>
          <w:p w14:paraId="047B46D8" w14:textId="442B3D83" w:rsidR="00723859" w:rsidRPr="004B2669" w:rsidRDefault="00723859" w:rsidP="00723859">
            <w:pPr>
              <w:spacing w:after="0"/>
              <w:rPr>
                <w:spacing w:val="-2"/>
              </w:rPr>
            </w:pPr>
            <w:r>
              <w:rPr>
                <w:spacing w:val="-2"/>
              </w:rPr>
              <w:t xml:space="preserve">Převis počtu volných míst nad uchazeči o práci hlásila na konci loňského roku mírně nadpoloviční většina okresů, silnější tlak na pracovní místa naopak jen pětice z nich </w:t>
            </w:r>
            <w:r>
              <w:rPr>
                <w:spacing w:val="-2"/>
              </w:rPr>
              <w:lastRenderedPageBreak/>
              <w:t>(Karviná, Jeseník, Bruntál, Znojmo a Ústí nad Labem). Šance na pracovní uplatnění se meziročně zvýšila uchazečům ve všech okresech, nejvíce v těch s nejméně příznivým postavením. Převahou míst nad uchazeči ve všech devíti kvalifikačních třídách se na sklonku roku 2018 mohl pyšnit pouze okres Tachov. Celkově příznivé postavení měly vedle Prahy a středních Čech také Jihočeský, Plzeňský a Pardubický kraj, kde se mohli dobře uplatnit uchazeči jak s nízkou, tak s vysokou kvalifikací.</w:t>
            </w:r>
          </w:p>
        </w:tc>
      </w:tr>
    </w:tbl>
    <w:p w14:paraId="6A7A7082" w14:textId="77777777" w:rsidR="00CB272C" w:rsidRDefault="00CB272C" w:rsidP="00CC0F9A">
      <w:pPr>
        <w:spacing w:after="0" w:line="240" w:lineRule="auto"/>
        <w:rPr>
          <w:sz w:val="14"/>
          <w:szCs w:val="14"/>
        </w:rPr>
      </w:pPr>
    </w:p>
    <w:p w14:paraId="763B261B" w14:textId="77777777" w:rsidR="006169F2" w:rsidRDefault="006169F2" w:rsidP="00CC0F9A">
      <w:pPr>
        <w:spacing w:after="0" w:line="240" w:lineRule="auto"/>
        <w:rPr>
          <w:sz w:val="14"/>
          <w:szCs w:val="14"/>
        </w:rPr>
      </w:pPr>
    </w:p>
    <w:p w14:paraId="5631D5D0" w14:textId="77777777" w:rsidR="006169F2" w:rsidRDefault="006169F2" w:rsidP="00CC0F9A">
      <w:pPr>
        <w:spacing w:after="0" w:line="240" w:lineRule="auto"/>
        <w:rPr>
          <w:sz w:val="14"/>
          <w:szCs w:val="14"/>
        </w:rPr>
      </w:pPr>
    </w:p>
    <w:p w14:paraId="50E47E14" w14:textId="77777777" w:rsidR="006169F2" w:rsidRDefault="006169F2" w:rsidP="00CC0F9A">
      <w:pPr>
        <w:spacing w:after="0" w:line="240" w:lineRule="auto"/>
        <w:rPr>
          <w:sz w:val="14"/>
          <w:szCs w:val="14"/>
        </w:rPr>
      </w:pPr>
    </w:p>
    <w:p w14:paraId="68C5A638" w14:textId="7EAF8EF0" w:rsidR="006169F2" w:rsidRDefault="006169F2" w:rsidP="00CC0F9A">
      <w:pPr>
        <w:spacing w:after="0" w:line="240" w:lineRule="auto"/>
        <w:rPr>
          <w:sz w:val="14"/>
          <w:szCs w:val="14"/>
        </w:rPr>
      </w:pPr>
    </w:p>
    <w:p w14:paraId="300B76C3" w14:textId="287E6737" w:rsidR="00723859" w:rsidRDefault="00723859" w:rsidP="00CC0F9A">
      <w:pPr>
        <w:spacing w:after="0" w:line="240" w:lineRule="auto"/>
        <w:rPr>
          <w:sz w:val="14"/>
          <w:szCs w:val="14"/>
        </w:rPr>
      </w:pPr>
    </w:p>
    <w:p w14:paraId="144A7FC0" w14:textId="07E904CB" w:rsidR="00723859" w:rsidRDefault="00723859" w:rsidP="00CC0F9A">
      <w:pPr>
        <w:spacing w:after="0" w:line="240" w:lineRule="auto"/>
        <w:rPr>
          <w:sz w:val="14"/>
          <w:szCs w:val="14"/>
        </w:rPr>
      </w:pPr>
    </w:p>
    <w:p w14:paraId="116983CA" w14:textId="32EAB1EC" w:rsidR="00723859" w:rsidRDefault="00723859" w:rsidP="00CC0F9A">
      <w:pPr>
        <w:spacing w:after="0" w:line="240" w:lineRule="auto"/>
        <w:rPr>
          <w:sz w:val="14"/>
          <w:szCs w:val="14"/>
        </w:rPr>
      </w:pPr>
    </w:p>
    <w:p w14:paraId="70B888EB" w14:textId="66AA6F5F" w:rsidR="00723859" w:rsidRDefault="00723859" w:rsidP="00CC0F9A">
      <w:pPr>
        <w:spacing w:after="0" w:line="240" w:lineRule="auto"/>
        <w:rPr>
          <w:sz w:val="14"/>
          <w:szCs w:val="14"/>
        </w:rPr>
      </w:pPr>
    </w:p>
    <w:p w14:paraId="337F800E" w14:textId="5374437D" w:rsidR="00723859" w:rsidRDefault="00723859" w:rsidP="00CC0F9A">
      <w:pPr>
        <w:spacing w:after="0" w:line="240" w:lineRule="auto"/>
        <w:rPr>
          <w:sz w:val="14"/>
          <w:szCs w:val="14"/>
        </w:rPr>
      </w:pPr>
    </w:p>
    <w:p w14:paraId="2E4DF2C5" w14:textId="711CE6BF" w:rsidR="00723859" w:rsidRDefault="00723859" w:rsidP="00CC0F9A">
      <w:pPr>
        <w:spacing w:after="0" w:line="240" w:lineRule="auto"/>
        <w:rPr>
          <w:sz w:val="14"/>
          <w:szCs w:val="14"/>
        </w:rPr>
      </w:pPr>
    </w:p>
    <w:p w14:paraId="7CCD117D" w14:textId="36C67889" w:rsidR="00723859" w:rsidRDefault="00723859" w:rsidP="00CC0F9A">
      <w:pPr>
        <w:spacing w:after="0" w:line="240" w:lineRule="auto"/>
        <w:rPr>
          <w:sz w:val="14"/>
          <w:szCs w:val="14"/>
        </w:rPr>
      </w:pPr>
    </w:p>
    <w:p w14:paraId="770AFA5B" w14:textId="4367B401" w:rsidR="00723859" w:rsidRDefault="00723859" w:rsidP="00CC0F9A">
      <w:pPr>
        <w:spacing w:after="0" w:line="240" w:lineRule="auto"/>
        <w:rPr>
          <w:sz w:val="14"/>
          <w:szCs w:val="14"/>
        </w:rPr>
      </w:pPr>
    </w:p>
    <w:p w14:paraId="7C7173C9" w14:textId="08B2777F" w:rsidR="00723859" w:rsidRDefault="00723859" w:rsidP="00CC0F9A">
      <w:pPr>
        <w:spacing w:after="0" w:line="240" w:lineRule="auto"/>
        <w:rPr>
          <w:sz w:val="14"/>
          <w:szCs w:val="14"/>
        </w:rPr>
      </w:pPr>
    </w:p>
    <w:p w14:paraId="419EEAE2" w14:textId="15396EF3" w:rsidR="00723859" w:rsidRDefault="00723859" w:rsidP="00CC0F9A">
      <w:pPr>
        <w:spacing w:after="0" w:line="240" w:lineRule="auto"/>
        <w:rPr>
          <w:sz w:val="14"/>
          <w:szCs w:val="14"/>
        </w:rPr>
      </w:pPr>
    </w:p>
    <w:p w14:paraId="57622835" w14:textId="324F1A5B" w:rsidR="00723859" w:rsidRDefault="00723859" w:rsidP="00CC0F9A">
      <w:pPr>
        <w:spacing w:after="0" w:line="240" w:lineRule="auto"/>
        <w:rPr>
          <w:sz w:val="14"/>
          <w:szCs w:val="14"/>
        </w:rPr>
      </w:pPr>
    </w:p>
    <w:p w14:paraId="1FB2DB1E" w14:textId="0C2C6C94" w:rsidR="00723859" w:rsidRDefault="00723859" w:rsidP="00CC0F9A">
      <w:pPr>
        <w:spacing w:after="0" w:line="240" w:lineRule="auto"/>
        <w:rPr>
          <w:sz w:val="14"/>
          <w:szCs w:val="14"/>
        </w:rPr>
      </w:pPr>
    </w:p>
    <w:p w14:paraId="1F4E1873" w14:textId="4F737A6A" w:rsidR="00723859" w:rsidRDefault="00723859" w:rsidP="00CC0F9A">
      <w:pPr>
        <w:spacing w:after="0" w:line="240" w:lineRule="auto"/>
        <w:rPr>
          <w:sz w:val="14"/>
          <w:szCs w:val="14"/>
        </w:rPr>
      </w:pPr>
    </w:p>
    <w:p w14:paraId="1C2C055C" w14:textId="0021C2F0" w:rsidR="00723859" w:rsidRDefault="00723859" w:rsidP="00CC0F9A">
      <w:pPr>
        <w:spacing w:after="0" w:line="240" w:lineRule="auto"/>
        <w:rPr>
          <w:sz w:val="14"/>
          <w:szCs w:val="14"/>
        </w:rPr>
      </w:pPr>
    </w:p>
    <w:p w14:paraId="2A402AA9" w14:textId="16749803" w:rsidR="00723859" w:rsidRDefault="00723859" w:rsidP="00CC0F9A">
      <w:pPr>
        <w:spacing w:after="0" w:line="240" w:lineRule="auto"/>
        <w:rPr>
          <w:sz w:val="14"/>
          <w:szCs w:val="14"/>
        </w:rPr>
      </w:pPr>
    </w:p>
    <w:p w14:paraId="11F85A4C" w14:textId="43840D8E" w:rsidR="00723859" w:rsidRDefault="00723859" w:rsidP="00CC0F9A">
      <w:pPr>
        <w:spacing w:after="0" w:line="240" w:lineRule="auto"/>
        <w:rPr>
          <w:sz w:val="14"/>
          <w:szCs w:val="14"/>
        </w:rPr>
      </w:pPr>
    </w:p>
    <w:p w14:paraId="3C08D508" w14:textId="112918E3" w:rsidR="00723859" w:rsidRDefault="00723859" w:rsidP="00CC0F9A">
      <w:pPr>
        <w:spacing w:after="0" w:line="240" w:lineRule="auto"/>
        <w:rPr>
          <w:sz w:val="14"/>
          <w:szCs w:val="14"/>
        </w:rPr>
      </w:pPr>
    </w:p>
    <w:p w14:paraId="70AC7987" w14:textId="6DA2C170" w:rsidR="00723859" w:rsidRDefault="00723859" w:rsidP="00CC0F9A">
      <w:pPr>
        <w:spacing w:after="0" w:line="240" w:lineRule="auto"/>
        <w:rPr>
          <w:sz w:val="14"/>
          <w:szCs w:val="14"/>
        </w:rPr>
      </w:pPr>
    </w:p>
    <w:p w14:paraId="17E3E871" w14:textId="10096CDB" w:rsidR="00723859" w:rsidRDefault="00723859" w:rsidP="00CC0F9A">
      <w:pPr>
        <w:spacing w:after="0" w:line="240" w:lineRule="auto"/>
        <w:rPr>
          <w:sz w:val="14"/>
          <w:szCs w:val="14"/>
        </w:rPr>
      </w:pPr>
    </w:p>
    <w:p w14:paraId="54A1C23B" w14:textId="5C4198EA" w:rsidR="00723859" w:rsidRDefault="00723859" w:rsidP="00CC0F9A">
      <w:pPr>
        <w:spacing w:after="0" w:line="240" w:lineRule="auto"/>
        <w:rPr>
          <w:sz w:val="14"/>
          <w:szCs w:val="14"/>
        </w:rPr>
      </w:pPr>
    </w:p>
    <w:p w14:paraId="5B941FD9" w14:textId="06E4FB49" w:rsidR="00723859" w:rsidRDefault="00723859" w:rsidP="00CC0F9A">
      <w:pPr>
        <w:spacing w:after="0" w:line="240" w:lineRule="auto"/>
        <w:rPr>
          <w:sz w:val="14"/>
          <w:szCs w:val="14"/>
        </w:rPr>
      </w:pPr>
    </w:p>
    <w:p w14:paraId="1988DEFD" w14:textId="6B9800C2" w:rsidR="00723859" w:rsidRDefault="00723859" w:rsidP="00CC0F9A">
      <w:pPr>
        <w:spacing w:after="0" w:line="240" w:lineRule="auto"/>
        <w:rPr>
          <w:sz w:val="14"/>
          <w:szCs w:val="14"/>
        </w:rPr>
      </w:pPr>
    </w:p>
    <w:p w14:paraId="4162123B" w14:textId="68761A4B" w:rsidR="00723859" w:rsidRDefault="00723859" w:rsidP="00CC0F9A">
      <w:pPr>
        <w:spacing w:after="0" w:line="240" w:lineRule="auto"/>
        <w:rPr>
          <w:sz w:val="14"/>
          <w:szCs w:val="14"/>
        </w:rPr>
      </w:pPr>
    </w:p>
    <w:p w14:paraId="15DB9E11" w14:textId="0E6558AF" w:rsidR="00723859" w:rsidRDefault="00723859" w:rsidP="00CC0F9A">
      <w:pPr>
        <w:spacing w:after="0" w:line="240" w:lineRule="auto"/>
        <w:rPr>
          <w:sz w:val="14"/>
          <w:szCs w:val="14"/>
        </w:rPr>
      </w:pPr>
    </w:p>
    <w:p w14:paraId="6107E2A7" w14:textId="78CF5D01" w:rsidR="00723859" w:rsidRDefault="00723859" w:rsidP="00CC0F9A">
      <w:pPr>
        <w:spacing w:after="0" w:line="240" w:lineRule="auto"/>
        <w:rPr>
          <w:sz w:val="14"/>
          <w:szCs w:val="14"/>
        </w:rPr>
      </w:pPr>
    </w:p>
    <w:p w14:paraId="462FEFF1" w14:textId="61D55221" w:rsidR="00723859" w:rsidRDefault="00723859" w:rsidP="00CC0F9A">
      <w:pPr>
        <w:spacing w:after="0" w:line="240" w:lineRule="auto"/>
        <w:rPr>
          <w:sz w:val="14"/>
          <w:szCs w:val="14"/>
        </w:rPr>
      </w:pPr>
    </w:p>
    <w:p w14:paraId="4FBCB3B9" w14:textId="4BD7F244" w:rsidR="00723859" w:rsidRDefault="00723859" w:rsidP="00CC0F9A">
      <w:pPr>
        <w:spacing w:after="0" w:line="240" w:lineRule="auto"/>
        <w:rPr>
          <w:sz w:val="14"/>
          <w:szCs w:val="14"/>
        </w:rPr>
      </w:pPr>
    </w:p>
    <w:p w14:paraId="36760301" w14:textId="6B841919" w:rsidR="00723859" w:rsidRDefault="00723859" w:rsidP="00CC0F9A">
      <w:pPr>
        <w:spacing w:after="0" w:line="240" w:lineRule="auto"/>
        <w:rPr>
          <w:sz w:val="14"/>
          <w:szCs w:val="14"/>
        </w:rPr>
      </w:pPr>
    </w:p>
    <w:p w14:paraId="45C3B377" w14:textId="552414F1" w:rsidR="00723859" w:rsidRDefault="00723859" w:rsidP="00CC0F9A">
      <w:pPr>
        <w:spacing w:after="0" w:line="240" w:lineRule="auto"/>
        <w:rPr>
          <w:sz w:val="14"/>
          <w:szCs w:val="14"/>
        </w:rPr>
      </w:pPr>
    </w:p>
    <w:p w14:paraId="64445563" w14:textId="35C53AEA" w:rsidR="00723859" w:rsidRDefault="00723859" w:rsidP="00CC0F9A">
      <w:pPr>
        <w:spacing w:after="0" w:line="240" w:lineRule="auto"/>
        <w:rPr>
          <w:sz w:val="14"/>
          <w:szCs w:val="14"/>
        </w:rPr>
      </w:pPr>
    </w:p>
    <w:p w14:paraId="6A71F461" w14:textId="161C4CEE" w:rsidR="00723859" w:rsidRDefault="00723859" w:rsidP="00CC0F9A">
      <w:pPr>
        <w:spacing w:after="0" w:line="240" w:lineRule="auto"/>
        <w:rPr>
          <w:sz w:val="14"/>
          <w:szCs w:val="14"/>
        </w:rPr>
      </w:pPr>
    </w:p>
    <w:p w14:paraId="56BFFA29" w14:textId="4DE58DE5" w:rsidR="00723859" w:rsidRDefault="00723859" w:rsidP="00CC0F9A">
      <w:pPr>
        <w:spacing w:after="0" w:line="240" w:lineRule="auto"/>
        <w:rPr>
          <w:sz w:val="14"/>
          <w:szCs w:val="14"/>
        </w:rPr>
      </w:pPr>
    </w:p>
    <w:p w14:paraId="7A8171BD" w14:textId="7F02A4BB" w:rsidR="00723859" w:rsidRDefault="00723859" w:rsidP="00CC0F9A">
      <w:pPr>
        <w:spacing w:after="0" w:line="240" w:lineRule="auto"/>
        <w:rPr>
          <w:sz w:val="14"/>
          <w:szCs w:val="14"/>
        </w:rPr>
      </w:pPr>
    </w:p>
    <w:p w14:paraId="23768FA6" w14:textId="7F4D23C9" w:rsidR="00723859" w:rsidRDefault="00723859" w:rsidP="00CC0F9A">
      <w:pPr>
        <w:spacing w:after="0" w:line="240" w:lineRule="auto"/>
        <w:rPr>
          <w:sz w:val="14"/>
          <w:szCs w:val="14"/>
        </w:rPr>
      </w:pPr>
    </w:p>
    <w:p w14:paraId="4D62C2D1" w14:textId="773DCE32" w:rsidR="00723859" w:rsidRDefault="00723859" w:rsidP="00CC0F9A">
      <w:pPr>
        <w:spacing w:after="0" w:line="240" w:lineRule="auto"/>
        <w:rPr>
          <w:sz w:val="14"/>
          <w:szCs w:val="14"/>
        </w:rPr>
      </w:pPr>
    </w:p>
    <w:p w14:paraId="191C3DBE" w14:textId="715E1E17" w:rsidR="00723859" w:rsidRDefault="00723859" w:rsidP="00CC0F9A">
      <w:pPr>
        <w:spacing w:after="0" w:line="240" w:lineRule="auto"/>
        <w:rPr>
          <w:sz w:val="14"/>
          <w:szCs w:val="14"/>
        </w:rPr>
      </w:pPr>
    </w:p>
    <w:p w14:paraId="42B54035" w14:textId="2F6FB047" w:rsidR="00723859" w:rsidRDefault="00723859" w:rsidP="00CC0F9A">
      <w:pPr>
        <w:spacing w:after="0" w:line="240" w:lineRule="auto"/>
        <w:rPr>
          <w:sz w:val="14"/>
          <w:szCs w:val="14"/>
        </w:rPr>
      </w:pPr>
    </w:p>
    <w:p w14:paraId="6ACA5A00" w14:textId="2633DAB7" w:rsidR="00723859" w:rsidRDefault="00723859" w:rsidP="00CC0F9A">
      <w:pPr>
        <w:spacing w:after="0" w:line="240" w:lineRule="auto"/>
        <w:rPr>
          <w:sz w:val="14"/>
          <w:szCs w:val="14"/>
        </w:rPr>
      </w:pPr>
    </w:p>
    <w:p w14:paraId="2E5A7327" w14:textId="0BF60737" w:rsidR="00723859" w:rsidRDefault="00723859" w:rsidP="00CC0F9A">
      <w:pPr>
        <w:spacing w:after="0" w:line="240" w:lineRule="auto"/>
        <w:rPr>
          <w:sz w:val="14"/>
          <w:szCs w:val="14"/>
        </w:rPr>
      </w:pPr>
    </w:p>
    <w:p w14:paraId="787F7B2E" w14:textId="22469E50" w:rsidR="00723859" w:rsidRDefault="00723859" w:rsidP="00CC0F9A">
      <w:pPr>
        <w:spacing w:after="0" w:line="240" w:lineRule="auto"/>
        <w:rPr>
          <w:sz w:val="14"/>
          <w:szCs w:val="14"/>
        </w:rPr>
      </w:pPr>
    </w:p>
    <w:p w14:paraId="0A3419D7" w14:textId="57A94537" w:rsidR="00723859" w:rsidRDefault="00723859" w:rsidP="00CC0F9A">
      <w:pPr>
        <w:spacing w:after="0" w:line="240" w:lineRule="auto"/>
        <w:rPr>
          <w:sz w:val="14"/>
          <w:szCs w:val="14"/>
        </w:rPr>
      </w:pPr>
    </w:p>
    <w:p w14:paraId="13D13F9A" w14:textId="08DC5559" w:rsidR="00723859" w:rsidRDefault="00723859" w:rsidP="00CC0F9A">
      <w:pPr>
        <w:spacing w:after="0" w:line="240" w:lineRule="auto"/>
        <w:rPr>
          <w:sz w:val="14"/>
          <w:szCs w:val="14"/>
        </w:rPr>
      </w:pPr>
    </w:p>
    <w:p w14:paraId="07C2E052" w14:textId="334EAD42" w:rsidR="00723859" w:rsidRDefault="00723859" w:rsidP="00CC0F9A">
      <w:pPr>
        <w:spacing w:after="0" w:line="240" w:lineRule="auto"/>
        <w:rPr>
          <w:sz w:val="14"/>
          <w:szCs w:val="14"/>
        </w:rPr>
      </w:pPr>
    </w:p>
    <w:p w14:paraId="6C598308" w14:textId="25567FE5" w:rsidR="00723859" w:rsidRDefault="00723859" w:rsidP="00CC0F9A">
      <w:pPr>
        <w:spacing w:after="0" w:line="240" w:lineRule="auto"/>
        <w:rPr>
          <w:sz w:val="14"/>
          <w:szCs w:val="14"/>
        </w:rPr>
      </w:pPr>
    </w:p>
    <w:p w14:paraId="027540D9" w14:textId="738EF512" w:rsidR="00723859" w:rsidRDefault="00723859" w:rsidP="00CC0F9A">
      <w:pPr>
        <w:spacing w:after="0" w:line="240" w:lineRule="auto"/>
        <w:rPr>
          <w:sz w:val="14"/>
          <w:szCs w:val="14"/>
        </w:rPr>
      </w:pPr>
    </w:p>
    <w:p w14:paraId="4E5CA2A8" w14:textId="565229F8" w:rsidR="00723859" w:rsidRDefault="00723859" w:rsidP="00CC0F9A">
      <w:pPr>
        <w:spacing w:after="0" w:line="240" w:lineRule="auto"/>
        <w:rPr>
          <w:sz w:val="14"/>
          <w:szCs w:val="14"/>
        </w:rPr>
      </w:pPr>
    </w:p>
    <w:p w14:paraId="2920FEE3" w14:textId="51214BD4" w:rsidR="00723859" w:rsidRDefault="00723859" w:rsidP="00CC0F9A">
      <w:pPr>
        <w:spacing w:after="0" w:line="240" w:lineRule="auto"/>
        <w:rPr>
          <w:sz w:val="14"/>
          <w:szCs w:val="14"/>
        </w:rPr>
      </w:pPr>
    </w:p>
    <w:p w14:paraId="0566E1AE" w14:textId="1637A339" w:rsidR="00723859" w:rsidRDefault="00723859" w:rsidP="00CC0F9A">
      <w:pPr>
        <w:spacing w:after="0" w:line="240" w:lineRule="auto"/>
        <w:rPr>
          <w:sz w:val="14"/>
          <w:szCs w:val="14"/>
        </w:rPr>
      </w:pPr>
    </w:p>
    <w:p w14:paraId="6F7D734F" w14:textId="7E794851" w:rsidR="00723859" w:rsidRDefault="00723859" w:rsidP="00CC0F9A">
      <w:pPr>
        <w:spacing w:after="0" w:line="240" w:lineRule="auto"/>
        <w:rPr>
          <w:sz w:val="14"/>
          <w:szCs w:val="14"/>
        </w:rPr>
      </w:pPr>
    </w:p>
    <w:p w14:paraId="0DD844BD" w14:textId="370914FB" w:rsidR="00723859" w:rsidRDefault="00723859" w:rsidP="00CC0F9A">
      <w:pPr>
        <w:spacing w:after="0" w:line="240" w:lineRule="auto"/>
        <w:rPr>
          <w:sz w:val="14"/>
          <w:szCs w:val="14"/>
        </w:rPr>
      </w:pPr>
    </w:p>
    <w:p w14:paraId="7276BE64" w14:textId="56FA8BB6" w:rsidR="00723859" w:rsidRDefault="00723859" w:rsidP="00CC0F9A">
      <w:pPr>
        <w:spacing w:after="0" w:line="240" w:lineRule="auto"/>
        <w:rPr>
          <w:sz w:val="14"/>
          <w:szCs w:val="14"/>
        </w:rPr>
      </w:pPr>
    </w:p>
    <w:p w14:paraId="64CEAE17" w14:textId="548C0758" w:rsidR="00723859" w:rsidRDefault="00723859" w:rsidP="00CC0F9A">
      <w:pPr>
        <w:spacing w:after="0" w:line="240" w:lineRule="auto"/>
        <w:rPr>
          <w:sz w:val="14"/>
          <w:szCs w:val="14"/>
        </w:rPr>
      </w:pPr>
    </w:p>
    <w:p w14:paraId="1B029868" w14:textId="5A67E560" w:rsidR="00723859" w:rsidRDefault="00723859" w:rsidP="00CC0F9A">
      <w:pPr>
        <w:spacing w:after="0" w:line="240" w:lineRule="auto"/>
        <w:rPr>
          <w:sz w:val="14"/>
          <w:szCs w:val="14"/>
        </w:rPr>
      </w:pPr>
    </w:p>
    <w:p w14:paraId="5ED77667" w14:textId="7E82AFB1" w:rsidR="00723859" w:rsidRDefault="00723859" w:rsidP="00CC0F9A">
      <w:pPr>
        <w:spacing w:after="0" w:line="240" w:lineRule="auto"/>
        <w:rPr>
          <w:sz w:val="14"/>
          <w:szCs w:val="14"/>
        </w:rPr>
      </w:pPr>
    </w:p>
    <w:p w14:paraId="769B18E7" w14:textId="385B4B42" w:rsidR="00723859" w:rsidRDefault="00723859" w:rsidP="00CC0F9A">
      <w:pPr>
        <w:spacing w:after="0" w:line="240" w:lineRule="auto"/>
        <w:rPr>
          <w:sz w:val="14"/>
          <w:szCs w:val="14"/>
        </w:rPr>
      </w:pPr>
    </w:p>
    <w:p w14:paraId="21630728" w14:textId="4605AFBD" w:rsidR="00723859" w:rsidRDefault="00723859" w:rsidP="00CC0F9A">
      <w:pPr>
        <w:spacing w:after="0" w:line="240" w:lineRule="auto"/>
        <w:rPr>
          <w:sz w:val="14"/>
          <w:szCs w:val="14"/>
        </w:rPr>
      </w:pPr>
    </w:p>
    <w:p w14:paraId="6333C51E" w14:textId="01A77850" w:rsidR="00723859" w:rsidRDefault="00723859" w:rsidP="00CC0F9A">
      <w:pPr>
        <w:spacing w:after="0" w:line="240" w:lineRule="auto"/>
        <w:rPr>
          <w:sz w:val="14"/>
          <w:szCs w:val="14"/>
        </w:rPr>
      </w:pPr>
    </w:p>
    <w:p w14:paraId="10BF3EE0" w14:textId="3498484A" w:rsidR="00723859" w:rsidRDefault="00723859" w:rsidP="00CC0F9A">
      <w:pPr>
        <w:spacing w:after="0" w:line="240" w:lineRule="auto"/>
        <w:rPr>
          <w:sz w:val="14"/>
          <w:szCs w:val="14"/>
        </w:rPr>
      </w:pPr>
    </w:p>
    <w:p w14:paraId="511A0517" w14:textId="7B612A29" w:rsidR="00723859" w:rsidRDefault="00723859" w:rsidP="00CC0F9A">
      <w:pPr>
        <w:spacing w:after="0" w:line="240" w:lineRule="auto"/>
        <w:rPr>
          <w:sz w:val="14"/>
          <w:szCs w:val="14"/>
        </w:rPr>
      </w:pPr>
    </w:p>
    <w:p w14:paraId="599B6200" w14:textId="325DE331" w:rsidR="00723859" w:rsidRDefault="00723859" w:rsidP="00CC0F9A">
      <w:pPr>
        <w:spacing w:after="0" w:line="240" w:lineRule="auto"/>
        <w:rPr>
          <w:sz w:val="14"/>
          <w:szCs w:val="14"/>
        </w:rPr>
      </w:pPr>
    </w:p>
    <w:p w14:paraId="56E1A438" w14:textId="40EB2AD7" w:rsidR="00723859" w:rsidRDefault="00723859" w:rsidP="00CC0F9A">
      <w:pPr>
        <w:spacing w:after="0" w:line="240" w:lineRule="auto"/>
        <w:rPr>
          <w:sz w:val="14"/>
          <w:szCs w:val="14"/>
        </w:rPr>
      </w:pPr>
    </w:p>
    <w:p w14:paraId="18D755D2" w14:textId="66E0C465" w:rsidR="00723859" w:rsidRDefault="00723859" w:rsidP="00CC0F9A">
      <w:pPr>
        <w:spacing w:after="0" w:line="240" w:lineRule="auto"/>
        <w:rPr>
          <w:sz w:val="14"/>
          <w:szCs w:val="14"/>
        </w:rPr>
      </w:pPr>
    </w:p>
    <w:p w14:paraId="57DB3D91" w14:textId="6955F189" w:rsidR="00723859" w:rsidRDefault="00723859" w:rsidP="00CC0F9A">
      <w:pPr>
        <w:spacing w:after="0" w:line="240" w:lineRule="auto"/>
        <w:rPr>
          <w:sz w:val="14"/>
          <w:szCs w:val="14"/>
        </w:rPr>
      </w:pPr>
    </w:p>
    <w:p w14:paraId="21200816" w14:textId="4A254996" w:rsidR="00723859" w:rsidRDefault="00723859" w:rsidP="00CC0F9A">
      <w:pPr>
        <w:spacing w:after="0" w:line="240" w:lineRule="auto"/>
        <w:rPr>
          <w:sz w:val="14"/>
          <w:szCs w:val="14"/>
        </w:rPr>
      </w:pPr>
    </w:p>
    <w:p w14:paraId="1384E985" w14:textId="4505DB32" w:rsidR="00723859" w:rsidRDefault="00723859" w:rsidP="00CC0F9A">
      <w:pPr>
        <w:spacing w:after="0" w:line="240" w:lineRule="auto"/>
        <w:rPr>
          <w:sz w:val="14"/>
          <w:szCs w:val="14"/>
        </w:rPr>
      </w:pPr>
    </w:p>
    <w:p w14:paraId="0CB6D7DF" w14:textId="1751C1D5" w:rsidR="00723859" w:rsidRDefault="00723859" w:rsidP="00CC0F9A">
      <w:pPr>
        <w:spacing w:after="0" w:line="240" w:lineRule="auto"/>
        <w:rPr>
          <w:sz w:val="14"/>
          <w:szCs w:val="14"/>
        </w:rPr>
      </w:pPr>
    </w:p>
    <w:p w14:paraId="3685C825" w14:textId="17F16022" w:rsidR="00723859" w:rsidRDefault="00723859" w:rsidP="00CC0F9A">
      <w:pPr>
        <w:spacing w:after="0" w:line="240" w:lineRule="auto"/>
        <w:rPr>
          <w:sz w:val="14"/>
          <w:szCs w:val="14"/>
        </w:rPr>
      </w:pPr>
    </w:p>
    <w:p w14:paraId="2201C202" w14:textId="2E6BF2C3" w:rsidR="00723859" w:rsidRDefault="00723859" w:rsidP="00CC0F9A">
      <w:pPr>
        <w:spacing w:after="0" w:line="240" w:lineRule="auto"/>
        <w:rPr>
          <w:sz w:val="14"/>
          <w:szCs w:val="14"/>
        </w:rPr>
      </w:pPr>
    </w:p>
    <w:p w14:paraId="7E4CE7FF" w14:textId="503F62C7" w:rsidR="00723859" w:rsidRDefault="00723859" w:rsidP="00CC0F9A">
      <w:pPr>
        <w:spacing w:after="0" w:line="240" w:lineRule="auto"/>
        <w:rPr>
          <w:sz w:val="14"/>
          <w:szCs w:val="14"/>
        </w:rPr>
      </w:pPr>
    </w:p>
    <w:p w14:paraId="2ABD3CB1" w14:textId="5120B0B7" w:rsidR="00723859" w:rsidRDefault="00723859" w:rsidP="00CC0F9A">
      <w:pPr>
        <w:spacing w:after="0" w:line="240" w:lineRule="auto"/>
        <w:rPr>
          <w:sz w:val="14"/>
          <w:szCs w:val="14"/>
        </w:rPr>
      </w:pPr>
    </w:p>
    <w:p w14:paraId="6E283DF6" w14:textId="7F3ED65C" w:rsidR="00723859" w:rsidRDefault="00723859" w:rsidP="00CC0F9A">
      <w:pPr>
        <w:spacing w:after="0" w:line="240" w:lineRule="auto"/>
        <w:rPr>
          <w:sz w:val="14"/>
          <w:szCs w:val="14"/>
        </w:rPr>
      </w:pPr>
    </w:p>
    <w:p w14:paraId="2F5C77E0" w14:textId="46B25ABA" w:rsidR="00723859" w:rsidRDefault="00723859" w:rsidP="00CC0F9A">
      <w:pPr>
        <w:spacing w:after="0" w:line="240" w:lineRule="auto"/>
        <w:rPr>
          <w:sz w:val="14"/>
          <w:szCs w:val="14"/>
        </w:rPr>
      </w:pPr>
    </w:p>
    <w:p w14:paraId="0186B433" w14:textId="77777777" w:rsidR="00253487" w:rsidRDefault="00253487" w:rsidP="00CC0F9A">
      <w:pPr>
        <w:spacing w:after="0" w:line="240" w:lineRule="auto"/>
        <w:rPr>
          <w:sz w:val="14"/>
          <w:szCs w:val="14"/>
        </w:rPr>
      </w:pPr>
    </w:p>
    <w:p w14:paraId="27BBB3B0" w14:textId="77777777" w:rsidR="009A4F91" w:rsidRDefault="009A4F91" w:rsidP="0037785F">
      <w:pPr>
        <w:spacing w:after="100" w:line="240" w:lineRule="auto"/>
        <w:rPr>
          <w:sz w:val="14"/>
          <w:szCs w:val="14"/>
        </w:rPr>
      </w:pPr>
      <w:r>
        <w:rPr>
          <w:noProof/>
          <w:szCs w:val="20"/>
        </w:rPr>
        <w:lastRenderedPageBreak/>
        <w:t xml:space="preserve">Kartogramy </w:t>
      </w:r>
      <w:r w:rsidR="00BA35F3">
        <w:rPr>
          <w:noProof/>
          <w:szCs w:val="20"/>
        </w:rPr>
        <w:t>č. </w:t>
      </w:r>
      <w:r w:rsidR="00BC7833">
        <w:rPr>
          <w:noProof/>
          <w:szCs w:val="20"/>
        </w:rPr>
        <w:t>5 </w:t>
      </w:r>
      <w:r>
        <w:rPr>
          <w:noProof/>
          <w:szCs w:val="20"/>
        </w:rPr>
        <w:t>až 9</w:t>
      </w:r>
    </w:p>
    <w:p w14:paraId="66E93264" w14:textId="77777777" w:rsidR="009A4F91" w:rsidRDefault="009A4F91" w:rsidP="00CC0F9A">
      <w:pPr>
        <w:spacing w:after="0" w:line="240" w:lineRule="auto"/>
        <w:rPr>
          <w:sz w:val="14"/>
          <w:szCs w:val="14"/>
        </w:rPr>
      </w:pPr>
      <w:r>
        <w:rPr>
          <w:noProof/>
        </w:rPr>
        <w:drawing>
          <wp:inline distT="0" distB="0" distL="0" distR="0" wp14:anchorId="70A0886E" wp14:editId="599EC956">
            <wp:extent cx="6087600" cy="4302000"/>
            <wp:effectExtent l="0" t="0" r="8890" b="381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zaměstnanost-pou-MvsŽ.jpg"/>
                    <pic:cNvPicPr/>
                  </pic:nvPicPr>
                  <pic:blipFill>
                    <a:blip r:embed="rId12">
                      <a:extLst>
                        <a:ext uri="{28A0092B-C50C-407E-A947-70E740481C1C}">
                          <a14:useLocalDpi xmlns:a14="http://schemas.microsoft.com/office/drawing/2010/main" val="0"/>
                        </a:ext>
                      </a:extLst>
                    </a:blip>
                    <a:stretch>
                      <a:fillRect/>
                    </a:stretch>
                  </pic:blipFill>
                  <pic:spPr>
                    <a:xfrm>
                      <a:off x="0" y="0"/>
                      <a:ext cx="6087600" cy="4302000"/>
                    </a:xfrm>
                    <a:prstGeom prst="rect">
                      <a:avLst/>
                    </a:prstGeom>
                  </pic:spPr>
                </pic:pic>
              </a:graphicData>
            </a:graphic>
          </wp:inline>
        </w:drawing>
      </w:r>
    </w:p>
    <w:p w14:paraId="1B3F084D" w14:textId="77777777" w:rsidR="009A4F91" w:rsidRPr="00833E86" w:rsidRDefault="009A4F91" w:rsidP="00CC0F9A">
      <w:pPr>
        <w:spacing w:after="0" w:line="240" w:lineRule="auto"/>
        <w:rPr>
          <w:sz w:val="14"/>
          <w:szCs w:val="14"/>
        </w:rPr>
      </w:pPr>
    </w:p>
    <w:p w14:paraId="5C2E2539" w14:textId="77777777" w:rsidR="00CC0F9A" w:rsidRDefault="00CC0F9A" w:rsidP="00CC0F9A">
      <w:pPr>
        <w:spacing w:after="0"/>
      </w:pPr>
      <w:r>
        <w:rPr>
          <w:noProof/>
        </w:rPr>
        <w:drawing>
          <wp:inline distT="0" distB="0" distL="0" distR="0" wp14:anchorId="3B9EDF4E" wp14:editId="58E97EDD">
            <wp:extent cx="6087600" cy="4302000"/>
            <wp:effectExtent l="0" t="0" r="8890" b="381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z-POÚ-skladba uchazečů.jpg"/>
                    <pic:cNvPicPr/>
                  </pic:nvPicPr>
                  <pic:blipFill>
                    <a:blip r:embed="rId13">
                      <a:extLst>
                        <a:ext uri="{28A0092B-C50C-407E-A947-70E740481C1C}">
                          <a14:useLocalDpi xmlns:a14="http://schemas.microsoft.com/office/drawing/2010/main" val="0"/>
                        </a:ext>
                      </a:extLst>
                    </a:blip>
                    <a:stretch>
                      <a:fillRect/>
                    </a:stretch>
                  </pic:blipFill>
                  <pic:spPr>
                    <a:xfrm>
                      <a:off x="0" y="0"/>
                      <a:ext cx="6087600" cy="4302000"/>
                    </a:xfrm>
                    <a:prstGeom prst="rect">
                      <a:avLst/>
                    </a:prstGeom>
                  </pic:spPr>
                </pic:pic>
              </a:graphicData>
            </a:graphic>
          </wp:inline>
        </w:drawing>
      </w:r>
    </w:p>
    <w:p w14:paraId="7156DED6" w14:textId="77777777" w:rsidR="00CC0F9A" w:rsidRDefault="00CC0F9A" w:rsidP="00CC0F9A">
      <w:pPr>
        <w:spacing w:after="0" w:line="240" w:lineRule="auto"/>
        <w:rPr>
          <w:sz w:val="16"/>
          <w:szCs w:val="16"/>
        </w:rPr>
      </w:pPr>
      <w:r>
        <w:rPr>
          <w:noProof/>
          <w:sz w:val="16"/>
          <w:szCs w:val="16"/>
        </w:rPr>
        <w:lastRenderedPageBreak/>
        <w:drawing>
          <wp:inline distT="0" distB="0" distL="0" distR="0" wp14:anchorId="10B4C1B9" wp14:editId="01789D18">
            <wp:extent cx="6138000" cy="4338000"/>
            <wp:effectExtent l="0" t="0" r="0" b="5715"/>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zaměstnanost-okres-skladba uchazečů.jpg"/>
                    <pic:cNvPicPr/>
                  </pic:nvPicPr>
                  <pic:blipFill>
                    <a:blip r:embed="rId14">
                      <a:extLst>
                        <a:ext uri="{28A0092B-C50C-407E-A947-70E740481C1C}">
                          <a14:useLocalDpi xmlns:a14="http://schemas.microsoft.com/office/drawing/2010/main" val="0"/>
                        </a:ext>
                      </a:extLst>
                    </a:blip>
                    <a:stretch>
                      <a:fillRect/>
                    </a:stretch>
                  </pic:blipFill>
                  <pic:spPr>
                    <a:xfrm>
                      <a:off x="0" y="0"/>
                      <a:ext cx="6138000" cy="4338000"/>
                    </a:xfrm>
                    <a:prstGeom prst="rect">
                      <a:avLst/>
                    </a:prstGeom>
                  </pic:spPr>
                </pic:pic>
              </a:graphicData>
            </a:graphic>
          </wp:inline>
        </w:drawing>
      </w:r>
    </w:p>
    <w:p w14:paraId="2CAF9D7F" w14:textId="77777777" w:rsidR="00CC0F9A" w:rsidRDefault="00CC0F9A" w:rsidP="00CC0F9A">
      <w:pPr>
        <w:spacing w:after="0" w:line="240" w:lineRule="auto"/>
        <w:rPr>
          <w:sz w:val="16"/>
          <w:szCs w:val="16"/>
        </w:rPr>
      </w:pPr>
    </w:p>
    <w:p w14:paraId="6839DE63" w14:textId="77777777" w:rsidR="00CC0F9A" w:rsidRPr="007A62D5" w:rsidRDefault="00CC0F9A" w:rsidP="00CC0F9A">
      <w:pPr>
        <w:spacing w:after="0" w:line="240" w:lineRule="auto"/>
        <w:rPr>
          <w:sz w:val="16"/>
          <w:szCs w:val="16"/>
        </w:rPr>
      </w:pPr>
      <w:r>
        <w:rPr>
          <w:noProof/>
          <w:sz w:val="16"/>
          <w:szCs w:val="16"/>
        </w:rPr>
        <w:drawing>
          <wp:inline distT="0" distB="0" distL="0" distR="0" wp14:anchorId="0B2F4EC1" wp14:editId="30ECFBF6">
            <wp:extent cx="6138000" cy="4338000"/>
            <wp:effectExtent l="0" t="0" r="0" b="5715"/>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zaměstnanost-okres-typologie-2018.jpg"/>
                    <pic:cNvPicPr/>
                  </pic:nvPicPr>
                  <pic:blipFill>
                    <a:blip r:embed="rId15">
                      <a:extLst>
                        <a:ext uri="{28A0092B-C50C-407E-A947-70E740481C1C}">
                          <a14:useLocalDpi xmlns:a14="http://schemas.microsoft.com/office/drawing/2010/main" val="0"/>
                        </a:ext>
                      </a:extLst>
                    </a:blip>
                    <a:stretch>
                      <a:fillRect/>
                    </a:stretch>
                  </pic:blipFill>
                  <pic:spPr>
                    <a:xfrm>
                      <a:off x="0" y="0"/>
                      <a:ext cx="6138000" cy="4338000"/>
                    </a:xfrm>
                    <a:prstGeom prst="rect">
                      <a:avLst/>
                    </a:prstGeom>
                  </pic:spPr>
                </pic:pic>
              </a:graphicData>
            </a:graphic>
          </wp:inline>
        </w:drawing>
      </w:r>
    </w:p>
    <w:p w14:paraId="0F156039" w14:textId="588560D9" w:rsidR="00CC0F9A" w:rsidRPr="00380698" w:rsidRDefault="00CC0F9A" w:rsidP="00CC0F9A">
      <w:pPr>
        <w:spacing w:after="0" w:line="240" w:lineRule="auto"/>
        <w:rPr>
          <w:spacing w:val="-2"/>
          <w:szCs w:val="20"/>
        </w:rPr>
      </w:pPr>
      <w:r w:rsidRPr="00380698">
        <w:rPr>
          <w:spacing w:val="-2"/>
          <w:sz w:val="16"/>
          <w:szCs w:val="16"/>
        </w:rPr>
        <w:t>Pozn</w:t>
      </w:r>
      <w:r w:rsidR="00017762">
        <w:rPr>
          <w:spacing w:val="-2"/>
          <w:sz w:val="16"/>
          <w:szCs w:val="16"/>
        </w:rPr>
        <w:t>.</w:t>
      </w:r>
      <w:r w:rsidRPr="00380698">
        <w:rPr>
          <w:spacing w:val="-2"/>
          <w:sz w:val="16"/>
          <w:szCs w:val="16"/>
        </w:rPr>
        <w:t xml:space="preserve">: </w:t>
      </w:r>
      <w:r w:rsidR="00017762">
        <w:rPr>
          <w:spacing w:val="-2"/>
          <w:sz w:val="16"/>
          <w:szCs w:val="16"/>
        </w:rPr>
        <w:t>H</w:t>
      </w:r>
      <w:r w:rsidRPr="00380698">
        <w:rPr>
          <w:spacing w:val="-2"/>
          <w:sz w:val="16"/>
          <w:szCs w:val="16"/>
        </w:rPr>
        <w:t>odnocení volných pracovních míst nelze z důvodu snížení kvality vstupních údajů provést v podrobnější úrovni než okresní. Skoro čtvrtinu všech registrovaných míst k 31.</w:t>
      </w:r>
      <w:r w:rsidR="00017762">
        <w:rPr>
          <w:spacing w:val="-2"/>
          <w:sz w:val="16"/>
          <w:szCs w:val="16"/>
        </w:rPr>
        <w:t> </w:t>
      </w:r>
      <w:r w:rsidRPr="00380698">
        <w:rPr>
          <w:spacing w:val="-2"/>
          <w:sz w:val="16"/>
          <w:szCs w:val="16"/>
        </w:rPr>
        <w:t>12.</w:t>
      </w:r>
      <w:r w:rsidR="00017762">
        <w:rPr>
          <w:spacing w:val="-2"/>
          <w:sz w:val="16"/>
          <w:szCs w:val="16"/>
        </w:rPr>
        <w:t> </w:t>
      </w:r>
      <w:r w:rsidRPr="00380698">
        <w:rPr>
          <w:spacing w:val="-2"/>
          <w:sz w:val="16"/>
          <w:szCs w:val="16"/>
        </w:rPr>
        <w:t>2018</w:t>
      </w:r>
      <w:r w:rsidR="006454CC">
        <w:rPr>
          <w:spacing w:val="-2"/>
          <w:sz w:val="16"/>
          <w:szCs w:val="16"/>
        </w:rPr>
        <w:t xml:space="preserve"> </w:t>
      </w:r>
      <w:r w:rsidRPr="00380698">
        <w:rPr>
          <w:spacing w:val="-2"/>
          <w:sz w:val="16"/>
          <w:szCs w:val="16"/>
        </w:rPr>
        <w:t xml:space="preserve">bylo možno přiřadit jen do konkrétního okresu, nikoliv </w:t>
      </w:r>
      <w:r w:rsidR="00017762">
        <w:rPr>
          <w:spacing w:val="-2"/>
          <w:sz w:val="16"/>
          <w:szCs w:val="16"/>
        </w:rPr>
        <w:t>do</w:t>
      </w:r>
      <w:r w:rsidRPr="00380698">
        <w:rPr>
          <w:spacing w:val="-2"/>
          <w:sz w:val="16"/>
          <w:szCs w:val="16"/>
        </w:rPr>
        <w:t xml:space="preserve"> obce či POÚ.</w:t>
      </w:r>
      <w:bookmarkStart w:id="1" w:name="_GoBack"/>
      <w:bookmarkEnd w:id="1"/>
    </w:p>
    <w:sectPr w:rsidR="00CC0F9A" w:rsidRPr="00380698" w:rsidSect="006F5416">
      <w:headerReference w:type="even" r:id="rId16"/>
      <w:headerReference w:type="default" r:id="rId17"/>
      <w:footerReference w:type="even" r:id="rId18"/>
      <w:footerReference w:type="default" r:id="rId19"/>
      <w:footnotePr>
        <w:pos w:val="beneathText"/>
      </w:footnotePr>
      <w:pgSz w:w="11906" w:h="16838" w:code="9"/>
      <w:pgMar w:top="1134" w:right="1134" w:bottom="1418" w:left="1134" w:header="680" w:footer="68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A571AD" w16cid:durableId="2112BAA4"/>
  <w16cid:commentId w16cid:paraId="797DF3BF" w16cid:durableId="2112C741"/>
  <w16cid:commentId w16cid:paraId="5D9BFD76" w16cid:durableId="2112CAF1"/>
  <w16cid:commentId w16cid:paraId="4D2643BC" w16cid:durableId="2112D015"/>
  <w16cid:commentId w16cid:paraId="64EAC988" w16cid:durableId="21137880"/>
  <w16cid:commentId w16cid:paraId="5446B628" w16cid:durableId="211389B5"/>
  <w16cid:commentId w16cid:paraId="368D907F" w16cid:durableId="2113CB61"/>
  <w16cid:commentId w16cid:paraId="2E75A395" w16cid:durableId="21138B79"/>
  <w16cid:commentId w16cid:paraId="4E2854D6" w16cid:durableId="21138CCC"/>
  <w16cid:commentId w16cid:paraId="6D7E8A28" w16cid:durableId="2113CA35"/>
  <w16cid:commentId w16cid:paraId="322B2F7D" w16cid:durableId="2113CBFB"/>
  <w16cid:commentId w16cid:paraId="149A838A" w16cid:durableId="2113DEC4"/>
  <w16cid:commentId w16cid:paraId="12349168" w16cid:durableId="2113E013"/>
  <w16cid:commentId w16cid:paraId="27C8990F" w16cid:durableId="2113DC11"/>
  <w16cid:commentId w16cid:paraId="04071B5F" w16cid:durableId="2113E16E"/>
  <w16cid:commentId w16cid:paraId="447DAD33" w16cid:durableId="2114CE72"/>
  <w16cid:commentId w16cid:paraId="6ECA3228" w16cid:durableId="2114DDC4"/>
  <w16cid:commentId w16cid:paraId="77FF6D81" w16cid:durableId="2114DFBA"/>
  <w16cid:commentId w16cid:paraId="0890F7F0" w16cid:durableId="2114DB9F"/>
  <w16cid:commentId w16cid:paraId="60A4E397" w16cid:durableId="21141192"/>
  <w16cid:commentId w16cid:paraId="4F3D94F7" w16cid:durableId="21152395"/>
  <w16cid:commentId w16cid:paraId="635721EC" w16cid:durableId="21152AA2"/>
  <w16cid:commentId w16cid:paraId="6ED35DA1" w16cid:durableId="2115337B"/>
  <w16cid:commentId w16cid:paraId="2E561FF0" w16cid:durableId="21175359"/>
  <w16cid:commentId w16cid:paraId="0833B399" w16cid:durableId="211776E6"/>
  <w16cid:commentId w16cid:paraId="7FB202E3" w16cid:durableId="21177A5E"/>
  <w16cid:commentId w16cid:paraId="77C610BB" w16cid:durableId="211785A9"/>
  <w16cid:commentId w16cid:paraId="5945CE27" w16cid:durableId="2117B660"/>
  <w16cid:commentId w16cid:paraId="65B5C048" w16cid:durableId="2117C193"/>
  <w16cid:commentId w16cid:paraId="64DEABC3" w16cid:durableId="2117CCC1"/>
  <w16cid:commentId w16cid:paraId="290BB16F" w16cid:durableId="2117BCE5"/>
  <w16cid:commentId w16cid:paraId="6737B076" w16cid:durableId="2117DCF9"/>
  <w16cid:commentId w16cid:paraId="26EA541D" w16cid:durableId="21180946"/>
  <w16cid:commentId w16cid:paraId="3E19951C" w16cid:durableId="21180DF8"/>
  <w16cid:commentId w16cid:paraId="1468C132" w16cid:durableId="21189FD4"/>
  <w16cid:commentId w16cid:paraId="554224F1" w16cid:durableId="2118A096"/>
  <w16cid:commentId w16cid:paraId="60D37C55" w16cid:durableId="2118B1E6"/>
  <w16cid:commentId w16cid:paraId="588B042A" w16cid:durableId="2118A2F3"/>
  <w16cid:commentId w16cid:paraId="5DE0CF6E" w16cid:durableId="2118B48C"/>
  <w16cid:commentId w16cid:paraId="581472C4" w16cid:durableId="2118A3E1"/>
  <w16cid:commentId w16cid:paraId="18133820" w16cid:durableId="2118A61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290809" w14:textId="77777777" w:rsidR="0081477B" w:rsidRDefault="0081477B" w:rsidP="00E71A58">
      <w:r>
        <w:separator/>
      </w:r>
    </w:p>
  </w:endnote>
  <w:endnote w:type="continuationSeparator" w:id="0">
    <w:p w14:paraId="53221E6D" w14:textId="77777777" w:rsidR="0081477B" w:rsidRDefault="0081477B" w:rsidP="00E7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inion Pro">
    <w:charset w:val="00"/>
    <w:family w:val="auto"/>
    <w:pitch w:val="variable"/>
    <w:sig w:usb0="00000003" w:usb1="00000000" w:usb2="00000000" w:usb3="00000000" w:csb0="00000001" w:csb1="00000000"/>
  </w:font>
  <w:font w:name="Times New Roman CE obyèejné">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684EF" w14:textId="75D39F69" w:rsidR="004E684C" w:rsidRPr="00932443" w:rsidRDefault="004E684C" w:rsidP="00A418BC">
    <w:pPr>
      <w:pStyle w:val="Zpat"/>
      <w:rPr>
        <w:szCs w:val="16"/>
      </w:rPr>
    </w:pPr>
    <w:r>
      <w:rPr>
        <w:szCs w:val="16"/>
        <w:lang w:eastAsia="cs-CZ"/>
      </w:rPr>
      <w:drawing>
        <wp:anchor distT="0" distB="0" distL="114300" distR="114300" simplePos="0" relativeHeight="251658240" behindDoc="0" locked="0" layoutInCell="1" allowOverlap="1" wp14:anchorId="6E37B55D" wp14:editId="6A3597CF">
          <wp:simplePos x="0" y="0"/>
          <wp:positionH relativeFrom="column">
            <wp:align>right</wp:align>
          </wp:positionH>
          <wp:positionV relativeFrom="paragraph">
            <wp:posOffset>-64770</wp:posOffset>
          </wp:positionV>
          <wp:extent cx="428625" cy="201295"/>
          <wp:effectExtent l="0" t="0" r="3175" b="1905"/>
          <wp:wrapNone/>
          <wp:docPr id="113" name="Picture 15" descr="CSU RGB CZ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U RGB CZ log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201295"/>
                  </a:xfrm>
                  <a:prstGeom prst="rect">
                    <a:avLst/>
                  </a:prstGeom>
                  <a:noFill/>
                  <a:ln>
                    <a:noFill/>
                  </a:ln>
                </pic:spPr>
              </pic:pic>
            </a:graphicData>
          </a:graphic>
        </wp:anchor>
      </w:drawing>
    </w:r>
    <w:r w:rsidRPr="00932443">
      <w:rPr>
        <w:szCs w:val="16"/>
      </w:rPr>
      <w:fldChar w:fldCharType="begin"/>
    </w:r>
    <w:r w:rsidRPr="00932443">
      <w:rPr>
        <w:szCs w:val="16"/>
      </w:rPr>
      <w:instrText>PAGE   \* MERGEFORMAT</w:instrText>
    </w:r>
    <w:r w:rsidRPr="00932443">
      <w:rPr>
        <w:szCs w:val="16"/>
      </w:rPr>
      <w:fldChar w:fldCharType="separate"/>
    </w:r>
    <w:r w:rsidR="00D83A33">
      <w:rPr>
        <w:szCs w:val="16"/>
      </w:rPr>
      <w:t>8</w:t>
    </w:r>
    <w:r w:rsidRPr="00932443">
      <w:rPr>
        <w:szCs w:val="16"/>
      </w:rPr>
      <w:fldChar w:fldCharType="end"/>
    </w:r>
    <w:r w:rsidRPr="00932443">
      <w:rPr>
        <w:szCs w:val="16"/>
      </w:rPr>
      <w:tab/>
    </w:r>
    <w:r>
      <w:rPr>
        <w:szCs w:val="16"/>
      </w:rPr>
      <w:t>2019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86E2E" w14:textId="65F253BD" w:rsidR="004E684C" w:rsidRPr="00932443" w:rsidRDefault="004E684C" w:rsidP="00A418BC">
    <w:pPr>
      <w:pStyle w:val="Zpat"/>
      <w:rPr>
        <w:szCs w:val="16"/>
      </w:rPr>
    </w:pPr>
    <w:r>
      <w:rPr>
        <w:szCs w:val="16"/>
        <w:lang w:eastAsia="cs-CZ"/>
      </w:rPr>
      <w:drawing>
        <wp:anchor distT="0" distB="0" distL="114300" distR="114300" simplePos="0" relativeHeight="251657216" behindDoc="0" locked="0" layoutInCell="1" allowOverlap="1" wp14:anchorId="250DD71D" wp14:editId="1F023121">
          <wp:simplePos x="0" y="0"/>
          <wp:positionH relativeFrom="column">
            <wp:align>left</wp:align>
          </wp:positionH>
          <wp:positionV relativeFrom="paragraph">
            <wp:posOffset>-122555</wp:posOffset>
          </wp:positionV>
          <wp:extent cx="510540" cy="272415"/>
          <wp:effectExtent l="0" t="0" r="0" b="6985"/>
          <wp:wrapNone/>
          <wp:docPr id="114" name="Picture 16" descr="CSU RGB CZ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U RGB CZ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272415"/>
                  </a:xfrm>
                  <a:prstGeom prst="rect">
                    <a:avLst/>
                  </a:prstGeom>
                  <a:noFill/>
                  <a:ln>
                    <a:noFill/>
                  </a:ln>
                </pic:spPr>
              </pic:pic>
            </a:graphicData>
          </a:graphic>
        </wp:anchor>
      </w:drawing>
    </w:r>
    <w:r w:rsidRPr="00932443">
      <w:rPr>
        <w:szCs w:val="16"/>
      </w:rPr>
      <w:tab/>
    </w:r>
    <w:r>
      <w:rPr>
        <w:rStyle w:val="ZpatChar"/>
        <w:szCs w:val="16"/>
      </w:rPr>
      <w:t>2019</w:t>
    </w:r>
    <w:r w:rsidRPr="00932443">
      <w:rPr>
        <w:szCs w:val="16"/>
      </w:rPr>
      <w:tab/>
    </w:r>
    <w:r w:rsidRPr="00932443">
      <w:rPr>
        <w:rStyle w:val="ZpatChar"/>
        <w:szCs w:val="16"/>
      </w:rPr>
      <w:fldChar w:fldCharType="begin"/>
    </w:r>
    <w:r w:rsidRPr="00932443">
      <w:rPr>
        <w:rStyle w:val="ZpatChar"/>
        <w:szCs w:val="16"/>
      </w:rPr>
      <w:instrText>PAGE   \* MERGEFORMAT</w:instrText>
    </w:r>
    <w:r w:rsidRPr="00932443">
      <w:rPr>
        <w:rStyle w:val="ZpatChar"/>
        <w:szCs w:val="16"/>
      </w:rPr>
      <w:fldChar w:fldCharType="separate"/>
    </w:r>
    <w:r w:rsidR="00D83A33">
      <w:rPr>
        <w:rStyle w:val="ZpatChar"/>
        <w:szCs w:val="16"/>
      </w:rPr>
      <w:t>7</w:t>
    </w:r>
    <w:r w:rsidRPr="00932443">
      <w:rPr>
        <w:rStyle w:val="ZpatCha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10B35C" w14:textId="77777777" w:rsidR="0081477B" w:rsidRDefault="0081477B" w:rsidP="0084727E">
      <w:pPr>
        <w:spacing w:after="0"/>
      </w:pPr>
      <w:r>
        <w:separator/>
      </w:r>
    </w:p>
  </w:footnote>
  <w:footnote w:type="continuationSeparator" w:id="0">
    <w:p w14:paraId="06DB7053" w14:textId="77777777" w:rsidR="0081477B" w:rsidRDefault="0081477B" w:rsidP="00E71A58">
      <w:r>
        <w:continuationSeparator/>
      </w:r>
    </w:p>
  </w:footnote>
  <w:footnote w:id="1">
    <w:p w14:paraId="5C88E367" w14:textId="159C92E0" w:rsidR="004E684C" w:rsidRPr="00BB4A5B" w:rsidRDefault="004E684C" w:rsidP="00EF0FC4">
      <w:pPr>
        <w:pStyle w:val="Textpoznpodarou"/>
        <w:rPr>
          <w:spacing w:val="-2"/>
          <w:sz w:val="16"/>
          <w:szCs w:val="16"/>
        </w:rPr>
      </w:pPr>
      <w:r w:rsidRPr="00BB4A5B">
        <w:rPr>
          <w:rStyle w:val="Znakapoznpodarou"/>
          <w:spacing w:val="-2"/>
          <w:sz w:val="16"/>
          <w:szCs w:val="16"/>
        </w:rPr>
        <w:footnoteRef/>
      </w:r>
      <w:r w:rsidRPr="00BB4A5B">
        <w:rPr>
          <w:spacing w:val="-2"/>
          <w:sz w:val="16"/>
          <w:szCs w:val="16"/>
        </w:rPr>
        <w:t xml:space="preserve"> Krátkodobá očekávání zaměstnanosti (na období nejbližších tř</w:t>
      </w:r>
      <w:r>
        <w:rPr>
          <w:spacing w:val="-2"/>
          <w:sz w:val="16"/>
          <w:szCs w:val="16"/>
        </w:rPr>
        <w:t>í</w:t>
      </w:r>
      <w:r w:rsidRPr="00BB4A5B">
        <w:rPr>
          <w:spacing w:val="-2"/>
          <w:sz w:val="16"/>
          <w:szCs w:val="16"/>
        </w:rPr>
        <w:t xml:space="preserve"> měsíců) byla ještě na počátku loňského roku ve většině klíčových odvětví ekonomiky vysoká. Např</w:t>
      </w:r>
      <w:r>
        <w:rPr>
          <w:spacing w:val="-2"/>
          <w:sz w:val="16"/>
          <w:szCs w:val="16"/>
        </w:rPr>
        <w:t>íklad</w:t>
      </w:r>
      <w:r w:rsidRPr="00BB4A5B">
        <w:rPr>
          <w:spacing w:val="-2"/>
          <w:sz w:val="16"/>
          <w:szCs w:val="16"/>
        </w:rPr>
        <w:t xml:space="preserve"> v průmyslu činilo sezón</w:t>
      </w:r>
      <w:r>
        <w:rPr>
          <w:spacing w:val="-2"/>
          <w:sz w:val="16"/>
          <w:szCs w:val="16"/>
        </w:rPr>
        <w:t>n</w:t>
      </w:r>
      <w:r w:rsidRPr="00BB4A5B">
        <w:rPr>
          <w:spacing w:val="-2"/>
          <w:sz w:val="16"/>
          <w:szCs w:val="16"/>
        </w:rPr>
        <w:t>ě očištěné saldo očekávání +13</w:t>
      </w:r>
      <w:r>
        <w:rPr>
          <w:spacing w:val="-2"/>
          <w:sz w:val="16"/>
          <w:szCs w:val="16"/>
        </w:rPr>
        <w:t> bodů</w:t>
      </w:r>
      <w:r w:rsidRPr="00BB4A5B">
        <w:rPr>
          <w:spacing w:val="-2"/>
          <w:sz w:val="16"/>
          <w:szCs w:val="16"/>
        </w:rPr>
        <w:t xml:space="preserve"> (tj.</w:t>
      </w:r>
      <w:r>
        <w:rPr>
          <w:spacing w:val="-2"/>
          <w:sz w:val="16"/>
          <w:szCs w:val="16"/>
        </w:rPr>
        <w:t> </w:t>
      </w:r>
      <w:r w:rsidRPr="00BB4A5B">
        <w:rPr>
          <w:spacing w:val="-2"/>
          <w:sz w:val="16"/>
          <w:szCs w:val="16"/>
        </w:rPr>
        <w:t>rozdíl v procentních bodech mezi podílem podniků očekávajících navýšení zaměstnanosti a</w:t>
      </w:r>
      <w:r>
        <w:rPr>
          <w:spacing w:val="-2"/>
          <w:sz w:val="16"/>
          <w:szCs w:val="16"/>
        </w:rPr>
        <w:t> </w:t>
      </w:r>
      <w:r w:rsidRPr="00BB4A5B">
        <w:rPr>
          <w:spacing w:val="-2"/>
          <w:sz w:val="16"/>
          <w:szCs w:val="16"/>
        </w:rPr>
        <w:t xml:space="preserve">těch, které přepokládají snížení). V obchodu </w:t>
      </w:r>
      <w:r>
        <w:rPr>
          <w:spacing w:val="-2"/>
          <w:sz w:val="16"/>
          <w:szCs w:val="16"/>
        </w:rPr>
        <w:t xml:space="preserve">a ostatních službách bylo </w:t>
      </w:r>
      <w:r w:rsidRPr="00BB4A5B">
        <w:rPr>
          <w:spacing w:val="-2"/>
          <w:sz w:val="16"/>
          <w:szCs w:val="16"/>
        </w:rPr>
        <w:t xml:space="preserve">saldo dokonce </w:t>
      </w:r>
      <w:r>
        <w:rPr>
          <w:spacing w:val="-2"/>
          <w:sz w:val="16"/>
          <w:szCs w:val="16"/>
        </w:rPr>
        <w:t xml:space="preserve">ještě </w:t>
      </w:r>
      <w:r w:rsidRPr="00BB4A5B">
        <w:rPr>
          <w:spacing w:val="-2"/>
          <w:sz w:val="16"/>
          <w:szCs w:val="16"/>
        </w:rPr>
        <w:t>nep</w:t>
      </w:r>
      <w:r>
        <w:rPr>
          <w:spacing w:val="-2"/>
          <w:sz w:val="16"/>
          <w:szCs w:val="16"/>
        </w:rPr>
        <w:t>atrně vyšší. V prosinci 2018</w:t>
      </w:r>
      <w:r w:rsidRPr="00BB4A5B">
        <w:rPr>
          <w:spacing w:val="-2"/>
          <w:sz w:val="16"/>
          <w:szCs w:val="16"/>
        </w:rPr>
        <w:t xml:space="preserve"> čítalo </w:t>
      </w:r>
      <w:r>
        <w:rPr>
          <w:spacing w:val="-2"/>
          <w:sz w:val="16"/>
          <w:szCs w:val="16"/>
        </w:rPr>
        <w:t xml:space="preserve">saldo </w:t>
      </w:r>
      <w:r w:rsidRPr="00BB4A5B">
        <w:rPr>
          <w:spacing w:val="-2"/>
          <w:sz w:val="16"/>
          <w:szCs w:val="16"/>
        </w:rPr>
        <w:t>v průmyslu jen +6</w:t>
      </w:r>
      <w:r>
        <w:rPr>
          <w:spacing w:val="-2"/>
          <w:sz w:val="16"/>
          <w:szCs w:val="16"/>
        </w:rPr>
        <w:t> </w:t>
      </w:r>
      <w:r w:rsidRPr="00BB4A5B">
        <w:rPr>
          <w:spacing w:val="-2"/>
          <w:sz w:val="16"/>
          <w:szCs w:val="16"/>
        </w:rPr>
        <w:t>bodů a</w:t>
      </w:r>
      <w:r>
        <w:rPr>
          <w:spacing w:val="-2"/>
          <w:sz w:val="16"/>
          <w:szCs w:val="16"/>
        </w:rPr>
        <w:t> </w:t>
      </w:r>
      <w:r w:rsidRPr="00BB4A5B">
        <w:rPr>
          <w:spacing w:val="-2"/>
          <w:sz w:val="16"/>
          <w:szCs w:val="16"/>
        </w:rPr>
        <w:t xml:space="preserve">v kategorii ostatních </w:t>
      </w:r>
      <w:r>
        <w:rPr>
          <w:spacing w:val="-2"/>
          <w:sz w:val="16"/>
          <w:szCs w:val="16"/>
        </w:rPr>
        <w:t xml:space="preserve">tržních </w:t>
      </w:r>
      <w:r w:rsidRPr="00BB4A5B">
        <w:rPr>
          <w:spacing w:val="-2"/>
          <w:sz w:val="16"/>
          <w:szCs w:val="16"/>
        </w:rPr>
        <w:t xml:space="preserve">služeb dokonce </w:t>
      </w:r>
      <w:r>
        <w:rPr>
          <w:spacing w:val="-2"/>
          <w:sz w:val="16"/>
          <w:szCs w:val="16"/>
        </w:rPr>
        <w:t>–</w:t>
      </w:r>
      <w:r w:rsidRPr="00BB4A5B">
        <w:rPr>
          <w:spacing w:val="-2"/>
          <w:sz w:val="16"/>
          <w:szCs w:val="16"/>
        </w:rPr>
        <w:t>11 bodů. V rámci služeb se očekávání výrazněji snižovala zejména ve finančnictví, telekomunikacích, v poštovních a</w:t>
      </w:r>
      <w:r>
        <w:rPr>
          <w:spacing w:val="-2"/>
          <w:sz w:val="16"/>
          <w:szCs w:val="16"/>
        </w:rPr>
        <w:t> </w:t>
      </w:r>
      <w:r w:rsidRPr="00BB4A5B">
        <w:rPr>
          <w:spacing w:val="-2"/>
          <w:sz w:val="16"/>
          <w:szCs w:val="16"/>
        </w:rPr>
        <w:t>kurýrních činnostech, ve stravování a</w:t>
      </w:r>
      <w:r>
        <w:rPr>
          <w:spacing w:val="-2"/>
          <w:sz w:val="16"/>
          <w:szCs w:val="16"/>
        </w:rPr>
        <w:t> </w:t>
      </w:r>
      <w:r w:rsidRPr="00BB4A5B">
        <w:rPr>
          <w:spacing w:val="-2"/>
          <w:sz w:val="16"/>
          <w:szCs w:val="16"/>
        </w:rPr>
        <w:t>pohostinství, v reklamě či u</w:t>
      </w:r>
      <w:r>
        <w:rPr>
          <w:spacing w:val="-2"/>
          <w:sz w:val="16"/>
          <w:szCs w:val="16"/>
        </w:rPr>
        <w:t> </w:t>
      </w:r>
      <w:r w:rsidRPr="00BB4A5B">
        <w:rPr>
          <w:spacing w:val="-2"/>
          <w:sz w:val="16"/>
          <w:szCs w:val="16"/>
        </w:rPr>
        <w:t xml:space="preserve">cestovních kanceláří. Na </w:t>
      </w:r>
      <w:r>
        <w:rPr>
          <w:spacing w:val="-2"/>
          <w:sz w:val="16"/>
          <w:szCs w:val="16"/>
        </w:rPr>
        <w:t>druhé straně</w:t>
      </w:r>
      <w:r w:rsidRPr="00BB4A5B">
        <w:rPr>
          <w:spacing w:val="-2"/>
          <w:sz w:val="16"/>
          <w:szCs w:val="16"/>
        </w:rPr>
        <w:t xml:space="preserve"> vysoké kladné saldo přetrvalo v obchodě a</w:t>
      </w:r>
      <w:r>
        <w:rPr>
          <w:spacing w:val="-2"/>
          <w:sz w:val="16"/>
          <w:szCs w:val="16"/>
        </w:rPr>
        <w:t> </w:t>
      </w:r>
      <w:r w:rsidRPr="00BB4A5B">
        <w:rPr>
          <w:spacing w:val="-2"/>
          <w:sz w:val="16"/>
          <w:szCs w:val="16"/>
        </w:rPr>
        <w:t xml:space="preserve">také ve stavebnictví (kde v průběhu roku </w:t>
      </w:r>
      <w:r>
        <w:rPr>
          <w:spacing w:val="-2"/>
          <w:sz w:val="16"/>
          <w:szCs w:val="16"/>
        </w:rPr>
        <w:t xml:space="preserve">navíc </w:t>
      </w:r>
      <w:r w:rsidRPr="00BB4A5B">
        <w:rPr>
          <w:spacing w:val="-2"/>
          <w:sz w:val="16"/>
          <w:szCs w:val="16"/>
        </w:rPr>
        <w:t>sílilo).</w:t>
      </w:r>
    </w:p>
  </w:footnote>
  <w:footnote w:id="2">
    <w:p w14:paraId="0A88CBF3" w14:textId="57BE4801" w:rsidR="004E684C" w:rsidRPr="004634A9" w:rsidRDefault="004E684C" w:rsidP="00EF0FC4">
      <w:pPr>
        <w:pStyle w:val="Textpoznpodarou"/>
        <w:rPr>
          <w:sz w:val="16"/>
          <w:szCs w:val="16"/>
        </w:rPr>
      </w:pPr>
      <w:r w:rsidRPr="00BB4A5B">
        <w:rPr>
          <w:rStyle w:val="Znakapoznpodarou"/>
          <w:spacing w:val="-2"/>
          <w:sz w:val="16"/>
          <w:szCs w:val="16"/>
        </w:rPr>
        <w:footnoteRef/>
      </w:r>
      <w:r w:rsidRPr="00BB4A5B">
        <w:rPr>
          <w:spacing w:val="-2"/>
          <w:sz w:val="16"/>
          <w:szCs w:val="16"/>
        </w:rPr>
        <w:t xml:space="preserve"> Dle údajů VŠPS tvořili ve 4.</w:t>
      </w:r>
      <w:r>
        <w:rPr>
          <w:spacing w:val="-2"/>
          <w:sz w:val="16"/>
          <w:szCs w:val="16"/>
        </w:rPr>
        <w:t> </w:t>
      </w:r>
      <w:r w:rsidRPr="00BB4A5B">
        <w:rPr>
          <w:spacing w:val="-2"/>
          <w:sz w:val="16"/>
          <w:szCs w:val="16"/>
        </w:rPr>
        <w:t>čtvrtletí 2018 více než třetinu všech nezaměstnaných lidé, kteří byli bez práce méně než dva měsíce (více než polovinu pak lidé bez práce méně než pět měsíců). Dlouhodobě nezaměstnaných (nad 1</w:t>
      </w:r>
      <w:r>
        <w:rPr>
          <w:spacing w:val="-2"/>
          <w:sz w:val="16"/>
          <w:szCs w:val="16"/>
        </w:rPr>
        <w:t> </w:t>
      </w:r>
      <w:r w:rsidRPr="00BB4A5B">
        <w:rPr>
          <w:spacing w:val="-2"/>
          <w:sz w:val="16"/>
          <w:szCs w:val="16"/>
        </w:rPr>
        <w:t>rok) byla ale také bezmála třetina a</w:t>
      </w:r>
      <w:r>
        <w:rPr>
          <w:spacing w:val="-2"/>
          <w:sz w:val="16"/>
          <w:szCs w:val="16"/>
        </w:rPr>
        <w:t> </w:t>
      </w:r>
      <w:r w:rsidRPr="00BB4A5B">
        <w:rPr>
          <w:spacing w:val="-2"/>
          <w:sz w:val="16"/>
          <w:szCs w:val="16"/>
        </w:rPr>
        <w:t>počet osob, které neměly práci déle než dva roky, čítal téměř 20</w:t>
      </w:r>
      <w:r>
        <w:rPr>
          <w:spacing w:val="-2"/>
          <w:sz w:val="16"/>
          <w:szCs w:val="16"/>
        </w:rPr>
        <w:t> </w:t>
      </w:r>
      <w:r w:rsidRPr="00BB4A5B">
        <w:rPr>
          <w:spacing w:val="-2"/>
          <w:sz w:val="16"/>
          <w:szCs w:val="16"/>
        </w:rPr>
        <w:t>tis. (tj.</w:t>
      </w:r>
      <w:r>
        <w:rPr>
          <w:spacing w:val="-2"/>
          <w:sz w:val="16"/>
          <w:szCs w:val="16"/>
        </w:rPr>
        <w:t> </w:t>
      </w:r>
      <w:r w:rsidRPr="00BB4A5B">
        <w:rPr>
          <w:spacing w:val="-2"/>
          <w:sz w:val="16"/>
          <w:szCs w:val="16"/>
        </w:rPr>
        <w:t>šestinu všech nezaměstnaných).</w:t>
      </w:r>
    </w:p>
  </w:footnote>
  <w:footnote w:id="3">
    <w:p w14:paraId="353C5992" w14:textId="77777777" w:rsidR="007A4167" w:rsidRPr="00BB4A5B" w:rsidRDefault="007A4167" w:rsidP="00CC0F9A">
      <w:pPr>
        <w:pStyle w:val="Textpoznpodarou"/>
        <w:jc w:val="both"/>
        <w:rPr>
          <w:spacing w:val="-2"/>
          <w:sz w:val="16"/>
          <w:szCs w:val="16"/>
        </w:rPr>
      </w:pPr>
      <w:r w:rsidRPr="000D0BB2">
        <w:rPr>
          <w:rStyle w:val="Znakapoznpodarou"/>
          <w:spacing w:val="-4"/>
          <w:sz w:val="16"/>
          <w:szCs w:val="16"/>
        </w:rPr>
        <w:footnoteRef/>
      </w:r>
      <w:r w:rsidRPr="000D0BB2">
        <w:rPr>
          <w:spacing w:val="-4"/>
          <w:sz w:val="16"/>
          <w:szCs w:val="16"/>
        </w:rPr>
        <w:t xml:space="preserve"> </w:t>
      </w:r>
      <w:r>
        <w:rPr>
          <w:spacing w:val="-2"/>
          <w:sz w:val="16"/>
          <w:szCs w:val="16"/>
        </w:rPr>
        <w:t>Počet nezaměstnaných v těchto skupinách je tradičně velmi nízký (na celkové četnosti osob hledajících práci se tyto skupiny loni podílely pouze jednou dvanáctinou). Většina lidí v nich je ekonomicky neaktivních. Příznivější postavení žen (oproti mužům) zde souvisí s jejich intenzivnějším zapojením do terciárního vzdělávání a dále také s nižším zákonným důchodovým věkem.</w:t>
      </w:r>
    </w:p>
  </w:footnote>
  <w:footnote w:id="4">
    <w:p w14:paraId="7F4AC1A2" w14:textId="1BD615F8" w:rsidR="007A4167" w:rsidRPr="003A2A1C" w:rsidRDefault="007A4167" w:rsidP="00CC0F9A">
      <w:pPr>
        <w:pStyle w:val="Textpoznpodarou"/>
        <w:jc w:val="both"/>
        <w:rPr>
          <w:spacing w:val="-2"/>
          <w:sz w:val="16"/>
          <w:szCs w:val="16"/>
        </w:rPr>
      </w:pPr>
      <w:r w:rsidRPr="003A2A1C">
        <w:rPr>
          <w:rStyle w:val="Znakapoznpodarou"/>
          <w:spacing w:val="-2"/>
          <w:sz w:val="16"/>
          <w:szCs w:val="16"/>
        </w:rPr>
        <w:footnoteRef/>
      </w:r>
      <w:r w:rsidRPr="003A2A1C">
        <w:rPr>
          <w:spacing w:val="-2"/>
          <w:sz w:val="16"/>
          <w:szCs w:val="16"/>
        </w:rPr>
        <w:t xml:space="preserve"> </w:t>
      </w:r>
      <w:r w:rsidRPr="000D0BB2">
        <w:rPr>
          <w:spacing w:val="-4"/>
          <w:sz w:val="16"/>
          <w:szCs w:val="16"/>
        </w:rPr>
        <w:t>Tuto skutečnost názorně přibližují např. údaje ze 4.</w:t>
      </w:r>
      <w:r>
        <w:rPr>
          <w:spacing w:val="-4"/>
          <w:sz w:val="16"/>
          <w:szCs w:val="16"/>
        </w:rPr>
        <w:t> </w:t>
      </w:r>
      <w:r w:rsidRPr="000D0BB2">
        <w:rPr>
          <w:spacing w:val="-4"/>
          <w:sz w:val="16"/>
          <w:szCs w:val="16"/>
        </w:rPr>
        <w:t>čtvrtletí 2018. Ze všech nezaměstnaných ve 3.</w:t>
      </w:r>
      <w:r>
        <w:rPr>
          <w:spacing w:val="-4"/>
          <w:sz w:val="16"/>
          <w:szCs w:val="16"/>
        </w:rPr>
        <w:t> </w:t>
      </w:r>
      <w:r w:rsidRPr="000D0BB2">
        <w:rPr>
          <w:spacing w:val="-4"/>
          <w:sz w:val="16"/>
          <w:szCs w:val="16"/>
        </w:rPr>
        <w:t>čtvrtletí jich v následujícím čtvrtletí 38</w:t>
      </w:r>
      <w:r>
        <w:rPr>
          <w:spacing w:val="-4"/>
          <w:sz w:val="16"/>
          <w:szCs w:val="16"/>
        </w:rPr>
        <w:t> </w:t>
      </w:r>
      <w:r w:rsidRPr="000D0BB2">
        <w:rPr>
          <w:spacing w:val="-4"/>
          <w:sz w:val="16"/>
          <w:szCs w:val="16"/>
        </w:rPr>
        <w:t>tis. již patřilo mezi zaměstnané. Opačný tok (15</w:t>
      </w:r>
      <w:r>
        <w:rPr>
          <w:spacing w:val="-4"/>
          <w:sz w:val="16"/>
          <w:szCs w:val="16"/>
        </w:rPr>
        <w:t> </w:t>
      </w:r>
      <w:r w:rsidRPr="000D0BB2">
        <w:rPr>
          <w:spacing w:val="-4"/>
          <w:sz w:val="16"/>
          <w:szCs w:val="16"/>
        </w:rPr>
        <w:t>tis.) reprezentoval</w:t>
      </w:r>
      <w:r>
        <w:rPr>
          <w:spacing w:val="-4"/>
          <w:sz w:val="16"/>
          <w:szCs w:val="16"/>
        </w:rPr>
        <w:t>y</w:t>
      </w:r>
      <w:r w:rsidRPr="000D0BB2">
        <w:rPr>
          <w:spacing w:val="-4"/>
          <w:sz w:val="16"/>
          <w:szCs w:val="16"/>
        </w:rPr>
        <w:t xml:space="preserve"> osoby, které mezi 3. a</w:t>
      </w:r>
      <w:r>
        <w:rPr>
          <w:spacing w:val="-4"/>
          <w:sz w:val="16"/>
          <w:szCs w:val="16"/>
        </w:rPr>
        <w:t> </w:t>
      </w:r>
      <w:r w:rsidRPr="000D0BB2">
        <w:rPr>
          <w:spacing w:val="-4"/>
          <w:sz w:val="16"/>
          <w:szCs w:val="16"/>
        </w:rPr>
        <w:t>4.</w:t>
      </w:r>
      <w:r>
        <w:rPr>
          <w:spacing w:val="-4"/>
          <w:sz w:val="16"/>
          <w:szCs w:val="16"/>
        </w:rPr>
        <w:t> </w:t>
      </w:r>
      <w:r w:rsidRPr="000D0BB2">
        <w:rPr>
          <w:spacing w:val="-4"/>
          <w:sz w:val="16"/>
          <w:szCs w:val="16"/>
        </w:rPr>
        <w:t>čtvrtletím naopak o</w:t>
      </w:r>
      <w:r>
        <w:rPr>
          <w:spacing w:val="-4"/>
          <w:sz w:val="16"/>
          <w:szCs w:val="16"/>
        </w:rPr>
        <w:t> </w:t>
      </w:r>
      <w:r w:rsidRPr="000D0BB2">
        <w:rPr>
          <w:spacing w:val="-4"/>
          <w:sz w:val="16"/>
          <w:szCs w:val="16"/>
        </w:rPr>
        <w:t>práci přišly. Ve stejném období přešlo 25</w:t>
      </w:r>
      <w:r>
        <w:rPr>
          <w:spacing w:val="-4"/>
          <w:sz w:val="16"/>
          <w:szCs w:val="16"/>
        </w:rPr>
        <w:t> </w:t>
      </w:r>
      <w:r w:rsidRPr="000D0BB2">
        <w:rPr>
          <w:spacing w:val="-4"/>
          <w:sz w:val="16"/>
          <w:szCs w:val="16"/>
        </w:rPr>
        <w:t>tis. nezaměstnaných do stavu ekonomicky neaktivních, opačným směrem ale putovalo 32</w:t>
      </w:r>
      <w:r>
        <w:rPr>
          <w:spacing w:val="-4"/>
          <w:sz w:val="16"/>
          <w:szCs w:val="16"/>
        </w:rPr>
        <w:t> </w:t>
      </w:r>
      <w:r w:rsidRPr="000D0BB2">
        <w:rPr>
          <w:spacing w:val="-4"/>
          <w:sz w:val="16"/>
          <w:szCs w:val="16"/>
        </w:rPr>
        <w:t>tis. osob.</w:t>
      </w:r>
    </w:p>
  </w:footnote>
  <w:footnote w:id="5">
    <w:p w14:paraId="71F36C85" w14:textId="19B998D8" w:rsidR="007A4167" w:rsidRPr="00A039DF" w:rsidRDefault="007A4167" w:rsidP="00CC0F9A">
      <w:pPr>
        <w:pStyle w:val="Textpoznpodarou"/>
        <w:jc w:val="both"/>
        <w:rPr>
          <w:sz w:val="16"/>
          <w:szCs w:val="16"/>
        </w:rPr>
      </w:pPr>
      <w:r w:rsidRPr="00A039DF">
        <w:rPr>
          <w:rStyle w:val="Znakapoznpodarou"/>
          <w:sz w:val="16"/>
          <w:szCs w:val="16"/>
        </w:rPr>
        <w:footnoteRef/>
      </w:r>
      <w:r w:rsidRPr="00A039DF">
        <w:rPr>
          <w:sz w:val="16"/>
          <w:szCs w:val="16"/>
        </w:rPr>
        <w:t xml:space="preserve"> Sezónní vliv se do roku 2015 projevoval mezikvartálním nárůstem počtu nezaměstnaných v 1.</w:t>
      </w:r>
      <w:r>
        <w:rPr>
          <w:sz w:val="16"/>
          <w:szCs w:val="16"/>
        </w:rPr>
        <w:t> </w:t>
      </w:r>
      <w:r w:rsidRPr="00A039DF">
        <w:rPr>
          <w:sz w:val="16"/>
          <w:szCs w:val="16"/>
        </w:rPr>
        <w:t>čtvrtletí a</w:t>
      </w:r>
      <w:r>
        <w:rPr>
          <w:sz w:val="16"/>
          <w:szCs w:val="16"/>
        </w:rPr>
        <w:t> </w:t>
      </w:r>
      <w:r w:rsidRPr="00A039DF">
        <w:rPr>
          <w:sz w:val="16"/>
          <w:szCs w:val="16"/>
        </w:rPr>
        <w:t>následnou korekcí (poklesem) ve 2.</w:t>
      </w:r>
      <w:r>
        <w:rPr>
          <w:sz w:val="16"/>
          <w:szCs w:val="16"/>
        </w:rPr>
        <w:t> </w:t>
      </w:r>
      <w:r w:rsidRPr="00A039DF">
        <w:rPr>
          <w:sz w:val="16"/>
          <w:szCs w:val="16"/>
        </w:rPr>
        <w:t>čtvrtletí.</w:t>
      </w:r>
    </w:p>
  </w:footnote>
  <w:footnote w:id="6">
    <w:p w14:paraId="22971025" w14:textId="33D2FC8F" w:rsidR="007A4167" w:rsidRPr="00A039DF" w:rsidRDefault="007A4167" w:rsidP="006169F2">
      <w:pPr>
        <w:pStyle w:val="Textpoznpodarou"/>
        <w:jc w:val="both"/>
        <w:rPr>
          <w:spacing w:val="-2"/>
          <w:sz w:val="16"/>
          <w:szCs w:val="16"/>
        </w:rPr>
      </w:pPr>
      <w:r w:rsidRPr="00A039DF">
        <w:rPr>
          <w:rStyle w:val="Znakapoznpodarou"/>
          <w:sz w:val="16"/>
          <w:szCs w:val="16"/>
        </w:rPr>
        <w:footnoteRef/>
      </w:r>
      <w:r w:rsidRPr="00A039DF">
        <w:rPr>
          <w:sz w:val="16"/>
          <w:szCs w:val="16"/>
        </w:rPr>
        <w:t xml:space="preserve"> Zatímco ve 4.</w:t>
      </w:r>
      <w:r>
        <w:rPr>
          <w:sz w:val="16"/>
          <w:szCs w:val="16"/>
        </w:rPr>
        <w:t> </w:t>
      </w:r>
      <w:r w:rsidRPr="00A039DF">
        <w:rPr>
          <w:sz w:val="16"/>
          <w:szCs w:val="16"/>
        </w:rPr>
        <w:t>čtvrtletí 2016 pracovalo touto formou 9,9</w:t>
      </w:r>
      <w:r>
        <w:rPr>
          <w:sz w:val="16"/>
          <w:szCs w:val="16"/>
        </w:rPr>
        <w:t> %</w:t>
      </w:r>
      <w:r w:rsidRPr="00A039DF">
        <w:rPr>
          <w:sz w:val="16"/>
          <w:szCs w:val="16"/>
        </w:rPr>
        <w:t xml:space="preserve"> zaměstnanců, o</w:t>
      </w:r>
      <w:r>
        <w:rPr>
          <w:sz w:val="16"/>
          <w:szCs w:val="16"/>
        </w:rPr>
        <w:t> </w:t>
      </w:r>
      <w:r w:rsidRPr="00A039DF">
        <w:rPr>
          <w:sz w:val="16"/>
          <w:szCs w:val="16"/>
        </w:rPr>
        <w:t>dva roky později se</w:t>
      </w:r>
      <w:r>
        <w:rPr>
          <w:sz w:val="16"/>
          <w:szCs w:val="16"/>
        </w:rPr>
        <w:t xml:space="preserve"> tento podíl snížil na 8,1 % a</w:t>
      </w:r>
      <w:r w:rsidRPr="00A039DF">
        <w:rPr>
          <w:sz w:val="16"/>
          <w:szCs w:val="16"/>
        </w:rPr>
        <w:t> přiblížil se úrovni z období konjunktury minulé dekády. Tempo poklesu bylo v posledních letech u</w:t>
      </w:r>
      <w:r>
        <w:rPr>
          <w:sz w:val="16"/>
          <w:szCs w:val="16"/>
        </w:rPr>
        <w:t> </w:t>
      </w:r>
      <w:r w:rsidRPr="00A039DF">
        <w:rPr>
          <w:sz w:val="16"/>
          <w:szCs w:val="16"/>
        </w:rPr>
        <w:t>mužů mírně vyšší než u</w:t>
      </w:r>
      <w:r>
        <w:rPr>
          <w:sz w:val="16"/>
          <w:szCs w:val="16"/>
        </w:rPr>
        <w:t> </w:t>
      </w:r>
      <w:r w:rsidRPr="00A039DF">
        <w:rPr>
          <w:sz w:val="16"/>
          <w:szCs w:val="16"/>
        </w:rPr>
        <w:t>žen.</w:t>
      </w:r>
    </w:p>
  </w:footnote>
  <w:footnote w:id="7">
    <w:p w14:paraId="18532F97" w14:textId="39DD26DB" w:rsidR="004E684C" w:rsidRPr="00AA5EA1" w:rsidRDefault="004E684C" w:rsidP="006169F2">
      <w:pPr>
        <w:pStyle w:val="Textpoznpodarou"/>
        <w:rPr>
          <w:sz w:val="16"/>
          <w:szCs w:val="16"/>
        </w:rPr>
      </w:pPr>
      <w:r w:rsidRPr="00AA5EA1">
        <w:rPr>
          <w:rStyle w:val="Znakapoznpodarou"/>
          <w:sz w:val="16"/>
          <w:szCs w:val="16"/>
        </w:rPr>
        <w:footnoteRef/>
      </w:r>
      <w:r>
        <w:rPr>
          <w:sz w:val="16"/>
          <w:szCs w:val="16"/>
        </w:rPr>
        <w:t xml:space="preserve"> Dle pravidelného šetření MSPV (strukturální mzdová statistika) mělo v roce 2017 v kvalifikační třídě „o</w:t>
      </w:r>
      <w:r w:rsidRPr="00ED7CDA">
        <w:rPr>
          <w:sz w:val="16"/>
          <w:szCs w:val="16"/>
        </w:rPr>
        <w:t>bsluha strojů a</w:t>
      </w:r>
      <w:r>
        <w:rPr>
          <w:sz w:val="16"/>
          <w:szCs w:val="16"/>
        </w:rPr>
        <w:t> </w:t>
      </w:r>
      <w:r w:rsidRPr="00ED7CDA">
        <w:rPr>
          <w:sz w:val="16"/>
          <w:szCs w:val="16"/>
        </w:rPr>
        <w:t>zařízení, montéři</w:t>
      </w:r>
      <w:r>
        <w:rPr>
          <w:sz w:val="16"/>
          <w:szCs w:val="16"/>
        </w:rPr>
        <w:t>“ 61 % zaměstnanců učňovské vzdělání a pouze 12 % dosáhlo jen maximálně základního vzdělání (v obou případech šlo o dvakrát vyšší podíly než u všech zaměstnanců v ekonomice). Maturitní úrovní disponovalo v této třídě 22 % zaměstnanců.</w:t>
      </w:r>
    </w:p>
  </w:footnote>
  <w:footnote w:id="8">
    <w:p w14:paraId="4A5566A8" w14:textId="1C551F8C" w:rsidR="004E684C" w:rsidRPr="00AA5EA1" w:rsidRDefault="004E684C" w:rsidP="006169F2">
      <w:pPr>
        <w:pStyle w:val="Textpoznpodarou"/>
        <w:rPr>
          <w:sz w:val="16"/>
          <w:szCs w:val="16"/>
        </w:rPr>
      </w:pPr>
      <w:r w:rsidRPr="00AA5EA1">
        <w:rPr>
          <w:rStyle w:val="Znakapoznpodarou"/>
          <w:sz w:val="16"/>
          <w:szCs w:val="16"/>
        </w:rPr>
        <w:footnoteRef/>
      </w:r>
      <w:r w:rsidRPr="00AA5EA1">
        <w:rPr>
          <w:sz w:val="16"/>
          <w:szCs w:val="16"/>
        </w:rPr>
        <w:t xml:space="preserve"> </w:t>
      </w:r>
      <w:r>
        <w:rPr>
          <w:sz w:val="16"/>
          <w:szCs w:val="16"/>
        </w:rPr>
        <w:t xml:space="preserve">Dle posledního dostupného údaje (z konce roku 2017) bylo z celkové nabídky ÚP </w:t>
      </w:r>
      <w:r w:rsidRPr="00AA5EA1">
        <w:rPr>
          <w:sz w:val="16"/>
          <w:szCs w:val="16"/>
        </w:rPr>
        <w:t>103</w:t>
      </w:r>
      <w:r>
        <w:rPr>
          <w:sz w:val="16"/>
          <w:szCs w:val="16"/>
        </w:rPr>
        <w:t> </w:t>
      </w:r>
      <w:r w:rsidRPr="00AA5EA1">
        <w:rPr>
          <w:sz w:val="16"/>
          <w:szCs w:val="16"/>
        </w:rPr>
        <w:t>tis. míst</w:t>
      </w:r>
      <w:r>
        <w:rPr>
          <w:sz w:val="16"/>
          <w:szCs w:val="16"/>
        </w:rPr>
        <w:t xml:space="preserve"> klasifikováno jako „vhodných pro cizince“. V</w:t>
      </w:r>
      <w:r w:rsidRPr="00AA5EA1">
        <w:rPr>
          <w:sz w:val="16"/>
          <w:szCs w:val="16"/>
        </w:rPr>
        <w:t> drtivé většině byl</w:t>
      </w:r>
      <w:r>
        <w:rPr>
          <w:sz w:val="16"/>
          <w:szCs w:val="16"/>
        </w:rPr>
        <w:t>a</w:t>
      </w:r>
      <w:r w:rsidRPr="00AA5EA1">
        <w:rPr>
          <w:sz w:val="16"/>
          <w:szCs w:val="16"/>
        </w:rPr>
        <w:t xml:space="preserve"> určen</w:t>
      </w:r>
      <w:r>
        <w:rPr>
          <w:sz w:val="16"/>
          <w:szCs w:val="16"/>
        </w:rPr>
        <w:t>a</w:t>
      </w:r>
      <w:r w:rsidRPr="00AA5EA1">
        <w:rPr>
          <w:sz w:val="16"/>
          <w:szCs w:val="16"/>
        </w:rPr>
        <w:t xml:space="preserve"> pro nízkokvalifikované zaměstnance (55</w:t>
      </w:r>
      <w:r>
        <w:rPr>
          <w:sz w:val="16"/>
          <w:szCs w:val="16"/>
        </w:rPr>
        <w:t> %</w:t>
      </w:r>
      <w:r w:rsidRPr="00AA5EA1">
        <w:rPr>
          <w:sz w:val="16"/>
          <w:szCs w:val="16"/>
        </w:rPr>
        <w:t xml:space="preserve"> spadalo do kategorie </w:t>
      </w:r>
      <w:r>
        <w:rPr>
          <w:rFonts w:eastAsia="Times New Roman" w:cs="Arial"/>
          <w:color w:val="000000"/>
          <w:sz w:val="16"/>
          <w:szCs w:val="16"/>
        </w:rPr>
        <w:t>obsluhy strojů a</w:t>
      </w:r>
      <w:r w:rsidRPr="00AA5EA1">
        <w:rPr>
          <w:sz w:val="16"/>
          <w:szCs w:val="16"/>
        </w:rPr>
        <w:t> </w:t>
      </w:r>
      <w:r w:rsidRPr="00AA5EA1">
        <w:rPr>
          <w:rFonts w:eastAsia="Times New Roman" w:cs="Arial"/>
          <w:color w:val="000000"/>
          <w:sz w:val="16"/>
          <w:szCs w:val="16"/>
        </w:rPr>
        <w:t>zařízen</w:t>
      </w:r>
      <w:r>
        <w:rPr>
          <w:rFonts w:eastAsia="Times New Roman" w:cs="Arial"/>
          <w:color w:val="000000"/>
          <w:sz w:val="16"/>
          <w:szCs w:val="16"/>
        </w:rPr>
        <w:t>í</w:t>
      </w:r>
      <w:r w:rsidRPr="00AA5EA1">
        <w:rPr>
          <w:rFonts w:eastAsia="Times New Roman" w:cs="Arial"/>
          <w:color w:val="000000"/>
          <w:sz w:val="16"/>
          <w:szCs w:val="16"/>
        </w:rPr>
        <w:t xml:space="preserve"> či pomocn</w:t>
      </w:r>
      <w:r>
        <w:rPr>
          <w:rFonts w:eastAsia="Times New Roman" w:cs="Arial"/>
          <w:color w:val="000000"/>
          <w:sz w:val="16"/>
          <w:szCs w:val="16"/>
        </w:rPr>
        <w:t>ých</w:t>
      </w:r>
      <w:r w:rsidRPr="00AA5EA1">
        <w:rPr>
          <w:rFonts w:eastAsia="Times New Roman" w:cs="Arial"/>
          <w:color w:val="000000"/>
          <w:sz w:val="16"/>
          <w:szCs w:val="16"/>
        </w:rPr>
        <w:t xml:space="preserve"> a</w:t>
      </w:r>
      <w:r>
        <w:rPr>
          <w:rFonts w:eastAsia="Times New Roman" w:cs="Arial"/>
          <w:color w:val="000000"/>
          <w:sz w:val="16"/>
          <w:szCs w:val="16"/>
        </w:rPr>
        <w:t> </w:t>
      </w:r>
      <w:r w:rsidRPr="00AA5EA1">
        <w:rPr>
          <w:rFonts w:eastAsia="Times New Roman" w:cs="Arial"/>
          <w:color w:val="000000"/>
          <w:sz w:val="16"/>
          <w:szCs w:val="16"/>
        </w:rPr>
        <w:t>nekvalifikovan</w:t>
      </w:r>
      <w:r>
        <w:rPr>
          <w:rFonts w:eastAsia="Times New Roman" w:cs="Arial"/>
          <w:color w:val="000000"/>
          <w:sz w:val="16"/>
          <w:szCs w:val="16"/>
        </w:rPr>
        <w:t>ých</w:t>
      </w:r>
      <w:r w:rsidRPr="00AA5EA1">
        <w:rPr>
          <w:rFonts w:eastAsia="Times New Roman" w:cs="Arial"/>
          <w:color w:val="000000"/>
          <w:sz w:val="16"/>
          <w:szCs w:val="16"/>
        </w:rPr>
        <w:t xml:space="preserve"> pracovník</w:t>
      </w:r>
      <w:r>
        <w:rPr>
          <w:rFonts w:eastAsia="Times New Roman" w:cs="Arial"/>
          <w:color w:val="000000"/>
          <w:sz w:val="16"/>
          <w:szCs w:val="16"/>
        </w:rPr>
        <w:t>ů</w:t>
      </w:r>
      <w:r w:rsidRPr="00AA5EA1">
        <w:rPr>
          <w:rFonts w:eastAsia="Times New Roman" w:cs="Arial"/>
          <w:color w:val="000000"/>
          <w:sz w:val="16"/>
          <w:szCs w:val="16"/>
        </w:rPr>
        <w:t>, dalších 22</w:t>
      </w:r>
      <w:r>
        <w:rPr>
          <w:rFonts w:eastAsia="Times New Roman" w:cs="Arial"/>
          <w:color w:val="000000"/>
          <w:sz w:val="16"/>
          <w:szCs w:val="16"/>
        </w:rPr>
        <w:t> %</w:t>
      </w:r>
      <w:r w:rsidRPr="00AA5EA1">
        <w:rPr>
          <w:rFonts w:eastAsia="Times New Roman" w:cs="Arial"/>
          <w:color w:val="000000"/>
          <w:sz w:val="16"/>
          <w:szCs w:val="16"/>
        </w:rPr>
        <w:t xml:space="preserve"> do skupiny řemeslníci a</w:t>
      </w:r>
      <w:r>
        <w:rPr>
          <w:rFonts w:eastAsia="Times New Roman" w:cs="Arial"/>
          <w:color w:val="000000"/>
          <w:sz w:val="16"/>
          <w:szCs w:val="16"/>
        </w:rPr>
        <w:t> </w:t>
      </w:r>
      <w:r w:rsidRPr="00AA5EA1">
        <w:rPr>
          <w:rFonts w:eastAsia="Times New Roman" w:cs="Arial"/>
          <w:color w:val="000000"/>
          <w:sz w:val="16"/>
          <w:szCs w:val="16"/>
        </w:rPr>
        <w:t>opraváři</w:t>
      </w:r>
      <w:r>
        <w:rPr>
          <w:rFonts w:eastAsia="Times New Roman" w:cs="Arial"/>
          <w:color w:val="000000"/>
          <w:sz w:val="16"/>
          <w:szCs w:val="16"/>
        </w:rPr>
        <w:t>)</w:t>
      </w:r>
      <w:r w:rsidRPr="00AA5EA1">
        <w:rPr>
          <w:rFonts w:eastAsia="Times New Roman" w:cs="Arial"/>
          <w:color w:val="000000"/>
          <w:sz w:val="16"/>
          <w:szCs w:val="16"/>
        </w:rPr>
        <w:t xml:space="preserve">. </w:t>
      </w:r>
      <w:r>
        <w:rPr>
          <w:rFonts w:eastAsia="Times New Roman" w:cs="Arial"/>
          <w:color w:val="000000"/>
          <w:sz w:val="16"/>
          <w:szCs w:val="16"/>
        </w:rPr>
        <w:t>Lze předpokládat, že v průběhu roku 2018 tento typ pracovních míst nadále nabýval na významu.</w:t>
      </w:r>
    </w:p>
  </w:footnote>
  <w:footnote w:id="9">
    <w:p w14:paraId="49501AB7" w14:textId="751FED47" w:rsidR="004E684C" w:rsidRPr="00AA5EA1" w:rsidRDefault="004E684C" w:rsidP="006169F2">
      <w:pPr>
        <w:pStyle w:val="Textpoznpodarou"/>
        <w:rPr>
          <w:sz w:val="16"/>
          <w:szCs w:val="16"/>
        </w:rPr>
      </w:pPr>
      <w:r w:rsidRPr="00AA5EA1">
        <w:rPr>
          <w:rStyle w:val="Znakapoznpodarou"/>
          <w:sz w:val="16"/>
          <w:szCs w:val="16"/>
        </w:rPr>
        <w:footnoteRef/>
      </w:r>
      <w:r w:rsidRPr="00AA5EA1">
        <w:rPr>
          <w:sz w:val="16"/>
          <w:szCs w:val="16"/>
        </w:rPr>
        <w:t xml:space="preserve"> </w:t>
      </w:r>
      <w:r>
        <w:rPr>
          <w:sz w:val="16"/>
          <w:szCs w:val="16"/>
        </w:rPr>
        <w:t>Na konci roku 2018 zůstalo ze všech nabízených míst ÚP neobsazeno déle než rok 26,1 %, v rozmezí šesti až dvanácti měsíců pak 18,7 %. Odpovídající podíly na sklonku roku 2017 byly 22,5 % a 15,1 %.</w:t>
      </w:r>
    </w:p>
  </w:footnote>
  <w:footnote w:id="10">
    <w:p w14:paraId="51E8B373" w14:textId="77777777" w:rsidR="00723859" w:rsidRPr="00CC0F9A" w:rsidRDefault="00723859" w:rsidP="006169F2">
      <w:pPr>
        <w:pStyle w:val="Textpoznpodarou"/>
        <w:rPr>
          <w:spacing w:val="-3"/>
          <w:sz w:val="16"/>
          <w:szCs w:val="16"/>
        </w:rPr>
      </w:pPr>
      <w:r w:rsidRPr="00CC0F9A">
        <w:rPr>
          <w:rStyle w:val="Znakapoznpodarou"/>
          <w:spacing w:val="-3"/>
          <w:sz w:val="16"/>
          <w:szCs w:val="16"/>
        </w:rPr>
        <w:footnoteRef/>
      </w:r>
      <w:r w:rsidRPr="00CC0F9A">
        <w:rPr>
          <w:spacing w:val="-3"/>
          <w:sz w:val="16"/>
          <w:szCs w:val="16"/>
        </w:rPr>
        <w:t xml:space="preserve"> Nepřímo to dokládají údaje z</w:t>
      </w:r>
      <w:r>
        <w:rPr>
          <w:spacing w:val="-3"/>
          <w:sz w:val="16"/>
          <w:szCs w:val="16"/>
        </w:rPr>
        <w:t> </w:t>
      </w:r>
      <w:r w:rsidRPr="00CC0F9A">
        <w:rPr>
          <w:spacing w:val="-3"/>
          <w:sz w:val="16"/>
          <w:szCs w:val="16"/>
        </w:rPr>
        <w:t xml:space="preserve">VŠPS za rok 2018. </w:t>
      </w:r>
      <w:r>
        <w:rPr>
          <w:spacing w:val="-3"/>
          <w:sz w:val="16"/>
          <w:szCs w:val="16"/>
        </w:rPr>
        <w:t>Nezaměstnaní s vysokoškolským vzděláním zmiňují úřady práce jako nejčastější způsob hledání nového zaměstnání (v posledních čtyřech týdnech)</w:t>
      </w:r>
      <w:r w:rsidRPr="00CC0F9A">
        <w:rPr>
          <w:spacing w:val="-3"/>
          <w:sz w:val="16"/>
          <w:szCs w:val="16"/>
        </w:rPr>
        <w:t xml:space="preserve"> v 69</w:t>
      </w:r>
      <w:r>
        <w:rPr>
          <w:spacing w:val="-3"/>
          <w:sz w:val="16"/>
          <w:szCs w:val="16"/>
        </w:rPr>
        <w:t> %</w:t>
      </w:r>
      <w:r w:rsidRPr="00CC0F9A">
        <w:rPr>
          <w:spacing w:val="-3"/>
          <w:sz w:val="16"/>
          <w:szCs w:val="16"/>
        </w:rPr>
        <w:t xml:space="preserve"> případů (lidé se základním vzděláním a</w:t>
      </w:r>
      <w:r>
        <w:rPr>
          <w:spacing w:val="-3"/>
          <w:sz w:val="16"/>
          <w:szCs w:val="16"/>
        </w:rPr>
        <w:t> </w:t>
      </w:r>
      <w:r w:rsidRPr="00CC0F9A">
        <w:rPr>
          <w:spacing w:val="-3"/>
          <w:sz w:val="16"/>
          <w:szCs w:val="16"/>
        </w:rPr>
        <w:t>vyučení shodně v</w:t>
      </w:r>
      <w:r>
        <w:rPr>
          <w:spacing w:val="-3"/>
          <w:sz w:val="16"/>
          <w:szCs w:val="16"/>
        </w:rPr>
        <w:t> </w:t>
      </w:r>
      <w:r w:rsidRPr="00CC0F9A">
        <w:rPr>
          <w:spacing w:val="-3"/>
          <w:sz w:val="16"/>
          <w:szCs w:val="16"/>
        </w:rPr>
        <w:t>86</w:t>
      </w:r>
      <w:r>
        <w:rPr>
          <w:spacing w:val="-3"/>
          <w:sz w:val="16"/>
          <w:szCs w:val="16"/>
        </w:rPr>
        <w:t> %</w:t>
      </w:r>
      <w:r w:rsidRPr="00CC0F9A">
        <w:rPr>
          <w:spacing w:val="-3"/>
          <w:sz w:val="16"/>
          <w:szCs w:val="16"/>
        </w:rPr>
        <w:t>). Účast na testech, pohovorech či zkouškách uvádí rovněž 69</w:t>
      </w:r>
      <w:r>
        <w:rPr>
          <w:spacing w:val="-3"/>
          <w:sz w:val="16"/>
          <w:szCs w:val="16"/>
        </w:rPr>
        <w:t> %</w:t>
      </w:r>
      <w:r w:rsidRPr="00CC0F9A">
        <w:rPr>
          <w:spacing w:val="-3"/>
          <w:sz w:val="16"/>
          <w:szCs w:val="16"/>
        </w:rPr>
        <w:t xml:space="preserve"> (proti 42</w:t>
      </w:r>
      <w:r>
        <w:rPr>
          <w:spacing w:val="-3"/>
          <w:sz w:val="16"/>
          <w:szCs w:val="16"/>
        </w:rPr>
        <w:t> %</w:t>
      </w:r>
      <w:r w:rsidRPr="00CC0F9A">
        <w:rPr>
          <w:spacing w:val="-3"/>
          <w:sz w:val="16"/>
          <w:szCs w:val="16"/>
        </w:rPr>
        <w:t>, resp.</w:t>
      </w:r>
      <w:r>
        <w:rPr>
          <w:spacing w:val="-3"/>
          <w:sz w:val="16"/>
          <w:szCs w:val="16"/>
        </w:rPr>
        <w:t> </w:t>
      </w:r>
      <w:r w:rsidRPr="00CC0F9A">
        <w:rPr>
          <w:spacing w:val="-3"/>
          <w:sz w:val="16"/>
          <w:szCs w:val="16"/>
        </w:rPr>
        <w:t>41</w:t>
      </w:r>
      <w:r>
        <w:rPr>
          <w:spacing w:val="-3"/>
          <w:sz w:val="16"/>
          <w:szCs w:val="16"/>
        </w:rPr>
        <w:t> %</w:t>
      </w:r>
      <w:r w:rsidRPr="00CC0F9A">
        <w:rPr>
          <w:spacing w:val="-3"/>
          <w:sz w:val="16"/>
          <w:szCs w:val="16"/>
        </w:rPr>
        <w:t>), návštěvy podniků a</w:t>
      </w:r>
      <w:r>
        <w:rPr>
          <w:spacing w:val="-3"/>
          <w:sz w:val="16"/>
          <w:szCs w:val="16"/>
        </w:rPr>
        <w:t> </w:t>
      </w:r>
      <w:r w:rsidRPr="00CC0F9A">
        <w:rPr>
          <w:spacing w:val="-3"/>
          <w:sz w:val="16"/>
          <w:szCs w:val="16"/>
        </w:rPr>
        <w:t>firem zmiňuje 76</w:t>
      </w:r>
      <w:r>
        <w:rPr>
          <w:spacing w:val="-3"/>
          <w:sz w:val="16"/>
          <w:szCs w:val="16"/>
        </w:rPr>
        <w:t> %</w:t>
      </w:r>
      <w:r w:rsidRPr="00CC0F9A">
        <w:rPr>
          <w:spacing w:val="-3"/>
          <w:sz w:val="16"/>
          <w:szCs w:val="16"/>
        </w:rPr>
        <w:t xml:space="preserve"> (oproti 70</w:t>
      </w:r>
      <w:r>
        <w:rPr>
          <w:spacing w:val="-3"/>
          <w:sz w:val="16"/>
          <w:szCs w:val="16"/>
        </w:rPr>
        <w:t> %</w:t>
      </w:r>
      <w:r w:rsidRPr="00CC0F9A">
        <w:rPr>
          <w:spacing w:val="-3"/>
          <w:sz w:val="16"/>
          <w:szCs w:val="16"/>
        </w:rPr>
        <w:t>).</w:t>
      </w:r>
    </w:p>
  </w:footnote>
  <w:footnote w:id="11">
    <w:p w14:paraId="0BF2D670" w14:textId="6242C861" w:rsidR="00723859" w:rsidRPr="00E93575" w:rsidRDefault="00723859" w:rsidP="006169F2">
      <w:pPr>
        <w:pStyle w:val="Textpoznpodarou"/>
        <w:rPr>
          <w:spacing w:val="-2"/>
          <w:sz w:val="16"/>
          <w:szCs w:val="16"/>
        </w:rPr>
      </w:pPr>
      <w:r w:rsidRPr="00E93575">
        <w:rPr>
          <w:rStyle w:val="Znakapoznpodarou"/>
          <w:spacing w:val="-2"/>
          <w:sz w:val="16"/>
          <w:szCs w:val="16"/>
        </w:rPr>
        <w:footnoteRef/>
      </w:r>
      <w:r w:rsidRPr="00E93575">
        <w:rPr>
          <w:spacing w:val="-2"/>
          <w:sz w:val="16"/>
          <w:szCs w:val="16"/>
        </w:rPr>
        <w:t xml:space="preserve"> Míra nezaměstnanosti je zde z důvodu datové </w:t>
      </w:r>
      <w:r>
        <w:rPr>
          <w:spacing w:val="-2"/>
          <w:sz w:val="16"/>
          <w:szCs w:val="16"/>
        </w:rPr>
        <w:t>ne</w:t>
      </w:r>
      <w:r w:rsidRPr="00E93575">
        <w:rPr>
          <w:spacing w:val="-2"/>
          <w:sz w:val="16"/>
          <w:szCs w:val="16"/>
        </w:rPr>
        <w:t>dosažitelnosti nahrazena ukazatelem „podíl registrovaných uchazečů o</w:t>
      </w:r>
      <w:r>
        <w:rPr>
          <w:spacing w:val="-2"/>
          <w:sz w:val="16"/>
          <w:szCs w:val="16"/>
        </w:rPr>
        <w:t> </w:t>
      </w:r>
      <w:r w:rsidRPr="00E93575">
        <w:rPr>
          <w:spacing w:val="-2"/>
          <w:sz w:val="16"/>
          <w:szCs w:val="16"/>
        </w:rPr>
        <w:t>práci na bydlícím obyvatelstvu ve věku 15</w:t>
      </w:r>
      <w:r>
        <w:rPr>
          <w:spacing w:val="-2"/>
          <w:sz w:val="16"/>
          <w:szCs w:val="16"/>
        </w:rPr>
        <w:t>–</w:t>
      </w:r>
      <w:r w:rsidRPr="00E93575">
        <w:rPr>
          <w:spacing w:val="-2"/>
          <w:sz w:val="16"/>
          <w:szCs w:val="16"/>
        </w:rPr>
        <w:t>64</w:t>
      </w:r>
      <w:r>
        <w:rPr>
          <w:spacing w:val="-2"/>
          <w:sz w:val="16"/>
          <w:szCs w:val="16"/>
        </w:rPr>
        <w:t> </w:t>
      </w:r>
      <w:r w:rsidRPr="00E93575">
        <w:rPr>
          <w:spacing w:val="-2"/>
          <w:sz w:val="16"/>
          <w:szCs w:val="16"/>
        </w:rPr>
        <w:t xml:space="preserve">let“. Z hodnocených území obvodů pověřených obecních úřadů </w:t>
      </w:r>
      <w:r>
        <w:rPr>
          <w:spacing w:val="-2"/>
          <w:sz w:val="16"/>
          <w:szCs w:val="16"/>
        </w:rPr>
        <w:t xml:space="preserve">(POÚ) </w:t>
      </w:r>
      <w:r w:rsidRPr="00E93575">
        <w:rPr>
          <w:spacing w:val="-2"/>
          <w:sz w:val="16"/>
          <w:szCs w:val="16"/>
        </w:rPr>
        <w:t xml:space="preserve">jich </w:t>
      </w:r>
      <w:r>
        <w:rPr>
          <w:spacing w:val="-2"/>
          <w:sz w:val="16"/>
          <w:szCs w:val="16"/>
        </w:rPr>
        <w:t xml:space="preserve">alespoň mírný </w:t>
      </w:r>
      <w:r w:rsidRPr="00E93575">
        <w:rPr>
          <w:spacing w:val="-2"/>
          <w:sz w:val="16"/>
          <w:szCs w:val="16"/>
        </w:rPr>
        <w:t>mez</w:t>
      </w:r>
      <w:r>
        <w:rPr>
          <w:spacing w:val="-2"/>
          <w:sz w:val="16"/>
          <w:szCs w:val="16"/>
        </w:rPr>
        <w:t>iroční pokles nezaměstnanosti</w:t>
      </w:r>
      <w:r w:rsidRPr="00E93575">
        <w:rPr>
          <w:spacing w:val="-2"/>
          <w:sz w:val="16"/>
          <w:szCs w:val="16"/>
        </w:rPr>
        <w:t xml:space="preserve"> zaznamenalo 95</w:t>
      </w:r>
      <w:r>
        <w:rPr>
          <w:spacing w:val="-2"/>
          <w:sz w:val="16"/>
          <w:szCs w:val="16"/>
        </w:rPr>
        <w:t> %</w:t>
      </w:r>
      <w:r w:rsidRPr="00E93575">
        <w:rPr>
          <w:spacing w:val="-2"/>
          <w:sz w:val="16"/>
          <w:szCs w:val="16"/>
        </w:rPr>
        <w:t>.</w:t>
      </w:r>
      <w:r>
        <w:rPr>
          <w:spacing w:val="-2"/>
          <w:sz w:val="16"/>
          <w:szCs w:val="16"/>
        </w:rPr>
        <w:t xml:space="preserve"> Významnější navýšení podílu nezaměstnaných se odehrálo pouze v části okresu Bruntál (na Osoblažsku: z 10,9 % na 11,7 %). Nezaměstnanost na konci loňského roku dosáhla ve srovnání se stejným obdobím let 2000 až 2018 absolutního minima již v 90 % všech územních obvodů POÚ.</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E6EC7" w14:textId="77777777" w:rsidR="004E684C" w:rsidRPr="0060093C" w:rsidRDefault="004E684C" w:rsidP="0060093C">
    <w:pPr>
      <w:pStyle w:val="Zhlav"/>
    </w:pPr>
    <w:r w:rsidRPr="0060093C">
      <w:t>Trendy na trhu práce v</w:t>
    </w:r>
    <w:r>
      <w:t> </w:t>
    </w:r>
    <w:r w:rsidRPr="0060093C">
      <w:t>ČR v</w:t>
    </w:r>
    <w:r>
      <w:t> </w:t>
    </w:r>
    <w:r w:rsidRPr="0060093C">
      <w:t>roce 2018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011D9" w14:textId="77777777" w:rsidR="004E684C" w:rsidRPr="006F5416" w:rsidRDefault="004E684C" w:rsidP="00937AE2">
    <w:pPr>
      <w:pStyle w:val="Zhlav"/>
    </w:pPr>
    <w:r w:rsidRPr="0060093C">
      <w:t>Trendy na trhu práce v</w:t>
    </w:r>
    <w:r>
      <w:t> </w:t>
    </w:r>
    <w:r w:rsidRPr="0060093C">
      <w:t>ČR v</w:t>
    </w:r>
    <w:r>
      <w:t> </w:t>
    </w:r>
    <w:r w:rsidRPr="0060093C">
      <w:t>roce 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FAAF"/>
      </v:shape>
    </w:pict>
  </w:numPicBullet>
  <w:abstractNum w:abstractNumId="0" w15:restartNumberingAfterBreak="0">
    <w:nsid w:val="FFFFFF7C"/>
    <w:multiLevelType w:val="singleLevel"/>
    <w:tmpl w:val="49CEEC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EC69A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7A1C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623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965B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DE27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7AED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8C5B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C8EE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18AD8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FC6842"/>
    <w:multiLevelType w:val="multilevel"/>
    <w:tmpl w:val="D102C43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8B35353"/>
    <w:multiLevelType w:val="multilevel"/>
    <w:tmpl w:val="1C0E9EAE"/>
    <w:name w:val="Analyza"/>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i w:val="0"/>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pStyle w:val="Nadpis5"/>
      <w:suff w:val="space"/>
      <w:lvlText w:val="%1.%2.%3.%4.%5"/>
      <w:lvlJc w:val="left"/>
      <w:pPr>
        <w:ind w:left="1008" w:hanging="1008"/>
      </w:pPr>
      <w:rPr>
        <w:rFonts w:hint="default"/>
      </w:rPr>
    </w:lvl>
    <w:lvl w:ilvl="5">
      <w:start w:val="1"/>
      <w:numFmt w:val="decimal"/>
      <w:pStyle w:val="Nadpis6"/>
      <w:suff w:val="space"/>
      <w:lvlText w:val="%1.%2.%3.%4.%5.%6"/>
      <w:lvlJc w:val="left"/>
      <w:pPr>
        <w:ind w:left="1152" w:hanging="1152"/>
      </w:pPr>
      <w:rPr>
        <w:rFonts w:hint="default"/>
      </w:rPr>
    </w:lvl>
    <w:lvl w:ilvl="6">
      <w:start w:val="1"/>
      <w:numFmt w:val="decimal"/>
      <w:pStyle w:val="Nadpis7"/>
      <w:suff w:val="space"/>
      <w:lvlText w:val="%1.%2.%3.%4.%5.%6.%7"/>
      <w:lvlJc w:val="left"/>
      <w:pPr>
        <w:ind w:left="1296" w:hanging="1296"/>
      </w:pPr>
      <w:rPr>
        <w:rFonts w:hint="default"/>
      </w:rPr>
    </w:lvl>
    <w:lvl w:ilvl="7">
      <w:start w:val="1"/>
      <w:numFmt w:val="decimal"/>
      <w:pStyle w:val="Nadpis8"/>
      <w:suff w:val="space"/>
      <w:lvlText w:val="%1.%2.%3.%4.%5.%6.%7.%8"/>
      <w:lvlJc w:val="left"/>
      <w:pPr>
        <w:ind w:left="1440" w:hanging="1440"/>
      </w:pPr>
      <w:rPr>
        <w:rFonts w:hint="default"/>
      </w:rPr>
    </w:lvl>
    <w:lvl w:ilvl="8">
      <w:start w:val="1"/>
      <w:numFmt w:val="decimal"/>
      <w:pStyle w:val="Nadpis9"/>
      <w:suff w:val="space"/>
      <w:lvlText w:val="%1.%2.%3.%4.%5.%6.%7.%8.%9"/>
      <w:lvlJc w:val="left"/>
      <w:pPr>
        <w:ind w:left="1584" w:hanging="1584"/>
      </w:pPr>
      <w:rPr>
        <w:rFonts w:hint="default"/>
      </w:rPr>
    </w:lvl>
  </w:abstractNum>
  <w:abstractNum w:abstractNumId="12" w15:restartNumberingAfterBreak="0">
    <w:nsid w:val="258473A1"/>
    <w:multiLevelType w:val="hybridMultilevel"/>
    <w:tmpl w:val="7984410C"/>
    <w:lvl w:ilvl="0" w:tplc="3712003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8352333"/>
    <w:multiLevelType w:val="multilevel"/>
    <w:tmpl w:val="D0ACFA4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A5A7A8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C2420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D106EA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11355C0"/>
    <w:multiLevelType w:val="multilevel"/>
    <w:tmpl w:val="697E8BE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39914012"/>
    <w:multiLevelType w:val="multilevel"/>
    <w:tmpl w:val="F380FB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C0A0F8A"/>
    <w:multiLevelType w:val="hybridMultilevel"/>
    <w:tmpl w:val="73FE3766"/>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8384A27"/>
    <w:multiLevelType w:val="hybridMultilevel"/>
    <w:tmpl w:val="105050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ADA4287"/>
    <w:multiLevelType w:val="multilevel"/>
    <w:tmpl w:val="1C0E9EAE"/>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i w:val="0"/>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2" w15:restartNumberingAfterBreak="0">
    <w:nsid w:val="4C581760"/>
    <w:multiLevelType w:val="hybridMultilevel"/>
    <w:tmpl w:val="CFEE97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D603319"/>
    <w:multiLevelType w:val="multilevel"/>
    <w:tmpl w:val="37F4F33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4E490F3B"/>
    <w:multiLevelType w:val="hybridMultilevel"/>
    <w:tmpl w:val="D64CB604"/>
    <w:lvl w:ilvl="0" w:tplc="67AC8A1C">
      <w:start w:val="1"/>
      <w:numFmt w:val="bullet"/>
      <w:lvlText w:val=""/>
      <w:lvlJc w:val="left"/>
      <w:pPr>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8771FD"/>
    <w:multiLevelType w:val="hybridMultilevel"/>
    <w:tmpl w:val="4D96FC5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8CB210F"/>
    <w:multiLevelType w:val="multilevel"/>
    <w:tmpl w:val="D64CB604"/>
    <w:lvl w:ilvl="0">
      <w:start w:val="1"/>
      <w:numFmt w:val="bullet"/>
      <w:lvlText w:val=""/>
      <w:lvlJc w:val="left"/>
      <w:pPr>
        <w:ind w:left="357" w:hanging="35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A70320B"/>
    <w:multiLevelType w:val="hybridMultilevel"/>
    <w:tmpl w:val="AAB203D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C234F43"/>
    <w:multiLevelType w:val="hybridMultilevel"/>
    <w:tmpl w:val="0468458A"/>
    <w:lvl w:ilvl="0" w:tplc="A7BC4150">
      <w:numFmt w:val="bullet"/>
      <w:lvlText w:val=""/>
      <w:lvlJc w:val="left"/>
      <w:pPr>
        <w:ind w:left="720" w:hanging="360"/>
      </w:pPr>
      <w:rPr>
        <w:rFonts w:ascii="Symbol" w:eastAsia="Times New Roman"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B651B2D"/>
    <w:multiLevelType w:val="hybridMultilevel"/>
    <w:tmpl w:val="4C1C2D78"/>
    <w:lvl w:ilvl="0" w:tplc="B01A5632">
      <w:start w:val="1"/>
      <w:numFmt w:val="bullet"/>
      <w:pStyle w:val="Normalodrk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2"/>
  </w:num>
  <w:num w:numId="13">
    <w:abstractNumId w:val="22"/>
  </w:num>
  <w:num w:numId="14">
    <w:abstractNumId w:val="11"/>
  </w:num>
  <w:num w:numId="15">
    <w:abstractNumId w:val="17"/>
  </w:num>
  <w:num w:numId="16">
    <w:abstractNumId w:val="13"/>
  </w:num>
  <w:num w:numId="17">
    <w:abstractNumId w:val="24"/>
  </w:num>
  <w:num w:numId="18">
    <w:abstractNumId w:val="18"/>
  </w:num>
  <w:num w:numId="19">
    <w:abstractNumId w:val="26"/>
  </w:num>
  <w:num w:numId="20">
    <w:abstractNumId w:val="29"/>
  </w:num>
  <w:num w:numId="21">
    <w:abstractNumId w:val="21"/>
  </w:num>
  <w:num w:numId="22">
    <w:abstractNumId w:val="16"/>
  </w:num>
  <w:num w:numId="23">
    <w:abstractNumId w:val="14"/>
  </w:num>
  <w:num w:numId="24">
    <w:abstractNumId w:val="15"/>
  </w:num>
  <w:num w:numId="25">
    <w:abstractNumId w:val="28"/>
  </w:num>
  <w:num w:numId="26">
    <w:abstractNumId w:val="10"/>
  </w:num>
  <w:num w:numId="27">
    <w:abstractNumId w:val="25"/>
  </w:num>
  <w:num w:numId="28">
    <w:abstractNumId w:val="23"/>
  </w:num>
  <w:num w:numId="29">
    <w:abstractNumId w:val="27"/>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drawingGridHorizontalSpacing w:val="110"/>
  <w:displayHorizontalDrawingGridEvery w:val="2"/>
  <w:characterSpacingControl w:val="doNotCompress"/>
  <w:hdrShapeDefaults>
    <o:shapedefaults v:ext="edit" spidmax="2049">
      <o:colormru v:ext="edit" colors="#ecf4dd,#eaecee,#fcec0a,#fcecdb,#f1daf5"/>
    </o:shapedefaults>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502"/>
    <w:rsid w:val="0000209D"/>
    <w:rsid w:val="00002937"/>
    <w:rsid w:val="00002FED"/>
    <w:rsid w:val="00004D5A"/>
    <w:rsid w:val="000056D5"/>
    <w:rsid w:val="00006ABD"/>
    <w:rsid w:val="0000767A"/>
    <w:rsid w:val="00007BEF"/>
    <w:rsid w:val="00010256"/>
    <w:rsid w:val="00010702"/>
    <w:rsid w:val="00011912"/>
    <w:rsid w:val="00012408"/>
    <w:rsid w:val="00014537"/>
    <w:rsid w:val="000157D5"/>
    <w:rsid w:val="00017762"/>
    <w:rsid w:val="0002195D"/>
    <w:rsid w:val="00023162"/>
    <w:rsid w:val="000234D6"/>
    <w:rsid w:val="00023D29"/>
    <w:rsid w:val="00026389"/>
    <w:rsid w:val="00031AE0"/>
    <w:rsid w:val="000322EF"/>
    <w:rsid w:val="000333B9"/>
    <w:rsid w:val="00033F92"/>
    <w:rsid w:val="00033FCD"/>
    <w:rsid w:val="000402E5"/>
    <w:rsid w:val="0004062C"/>
    <w:rsid w:val="00041CEC"/>
    <w:rsid w:val="0004694F"/>
    <w:rsid w:val="000500AB"/>
    <w:rsid w:val="000522E4"/>
    <w:rsid w:val="00052501"/>
    <w:rsid w:val="00054BC9"/>
    <w:rsid w:val="000610E1"/>
    <w:rsid w:val="00061F73"/>
    <w:rsid w:val="00062EC5"/>
    <w:rsid w:val="00062F22"/>
    <w:rsid w:val="00067A82"/>
    <w:rsid w:val="000712B3"/>
    <w:rsid w:val="0008263E"/>
    <w:rsid w:val="00082A55"/>
    <w:rsid w:val="00082C19"/>
    <w:rsid w:val="00083234"/>
    <w:rsid w:val="00085395"/>
    <w:rsid w:val="00087634"/>
    <w:rsid w:val="00087F2B"/>
    <w:rsid w:val="00090C18"/>
    <w:rsid w:val="00093E3F"/>
    <w:rsid w:val="00093E53"/>
    <w:rsid w:val="00095135"/>
    <w:rsid w:val="00096085"/>
    <w:rsid w:val="000974D1"/>
    <w:rsid w:val="0009799E"/>
    <w:rsid w:val="000A1183"/>
    <w:rsid w:val="000A256D"/>
    <w:rsid w:val="000A3A2C"/>
    <w:rsid w:val="000A52EF"/>
    <w:rsid w:val="000B305D"/>
    <w:rsid w:val="000B525B"/>
    <w:rsid w:val="000B7AC5"/>
    <w:rsid w:val="000C1D78"/>
    <w:rsid w:val="000C3408"/>
    <w:rsid w:val="000C517B"/>
    <w:rsid w:val="000C6AFD"/>
    <w:rsid w:val="000D17A1"/>
    <w:rsid w:val="000D5637"/>
    <w:rsid w:val="000E6C04"/>
    <w:rsid w:val="000E6FBD"/>
    <w:rsid w:val="000F6340"/>
    <w:rsid w:val="000F7663"/>
    <w:rsid w:val="00100F5C"/>
    <w:rsid w:val="0010106F"/>
    <w:rsid w:val="00101CDA"/>
    <w:rsid w:val="0010418A"/>
    <w:rsid w:val="00104C4C"/>
    <w:rsid w:val="00110555"/>
    <w:rsid w:val="00117623"/>
    <w:rsid w:val="00120BC1"/>
    <w:rsid w:val="0012192F"/>
    <w:rsid w:val="00125A9C"/>
    <w:rsid w:val="00125D69"/>
    <w:rsid w:val="00136371"/>
    <w:rsid w:val="00137548"/>
    <w:rsid w:val="001405FA"/>
    <w:rsid w:val="00141782"/>
    <w:rsid w:val="001425C3"/>
    <w:rsid w:val="001435B3"/>
    <w:rsid w:val="0015045D"/>
    <w:rsid w:val="001528B9"/>
    <w:rsid w:val="001612F4"/>
    <w:rsid w:val="00162312"/>
    <w:rsid w:val="0016256B"/>
    <w:rsid w:val="00163793"/>
    <w:rsid w:val="001671FF"/>
    <w:rsid w:val="001706D6"/>
    <w:rsid w:val="001714F2"/>
    <w:rsid w:val="00175B9F"/>
    <w:rsid w:val="00176A60"/>
    <w:rsid w:val="00181BBC"/>
    <w:rsid w:val="00182799"/>
    <w:rsid w:val="00184B08"/>
    <w:rsid w:val="00185010"/>
    <w:rsid w:val="00186919"/>
    <w:rsid w:val="001916DB"/>
    <w:rsid w:val="0019361E"/>
    <w:rsid w:val="00193818"/>
    <w:rsid w:val="001A0487"/>
    <w:rsid w:val="001A0D6B"/>
    <w:rsid w:val="001A5387"/>
    <w:rsid w:val="001A552F"/>
    <w:rsid w:val="001A6DB4"/>
    <w:rsid w:val="001B11D8"/>
    <w:rsid w:val="001B28D3"/>
    <w:rsid w:val="001B2CA9"/>
    <w:rsid w:val="001B3110"/>
    <w:rsid w:val="001B4729"/>
    <w:rsid w:val="001B6310"/>
    <w:rsid w:val="001B6C09"/>
    <w:rsid w:val="001C04EF"/>
    <w:rsid w:val="001C05CD"/>
    <w:rsid w:val="001C1B66"/>
    <w:rsid w:val="001D198A"/>
    <w:rsid w:val="001D37E6"/>
    <w:rsid w:val="001D463E"/>
    <w:rsid w:val="001D68B2"/>
    <w:rsid w:val="001D70E9"/>
    <w:rsid w:val="001E23AF"/>
    <w:rsid w:val="001E504C"/>
    <w:rsid w:val="001F4597"/>
    <w:rsid w:val="00203390"/>
    <w:rsid w:val="00203DA4"/>
    <w:rsid w:val="002052C6"/>
    <w:rsid w:val="002118B9"/>
    <w:rsid w:val="00212D83"/>
    <w:rsid w:val="00217C5B"/>
    <w:rsid w:val="0022069C"/>
    <w:rsid w:val="0022139E"/>
    <w:rsid w:val="00222729"/>
    <w:rsid w:val="00222FFB"/>
    <w:rsid w:val="002252E0"/>
    <w:rsid w:val="002255F6"/>
    <w:rsid w:val="00227850"/>
    <w:rsid w:val="00227A53"/>
    <w:rsid w:val="00230C6E"/>
    <w:rsid w:val="00236443"/>
    <w:rsid w:val="00241B06"/>
    <w:rsid w:val="002436BA"/>
    <w:rsid w:val="00244A15"/>
    <w:rsid w:val="00247319"/>
    <w:rsid w:val="0024799E"/>
    <w:rsid w:val="00253487"/>
    <w:rsid w:val="00253C0F"/>
    <w:rsid w:val="002558C1"/>
    <w:rsid w:val="002634D9"/>
    <w:rsid w:val="002660F5"/>
    <w:rsid w:val="002672CB"/>
    <w:rsid w:val="002677BC"/>
    <w:rsid w:val="00271465"/>
    <w:rsid w:val="00274008"/>
    <w:rsid w:val="00274037"/>
    <w:rsid w:val="00276B4C"/>
    <w:rsid w:val="002823F7"/>
    <w:rsid w:val="00285412"/>
    <w:rsid w:val="0028610D"/>
    <w:rsid w:val="00290156"/>
    <w:rsid w:val="00291640"/>
    <w:rsid w:val="002A16D4"/>
    <w:rsid w:val="002A230C"/>
    <w:rsid w:val="002A5D97"/>
    <w:rsid w:val="002B2127"/>
    <w:rsid w:val="002B213A"/>
    <w:rsid w:val="002B4845"/>
    <w:rsid w:val="002B6B06"/>
    <w:rsid w:val="002C2A89"/>
    <w:rsid w:val="002C43BD"/>
    <w:rsid w:val="002C4CD2"/>
    <w:rsid w:val="002D0A4D"/>
    <w:rsid w:val="002D0E59"/>
    <w:rsid w:val="002D4854"/>
    <w:rsid w:val="002E02A1"/>
    <w:rsid w:val="002E4E4C"/>
    <w:rsid w:val="00302262"/>
    <w:rsid w:val="00303533"/>
    <w:rsid w:val="00304771"/>
    <w:rsid w:val="003052D4"/>
    <w:rsid w:val="00306AD7"/>
    <w:rsid w:val="00306C5B"/>
    <w:rsid w:val="00307BEA"/>
    <w:rsid w:val="00310579"/>
    <w:rsid w:val="00313C7F"/>
    <w:rsid w:val="003209D6"/>
    <w:rsid w:val="00321924"/>
    <w:rsid w:val="0032656E"/>
    <w:rsid w:val="003279BA"/>
    <w:rsid w:val="00327B04"/>
    <w:rsid w:val="00330060"/>
    <w:rsid w:val="00332190"/>
    <w:rsid w:val="0033250B"/>
    <w:rsid w:val="00333BE7"/>
    <w:rsid w:val="0034335E"/>
    <w:rsid w:val="00344668"/>
    <w:rsid w:val="003462D9"/>
    <w:rsid w:val="00347378"/>
    <w:rsid w:val="0034748B"/>
    <w:rsid w:val="003557D2"/>
    <w:rsid w:val="003601D9"/>
    <w:rsid w:val="00360C86"/>
    <w:rsid w:val="00360DE3"/>
    <w:rsid w:val="00360FBC"/>
    <w:rsid w:val="00362E90"/>
    <w:rsid w:val="00364C32"/>
    <w:rsid w:val="00364FA0"/>
    <w:rsid w:val="003657F3"/>
    <w:rsid w:val="00372620"/>
    <w:rsid w:val="0037734D"/>
    <w:rsid w:val="0037785F"/>
    <w:rsid w:val="003818DC"/>
    <w:rsid w:val="00381A3E"/>
    <w:rsid w:val="00384327"/>
    <w:rsid w:val="00385D98"/>
    <w:rsid w:val="003870EE"/>
    <w:rsid w:val="00392364"/>
    <w:rsid w:val="003A2B4D"/>
    <w:rsid w:val="003A2D12"/>
    <w:rsid w:val="003A478C"/>
    <w:rsid w:val="003A5473"/>
    <w:rsid w:val="003A5525"/>
    <w:rsid w:val="003A69A0"/>
    <w:rsid w:val="003A6B38"/>
    <w:rsid w:val="003B307A"/>
    <w:rsid w:val="003B461F"/>
    <w:rsid w:val="003B5A32"/>
    <w:rsid w:val="003C3490"/>
    <w:rsid w:val="003C3D7F"/>
    <w:rsid w:val="003C4BE8"/>
    <w:rsid w:val="003C7E62"/>
    <w:rsid w:val="003D6920"/>
    <w:rsid w:val="003E38BA"/>
    <w:rsid w:val="003E4C91"/>
    <w:rsid w:val="003F313C"/>
    <w:rsid w:val="003F366D"/>
    <w:rsid w:val="003F37FC"/>
    <w:rsid w:val="003F3890"/>
    <w:rsid w:val="003F4B2C"/>
    <w:rsid w:val="003F551C"/>
    <w:rsid w:val="003F72ED"/>
    <w:rsid w:val="003F7D23"/>
    <w:rsid w:val="00400C29"/>
    <w:rsid w:val="0040200B"/>
    <w:rsid w:val="00407C13"/>
    <w:rsid w:val="00410638"/>
    <w:rsid w:val="0041501E"/>
    <w:rsid w:val="004159C3"/>
    <w:rsid w:val="00425F45"/>
    <w:rsid w:val="00432A58"/>
    <w:rsid w:val="00433C0C"/>
    <w:rsid w:val="00434617"/>
    <w:rsid w:val="00436778"/>
    <w:rsid w:val="00440900"/>
    <w:rsid w:val="00441BF6"/>
    <w:rsid w:val="004441A0"/>
    <w:rsid w:val="0045078A"/>
    <w:rsid w:val="0045086D"/>
    <w:rsid w:val="00460FB3"/>
    <w:rsid w:val="0046496B"/>
    <w:rsid w:val="00476240"/>
    <w:rsid w:val="00476439"/>
    <w:rsid w:val="0047735C"/>
    <w:rsid w:val="00477581"/>
    <w:rsid w:val="004776BC"/>
    <w:rsid w:val="0048139F"/>
    <w:rsid w:val="00481E40"/>
    <w:rsid w:val="00483AD8"/>
    <w:rsid w:val="00484ECE"/>
    <w:rsid w:val="004915CB"/>
    <w:rsid w:val="004924DC"/>
    <w:rsid w:val="004966B2"/>
    <w:rsid w:val="004A1423"/>
    <w:rsid w:val="004A14E4"/>
    <w:rsid w:val="004A3212"/>
    <w:rsid w:val="004A5494"/>
    <w:rsid w:val="004A61C5"/>
    <w:rsid w:val="004A77DF"/>
    <w:rsid w:val="004B1417"/>
    <w:rsid w:val="004B48DF"/>
    <w:rsid w:val="004B55B7"/>
    <w:rsid w:val="004B6468"/>
    <w:rsid w:val="004B7125"/>
    <w:rsid w:val="004C26B0"/>
    <w:rsid w:val="004C384C"/>
    <w:rsid w:val="004C3867"/>
    <w:rsid w:val="004C4CD0"/>
    <w:rsid w:val="004C5FBF"/>
    <w:rsid w:val="004C70DC"/>
    <w:rsid w:val="004D0211"/>
    <w:rsid w:val="004D0794"/>
    <w:rsid w:val="004D3177"/>
    <w:rsid w:val="004E1A7F"/>
    <w:rsid w:val="004E326C"/>
    <w:rsid w:val="004E684C"/>
    <w:rsid w:val="004F06F5"/>
    <w:rsid w:val="004F16F7"/>
    <w:rsid w:val="004F33A0"/>
    <w:rsid w:val="004F534A"/>
    <w:rsid w:val="0050689D"/>
    <w:rsid w:val="0051062C"/>
    <w:rsid w:val="005108C0"/>
    <w:rsid w:val="00511873"/>
    <w:rsid w:val="005123B5"/>
    <w:rsid w:val="005127B1"/>
    <w:rsid w:val="00512A2F"/>
    <w:rsid w:val="00513B7E"/>
    <w:rsid w:val="00514207"/>
    <w:rsid w:val="005152D9"/>
    <w:rsid w:val="00515C74"/>
    <w:rsid w:val="00515E0F"/>
    <w:rsid w:val="00515FFA"/>
    <w:rsid w:val="005173AF"/>
    <w:rsid w:val="0052007E"/>
    <w:rsid w:val="0052337A"/>
    <w:rsid w:val="00525137"/>
    <w:rsid w:val="005251DD"/>
    <w:rsid w:val="00525824"/>
    <w:rsid w:val="005329A1"/>
    <w:rsid w:val="00532CE7"/>
    <w:rsid w:val="0053324C"/>
    <w:rsid w:val="00534A28"/>
    <w:rsid w:val="00537E4B"/>
    <w:rsid w:val="005406DD"/>
    <w:rsid w:val="00541508"/>
    <w:rsid w:val="00541E53"/>
    <w:rsid w:val="0054270C"/>
    <w:rsid w:val="00543498"/>
    <w:rsid w:val="00551238"/>
    <w:rsid w:val="00552CBA"/>
    <w:rsid w:val="0055599F"/>
    <w:rsid w:val="00556D68"/>
    <w:rsid w:val="00563EB8"/>
    <w:rsid w:val="005647BF"/>
    <w:rsid w:val="00564AF1"/>
    <w:rsid w:val="0057364B"/>
    <w:rsid w:val="00574773"/>
    <w:rsid w:val="00581AC8"/>
    <w:rsid w:val="00583FFD"/>
    <w:rsid w:val="00590429"/>
    <w:rsid w:val="005911BE"/>
    <w:rsid w:val="00591887"/>
    <w:rsid w:val="0059286B"/>
    <w:rsid w:val="00593152"/>
    <w:rsid w:val="00596F92"/>
    <w:rsid w:val="005A10F2"/>
    <w:rsid w:val="005A21E0"/>
    <w:rsid w:val="005A28FF"/>
    <w:rsid w:val="005A2A19"/>
    <w:rsid w:val="005A2C7B"/>
    <w:rsid w:val="005A3DF8"/>
    <w:rsid w:val="005A5549"/>
    <w:rsid w:val="005A655B"/>
    <w:rsid w:val="005A673F"/>
    <w:rsid w:val="005A7666"/>
    <w:rsid w:val="005B121D"/>
    <w:rsid w:val="005C06ED"/>
    <w:rsid w:val="005C2609"/>
    <w:rsid w:val="005C35A1"/>
    <w:rsid w:val="005C6D7F"/>
    <w:rsid w:val="005D0DB2"/>
    <w:rsid w:val="005D3386"/>
    <w:rsid w:val="005D5802"/>
    <w:rsid w:val="005D7119"/>
    <w:rsid w:val="005D7890"/>
    <w:rsid w:val="005E2A7C"/>
    <w:rsid w:val="005E619A"/>
    <w:rsid w:val="005E7C78"/>
    <w:rsid w:val="005F18C5"/>
    <w:rsid w:val="005F21D8"/>
    <w:rsid w:val="005F3C03"/>
    <w:rsid w:val="005F3EB1"/>
    <w:rsid w:val="005F46D8"/>
    <w:rsid w:val="005F5469"/>
    <w:rsid w:val="00600079"/>
    <w:rsid w:val="006003D1"/>
    <w:rsid w:val="0060093C"/>
    <w:rsid w:val="00601A2E"/>
    <w:rsid w:val="00601AFA"/>
    <w:rsid w:val="00603030"/>
    <w:rsid w:val="0060404F"/>
    <w:rsid w:val="00604307"/>
    <w:rsid w:val="0060487F"/>
    <w:rsid w:val="00604EAD"/>
    <w:rsid w:val="006104FB"/>
    <w:rsid w:val="0061249B"/>
    <w:rsid w:val="00612A2F"/>
    <w:rsid w:val="006169F2"/>
    <w:rsid w:val="00616E05"/>
    <w:rsid w:val="006220C1"/>
    <w:rsid w:val="00624093"/>
    <w:rsid w:val="006254CB"/>
    <w:rsid w:val="00626D21"/>
    <w:rsid w:val="00630D9E"/>
    <w:rsid w:val="0063201A"/>
    <w:rsid w:val="006350D5"/>
    <w:rsid w:val="006404A7"/>
    <w:rsid w:val="0064464B"/>
    <w:rsid w:val="006451E4"/>
    <w:rsid w:val="006454CC"/>
    <w:rsid w:val="00645B33"/>
    <w:rsid w:val="00650330"/>
    <w:rsid w:val="006516CB"/>
    <w:rsid w:val="006558BD"/>
    <w:rsid w:val="00657E87"/>
    <w:rsid w:val="00664803"/>
    <w:rsid w:val="00665BA4"/>
    <w:rsid w:val="00666D91"/>
    <w:rsid w:val="00667AF2"/>
    <w:rsid w:val="006710C9"/>
    <w:rsid w:val="00674D89"/>
    <w:rsid w:val="00675E37"/>
    <w:rsid w:val="00680001"/>
    <w:rsid w:val="0068174E"/>
    <w:rsid w:val="00681DCE"/>
    <w:rsid w:val="0068260E"/>
    <w:rsid w:val="006863B2"/>
    <w:rsid w:val="006901FF"/>
    <w:rsid w:val="00695BEF"/>
    <w:rsid w:val="006977F6"/>
    <w:rsid w:val="00697A13"/>
    <w:rsid w:val="006A109C"/>
    <w:rsid w:val="006A3E08"/>
    <w:rsid w:val="006A73A6"/>
    <w:rsid w:val="006B0F92"/>
    <w:rsid w:val="006B344A"/>
    <w:rsid w:val="006B4B7B"/>
    <w:rsid w:val="006B5F4A"/>
    <w:rsid w:val="006B78D8"/>
    <w:rsid w:val="006C113F"/>
    <w:rsid w:val="006C123E"/>
    <w:rsid w:val="006C1752"/>
    <w:rsid w:val="006C33B2"/>
    <w:rsid w:val="006C56D4"/>
    <w:rsid w:val="006C6924"/>
    <w:rsid w:val="006C7CA6"/>
    <w:rsid w:val="006D3E8A"/>
    <w:rsid w:val="006D61F6"/>
    <w:rsid w:val="006D64C2"/>
    <w:rsid w:val="006E1673"/>
    <w:rsid w:val="006E279A"/>
    <w:rsid w:val="006E313B"/>
    <w:rsid w:val="006E7227"/>
    <w:rsid w:val="006F0603"/>
    <w:rsid w:val="006F14C9"/>
    <w:rsid w:val="006F2595"/>
    <w:rsid w:val="006F438E"/>
    <w:rsid w:val="006F4BFC"/>
    <w:rsid w:val="006F5416"/>
    <w:rsid w:val="006F668F"/>
    <w:rsid w:val="00701199"/>
    <w:rsid w:val="00705242"/>
    <w:rsid w:val="00706AD4"/>
    <w:rsid w:val="00707150"/>
    <w:rsid w:val="007079A6"/>
    <w:rsid w:val="007140BE"/>
    <w:rsid w:val="00716E3F"/>
    <w:rsid w:val="00720499"/>
    <w:rsid w:val="007211F5"/>
    <w:rsid w:val="00723859"/>
    <w:rsid w:val="007240E2"/>
    <w:rsid w:val="00725BB5"/>
    <w:rsid w:val="00730AE8"/>
    <w:rsid w:val="00730F1B"/>
    <w:rsid w:val="00741493"/>
    <w:rsid w:val="0074369B"/>
    <w:rsid w:val="00744D09"/>
    <w:rsid w:val="00744EE6"/>
    <w:rsid w:val="00745062"/>
    <w:rsid w:val="00746484"/>
    <w:rsid w:val="00750EF8"/>
    <w:rsid w:val="00752180"/>
    <w:rsid w:val="00753CAB"/>
    <w:rsid w:val="00755202"/>
    <w:rsid w:val="00755D3A"/>
    <w:rsid w:val="007578D3"/>
    <w:rsid w:val="007609C6"/>
    <w:rsid w:val="0076175D"/>
    <w:rsid w:val="00763B85"/>
    <w:rsid w:val="0076521E"/>
    <w:rsid w:val="00765565"/>
    <w:rsid w:val="007661E9"/>
    <w:rsid w:val="00772DA9"/>
    <w:rsid w:val="00775417"/>
    <w:rsid w:val="00775F45"/>
    <w:rsid w:val="00776169"/>
    <w:rsid w:val="00776527"/>
    <w:rsid w:val="00780EF1"/>
    <w:rsid w:val="00785232"/>
    <w:rsid w:val="00790764"/>
    <w:rsid w:val="0079453C"/>
    <w:rsid w:val="00794677"/>
    <w:rsid w:val="007A4167"/>
    <w:rsid w:val="007A4761"/>
    <w:rsid w:val="007A516D"/>
    <w:rsid w:val="007B1C79"/>
    <w:rsid w:val="007B6689"/>
    <w:rsid w:val="007C13A4"/>
    <w:rsid w:val="007C6BBD"/>
    <w:rsid w:val="007C7BAE"/>
    <w:rsid w:val="007D0C24"/>
    <w:rsid w:val="007D40DF"/>
    <w:rsid w:val="007E29B4"/>
    <w:rsid w:val="007E2E62"/>
    <w:rsid w:val="007E435A"/>
    <w:rsid w:val="007E6AD9"/>
    <w:rsid w:val="007E7E61"/>
    <w:rsid w:val="007F0845"/>
    <w:rsid w:val="007F4B7E"/>
    <w:rsid w:val="007F554F"/>
    <w:rsid w:val="007F661C"/>
    <w:rsid w:val="007F708D"/>
    <w:rsid w:val="00800B3F"/>
    <w:rsid w:val="008018FD"/>
    <w:rsid w:val="00801E13"/>
    <w:rsid w:val="00802137"/>
    <w:rsid w:val="00807204"/>
    <w:rsid w:val="00807C82"/>
    <w:rsid w:val="008103DB"/>
    <w:rsid w:val="008115FD"/>
    <w:rsid w:val="0081477B"/>
    <w:rsid w:val="00816905"/>
    <w:rsid w:val="008173F8"/>
    <w:rsid w:val="00821FF6"/>
    <w:rsid w:val="00822574"/>
    <w:rsid w:val="00825C4D"/>
    <w:rsid w:val="00826E60"/>
    <w:rsid w:val="0083143E"/>
    <w:rsid w:val="00831CDE"/>
    <w:rsid w:val="008329A1"/>
    <w:rsid w:val="00833BF2"/>
    <w:rsid w:val="00834304"/>
    <w:rsid w:val="00834FAA"/>
    <w:rsid w:val="00836086"/>
    <w:rsid w:val="00846121"/>
    <w:rsid w:val="0084708F"/>
    <w:rsid w:val="0084727E"/>
    <w:rsid w:val="008477C8"/>
    <w:rsid w:val="00847931"/>
    <w:rsid w:val="0085114D"/>
    <w:rsid w:val="00852217"/>
    <w:rsid w:val="00855408"/>
    <w:rsid w:val="00856D65"/>
    <w:rsid w:val="00861B41"/>
    <w:rsid w:val="00861BE3"/>
    <w:rsid w:val="00863434"/>
    <w:rsid w:val="008637A2"/>
    <w:rsid w:val="0086457A"/>
    <w:rsid w:val="00865E4C"/>
    <w:rsid w:val="00865ED7"/>
    <w:rsid w:val="008701E4"/>
    <w:rsid w:val="00875A32"/>
    <w:rsid w:val="00876086"/>
    <w:rsid w:val="008832E3"/>
    <w:rsid w:val="008849B4"/>
    <w:rsid w:val="00884A6F"/>
    <w:rsid w:val="008856A3"/>
    <w:rsid w:val="008873D4"/>
    <w:rsid w:val="0089296D"/>
    <w:rsid w:val="00893E85"/>
    <w:rsid w:val="00894031"/>
    <w:rsid w:val="00895508"/>
    <w:rsid w:val="00896990"/>
    <w:rsid w:val="008A4C18"/>
    <w:rsid w:val="008B0AE2"/>
    <w:rsid w:val="008B4CC2"/>
    <w:rsid w:val="008B685F"/>
    <w:rsid w:val="008B7C02"/>
    <w:rsid w:val="008B7D2B"/>
    <w:rsid w:val="008C0049"/>
    <w:rsid w:val="008C0E88"/>
    <w:rsid w:val="008C6124"/>
    <w:rsid w:val="008C72C8"/>
    <w:rsid w:val="008D0DBD"/>
    <w:rsid w:val="008D1E6A"/>
    <w:rsid w:val="008D2A16"/>
    <w:rsid w:val="008E01D1"/>
    <w:rsid w:val="008E0DC9"/>
    <w:rsid w:val="008E0EB6"/>
    <w:rsid w:val="008E1DA4"/>
    <w:rsid w:val="008E1F66"/>
    <w:rsid w:val="008E2C57"/>
    <w:rsid w:val="008E31FF"/>
    <w:rsid w:val="008E69C0"/>
    <w:rsid w:val="008E6F06"/>
    <w:rsid w:val="008E7FC9"/>
    <w:rsid w:val="008F029B"/>
    <w:rsid w:val="008F3BB8"/>
    <w:rsid w:val="008F3FC9"/>
    <w:rsid w:val="008F585B"/>
    <w:rsid w:val="008F75E8"/>
    <w:rsid w:val="009003A8"/>
    <w:rsid w:val="00901B0D"/>
    <w:rsid w:val="00902500"/>
    <w:rsid w:val="00902EFF"/>
    <w:rsid w:val="009055BC"/>
    <w:rsid w:val="00906401"/>
    <w:rsid w:val="0091155E"/>
    <w:rsid w:val="00912A92"/>
    <w:rsid w:val="00915CF4"/>
    <w:rsid w:val="0091728D"/>
    <w:rsid w:val="0092180B"/>
    <w:rsid w:val="00921F14"/>
    <w:rsid w:val="00924AC8"/>
    <w:rsid w:val="0092597A"/>
    <w:rsid w:val="00930FB1"/>
    <w:rsid w:val="0093139F"/>
    <w:rsid w:val="00932443"/>
    <w:rsid w:val="00935F39"/>
    <w:rsid w:val="00937AE2"/>
    <w:rsid w:val="00942C19"/>
    <w:rsid w:val="0094427A"/>
    <w:rsid w:val="00945245"/>
    <w:rsid w:val="00947BA9"/>
    <w:rsid w:val="00953F28"/>
    <w:rsid w:val="009540B7"/>
    <w:rsid w:val="0095759C"/>
    <w:rsid w:val="0096154D"/>
    <w:rsid w:val="0096221A"/>
    <w:rsid w:val="009675EE"/>
    <w:rsid w:val="00971612"/>
    <w:rsid w:val="00972309"/>
    <w:rsid w:val="00974923"/>
    <w:rsid w:val="00980D3D"/>
    <w:rsid w:val="00987A30"/>
    <w:rsid w:val="00992CF3"/>
    <w:rsid w:val="00992F70"/>
    <w:rsid w:val="00993148"/>
    <w:rsid w:val="00993D73"/>
    <w:rsid w:val="009942B6"/>
    <w:rsid w:val="00994868"/>
    <w:rsid w:val="009968D6"/>
    <w:rsid w:val="009A1CAB"/>
    <w:rsid w:val="009A4901"/>
    <w:rsid w:val="009A4F91"/>
    <w:rsid w:val="009A60D1"/>
    <w:rsid w:val="009B654B"/>
    <w:rsid w:val="009B6FD3"/>
    <w:rsid w:val="009C03C8"/>
    <w:rsid w:val="009C1750"/>
    <w:rsid w:val="009C1EEA"/>
    <w:rsid w:val="009C2E29"/>
    <w:rsid w:val="009C554B"/>
    <w:rsid w:val="009C719E"/>
    <w:rsid w:val="009D3ACD"/>
    <w:rsid w:val="009D3F3E"/>
    <w:rsid w:val="009D78F8"/>
    <w:rsid w:val="009E5273"/>
    <w:rsid w:val="009E5DDB"/>
    <w:rsid w:val="009E674A"/>
    <w:rsid w:val="009F46EA"/>
    <w:rsid w:val="009F47E7"/>
    <w:rsid w:val="009F4CA7"/>
    <w:rsid w:val="00A10D66"/>
    <w:rsid w:val="00A14114"/>
    <w:rsid w:val="00A16413"/>
    <w:rsid w:val="00A16E1D"/>
    <w:rsid w:val="00A17969"/>
    <w:rsid w:val="00A17D5B"/>
    <w:rsid w:val="00A20028"/>
    <w:rsid w:val="00A230A8"/>
    <w:rsid w:val="00A23E43"/>
    <w:rsid w:val="00A25216"/>
    <w:rsid w:val="00A27420"/>
    <w:rsid w:val="00A27C85"/>
    <w:rsid w:val="00A30F65"/>
    <w:rsid w:val="00A329DF"/>
    <w:rsid w:val="00A34FB5"/>
    <w:rsid w:val="00A35142"/>
    <w:rsid w:val="00A35EA6"/>
    <w:rsid w:val="00A365AC"/>
    <w:rsid w:val="00A36682"/>
    <w:rsid w:val="00A3694E"/>
    <w:rsid w:val="00A40EAC"/>
    <w:rsid w:val="00A418BC"/>
    <w:rsid w:val="00A46DE0"/>
    <w:rsid w:val="00A4750C"/>
    <w:rsid w:val="00A479A4"/>
    <w:rsid w:val="00A500A7"/>
    <w:rsid w:val="00A50D73"/>
    <w:rsid w:val="00A51F19"/>
    <w:rsid w:val="00A52CAD"/>
    <w:rsid w:val="00A537F0"/>
    <w:rsid w:val="00A53FC7"/>
    <w:rsid w:val="00A54250"/>
    <w:rsid w:val="00A55161"/>
    <w:rsid w:val="00A55593"/>
    <w:rsid w:val="00A62B23"/>
    <w:rsid w:val="00A62CE1"/>
    <w:rsid w:val="00A6741E"/>
    <w:rsid w:val="00A67D62"/>
    <w:rsid w:val="00A67EA4"/>
    <w:rsid w:val="00A75E40"/>
    <w:rsid w:val="00A77D1D"/>
    <w:rsid w:val="00A83DE7"/>
    <w:rsid w:val="00A84923"/>
    <w:rsid w:val="00A857C0"/>
    <w:rsid w:val="00A90FED"/>
    <w:rsid w:val="00AA1FBF"/>
    <w:rsid w:val="00AA2996"/>
    <w:rsid w:val="00AA4A77"/>
    <w:rsid w:val="00AA4F0A"/>
    <w:rsid w:val="00AA52BF"/>
    <w:rsid w:val="00AA559A"/>
    <w:rsid w:val="00AA6B9B"/>
    <w:rsid w:val="00AB2AF1"/>
    <w:rsid w:val="00AB5421"/>
    <w:rsid w:val="00AC0FD3"/>
    <w:rsid w:val="00AC45BD"/>
    <w:rsid w:val="00AC6433"/>
    <w:rsid w:val="00AC7A05"/>
    <w:rsid w:val="00AC7F4D"/>
    <w:rsid w:val="00AD168E"/>
    <w:rsid w:val="00AD306C"/>
    <w:rsid w:val="00AD68C4"/>
    <w:rsid w:val="00AE09B3"/>
    <w:rsid w:val="00AE1A83"/>
    <w:rsid w:val="00AE538C"/>
    <w:rsid w:val="00AE7FB2"/>
    <w:rsid w:val="00AF0063"/>
    <w:rsid w:val="00AF7180"/>
    <w:rsid w:val="00B00913"/>
    <w:rsid w:val="00B01593"/>
    <w:rsid w:val="00B02051"/>
    <w:rsid w:val="00B023F2"/>
    <w:rsid w:val="00B10A4D"/>
    <w:rsid w:val="00B120A1"/>
    <w:rsid w:val="00B14BC1"/>
    <w:rsid w:val="00B17E71"/>
    <w:rsid w:val="00B17FDE"/>
    <w:rsid w:val="00B20632"/>
    <w:rsid w:val="00B23055"/>
    <w:rsid w:val="00B2379C"/>
    <w:rsid w:val="00B2687D"/>
    <w:rsid w:val="00B32DDB"/>
    <w:rsid w:val="00B336D6"/>
    <w:rsid w:val="00B34528"/>
    <w:rsid w:val="00B34CC9"/>
    <w:rsid w:val="00B37579"/>
    <w:rsid w:val="00B37A30"/>
    <w:rsid w:val="00B402FC"/>
    <w:rsid w:val="00B40FF9"/>
    <w:rsid w:val="00B42470"/>
    <w:rsid w:val="00B439DA"/>
    <w:rsid w:val="00B46604"/>
    <w:rsid w:val="00B530CD"/>
    <w:rsid w:val="00B53AB0"/>
    <w:rsid w:val="00B55F5E"/>
    <w:rsid w:val="00B57338"/>
    <w:rsid w:val="00B5752E"/>
    <w:rsid w:val="00B62D21"/>
    <w:rsid w:val="00B63A11"/>
    <w:rsid w:val="00B64C24"/>
    <w:rsid w:val="00B6608F"/>
    <w:rsid w:val="00B679FB"/>
    <w:rsid w:val="00B76D1E"/>
    <w:rsid w:val="00B77AF4"/>
    <w:rsid w:val="00B80EC6"/>
    <w:rsid w:val="00B84CF6"/>
    <w:rsid w:val="00B86F03"/>
    <w:rsid w:val="00B92D1D"/>
    <w:rsid w:val="00B936B1"/>
    <w:rsid w:val="00B938C5"/>
    <w:rsid w:val="00B95940"/>
    <w:rsid w:val="00B97434"/>
    <w:rsid w:val="00BA0DD3"/>
    <w:rsid w:val="00BA35F3"/>
    <w:rsid w:val="00BA6C2B"/>
    <w:rsid w:val="00BB2F03"/>
    <w:rsid w:val="00BB46F3"/>
    <w:rsid w:val="00BB4CB1"/>
    <w:rsid w:val="00BB4F98"/>
    <w:rsid w:val="00BB5D2C"/>
    <w:rsid w:val="00BC09D5"/>
    <w:rsid w:val="00BC0E31"/>
    <w:rsid w:val="00BC2C16"/>
    <w:rsid w:val="00BC5C12"/>
    <w:rsid w:val="00BC7154"/>
    <w:rsid w:val="00BC731E"/>
    <w:rsid w:val="00BC7833"/>
    <w:rsid w:val="00BD163C"/>
    <w:rsid w:val="00BD366B"/>
    <w:rsid w:val="00BD3695"/>
    <w:rsid w:val="00BD6D50"/>
    <w:rsid w:val="00BE18B9"/>
    <w:rsid w:val="00BE2495"/>
    <w:rsid w:val="00BE468E"/>
    <w:rsid w:val="00BE5FAF"/>
    <w:rsid w:val="00BE6186"/>
    <w:rsid w:val="00BF1578"/>
    <w:rsid w:val="00BF67DD"/>
    <w:rsid w:val="00C21405"/>
    <w:rsid w:val="00C218F1"/>
    <w:rsid w:val="00C21F94"/>
    <w:rsid w:val="00C27913"/>
    <w:rsid w:val="00C3031A"/>
    <w:rsid w:val="00C31510"/>
    <w:rsid w:val="00C33B68"/>
    <w:rsid w:val="00C36A79"/>
    <w:rsid w:val="00C37A78"/>
    <w:rsid w:val="00C401D2"/>
    <w:rsid w:val="00C405D4"/>
    <w:rsid w:val="00C4513B"/>
    <w:rsid w:val="00C466D2"/>
    <w:rsid w:val="00C5203D"/>
    <w:rsid w:val="00C5354E"/>
    <w:rsid w:val="00C5390B"/>
    <w:rsid w:val="00C54697"/>
    <w:rsid w:val="00C60191"/>
    <w:rsid w:val="00C6152B"/>
    <w:rsid w:val="00C653FE"/>
    <w:rsid w:val="00C73885"/>
    <w:rsid w:val="00C747B1"/>
    <w:rsid w:val="00C82191"/>
    <w:rsid w:val="00C83134"/>
    <w:rsid w:val="00C8418E"/>
    <w:rsid w:val="00C85545"/>
    <w:rsid w:val="00C86B84"/>
    <w:rsid w:val="00C90CF4"/>
    <w:rsid w:val="00C923DF"/>
    <w:rsid w:val="00C92EB6"/>
    <w:rsid w:val="00C93389"/>
    <w:rsid w:val="00C936C3"/>
    <w:rsid w:val="00C96D08"/>
    <w:rsid w:val="00CA28BC"/>
    <w:rsid w:val="00CA4551"/>
    <w:rsid w:val="00CA4CF2"/>
    <w:rsid w:val="00CA4E9E"/>
    <w:rsid w:val="00CA6AB4"/>
    <w:rsid w:val="00CB259D"/>
    <w:rsid w:val="00CB272C"/>
    <w:rsid w:val="00CB4930"/>
    <w:rsid w:val="00CC0F9A"/>
    <w:rsid w:val="00CC2E7D"/>
    <w:rsid w:val="00CC71EC"/>
    <w:rsid w:val="00CD10A5"/>
    <w:rsid w:val="00CD2076"/>
    <w:rsid w:val="00CD29B5"/>
    <w:rsid w:val="00CD3171"/>
    <w:rsid w:val="00CD6331"/>
    <w:rsid w:val="00CE153B"/>
    <w:rsid w:val="00CE670B"/>
    <w:rsid w:val="00CE760D"/>
    <w:rsid w:val="00CF1C4C"/>
    <w:rsid w:val="00CF4908"/>
    <w:rsid w:val="00CF51EC"/>
    <w:rsid w:val="00CF73AE"/>
    <w:rsid w:val="00D0260C"/>
    <w:rsid w:val="00D040DD"/>
    <w:rsid w:val="00D050F8"/>
    <w:rsid w:val="00D06297"/>
    <w:rsid w:val="00D075BE"/>
    <w:rsid w:val="00D1005A"/>
    <w:rsid w:val="00D11854"/>
    <w:rsid w:val="00D13986"/>
    <w:rsid w:val="00D21D83"/>
    <w:rsid w:val="00D235B7"/>
    <w:rsid w:val="00D25F28"/>
    <w:rsid w:val="00D26071"/>
    <w:rsid w:val="00D27973"/>
    <w:rsid w:val="00D30575"/>
    <w:rsid w:val="00D32F90"/>
    <w:rsid w:val="00D35E1A"/>
    <w:rsid w:val="00D37034"/>
    <w:rsid w:val="00D42E82"/>
    <w:rsid w:val="00D45615"/>
    <w:rsid w:val="00D50F46"/>
    <w:rsid w:val="00D52BE2"/>
    <w:rsid w:val="00D57677"/>
    <w:rsid w:val="00D64026"/>
    <w:rsid w:val="00D66223"/>
    <w:rsid w:val="00D8084C"/>
    <w:rsid w:val="00D82A1E"/>
    <w:rsid w:val="00D83062"/>
    <w:rsid w:val="00D83229"/>
    <w:rsid w:val="00D83A33"/>
    <w:rsid w:val="00D86490"/>
    <w:rsid w:val="00D86712"/>
    <w:rsid w:val="00D915EA"/>
    <w:rsid w:val="00D92FD1"/>
    <w:rsid w:val="00D93CE2"/>
    <w:rsid w:val="00D943C6"/>
    <w:rsid w:val="00D965EC"/>
    <w:rsid w:val="00DA7C0C"/>
    <w:rsid w:val="00DB08A9"/>
    <w:rsid w:val="00DB2EC8"/>
    <w:rsid w:val="00DB5913"/>
    <w:rsid w:val="00DC37E3"/>
    <w:rsid w:val="00DC4EC8"/>
    <w:rsid w:val="00DC5B3B"/>
    <w:rsid w:val="00DD129F"/>
    <w:rsid w:val="00DD2B66"/>
    <w:rsid w:val="00DD3A2C"/>
    <w:rsid w:val="00DE0F63"/>
    <w:rsid w:val="00DE4C19"/>
    <w:rsid w:val="00DF42FF"/>
    <w:rsid w:val="00DF7AD4"/>
    <w:rsid w:val="00E01C0E"/>
    <w:rsid w:val="00E03F9A"/>
    <w:rsid w:val="00E04694"/>
    <w:rsid w:val="00E04F27"/>
    <w:rsid w:val="00E06182"/>
    <w:rsid w:val="00E102BD"/>
    <w:rsid w:val="00E11DE1"/>
    <w:rsid w:val="00E12B1E"/>
    <w:rsid w:val="00E141B6"/>
    <w:rsid w:val="00E17262"/>
    <w:rsid w:val="00E212C9"/>
    <w:rsid w:val="00E22969"/>
    <w:rsid w:val="00E253A2"/>
    <w:rsid w:val="00E32880"/>
    <w:rsid w:val="00E3309D"/>
    <w:rsid w:val="00E402A5"/>
    <w:rsid w:val="00E424F6"/>
    <w:rsid w:val="00E453F9"/>
    <w:rsid w:val="00E47EBA"/>
    <w:rsid w:val="00E50156"/>
    <w:rsid w:val="00E53470"/>
    <w:rsid w:val="00E539F6"/>
    <w:rsid w:val="00E567D6"/>
    <w:rsid w:val="00E56FE9"/>
    <w:rsid w:val="00E61EEF"/>
    <w:rsid w:val="00E6519D"/>
    <w:rsid w:val="00E67696"/>
    <w:rsid w:val="00E711D1"/>
    <w:rsid w:val="00E71A58"/>
    <w:rsid w:val="00E72A7A"/>
    <w:rsid w:val="00E733C7"/>
    <w:rsid w:val="00E75C94"/>
    <w:rsid w:val="00E76AC9"/>
    <w:rsid w:val="00E76E61"/>
    <w:rsid w:val="00E85E6D"/>
    <w:rsid w:val="00E924B2"/>
    <w:rsid w:val="00E9274D"/>
    <w:rsid w:val="00E93820"/>
    <w:rsid w:val="00E94A86"/>
    <w:rsid w:val="00E96143"/>
    <w:rsid w:val="00E972A9"/>
    <w:rsid w:val="00EA0840"/>
    <w:rsid w:val="00EA0C68"/>
    <w:rsid w:val="00EA17B0"/>
    <w:rsid w:val="00EA2A43"/>
    <w:rsid w:val="00EA32BC"/>
    <w:rsid w:val="00EA3580"/>
    <w:rsid w:val="00EA383F"/>
    <w:rsid w:val="00EA405F"/>
    <w:rsid w:val="00EA637E"/>
    <w:rsid w:val="00EB269A"/>
    <w:rsid w:val="00EB4511"/>
    <w:rsid w:val="00EC03D7"/>
    <w:rsid w:val="00EC25F0"/>
    <w:rsid w:val="00ED162F"/>
    <w:rsid w:val="00ED62C6"/>
    <w:rsid w:val="00ED64C1"/>
    <w:rsid w:val="00EE2A8D"/>
    <w:rsid w:val="00EE3446"/>
    <w:rsid w:val="00EE3E78"/>
    <w:rsid w:val="00EE4B1B"/>
    <w:rsid w:val="00EE4DEF"/>
    <w:rsid w:val="00EF08D5"/>
    <w:rsid w:val="00EF0FC4"/>
    <w:rsid w:val="00EF150D"/>
    <w:rsid w:val="00EF1F5A"/>
    <w:rsid w:val="00EF47BF"/>
    <w:rsid w:val="00F03FDE"/>
    <w:rsid w:val="00F04811"/>
    <w:rsid w:val="00F0488C"/>
    <w:rsid w:val="00F10F11"/>
    <w:rsid w:val="00F15AAA"/>
    <w:rsid w:val="00F15ABF"/>
    <w:rsid w:val="00F15BEF"/>
    <w:rsid w:val="00F160CE"/>
    <w:rsid w:val="00F162B3"/>
    <w:rsid w:val="00F24407"/>
    <w:rsid w:val="00F24FAA"/>
    <w:rsid w:val="00F3364D"/>
    <w:rsid w:val="00F33E56"/>
    <w:rsid w:val="00F36104"/>
    <w:rsid w:val="00F37A7D"/>
    <w:rsid w:val="00F433FE"/>
    <w:rsid w:val="00F437CC"/>
    <w:rsid w:val="00F44537"/>
    <w:rsid w:val="00F4530D"/>
    <w:rsid w:val="00F46502"/>
    <w:rsid w:val="00F47067"/>
    <w:rsid w:val="00F51F81"/>
    <w:rsid w:val="00F525EB"/>
    <w:rsid w:val="00F55E08"/>
    <w:rsid w:val="00F57510"/>
    <w:rsid w:val="00F61836"/>
    <w:rsid w:val="00F63DDE"/>
    <w:rsid w:val="00F63FB7"/>
    <w:rsid w:val="00F6421B"/>
    <w:rsid w:val="00F649D2"/>
    <w:rsid w:val="00F6602B"/>
    <w:rsid w:val="00F724F9"/>
    <w:rsid w:val="00F73A0C"/>
    <w:rsid w:val="00F756DB"/>
    <w:rsid w:val="00F77285"/>
    <w:rsid w:val="00F84E7D"/>
    <w:rsid w:val="00F85066"/>
    <w:rsid w:val="00F859D0"/>
    <w:rsid w:val="00F87A4D"/>
    <w:rsid w:val="00F927E6"/>
    <w:rsid w:val="00F9647C"/>
    <w:rsid w:val="00FA5D4D"/>
    <w:rsid w:val="00FB0EE2"/>
    <w:rsid w:val="00FB42A1"/>
    <w:rsid w:val="00FB542E"/>
    <w:rsid w:val="00FC0359"/>
    <w:rsid w:val="00FC0E5F"/>
    <w:rsid w:val="00FC1A95"/>
    <w:rsid w:val="00FC56DE"/>
    <w:rsid w:val="00FC5F49"/>
    <w:rsid w:val="00FC684B"/>
    <w:rsid w:val="00FD3265"/>
    <w:rsid w:val="00FD4916"/>
    <w:rsid w:val="00FE2F78"/>
    <w:rsid w:val="00FE4B2F"/>
    <w:rsid w:val="00FE7B95"/>
    <w:rsid w:val="00FF3EEC"/>
    <w:rsid w:val="00FF7B9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cf4dd,#eaecee,#fcec0a,#fcecdb,#f1daf5"/>
    </o:shapedefaults>
    <o:shapelayout v:ext="edit">
      <o:idmap v:ext="edit" data="1"/>
    </o:shapelayout>
  </w:shapeDefaults>
  <w:decimalSymbol w:val=","/>
  <w:listSeparator w:val=";"/>
  <w14:docId w14:val="655E1B12"/>
  <w15:docId w15:val="{A4C7AF56-5B51-4067-BDB9-17A6C364C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64FA0"/>
    <w:pPr>
      <w:spacing w:after="240" w:line="276" w:lineRule="auto"/>
      <w:jc w:val="both"/>
    </w:pPr>
    <w:rPr>
      <w:rFonts w:ascii="Arial" w:eastAsia="Times New Roman" w:hAnsi="Arial"/>
      <w:szCs w:val="24"/>
      <w:lang w:eastAsia="cs-CZ"/>
    </w:rPr>
  </w:style>
  <w:style w:type="paragraph" w:styleId="Nadpis1">
    <w:name w:val="heading 1"/>
    <w:next w:val="Normln"/>
    <w:link w:val="Nadpis1Char"/>
    <w:uiPriority w:val="9"/>
    <w:qFormat/>
    <w:rsid w:val="00A25216"/>
    <w:pPr>
      <w:keepNext/>
      <w:keepLines/>
      <w:spacing w:after="100" w:line="276" w:lineRule="auto"/>
      <w:contextualSpacing/>
      <w:outlineLvl w:val="0"/>
    </w:pPr>
    <w:rPr>
      <w:rFonts w:ascii="Arial" w:eastAsia="MS Gothic" w:hAnsi="Arial"/>
      <w:b/>
      <w:bCs/>
      <w:color w:val="71818C"/>
      <w:sz w:val="32"/>
      <w:szCs w:val="28"/>
      <w:lang w:eastAsia="cs-CZ"/>
    </w:rPr>
  </w:style>
  <w:style w:type="paragraph" w:styleId="Nadpis2">
    <w:name w:val="heading 2"/>
    <w:next w:val="Normln"/>
    <w:link w:val="Nadpis2Char"/>
    <w:uiPriority w:val="9"/>
    <w:qFormat/>
    <w:rsid w:val="00A25216"/>
    <w:pPr>
      <w:keepNext/>
      <w:keepLines/>
      <w:spacing w:line="276" w:lineRule="auto"/>
      <w:outlineLvl w:val="1"/>
    </w:pPr>
    <w:rPr>
      <w:rFonts w:ascii="Arial" w:eastAsia="MS Gothic" w:hAnsi="Arial"/>
      <w:b/>
      <w:bCs/>
      <w:color w:val="71818C"/>
      <w:sz w:val="28"/>
      <w:szCs w:val="26"/>
      <w:lang w:eastAsia="cs-CZ"/>
    </w:rPr>
  </w:style>
  <w:style w:type="paragraph" w:styleId="Nadpis3">
    <w:name w:val="heading 3"/>
    <w:next w:val="Normln"/>
    <w:link w:val="Nadpis3Char"/>
    <w:uiPriority w:val="9"/>
    <w:qFormat/>
    <w:rsid w:val="00A25216"/>
    <w:pPr>
      <w:keepNext/>
      <w:keepLines/>
      <w:spacing w:line="276" w:lineRule="auto"/>
      <w:outlineLvl w:val="2"/>
    </w:pPr>
    <w:rPr>
      <w:rFonts w:ascii="Arial" w:eastAsia="MS Gothic" w:hAnsi="Arial"/>
      <w:b/>
      <w:bCs/>
      <w:color w:val="71818C"/>
      <w:sz w:val="24"/>
      <w:szCs w:val="24"/>
      <w:lang w:eastAsia="cs-CZ"/>
    </w:rPr>
  </w:style>
  <w:style w:type="paragraph" w:styleId="Nadpis4">
    <w:name w:val="heading 4"/>
    <w:next w:val="Normln"/>
    <w:link w:val="Nadpis4Char"/>
    <w:uiPriority w:val="9"/>
    <w:qFormat/>
    <w:rsid w:val="00A25216"/>
    <w:pPr>
      <w:keepNext/>
      <w:keepLines/>
      <w:spacing w:line="276" w:lineRule="auto"/>
      <w:outlineLvl w:val="3"/>
    </w:pPr>
    <w:rPr>
      <w:rFonts w:ascii="Arial" w:eastAsia="MS Gothic" w:hAnsi="Arial"/>
      <w:b/>
      <w:bCs/>
      <w:iCs/>
      <w:color w:val="71818C"/>
      <w:szCs w:val="24"/>
      <w:lang w:eastAsia="cs-CZ"/>
    </w:rPr>
  </w:style>
  <w:style w:type="paragraph" w:styleId="Nadpis5">
    <w:name w:val="heading 5"/>
    <w:basedOn w:val="Normln"/>
    <w:next w:val="Normln"/>
    <w:link w:val="Nadpis5Char"/>
    <w:uiPriority w:val="9"/>
    <w:semiHidden/>
    <w:unhideWhenUsed/>
    <w:rsid w:val="007A516D"/>
    <w:pPr>
      <w:keepNext/>
      <w:keepLines/>
      <w:numPr>
        <w:ilvl w:val="4"/>
        <w:numId w:val="14"/>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7A516D"/>
    <w:pPr>
      <w:keepNext/>
      <w:keepLines/>
      <w:numPr>
        <w:ilvl w:val="5"/>
        <w:numId w:val="14"/>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7A516D"/>
    <w:pPr>
      <w:keepNext/>
      <w:keepLines/>
      <w:numPr>
        <w:ilvl w:val="6"/>
        <w:numId w:val="14"/>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7A516D"/>
    <w:pPr>
      <w:keepNext/>
      <w:keepLines/>
      <w:numPr>
        <w:ilvl w:val="7"/>
        <w:numId w:val="14"/>
      </w:numPr>
      <w:spacing w:before="200" w:after="0"/>
      <w:outlineLvl w:val="7"/>
    </w:pPr>
    <w:rPr>
      <w:rFonts w:asciiTheme="majorHAnsi" w:eastAsiaTheme="majorEastAsia" w:hAnsiTheme="majorHAnsi" w:cstheme="majorBidi"/>
      <w:color w:val="404040" w:themeColor="text1" w:themeTint="BF"/>
      <w:szCs w:val="20"/>
    </w:rPr>
  </w:style>
  <w:style w:type="paragraph" w:styleId="Nadpis9">
    <w:name w:val="heading 9"/>
    <w:basedOn w:val="Normln"/>
    <w:next w:val="Normln"/>
    <w:link w:val="Nadpis9Char"/>
    <w:uiPriority w:val="9"/>
    <w:semiHidden/>
    <w:unhideWhenUsed/>
    <w:qFormat/>
    <w:rsid w:val="007A516D"/>
    <w:pPr>
      <w:numPr>
        <w:ilvl w:val="8"/>
        <w:numId w:val="14"/>
      </w:num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qFormat/>
    <w:rsid w:val="00364FA0"/>
    <w:rPr>
      <w:rFonts w:ascii="Arial" w:eastAsia="MS Gothic" w:hAnsi="Arial"/>
      <w:b/>
      <w:bCs/>
      <w:color w:val="71818C"/>
      <w:sz w:val="32"/>
      <w:szCs w:val="28"/>
      <w:lang w:eastAsia="cs-CZ"/>
    </w:rPr>
  </w:style>
  <w:style w:type="character" w:customStyle="1" w:styleId="Nadpis2Char">
    <w:name w:val="Nadpis 2 Char"/>
    <w:link w:val="Nadpis2"/>
    <w:uiPriority w:val="9"/>
    <w:qFormat/>
    <w:rsid w:val="00364FA0"/>
    <w:rPr>
      <w:rFonts w:ascii="Arial" w:eastAsia="MS Gothic" w:hAnsi="Arial"/>
      <w:b/>
      <w:bCs/>
      <w:color w:val="71818C"/>
      <w:sz w:val="28"/>
      <w:szCs w:val="26"/>
      <w:lang w:eastAsia="cs-CZ"/>
    </w:rPr>
  </w:style>
  <w:style w:type="character" w:customStyle="1" w:styleId="Nadpis3Char">
    <w:name w:val="Nadpis 3 Char"/>
    <w:link w:val="Nadpis3"/>
    <w:uiPriority w:val="9"/>
    <w:rsid w:val="00364FA0"/>
    <w:rPr>
      <w:rFonts w:ascii="Arial" w:eastAsia="MS Gothic" w:hAnsi="Arial"/>
      <w:b/>
      <w:bCs/>
      <w:color w:val="71818C"/>
      <w:sz w:val="24"/>
      <w:szCs w:val="24"/>
      <w:lang w:eastAsia="cs-CZ"/>
    </w:rPr>
  </w:style>
  <w:style w:type="character" w:customStyle="1" w:styleId="Nadpis4Char">
    <w:name w:val="Nadpis 4 Char"/>
    <w:link w:val="Nadpis4"/>
    <w:uiPriority w:val="9"/>
    <w:rsid w:val="00364FA0"/>
    <w:rPr>
      <w:rFonts w:ascii="Arial" w:eastAsia="MS Gothic" w:hAnsi="Arial"/>
      <w:b/>
      <w:bCs/>
      <w:iCs/>
      <w:color w:val="71818C"/>
      <w:szCs w:val="24"/>
      <w:lang w:eastAsia="cs-CZ"/>
    </w:rPr>
  </w:style>
  <w:style w:type="character" w:customStyle="1" w:styleId="Nadpis9Char">
    <w:name w:val="Nadpis 9 Char"/>
    <w:link w:val="Nadpis9"/>
    <w:uiPriority w:val="9"/>
    <w:semiHidden/>
    <w:rsid w:val="007A516D"/>
    <w:rPr>
      <w:rFonts w:ascii="Cambria" w:eastAsia="Times New Roman" w:hAnsi="Cambria"/>
      <w:sz w:val="22"/>
      <w:szCs w:val="22"/>
      <w:lang w:eastAsia="cs-CZ"/>
    </w:rPr>
  </w:style>
  <w:style w:type="character" w:styleId="Hypertextovodkaz">
    <w:name w:val="Hyperlink"/>
    <w:uiPriority w:val="99"/>
    <w:rsid w:val="00E71A58"/>
    <w:rPr>
      <w:color w:val="0000FF"/>
      <w:u w:val="single"/>
    </w:rPr>
  </w:style>
  <w:style w:type="paragraph" w:styleId="Zhlav">
    <w:name w:val="header"/>
    <w:link w:val="ZhlavChar"/>
    <w:uiPriority w:val="99"/>
    <w:unhideWhenUsed/>
    <w:qFormat/>
    <w:rsid w:val="00A418BC"/>
    <w:pPr>
      <w:spacing w:line="288" w:lineRule="auto"/>
    </w:pPr>
    <w:rPr>
      <w:rFonts w:ascii="Arial" w:hAnsi="Arial"/>
      <w:sz w:val="16"/>
      <w:szCs w:val="22"/>
    </w:rPr>
  </w:style>
  <w:style w:type="character" w:customStyle="1" w:styleId="ZhlavChar">
    <w:name w:val="Záhlaví Char"/>
    <w:link w:val="Zhlav"/>
    <w:uiPriority w:val="99"/>
    <w:rsid w:val="00A418BC"/>
    <w:rPr>
      <w:rFonts w:ascii="Arial" w:hAnsi="Arial"/>
      <w:sz w:val="16"/>
      <w:szCs w:val="22"/>
      <w:lang w:eastAsia="en-US"/>
    </w:rPr>
  </w:style>
  <w:style w:type="paragraph" w:styleId="Zpat">
    <w:name w:val="footer"/>
    <w:link w:val="ZpatChar"/>
    <w:uiPriority w:val="99"/>
    <w:unhideWhenUsed/>
    <w:qFormat/>
    <w:rsid w:val="00031AE0"/>
    <w:pPr>
      <w:tabs>
        <w:tab w:val="center" w:pos="4820"/>
        <w:tab w:val="right" w:pos="9639"/>
      </w:tabs>
    </w:pPr>
    <w:rPr>
      <w:rFonts w:ascii="Arial" w:hAnsi="Arial" w:cs="Arial"/>
      <w:noProof/>
      <w:sz w:val="16"/>
    </w:rPr>
  </w:style>
  <w:style w:type="character" w:customStyle="1" w:styleId="ZpatChar">
    <w:name w:val="Zápatí Char"/>
    <w:link w:val="Zpat"/>
    <w:uiPriority w:val="99"/>
    <w:rsid w:val="00031AE0"/>
    <w:rPr>
      <w:rFonts w:ascii="Arial" w:hAnsi="Arial" w:cs="Arial"/>
      <w:noProof/>
      <w:sz w:val="16"/>
      <w:lang w:eastAsia="en-US"/>
    </w:rPr>
  </w:style>
  <w:style w:type="paragraph" w:styleId="Textbubliny">
    <w:name w:val="Balloon Text"/>
    <w:basedOn w:val="Normln"/>
    <w:link w:val="TextbublinyChar"/>
    <w:uiPriority w:val="99"/>
    <w:semiHidden/>
    <w:unhideWhenUsed/>
    <w:rsid w:val="00E71A58"/>
    <w:rPr>
      <w:rFonts w:ascii="Tahoma" w:eastAsia="Calibri" w:hAnsi="Tahoma"/>
      <w:sz w:val="16"/>
      <w:szCs w:val="16"/>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link w:val="ZkladnodstavecChar"/>
    <w:uiPriority w:val="99"/>
    <w:rsid w:val="0008263E"/>
    <w:pPr>
      <w:autoSpaceDE w:val="0"/>
      <w:autoSpaceDN w:val="0"/>
      <w:adjustRightInd w:val="0"/>
      <w:spacing w:line="276" w:lineRule="auto"/>
      <w:textAlignment w:val="center"/>
    </w:pPr>
    <w:rPr>
      <w:rFonts w:ascii="Arial" w:hAnsi="Arial" w:cs="Minion Pro"/>
      <w:color w:val="000000"/>
      <w:szCs w:val="24"/>
      <w:lang w:eastAsia="cs-CZ"/>
    </w:rPr>
  </w:style>
  <w:style w:type="character" w:customStyle="1" w:styleId="ZkladnodstavecChar">
    <w:name w:val="[Základní odstavec] Char"/>
    <w:link w:val="Zkladnodstavec"/>
    <w:uiPriority w:val="99"/>
    <w:rsid w:val="0008263E"/>
    <w:rPr>
      <w:rFonts w:ascii="Arial" w:hAnsi="Arial" w:cs="Minion Pro"/>
      <w:color w:val="000000"/>
      <w:szCs w:val="24"/>
    </w:rPr>
  </w:style>
  <w:style w:type="paragraph" w:styleId="Obsah1">
    <w:name w:val="toc 1"/>
    <w:basedOn w:val="Obsahpoloky"/>
    <w:next w:val="Obsahpoloky"/>
    <w:autoRedefine/>
    <w:uiPriority w:val="39"/>
    <w:unhideWhenUsed/>
    <w:rsid w:val="00EA0840"/>
    <w:rPr>
      <w:noProof/>
      <w:lang w:eastAsia="en-US"/>
    </w:rPr>
  </w:style>
  <w:style w:type="paragraph" w:customStyle="1" w:styleId="TLIdentifikace-sted">
    <w:name w:val="TL Identifikace - střed"/>
    <w:qFormat/>
    <w:rsid w:val="009A60D1"/>
    <w:pPr>
      <w:spacing w:after="200" w:line="288" w:lineRule="auto"/>
    </w:pPr>
    <w:rPr>
      <w:rFonts w:ascii="Arial" w:eastAsia="Times New Roman" w:hAnsi="Arial"/>
      <w:sz w:val="24"/>
      <w:szCs w:val="24"/>
      <w:lang w:eastAsia="cs-CZ"/>
    </w:rPr>
  </w:style>
  <w:style w:type="paragraph" w:customStyle="1" w:styleId="Obsah">
    <w:name w:val="Obsah"/>
    <w:next w:val="Normln"/>
    <w:qFormat/>
    <w:rsid w:val="00846121"/>
    <w:pPr>
      <w:spacing w:after="80" w:line="288" w:lineRule="auto"/>
    </w:pPr>
    <w:rPr>
      <w:rFonts w:ascii="Arial" w:eastAsia="Times New Roman" w:hAnsi="Arial"/>
      <w:b/>
      <w:color w:val="71818C"/>
      <w:sz w:val="32"/>
      <w:szCs w:val="24"/>
      <w:lang w:eastAsia="cs-CZ"/>
    </w:rPr>
  </w:style>
  <w:style w:type="paragraph" w:customStyle="1" w:styleId="Obsahpoloky">
    <w:name w:val="Obsah položky"/>
    <w:qFormat/>
    <w:rsid w:val="00616E05"/>
    <w:pPr>
      <w:tabs>
        <w:tab w:val="right" w:leader="dot" w:pos="9639"/>
      </w:tabs>
      <w:spacing w:line="288" w:lineRule="auto"/>
    </w:pPr>
    <w:rPr>
      <w:rFonts w:ascii="Arial" w:eastAsia="Times New Roman" w:hAnsi="Arial"/>
      <w:szCs w:val="24"/>
      <w:lang w:eastAsia="cs-CZ"/>
    </w:rPr>
  </w:style>
  <w:style w:type="paragraph" w:customStyle="1" w:styleId="A-Box1">
    <w:name w:val="A-Box 1"/>
    <w:next w:val="Normln"/>
    <w:qFormat/>
    <w:rsid w:val="00F84E7D"/>
    <w:pPr>
      <w:shd w:val="clear" w:color="auto" w:fill="EAECEE"/>
      <w:spacing w:before="240" w:after="240" w:line="276" w:lineRule="auto"/>
      <w:contextualSpacing/>
      <w:jc w:val="both"/>
    </w:pPr>
    <w:rPr>
      <w:rFonts w:ascii="Arial" w:hAnsi="Arial" w:cs="Arial"/>
      <w:lang w:eastAsia="cs-CZ"/>
    </w:rPr>
  </w:style>
  <w:style w:type="paragraph" w:customStyle="1" w:styleId="A-Box2">
    <w:name w:val="A-Box 2"/>
    <w:next w:val="Normln"/>
    <w:qFormat/>
    <w:rsid w:val="00D075BE"/>
    <w:pPr>
      <w:spacing w:before="240" w:after="240" w:line="276" w:lineRule="auto"/>
      <w:contextualSpacing/>
      <w:jc w:val="both"/>
    </w:pPr>
    <w:rPr>
      <w:rFonts w:ascii="Arial" w:hAnsi="Arial" w:cs="Arial"/>
      <w:color w:val="71818C"/>
      <w:lang w:eastAsia="cs-CZ"/>
    </w:rPr>
  </w:style>
  <w:style w:type="paragraph" w:styleId="Seznam">
    <w:name w:val="List"/>
    <w:basedOn w:val="Normln"/>
    <w:uiPriority w:val="99"/>
    <w:unhideWhenUsed/>
    <w:qFormat/>
    <w:rsid w:val="00481E40"/>
    <w:pPr>
      <w:contextualSpacing/>
    </w:pPr>
  </w:style>
  <w:style w:type="character" w:styleId="Siln">
    <w:name w:val="Strong"/>
    <w:aliases w:val="Tučné"/>
    <w:uiPriority w:val="22"/>
    <w:qFormat/>
    <w:rsid w:val="00EC03D7"/>
    <w:rPr>
      <w:rFonts w:ascii="Arial" w:hAnsi="Arial"/>
      <w:b/>
      <w:bCs/>
      <w:sz w:val="20"/>
    </w:rPr>
  </w:style>
  <w:style w:type="paragraph" w:customStyle="1" w:styleId="TLKontaktyerven">
    <w:name w:val="TL Kontakty červené"/>
    <w:basedOn w:val="Normln"/>
    <w:qFormat/>
    <w:rsid w:val="00104C4C"/>
    <w:pPr>
      <w:spacing w:after="40"/>
      <w:contextualSpacing/>
    </w:pPr>
    <w:rPr>
      <w:b/>
      <w:caps/>
      <w:color w:val="BD1B21"/>
      <w:sz w:val="24"/>
    </w:rPr>
  </w:style>
  <w:style w:type="paragraph" w:customStyle="1" w:styleId="TLKontakty">
    <w:name w:val="TL Kontakty"/>
    <w:qFormat/>
    <w:rsid w:val="008E6F06"/>
    <w:pPr>
      <w:spacing w:after="160" w:line="259" w:lineRule="auto"/>
      <w:contextualSpacing/>
    </w:pPr>
    <w:rPr>
      <w:rFonts w:ascii="Arial" w:eastAsia="Times New Roman" w:hAnsi="Arial"/>
      <w:b/>
      <w:color w:val="0071BC"/>
      <w:lang w:eastAsia="cs-CZ"/>
    </w:rPr>
  </w:style>
  <w:style w:type="paragraph" w:styleId="Nzev">
    <w:name w:val="Title"/>
    <w:link w:val="NzevChar"/>
    <w:uiPriority w:val="10"/>
    <w:qFormat/>
    <w:rsid w:val="00846121"/>
    <w:pPr>
      <w:spacing w:line="288" w:lineRule="auto"/>
    </w:pPr>
    <w:rPr>
      <w:rFonts w:ascii="Arial" w:eastAsia="Times New Roman" w:hAnsi="Arial"/>
      <w:b/>
      <w:bCs/>
      <w:caps/>
      <w:color w:val="71818C"/>
      <w:kern w:val="28"/>
      <w:sz w:val="56"/>
      <w:szCs w:val="32"/>
      <w:lang w:eastAsia="cs-CZ"/>
    </w:rPr>
  </w:style>
  <w:style w:type="character" w:customStyle="1" w:styleId="NzevChar">
    <w:name w:val="Název Char"/>
    <w:link w:val="Nzev"/>
    <w:uiPriority w:val="10"/>
    <w:rsid w:val="00846121"/>
    <w:rPr>
      <w:rFonts w:ascii="Arial" w:eastAsia="Times New Roman" w:hAnsi="Arial"/>
      <w:b/>
      <w:bCs/>
      <w:caps/>
      <w:color w:val="71818C"/>
      <w:kern w:val="28"/>
      <w:sz w:val="56"/>
      <w:szCs w:val="32"/>
    </w:rPr>
  </w:style>
  <w:style w:type="paragraph" w:styleId="Podnadpis">
    <w:name w:val="Subtitle"/>
    <w:link w:val="PodnadpisChar"/>
    <w:uiPriority w:val="11"/>
    <w:qFormat/>
    <w:rsid w:val="00846121"/>
    <w:pPr>
      <w:spacing w:line="288" w:lineRule="auto"/>
    </w:pPr>
    <w:rPr>
      <w:rFonts w:ascii="Arial" w:eastAsia="Times New Roman" w:hAnsi="Arial" w:cs="Arial"/>
      <w:b/>
      <w:color w:val="71818C"/>
      <w:sz w:val="28"/>
      <w:szCs w:val="24"/>
      <w:lang w:eastAsia="cs-CZ"/>
    </w:rPr>
  </w:style>
  <w:style w:type="character" w:customStyle="1" w:styleId="PodnadpisChar">
    <w:name w:val="Podnadpis Char"/>
    <w:link w:val="Podnadpis"/>
    <w:uiPriority w:val="11"/>
    <w:rsid w:val="00846121"/>
    <w:rPr>
      <w:rFonts w:ascii="Arial" w:eastAsia="Times New Roman" w:hAnsi="Arial" w:cs="Arial"/>
      <w:b/>
      <w:color w:val="71818C"/>
      <w:sz w:val="28"/>
      <w:szCs w:val="24"/>
    </w:rPr>
  </w:style>
  <w:style w:type="paragraph" w:styleId="Obsah2">
    <w:name w:val="toc 2"/>
    <w:basedOn w:val="Obsahpoloky"/>
    <w:next w:val="Obsahpoloky"/>
    <w:autoRedefine/>
    <w:uiPriority w:val="39"/>
    <w:unhideWhenUsed/>
    <w:rsid w:val="00FC1A95"/>
    <w:pPr>
      <w:ind w:left="200"/>
    </w:pPr>
  </w:style>
  <w:style w:type="paragraph" w:styleId="Obsah3">
    <w:name w:val="toc 3"/>
    <w:basedOn w:val="Obsahpoloky"/>
    <w:next w:val="Obsahpoloky"/>
    <w:autoRedefine/>
    <w:uiPriority w:val="39"/>
    <w:unhideWhenUsed/>
    <w:rsid w:val="00FC1A95"/>
    <w:pPr>
      <w:ind w:left="400"/>
    </w:pPr>
  </w:style>
  <w:style w:type="paragraph" w:styleId="Obsah4">
    <w:name w:val="toc 4"/>
    <w:basedOn w:val="Obsahpoloky"/>
    <w:next w:val="Obsahpoloky"/>
    <w:autoRedefine/>
    <w:uiPriority w:val="39"/>
    <w:unhideWhenUsed/>
    <w:rsid w:val="00FC1A95"/>
    <w:pPr>
      <w:ind w:left="600"/>
    </w:pPr>
  </w:style>
  <w:style w:type="paragraph" w:styleId="Obsah5">
    <w:name w:val="toc 5"/>
    <w:basedOn w:val="Obsahpoloky"/>
    <w:next w:val="Obsahpoloky"/>
    <w:autoRedefine/>
    <w:uiPriority w:val="39"/>
    <w:semiHidden/>
    <w:unhideWhenUsed/>
    <w:rsid w:val="00FC1A95"/>
    <w:pPr>
      <w:ind w:left="800"/>
    </w:pPr>
  </w:style>
  <w:style w:type="paragraph" w:styleId="Obsah6">
    <w:name w:val="toc 6"/>
    <w:basedOn w:val="Obsahpoloky"/>
    <w:next w:val="Obsahpoloky"/>
    <w:autoRedefine/>
    <w:uiPriority w:val="39"/>
    <w:semiHidden/>
    <w:unhideWhenUsed/>
    <w:rsid w:val="00FC1A95"/>
    <w:pPr>
      <w:ind w:left="1000"/>
    </w:pPr>
  </w:style>
  <w:style w:type="paragraph" w:styleId="Obsah7">
    <w:name w:val="toc 7"/>
    <w:basedOn w:val="Obsahpoloky"/>
    <w:next w:val="Obsahpoloky"/>
    <w:autoRedefine/>
    <w:uiPriority w:val="39"/>
    <w:semiHidden/>
    <w:unhideWhenUsed/>
    <w:rsid w:val="00FC1A95"/>
    <w:pPr>
      <w:ind w:left="1200"/>
    </w:pPr>
  </w:style>
  <w:style w:type="paragraph" w:styleId="Obsah8">
    <w:name w:val="toc 8"/>
    <w:basedOn w:val="Obsahpoloky"/>
    <w:next w:val="Obsahpoloky"/>
    <w:autoRedefine/>
    <w:uiPriority w:val="39"/>
    <w:semiHidden/>
    <w:unhideWhenUsed/>
    <w:rsid w:val="00FC1A95"/>
    <w:pPr>
      <w:ind w:left="1400"/>
    </w:pPr>
  </w:style>
  <w:style w:type="paragraph" w:styleId="Obsah9">
    <w:name w:val="toc 9"/>
    <w:basedOn w:val="Obsahpoloky"/>
    <w:next w:val="Obsahpoloky"/>
    <w:autoRedefine/>
    <w:uiPriority w:val="39"/>
    <w:semiHidden/>
    <w:unhideWhenUsed/>
    <w:rsid w:val="00924AC8"/>
    <w:pPr>
      <w:ind w:left="1600"/>
    </w:pPr>
  </w:style>
  <w:style w:type="character" w:customStyle="1" w:styleId="Nadpis5Char">
    <w:name w:val="Nadpis 5 Char"/>
    <w:basedOn w:val="Standardnpsmoodstavce"/>
    <w:link w:val="Nadpis5"/>
    <w:uiPriority w:val="9"/>
    <w:semiHidden/>
    <w:rsid w:val="007A516D"/>
    <w:rPr>
      <w:rFonts w:asciiTheme="majorHAnsi" w:eastAsiaTheme="majorEastAsia" w:hAnsiTheme="majorHAnsi" w:cstheme="majorBidi"/>
      <w:color w:val="243F60" w:themeColor="accent1" w:themeShade="7F"/>
      <w:szCs w:val="24"/>
      <w:lang w:eastAsia="cs-CZ"/>
    </w:rPr>
  </w:style>
  <w:style w:type="character" w:customStyle="1" w:styleId="Nadpis6Char">
    <w:name w:val="Nadpis 6 Char"/>
    <w:basedOn w:val="Standardnpsmoodstavce"/>
    <w:link w:val="Nadpis6"/>
    <w:uiPriority w:val="9"/>
    <w:semiHidden/>
    <w:rsid w:val="007A516D"/>
    <w:rPr>
      <w:rFonts w:asciiTheme="majorHAnsi" w:eastAsiaTheme="majorEastAsia" w:hAnsiTheme="majorHAnsi" w:cstheme="majorBidi"/>
      <w:i/>
      <w:iCs/>
      <w:color w:val="243F60" w:themeColor="accent1" w:themeShade="7F"/>
      <w:szCs w:val="24"/>
      <w:lang w:eastAsia="cs-CZ"/>
    </w:rPr>
  </w:style>
  <w:style w:type="character" w:customStyle="1" w:styleId="Nadpis7Char">
    <w:name w:val="Nadpis 7 Char"/>
    <w:basedOn w:val="Standardnpsmoodstavce"/>
    <w:link w:val="Nadpis7"/>
    <w:uiPriority w:val="9"/>
    <w:semiHidden/>
    <w:rsid w:val="007A516D"/>
    <w:rPr>
      <w:rFonts w:asciiTheme="majorHAnsi" w:eastAsiaTheme="majorEastAsia" w:hAnsiTheme="majorHAnsi" w:cstheme="majorBidi"/>
      <w:i/>
      <w:iCs/>
      <w:color w:val="404040" w:themeColor="text1" w:themeTint="BF"/>
      <w:szCs w:val="24"/>
      <w:lang w:eastAsia="cs-CZ"/>
    </w:rPr>
  </w:style>
  <w:style w:type="character" w:customStyle="1" w:styleId="Nadpis8Char">
    <w:name w:val="Nadpis 8 Char"/>
    <w:basedOn w:val="Standardnpsmoodstavce"/>
    <w:link w:val="Nadpis8"/>
    <w:uiPriority w:val="9"/>
    <w:semiHidden/>
    <w:rsid w:val="007A516D"/>
    <w:rPr>
      <w:rFonts w:asciiTheme="majorHAnsi" w:eastAsiaTheme="majorEastAsia" w:hAnsiTheme="majorHAnsi" w:cstheme="majorBidi"/>
      <w:color w:val="404040" w:themeColor="text1" w:themeTint="BF"/>
      <w:lang w:eastAsia="cs-CZ"/>
    </w:rPr>
  </w:style>
  <w:style w:type="paragraph" w:styleId="Textpoznpodarou">
    <w:name w:val="footnote text"/>
    <w:aliases w:val="Text pozn. pod čarou_martin_ang"/>
    <w:basedOn w:val="Normln"/>
    <w:link w:val="TextpoznpodarouChar"/>
    <w:qFormat/>
    <w:rsid w:val="008E7FC9"/>
    <w:pPr>
      <w:spacing w:after="0" w:line="240" w:lineRule="auto"/>
      <w:jc w:val="left"/>
    </w:pPr>
    <w:rPr>
      <w:rFonts w:eastAsia="Calibri"/>
      <w:szCs w:val="20"/>
    </w:rPr>
  </w:style>
  <w:style w:type="character" w:customStyle="1" w:styleId="TextpoznpodarouChar">
    <w:name w:val="Text pozn. pod čarou Char"/>
    <w:aliases w:val="Text pozn. pod čarou_martin_ang Char"/>
    <w:basedOn w:val="Standardnpsmoodstavce"/>
    <w:link w:val="Textpoznpodarou"/>
    <w:qFormat/>
    <w:rsid w:val="008E7FC9"/>
    <w:rPr>
      <w:rFonts w:ascii="Arial" w:hAnsi="Arial"/>
      <w:lang w:eastAsia="cs-CZ"/>
    </w:rPr>
  </w:style>
  <w:style w:type="paragraph" w:styleId="Bezmezer">
    <w:name w:val="No Spacing"/>
    <w:uiPriority w:val="1"/>
    <w:qFormat/>
    <w:rsid w:val="00AD68C4"/>
    <w:pPr>
      <w:jc w:val="both"/>
    </w:pPr>
    <w:rPr>
      <w:rFonts w:ascii="Arial" w:eastAsia="Times New Roman" w:hAnsi="Arial"/>
      <w:szCs w:val="24"/>
      <w:lang w:eastAsia="cs-CZ"/>
    </w:rPr>
  </w:style>
  <w:style w:type="paragraph" w:customStyle="1" w:styleId="Marginlie">
    <w:name w:val="Marginálie"/>
    <w:basedOn w:val="Normln"/>
    <w:qFormat/>
    <w:rsid w:val="0089296D"/>
    <w:pPr>
      <w:spacing w:after="0"/>
      <w:jc w:val="left"/>
    </w:pPr>
    <w:rPr>
      <w:spacing w:val="-2"/>
      <w:sz w:val="16"/>
      <w:szCs w:val="16"/>
    </w:rPr>
  </w:style>
  <w:style w:type="paragraph" w:styleId="Odstavecseseznamem">
    <w:name w:val="List Paragraph"/>
    <w:basedOn w:val="Normln"/>
    <w:uiPriority w:val="34"/>
    <w:qFormat/>
    <w:rsid w:val="006B0F92"/>
    <w:pPr>
      <w:ind w:left="720"/>
      <w:contextualSpacing/>
    </w:pPr>
  </w:style>
  <w:style w:type="paragraph" w:customStyle="1" w:styleId="Normalodrka">
    <w:name w:val="Normal odrážka"/>
    <w:qFormat/>
    <w:rsid w:val="006B0F92"/>
    <w:pPr>
      <w:numPr>
        <w:numId w:val="20"/>
      </w:numPr>
      <w:spacing w:after="240" w:line="276" w:lineRule="auto"/>
      <w:ind w:left="357" w:hanging="357"/>
      <w:jc w:val="both"/>
    </w:pPr>
    <w:rPr>
      <w:rFonts w:ascii="Arial" w:eastAsia="Times New Roman" w:hAnsi="Arial"/>
      <w:szCs w:val="24"/>
      <w:lang w:eastAsia="cs-CZ"/>
    </w:rPr>
  </w:style>
  <w:style w:type="paragraph" w:customStyle="1" w:styleId="Box1">
    <w:name w:val="Box 1"/>
    <w:next w:val="Normln"/>
    <w:qFormat/>
    <w:rsid w:val="00A17D5B"/>
    <w:pPr>
      <w:shd w:val="clear" w:color="auto" w:fill="EBEBEB"/>
      <w:spacing w:before="240" w:after="240" w:line="276" w:lineRule="auto"/>
      <w:ind w:left="709"/>
      <w:contextualSpacing/>
    </w:pPr>
    <w:rPr>
      <w:rFonts w:ascii="Arial" w:hAnsi="Arial" w:cs="Arial"/>
      <w:lang w:eastAsia="cs-CZ"/>
    </w:rPr>
  </w:style>
  <w:style w:type="paragraph" w:customStyle="1" w:styleId="Box2">
    <w:name w:val="Box 2"/>
    <w:next w:val="Normln"/>
    <w:qFormat/>
    <w:rsid w:val="00A17D5B"/>
    <w:pPr>
      <w:spacing w:before="240" w:after="240" w:line="276" w:lineRule="auto"/>
      <w:ind w:left="709"/>
      <w:contextualSpacing/>
    </w:pPr>
    <w:rPr>
      <w:rFonts w:ascii="Arial" w:hAnsi="Arial" w:cs="Arial"/>
      <w:b/>
      <w:color w:val="71818C"/>
      <w:lang w:eastAsia="cs-CZ"/>
    </w:rPr>
  </w:style>
  <w:style w:type="character" w:styleId="Odkaznakoment">
    <w:name w:val="annotation reference"/>
    <w:basedOn w:val="Standardnpsmoodstavce"/>
    <w:uiPriority w:val="99"/>
    <w:semiHidden/>
    <w:unhideWhenUsed/>
    <w:rsid w:val="00E76E61"/>
    <w:rPr>
      <w:sz w:val="16"/>
      <w:szCs w:val="16"/>
    </w:rPr>
  </w:style>
  <w:style w:type="paragraph" w:styleId="Textkomente">
    <w:name w:val="annotation text"/>
    <w:basedOn w:val="Normln"/>
    <w:link w:val="TextkomenteChar"/>
    <w:uiPriority w:val="99"/>
    <w:semiHidden/>
    <w:unhideWhenUsed/>
    <w:rsid w:val="00E76E61"/>
    <w:pPr>
      <w:spacing w:line="240" w:lineRule="auto"/>
    </w:pPr>
    <w:rPr>
      <w:szCs w:val="20"/>
    </w:rPr>
  </w:style>
  <w:style w:type="character" w:customStyle="1" w:styleId="TextkomenteChar">
    <w:name w:val="Text komentáře Char"/>
    <w:basedOn w:val="Standardnpsmoodstavce"/>
    <w:link w:val="Textkomente"/>
    <w:uiPriority w:val="99"/>
    <w:semiHidden/>
    <w:rsid w:val="00E76E61"/>
    <w:rPr>
      <w:rFonts w:ascii="Arial" w:eastAsia="Times New Roman" w:hAnsi="Arial"/>
      <w:lang w:eastAsia="cs-CZ"/>
    </w:rPr>
  </w:style>
  <w:style w:type="paragraph" w:styleId="Pedmtkomente">
    <w:name w:val="annotation subject"/>
    <w:basedOn w:val="Textkomente"/>
    <w:next w:val="Textkomente"/>
    <w:link w:val="PedmtkomenteChar"/>
    <w:uiPriority w:val="99"/>
    <w:semiHidden/>
    <w:unhideWhenUsed/>
    <w:rsid w:val="00E76E61"/>
    <w:rPr>
      <w:b/>
      <w:bCs/>
    </w:rPr>
  </w:style>
  <w:style w:type="character" w:customStyle="1" w:styleId="PedmtkomenteChar">
    <w:name w:val="Předmět komentáře Char"/>
    <w:basedOn w:val="TextkomenteChar"/>
    <w:link w:val="Pedmtkomente"/>
    <w:uiPriority w:val="99"/>
    <w:semiHidden/>
    <w:rsid w:val="00E76E61"/>
    <w:rPr>
      <w:rFonts w:ascii="Arial" w:eastAsia="Times New Roman" w:hAnsi="Arial"/>
      <w:b/>
      <w:bCs/>
      <w:lang w:eastAsia="cs-CZ"/>
    </w:rPr>
  </w:style>
  <w:style w:type="paragraph" w:customStyle="1" w:styleId="Nadpis11">
    <w:name w:val="Nadpis 11"/>
    <w:basedOn w:val="Normln"/>
    <w:uiPriority w:val="9"/>
    <w:qFormat/>
    <w:rsid w:val="00F46502"/>
    <w:pPr>
      <w:keepNext/>
      <w:keepLines/>
      <w:spacing w:after="100"/>
      <w:contextualSpacing/>
      <w:jc w:val="left"/>
      <w:outlineLvl w:val="0"/>
    </w:pPr>
    <w:rPr>
      <w:rFonts w:eastAsia="MS Gothic"/>
      <w:b/>
      <w:bCs/>
      <w:color w:val="71818C"/>
      <w:sz w:val="32"/>
      <w:szCs w:val="28"/>
    </w:rPr>
  </w:style>
  <w:style w:type="paragraph" w:customStyle="1" w:styleId="Nadpis21">
    <w:name w:val="Nadpis 21"/>
    <w:basedOn w:val="Normln"/>
    <w:uiPriority w:val="9"/>
    <w:qFormat/>
    <w:rsid w:val="00F46502"/>
    <w:pPr>
      <w:keepNext/>
      <w:keepLines/>
      <w:spacing w:after="0"/>
      <w:jc w:val="left"/>
      <w:outlineLvl w:val="1"/>
    </w:pPr>
    <w:rPr>
      <w:rFonts w:eastAsia="MS Gothic"/>
      <w:b/>
      <w:bCs/>
      <w:color w:val="71818C"/>
      <w:sz w:val="28"/>
      <w:szCs w:val="26"/>
    </w:rPr>
  </w:style>
  <w:style w:type="paragraph" w:customStyle="1" w:styleId="Textpoznpodarou1">
    <w:name w:val="Text pozn. pod čarou1"/>
    <w:basedOn w:val="Normln"/>
    <w:rsid w:val="00F46502"/>
    <w:pPr>
      <w:spacing w:after="0" w:line="240" w:lineRule="auto"/>
      <w:jc w:val="left"/>
    </w:pPr>
    <w:rPr>
      <w:rFonts w:eastAsia="Calibri"/>
      <w:color w:val="00000A"/>
      <w:szCs w:val="20"/>
    </w:rPr>
  </w:style>
  <w:style w:type="character" w:customStyle="1" w:styleId="TextpoznpodarouChar1">
    <w:name w:val="Text pozn. pod čarou Char1"/>
    <w:aliases w:val="Text pozn. pod čarou_martin_ang Char1"/>
    <w:basedOn w:val="Standardnpsmoodstavce"/>
    <w:semiHidden/>
    <w:rsid w:val="00F46502"/>
    <w:rPr>
      <w:rFonts w:ascii="Arial" w:eastAsia="Times New Roman" w:hAnsi="Arial" w:cs="Times New Roman"/>
      <w:color w:val="00000A"/>
      <w:szCs w:val="20"/>
      <w:lang w:eastAsia="cs-CZ"/>
    </w:rPr>
  </w:style>
  <w:style w:type="character" w:styleId="Znakapoznpodarou">
    <w:name w:val="footnote reference"/>
    <w:basedOn w:val="Standardnpsmoodstavce"/>
    <w:rsid w:val="00F46502"/>
    <w:rPr>
      <w:rFonts w:cs="Times New Roman"/>
      <w:vertAlign w:val="superscript"/>
    </w:rPr>
  </w:style>
  <w:style w:type="character" w:customStyle="1" w:styleId="odkaz-style-wrapper">
    <w:name w:val="odkaz-style-wrapper"/>
    <w:basedOn w:val="Standardnpsmoodstavce"/>
    <w:rsid w:val="00BE6186"/>
  </w:style>
  <w:style w:type="paragraph" w:customStyle="1" w:styleId="Nadpis110">
    <w:name w:val="Nadpis 11"/>
    <w:basedOn w:val="Normln"/>
    <w:uiPriority w:val="9"/>
    <w:qFormat/>
    <w:rsid w:val="00BE6186"/>
    <w:pPr>
      <w:keepNext/>
      <w:keepLines/>
      <w:spacing w:after="100"/>
      <w:contextualSpacing/>
      <w:jc w:val="left"/>
      <w:outlineLvl w:val="0"/>
    </w:pPr>
    <w:rPr>
      <w:rFonts w:eastAsia="MS Gothic"/>
      <w:b/>
      <w:bCs/>
      <w:color w:val="71818C"/>
      <w:sz w:val="32"/>
      <w:szCs w:val="28"/>
    </w:rPr>
  </w:style>
  <w:style w:type="paragraph" w:customStyle="1" w:styleId="Nadpis210">
    <w:name w:val="Nadpis 21"/>
    <w:basedOn w:val="Normln"/>
    <w:uiPriority w:val="9"/>
    <w:qFormat/>
    <w:rsid w:val="00BE6186"/>
    <w:pPr>
      <w:keepNext/>
      <w:keepLines/>
      <w:spacing w:after="0"/>
      <w:jc w:val="left"/>
      <w:outlineLvl w:val="1"/>
    </w:pPr>
    <w:rPr>
      <w:rFonts w:eastAsia="MS Gothic"/>
      <w:b/>
      <w:bCs/>
      <w:color w:val="71818C"/>
      <w:sz w:val="28"/>
      <w:szCs w:val="26"/>
    </w:rPr>
  </w:style>
  <w:style w:type="paragraph" w:customStyle="1" w:styleId="Textpoznpodarou10">
    <w:name w:val="Text pozn. pod čarou1"/>
    <w:basedOn w:val="Normln"/>
    <w:rsid w:val="00BE6186"/>
    <w:pPr>
      <w:spacing w:after="0" w:line="240" w:lineRule="auto"/>
      <w:jc w:val="left"/>
    </w:pPr>
    <w:rPr>
      <w:rFonts w:eastAsia="Calibri"/>
      <w:color w:val="00000A"/>
      <w:szCs w:val="20"/>
    </w:rPr>
  </w:style>
  <w:style w:type="paragraph" w:styleId="Normlnweb">
    <w:name w:val="Normal (Web)"/>
    <w:basedOn w:val="Normln"/>
    <w:uiPriority w:val="99"/>
    <w:unhideWhenUsed/>
    <w:rsid w:val="00C96D08"/>
    <w:pPr>
      <w:spacing w:before="100" w:beforeAutospacing="1" w:after="100" w:afterAutospacing="1" w:line="240" w:lineRule="auto"/>
      <w:jc w:val="left"/>
    </w:pPr>
    <w:rPr>
      <w:rFonts w:ascii="Times New Roman" w:hAnsi="Times New Roman"/>
      <w:sz w:val="24"/>
    </w:rPr>
  </w:style>
  <w:style w:type="paragraph" w:styleId="Zkladntext">
    <w:name w:val="Body Text"/>
    <w:basedOn w:val="Normln"/>
    <w:link w:val="ZkladntextChar"/>
    <w:semiHidden/>
    <w:rsid w:val="004C5FBF"/>
    <w:pPr>
      <w:widowControl w:val="0"/>
      <w:suppressAutoHyphens/>
      <w:autoSpaceDE w:val="0"/>
      <w:autoSpaceDN w:val="0"/>
      <w:adjustRightInd w:val="0"/>
      <w:spacing w:before="120" w:after="0" w:line="215" w:lineRule="exact"/>
    </w:pPr>
    <w:rPr>
      <w:rFonts w:ascii="Times New Roman CE obyèejné" w:hAnsi="Times New Roman CE obyèejné"/>
      <w:szCs w:val="20"/>
    </w:rPr>
  </w:style>
  <w:style w:type="character" w:customStyle="1" w:styleId="ZkladntextChar">
    <w:name w:val="Základní text Char"/>
    <w:basedOn w:val="Standardnpsmoodstavce"/>
    <w:link w:val="Zkladntext"/>
    <w:semiHidden/>
    <w:rsid w:val="004C5FBF"/>
    <w:rPr>
      <w:rFonts w:ascii="Times New Roman CE obyèejné" w:eastAsia="Times New Roman" w:hAnsi="Times New Roman CE obyèejné"/>
      <w:lang w:eastAsia="cs-CZ"/>
    </w:rPr>
  </w:style>
  <w:style w:type="character" w:customStyle="1" w:styleId="content">
    <w:name w:val="content"/>
    <w:basedOn w:val="Standardnpsmoodstavce"/>
    <w:rsid w:val="003C4BE8"/>
  </w:style>
  <w:style w:type="paragraph" w:styleId="Textvysvtlivek">
    <w:name w:val="endnote text"/>
    <w:basedOn w:val="Normln"/>
    <w:link w:val="TextvysvtlivekChar"/>
    <w:uiPriority w:val="99"/>
    <w:semiHidden/>
    <w:unhideWhenUsed/>
    <w:rsid w:val="00744EE6"/>
    <w:pPr>
      <w:spacing w:after="0" w:line="240" w:lineRule="auto"/>
    </w:pPr>
    <w:rPr>
      <w:szCs w:val="20"/>
    </w:rPr>
  </w:style>
  <w:style w:type="character" w:customStyle="1" w:styleId="TextvysvtlivekChar">
    <w:name w:val="Text vysvětlivek Char"/>
    <w:basedOn w:val="Standardnpsmoodstavce"/>
    <w:link w:val="Textvysvtlivek"/>
    <w:uiPriority w:val="99"/>
    <w:semiHidden/>
    <w:rsid w:val="00744EE6"/>
    <w:rPr>
      <w:rFonts w:ascii="Arial" w:eastAsia="Times New Roman" w:hAnsi="Arial"/>
      <w:lang w:eastAsia="cs-CZ"/>
    </w:rPr>
  </w:style>
  <w:style w:type="character" w:styleId="Odkaznavysvtlivky">
    <w:name w:val="endnote reference"/>
    <w:basedOn w:val="Standardnpsmoodstavce"/>
    <w:uiPriority w:val="99"/>
    <w:semiHidden/>
    <w:unhideWhenUsed/>
    <w:rsid w:val="00744EE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49615720">
      <w:bodyDiv w:val="1"/>
      <w:marLeft w:val="60"/>
      <w:marRight w:val="60"/>
      <w:marTop w:val="60"/>
      <w:marBottom w:val="15"/>
      <w:divBdr>
        <w:top w:val="none" w:sz="0" w:space="0" w:color="auto"/>
        <w:left w:val="none" w:sz="0" w:space="0" w:color="auto"/>
        <w:bottom w:val="none" w:sz="0" w:space="0" w:color="auto"/>
        <w:right w:val="none" w:sz="0" w:space="0" w:color="auto"/>
      </w:divBdr>
      <w:divsChild>
        <w:div w:id="658968227">
          <w:marLeft w:val="0"/>
          <w:marRight w:val="0"/>
          <w:marTop w:val="0"/>
          <w:marBottom w:val="0"/>
          <w:divBdr>
            <w:top w:val="none" w:sz="0" w:space="0" w:color="auto"/>
            <w:left w:val="none" w:sz="0" w:space="0" w:color="auto"/>
            <w:bottom w:val="none" w:sz="0" w:space="0" w:color="auto"/>
            <w:right w:val="none" w:sz="0" w:space="0" w:color="auto"/>
          </w:divBdr>
        </w:div>
      </w:divsChild>
    </w:div>
    <w:div w:id="264115308">
      <w:bodyDiv w:val="1"/>
      <w:marLeft w:val="0"/>
      <w:marRight w:val="0"/>
      <w:marTop w:val="0"/>
      <w:marBottom w:val="0"/>
      <w:divBdr>
        <w:top w:val="none" w:sz="0" w:space="0" w:color="auto"/>
        <w:left w:val="none" w:sz="0" w:space="0" w:color="auto"/>
        <w:bottom w:val="none" w:sz="0" w:space="0" w:color="auto"/>
        <w:right w:val="none" w:sz="0" w:space="0" w:color="auto"/>
      </w:divBdr>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533806547">
      <w:bodyDiv w:val="1"/>
      <w:marLeft w:val="0"/>
      <w:marRight w:val="0"/>
      <w:marTop w:val="0"/>
      <w:marBottom w:val="0"/>
      <w:divBdr>
        <w:top w:val="none" w:sz="0" w:space="0" w:color="auto"/>
        <w:left w:val="none" w:sz="0" w:space="0" w:color="auto"/>
        <w:bottom w:val="none" w:sz="0" w:space="0" w:color="auto"/>
        <w:right w:val="none" w:sz="0" w:space="0" w:color="auto"/>
      </w:divBdr>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932319695">
      <w:bodyDiv w:val="1"/>
      <w:marLeft w:val="0"/>
      <w:marRight w:val="0"/>
      <w:marTop w:val="0"/>
      <w:marBottom w:val="0"/>
      <w:divBdr>
        <w:top w:val="none" w:sz="0" w:space="0" w:color="auto"/>
        <w:left w:val="none" w:sz="0" w:space="0" w:color="auto"/>
        <w:bottom w:val="none" w:sz="0" w:space="0" w:color="auto"/>
        <w:right w:val="none" w:sz="0" w:space="0" w:color="auto"/>
      </w:divBdr>
    </w:div>
    <w:div w:id="1208487203">
      <w:bodyDiv w:val="1"/>
      <w:marLeft w:val="0"/>
      <w:marRight w:val="0"/>
      <w:marTop w:val="0"/>
      <w:marBottom w:val="0"/>
      <w:divBdr>
        <w:top w:val="none" w:sz="0" w:space="0" w:color="auto"/>
        <w:left w:val="none" w:sz="0" w:space="0" w:color="auto"/>
        <w:bottom w:val="none" w:sz="0" w:space="0" w:color="auto"/>
        <w:right w:val="none" w:sz="0" w:space="0" w:color="auto"/>
      </w:divBdr>
    </w:div>
    <w:div w:id="1235356648">
      <w:bodyDiv w:val="1"/>
      <w:marLeft w:val="240"/>
      <w:marRight w:val="240"/>
      <w:marTop w:val="240"/>
      <w:marBottom w:val="60"/>
      <w:divBdr>
        <w:top w:val="none" w:sz="0" w:space="0" w:color="auto"/>
        <w:left w:val="none" w:sz="0" w:space="0" w:color="auto"/>
        <w:bottom w:val="none" w:sz="0" w:space="0" w:color="auto"/>
        <w:right w:val="none" w:sz="0" w:space="0" w:color="auto"/>
      </w:divBdr>
      <w:divsChild>
        <w:div w:id="1242060051">
          <w:marLeft w:val="0"/>
          <w:marRight w:val="0"/>
          <w:marTop w:val="0"/>
          <w:marBottom w:val="0"/>
          <w:divBdr>
            <w:top w:val="none" w:sz="0" w:space="0" w:color="auto"/>
            <w:left w:val="none" w:sz="0" w:space="0" w:color="auto"/>
            <w:bottom w:val="none" w:sz="0" w:space="0" w:color="auto"/>
            <w:right w:val="none" w:sz="0" w:space="0" w:color="auto"/>
          </w:divBdr>
          <w:divsChild>
            <w:div w:id="1352418194">
              <w:marLeft w:val="0"/>
              <w:marRight w:val="0"/>
              <w:marTop w:val="0"/>
              <w:marBottom w:val="0"/>
              <w:divBdr>
                <w:top w:val="none" w:sz="0" w:space="0" w:color="auto"/>
                <w:left w:val="none" w:sz="0" w:space="0" w:color="auto"/>
                <w:bottom w:val="none" w:sz="0" w:space="0" w:color="auto"/>
                <w:right w:val="none" w:sz="0" w:space="0" w:color="auto"/>
              </w:divBdr>
            </w:div>
            <w:div w:id="1419256889">
              <w:marLeft w:val="0"/>
              <w:marRight w:val="0"/>
              <w:marTop w:val="0"/>
              <w:marBottom w:val="0"/>
              <w:divBdr>
                <w:top w:val="none" w:sz="0" w:space="0" w:color="auto"/>
                <w:left w:val="none" w:sz="0" w:space="0" w:color="auto"/>
                <w:bottom w:val="none" w:sz="0" w:space="0" w:color="auto"/>
                <w:right w:val="none" w:sz="0" w:space="0" w:color="auto"/>
              </w:divBdr>
            </w:div>
            <w:div w:id="1012336419">
              <w:marLeft w:val="0"/>
              <w:marRight w:val="0"/>
              <w:marTop w:val="0"/>
              <w:marBottom w:val="0"/>
              <w:divBdr>
                <w:top w:val="none" w:sz="0" w:space="0" w:color="auto"/>
                <w:left w:val="none" w:sz="0" w:space="0" w:color="auto"/>
                <w:bottom w:val="none" w:sz="0" w:space="0" w:color="auto"/>
                <w:right w:val="none" w:sz="0" w:space="0" w:color="auto"/>
              </w:divBdr>
            </w:div>
            <w:div w:id="1187673128">
              <w:marLeft w:val="0"/>
              <w:marRight w:val="0"/>
              <w:marTop w:val="0"/>
              <w:marBottom w:val="0"/>
              <w:divBdr>
                <w:top w:val="none" w:sz="0" w:space="0" w:color="auto"/>
                <w:left w:val="none" w:sz="0" w:space="0" w:color="auto"/>
                <w:bottom w:val="none" w:sz="0" w:space="0" w:color="auto"/>
                <w:right w:val="none" w:sz="0" w:space="0" w:color="auto"/>
              </w:divBdr>
            </w:div>
            <w:div w:id="13251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12266825">
      <w:bodyDiv w:val="1"/>
      <w:marLeft w:val="60"/>
      <w:marRight w:val="60"/>
      <w:marTop w:val="60"/>
      <w:marBottom w:val="15"/>
      <w:divBdr>
        <w:top w:val="none" w:sz="0" w:space="0" w:color="auto"/>
        <w:left w:val="none" w:sz="0" w:space="0" w:color="auto"/>
        <w:bottom w:val="none" w:sz="0" w:space="0" w:color="auto"/>
        <w:right w:val="none" w:sz="0" w:space="0" w:color="auto"/>
      </w:divBdr>
      <w:divsChild>
        <w:div w:id="1418138374">
          <w:marLeft w:val="0"/>
          <w:marRight w:val="0"/>
          <w:marTop w:val="0"/>
          <w:marBottom w:val="0"/>
          <w:divBdr>
            <w:top w:val="none" w:sz="0" w:space="0" w:color="auto"/>
            <w:left w:val="none" w:sz="0" w:space="0" w:color="auto"/>
            <w:bottom w:val="none" w:sz="0" w:space="0" w:color="auto"/>
            <w:right w:val="none" w:sz="0" w:space="0" w:color="auto"/>
          </w:divBdr>
        </w:div>
      </w:divsChild>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893350832">
      <w:bodyDiv w:val="1"/>
      <w:marLeft w:val="0"/>
      <w:marRight w:val="0"/>
      <w:marTop w:val="0"/>
      <w:marBottom w:val="0"/>
      <w:divBdr>
        <w:top w:val="none" w:sz="0" w:space="0" w:color="auto"/>
        <w:left w:val="none" w:sz="0" w:space="0" w:color="auto"/>
        <w:bottom w:val="none" w:sz="0" w:space="0" w:color="auto"/>
        <w:right w:val="none" w:sz="0" w:space="0" w:color="auto"/>
      </w:divBdr>
    </w:div>
    <w:div w:id="1917548519">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5.jpg"/><Relationship Id="rId57" Type="http://schemas.microsoft.com/office/2016/09/relationships/commentsIds" Target="commentsIds.xml"/><Relationship Id="rId10" Type="http://schemas.openxmlformats.org/officeDocument/2006/relationships/chart" Target="charts/chart3.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jp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kumenty\Anal&#253;za\Ro&#269;n&#237;%20anal&#253;za%202018\Ana&#253;za%20ekonomick&#233;ho%20v&#253;voje%20v%20roce%202017.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JKAM%20CSU\PUBLIKACE\PUBLIKACE\2019\Velk&#225;%20makro-Trh%20pr&#225;ce\2-podklady%20a%20texty-nezam\R-anal&#253;za-Grafy-trh%20pr&#225;ce-nezam-201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JKAM%20CSU\PUBLIKACE\PUBLIKACE\2019\Velk&#225;%20makro-Trh%20pr&#225;ce\R-anal&#253;za-Grafy-trh%20pr&#225;ce-2018.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JKAM%20CSU\PUBLIKACE\PUBLIKACE\2019\Velk&#225;%20makro-Trh%20pr&#225;ce\2-podklady%20a%20texty-nezam\R-anal&#253;za-Grafy-trh%20pr&#225;ce-nezam-2018.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JKAM%20CSU\PUBLIKACE\PUBLIKACE\2019\Velk&#225;%20makro-Trh%20pr&#225;ce\2-podklady%20a%20texty-nezam\R-anal&#253;za-Grafy-trh%20pr&#225;ce-nezam-2018.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126922658553294E-2"/>
          <c:y val="1.6217039710696039E-2"/>
          <c:w val="0.90038296843058951"/>
          <c:h val="0.76861571072347712"/>
        </c:manualLayout>
      </c:layout>
      <c:barChart>
        <c:barDir val="col"/>
        <c:grouping val="clustered"/>
        <c:varyColors val="0"/>
        <c:ser>
          <c:idx val="0"/>
          <c:order val="0"/>
          <c:tx>
            <c:strRef>
              <c:f>'R-GRAF-1'!$C$2</c:f>
              <c:strCache>
                <c:ptCount val="1"/>
                <c:pt idx="0">
                  <c:v>Obecná míra nezam. mužů (sez.očištěno)</c:v>
                </c:pt>
              </c:strCache>
            </c:strRef>
          </c:tx>
          <c:spPr>
            <a:solidFill>
              <a:schemeClr val="accent1">
                <a:lumMod val="40000"/>
                <a:lumOff val="60000"/>
              </a:schemeClr>
            </a:solidFill>
            <a:ln>
              <a:noFill/>
            </a:ln>
            <a:effectLst/>
          </c:spPr>
          <c:invertIfNegative val="0"/>
          <c:cat>
            <c:multiLvlStrRef>
              <c:f>'R-GRAF-1'!$A$15:$B$58</c:f>
              <c:multiLvlStrCache>
                <c:ptCount val="44"/>
                <c:lvl>
                  <c:pt idx="0">
                    <c:v>1q</c:v>
                  </c:pt>
                  <c:pt idx="1">
                    <c:v>2q</c:v>
                  </c:pt>
                  <c:pt idx="2">
                    <c:v>3q</c:v>
                  </c:pt>
                  <c:pt idx="3">
                    <c:v>4q</c:v>
                  </c:pt>
                  <c:pt idx="4">
                    <c:v>1q</c:v>
                  </c:pt>
                  <c:pt idx="5">
                    <c:v>2q</c:v>
                  </c:pt>
                  <c:pt idx="6">
                    <c:v>3q</c:v>
                  </c:pt>
                  <c:pt idx="7">
                    <c:v>4q</c:v>
                  </c:pt>
                  <c:pt idx="8">
                    <c:v>1q</c:v>
                  </c:pt>
                  <c:pt idx="9">
                    <c:v>2q</c:v>
                  </c:pt>
                  <c:pt idx="10">
                    <c:v>3q</c:v>
                  </c:pt>
                  <c:pt idx="11">
                    <c:v>4q</c:v>
                  </c:pt>
                  <c:pt idx="12">
                    <c:v>1q</c:v>
                  </c:pt>
                  <c:pt idx="13">
                    <c:v>2q</c:v>
                  </c:pt>
                  <c:pt idx="14">
                    <c:v>3q</c:v>
                  </c:pt>
                  <c:pt idx="15">
                    <c:v>4q</c:v>
                  </c:pt>
                  <c:pt idx="16">
                    <c:v>1q</c:v>
                  </c:pt>
                  <c:pt idx="17">
                    <c:v>2q</c:v>
                  </c:pt>
                  <c:pt idx="18">
                    <c:v>3q</c:v>
                  </c:pt>
                  <c:pt idx="19">
                    <c:v>4q</c:v>
                  </c:pt>
                  <c:pt idx="20">
                    <c:v>1q</c:v>
                  </c:pt>
                  <c:pt idx="21">
                    <c:v>2q</c:v>
                  </c:pt>
                  <c:pt idx="22">
                    <c:v>3q</c:v>
                  </c:pt>
                  <c:pt idx="23">
                    <c:v>4q</c:v>
                  </c:pt>
                  <c:pt idx="24">
                    <c:v>1q</c:v>
                  </c:pt>
                  <c:pt idx="25">
                    <c:v>2q</c:v>
                  </c:pt>
                  <c:pt idx="26">
                    <c:v>3q</c:v>
                  </c:pt>
                  <c:pt idx="27">
                    <c:v>4q</c:v>
                  </c:pt>
                  <c:pt idx="28">
                    <c:v>1q</c:v>
                  </c:pt>
                  <c:pt idx="29">
                    <c:v>2q</c:v>
                  </c:pt>
                  <c:pt idx="30">
                    <c:v>3q</c:v>
                  </c:pt>
                  <c:pt idx="31">
                    <c:v>4q</c:v>
                  </c:pt>
                  <c:pt idx="32">
                    <c:v>1q</c:v>
                  </c:pt>
                  <c:pt idx="33">
                    <c:v>2q</c:v>
                  </c:pt>
                  <c:pt idx="34">
                    <c:v>3q</c:v>
                  </c:pt>
                  <c:pt idx="35">
                    <c:v>4q</c:v>
                  </c:pt>
                  <c:pt idx="36">
                    <c:v>1q</c:v>
                  </c:pt>
                  <c:pt idx="37">
                    <c:v>2q</c:v>
                  </c:pt>
                  <c:pt idx="38">
                    <c:v>3q</c:v>
                  </c:pt>
                  <c:pt idx="39">
                    <c:v>4q</c:v>
                  </c:pt>
                  <c:pt idx="40">
                    <c:v>1q</c:v>
                  </c:pt>
                  <c:pt idx="41">
                    <c:v>2q</c:v>
                  </c:pt>
                  <c:pt idx="42">
                    <c:v>3q</c:v>
                  </c:pt>
                  <c:pt idx="43">
                    <c:v>4q</c:v>
                  </c:pt>
                </c:lvl>
                <c:lvl>
                  <c:pt idx="0">
                    <c:v>2008</c:v>
                  </c:pt>
                  <c:pt idx="4">
                    <c:v>2009</c:v>
                  </c:pt>
                  <c:pt idx="8">
                    <c:v>2010</c:v>
                  </c:pt>
                  <c:pt idx="12">
                    <c:v>2011</c:v>
                  </c:pt>
                  <c:pt idx="16">
                    <c:v>2012</c:v>
                  </c:pt>
                  <c:pt idx="20">
                    <c:v>2013</c:v>
                  </c:pt>
                  <c:pt idx="24">
                    <c:v>2014</c:v>
                  </c:pt>
                  <c:pt idx="28">
                    <c:v>2015</c:v>
                  </c:pt>
                  <c:pt idx="32">
                    <c:v>2016</c:v>
                  </c:pt>
                  <c:pt idx="36">
                    <c:v>2017</c:v>
                  </c:pt>
                  <c:pt idx="40">
                    <c:v>2018</c:v>
                  </c:pt>
                </c:lvl>
              </c:multiLvlStrCache>
            </c:multiLvlStrRef>
          </c:cat>
          <c:val>
            <c:numRef>
              <c:f>'R-GRAF-1'!$C$15:$C$58</c:f>
              <c:numCache>
                <c:formatCode>0.0</c:formatCode>
                <c:ptCount val="44"/>
                <c:pt idx="0">
                  <c:v>3.5498653401100477</c:v>
                </c:pt>
                <c:pt idx="1">
                  <c:v>3.5738967037997185</c:v>
                </c:pt>
                <c:pt idx="2">
                  <c:v>3.3538637144449761</c:v>
                </c:pt>
                <c:pt idx="3">
                  <c:v>3.5088252255163987</c:v>
                </c:pt>
                <c:pt idx="4">
                  <c:v>4.8006478551845246</c:v>
                </c:pt>
                <c:pt idx="5">
                  <c:v>5.7292656672342757</c:v>
                </c:pt>
                <c:pt idx="6">
                  <c:v>6.5363907539593704</c:v>
                </c:pt>
                <c:pt idx="7">
                  <c:v>6.7516107925747555</c:v>
                </c:pt>
                <c:pt idx="8">
                  <c:v>7.1263678976295308</c:v>
                </c:pt>
                <c:pt idx="9">
                  <c:v>6.5043573330995086</c:v>
                </c:pt>
                <c:pt idx="10">
                  <c:v>6.1993358198549622</c:v>
                </c:pt>
                <c:pt idx="11">
                  <c:v>6.0943249966264679</c:v>
                </c:pt>
                <c:pt idx="12">
                  <c:v>6.0860426805396886</c:v>
                </c:pt>
                <c:pt idx="13">
                  <c:v>5.9929547206600349</c:v>
                </c:pt>
                <c:pt idx="14">
                  <c:v>5.7823050553378019</c:v>
                </c:pt>
                <c:pt idx="15">
                  <c:v>5.7100659568446508</c:v>
                </c:pt>
                <c:pt idx="16">
                  <c:v>6.02727955783359</c:v>
                </c:pt>
                <c:pt idx="17">
                  <c:v>5.9801991116901618</c:v>
                </c:pt>
                <c:pt idx="18">
                  <c:v>6.0714082820509283</c:v>
                </c:pt>
                <c:pt idx="19">
                  <c:v>6.2755079700524901</c:v>
                </c:pt>
                <c:pt idx="20">
                  <c:v>6.3011673484306847</c:v>
                </c:pt>
                <c:pt idx="21">
                  <c:v>5.8899211790282271</c:v>
                </c:pt>
                <c:pt idx="22">
                  <c:v>5.9411999927545418</c:v>
                </c:pt>
                <c:pt idx="23">
                  <c:v>5.7805880439812753</c:v>
                </c:pt>
                <c:pt idx="24">
                  <c:v>5.56313882463908</c:v>
                </c:pt>
                <c:pt idx="25">
                  <c:v>5.2118065771894395</c:v>
                </c:pt>
                <c:pt idx="26">
                  <c:v>4.9498235070503371</c:v>
                </c:pt>
                <c:pt idx="27">
                  <c:v>5.0472504936505054</c:v>
                </c:pt>
                <c:pt idx="28">
                  <c:v>5.0164918651748751</c:v>
                </c:pt>
                <c:pt idx="29">
                  <c:v>4.3664610563359973</c:v>
                </c:pt>
                <c:pt idx="30">
                  <c:v>4.0815877344228548</c:v>
                </c:pt>
                <c:pt idx="31">
                  <c:v>3.7855648426987494</c:v>
                </c:pt>
                <c:pt idx="32">
                  <c:v>3.6339450601730454</c:v>
                </c:pt>
                <c:pt idx="33">
                  <c:v>3.5887698490473325</c:v>
                </c:pt>
                <c:pt idx="34">
                  <c:v>3.3909726803485629</c:v>
                </c:pt>
                <c:pt idx="35">
                  <c:v>3.1637517899353704</c:v>
                </c:pt>
                <c:pt idx="36">
                  <c:v>2.6970312894957953</c:v>
                </c:pt>
                <c:pt idx="37">
                  <c:v>2.4866350589973574</c:v>
                </c:pt>
                <c:pt idx="38">
                  <c:v>2.2634173041213308</c:v>
                </c:pt>
                <c:pt idx="39">
                  <c:v>2.0444046287812201</c:v>
                </c:pt>
                <c:pt idx="40">
                  <c:v>1.887300203487505</c:v>
                </c:pt>
                <c:pt idx="41">
                  <c:v>1.8557523249194618</c:v>
                </c:pt>
                <c:pt idx="42">
                  <c:v>1.9103402712066877</c:v>
                </c:pt>
                <c:pt idx="43">
                  <c:v>1.6628735982176008</c:v>
                </c:pt>
              </c:numCache>
            </c:numRef>
          </c:val>
          <c:extLst>
            <c:ext xmlns:c16="http://schemas.microsoft.com/office/drawing/2014/chart" uri="{C3380CC4-5D6E-409C-BE32-E72D297353CC}">
              <c16:uniqueId val="{00000000-23DB-4EE3-A33C-FD26EF5021D0}"/>
            </c:ext>
          </c:extLst>
        </c:ser>
        <c:ser>
          <c:idx val="1"/>
          <c:order val="1"/>
          <c:tx>
            <c:strRef>
              <c:f>'R-GRAF-1'!$D$2</c:f>
              <c:strCache>
                <c:ptCount val="1"/>
                <c:pt idx="0">
                  <c:v>Obecná míra nezam. žen (sez.očištěno)</c:v>
                </c:pt>
              </c:strCache>
            </c:strRef>
          </c:tx>
          <c:spPr>
            <a:solidFill>
              <a:schemeClr val="accent2">
                <a:lumMod val="40000"/>
                <a:lumOff val="60000"/>
              </a:schemeClr>
            </a:solidFill>
            <a:ln>
              <a:noFill/>
            </a:ln>
            <a:effectLst/>
          </c:spPr>
          <c:invertIfNegative val="0"/>
          <c:cat>
            <c:multiLvlStrRef>
              <c:f>'R-GRAF-1'!$A$15:$B$58</c:f>
              <c:multiLvlStrCache>
                <c:ptCount val="44"/>
                <c:lvl>
                  <c:pt idx="0">
                    <c:v>1q</c:v>
                  </c:pt>
                  <c:pt idx="1">
                    <c:v>2q</c:v>
                  </c:pt>
                  <c:pt idx="2">
                    <c:v>3q</c:v>
                  </c:pt>
                  <c:pt idx="3">
                    <c:v>4q</c:v>
                  </c:pt>
                  <c:pt idx="4">
                    <c:v>1q</c:v>
                  </c:pt>
                  <c:pt idx="5">
                    <c:v>2q</c:v>
                  </c:pt>
                  <c:pt idx="6">
                    <c:v>3q</c:v>
                  </c:pt>
                  <c:pt idx="7">
                    <c:v>4q</c:v>
                  </c:pt>
                  <c:pt idx="8">
                    <c:v>1q</c:v>
                  </c:pt>
                  <c:pt idx="9">
                    <c:v>2q</c:v>
                  </c:pt>
                  <c:pt idx="10">
                    <c:v>3q</c:v>
                  </c:pt>
                  <c:pt idx="11">
                    <c:v>4q</c:v>
                  </c:pt>
                  <c:pt idx="12">
                    <c:v>1q</c:v>
                  </c:pt>
                  <c:pt idx="13">
                    <c:v>2q</c:v>
                  </c:pt>
                  <c:pt idx="14">
                    <c:v>3q</c:v>
                  </c:pt>
                  <c:pt idx="15">
                    <c:v>4q</c:v>
                  </c:pt>
                  <c:pt idx="16">
                    <c:v>1q</c:v>
                  </c:pt>
                  <c:pt idx="17">
                    <c:v>2q</c:v>
                  </c:pt>
                  <c:pt idx="18">
                    <c:v>3q</c:v>
                  </c:pt>
                  <c:pt idx="19">
                    <c:v>4q</c:v>
                  </c:pt>
                  <c:pt idx="20">
                    <c:v>1q</c:v>
                  </c:pt>
                  <c:pt idx="21">
                    <c:v>2q</c:v>
                  </c:pt>
                  <c:pt idx="22">
                    <c:v>3q</c:v>
                  </c:pt>
                  <c:pt idx="23">
                    <c:v>4q</c:v>
                  </c:pt>
                  <c:pt idx="24">
                    <c:v>1q</c:v>
                  </c:pt>
                  <c:pt idx="25">
                    <c:v>2q</c:v>
                  </c:pt>
                  <c:pt idx="26">
                    <c:v>3q</c:v>
                  </c:pt>
                  <c:pt idx="27">
                    <c:v>4q</c:v>
                  </c:pt>
                  <c:pt idx="28">
                    <c:v>1q</c:v>
                  </c:pt>
                  <c:pt idx="29">
                    <c:v>2q</c:v>
                  </c:pt>
                  <c:pt idx="30">
                    <c:v>3q</c:v>
                  </c:pt>
                  <c:pt idx="31">
                    <c:v>4q</c:v>
                  </c:pt>
                  <c:pt idx="32">
                    <c:v>1q</c:v>
                  </c:pt>
                  <c:pt idx="33">
                    <c:v>2q</c:v>
                  </c:pt>
                  <c:pt idx="34">
                    <c:v>3q</c:v>
                  </c:pt>
                  <c:pt idx="35">
                    <c:v>4q</c:v>
                  </c:pt>
                  <c:pt idx="36">
                    <c:v>1q</c:v>
                  </c:pt>
                  <c:pt idx="37">
                    <c:v>2q</c:v>
                  </c:pt>
                  <c:pt idx="38">
                    <c:v>3q</c:v>
                  </c:pt>
                  <c:pt idx="39">
                    <c:v>4q</c:v>
                  </c:pt>
                  <c:pt idx="40">
                    <c:v>1q</c:v>
                  </c:pt>
                  <c:pt idx="41">
                    <c:v>2q</c:v>
                  </c:pt>
                  <c:pt idx="42">
                    <c:v>3q</c:v>
                  </c:pt>
                  <c:pt idx="43">
                    <c:v>4q</c:v>
                  </c:pt>
                </c:lvl>
                <c:lvl>
                  <c:pt idx="0">
                    <c:v>2008</c:v>
                  </c:pt>
                  <c:pt idx="4">
                    <c:v>2009</c:v>
                  </c:pt>
                  <c:pt idx="8">
                    <c:v>2010</c:v>
                  </c:pt>
                  <c:pt idx="12">
                    <c:v>2011</c:v>
                  </c:pt>
                  <c:pt idx="16">
                    <c:v>2012</c:v>
                  </c:pt>
                  <c:pt idx="20">
                    <c:v>2013</c:v>
                  </c:pt>
                  <c:pt idx="24">
                    <c:v>2014</c:v>
                  </c:pt>
                  <c:pt idx="28">
                    <c:v>2015</c:v>
                  </c:pt>
                  <c:pt idx="32">
                    <c:v>2016</c:v>
                  </c:pt>
                  <c:pt idx="36">
                    <c:v>2017</c:v>
                  </c:pt>
                  <c:pt idx="40">
                    <c:v>2018</c:v>
                  </c:pt>
                </c:lvl>
              </c:multiLvlStrCache>
            </c:multiLvlStrRef>
          </c:cat>
          <c:val>
            <c:numRef>
              <c:f>'R-GRAF-1'!$D$15:$D$58</c:f>
              <c:numCache>
                <c:formatCode>0.0</c:formatCode>
                <c:ptCount val="44"/>
                <c:pt idx="0">
                  <c:v>5.9124985129013261</c:v>
                </c:pt>
                <c:pt idx="1">
                  <c:v>5.4644991165591392</c:v>
                </c:pt>
                <c:pt idx="2">
                  <c:v>5.5149446439675271</c:v>
                </c:pt>
                <c:pt idx="3">
                  <c:v>5.7735824038400994</c:v>
                </c:pt>
                <c:pt idx="4">
                  <c:v>6.8319988937107539</c:v>
                </c:pt>
                <c:pt idx="5">
                  <c:v>7.7098478774986932</c:v>
                </c:pt>
                <c:pt idx="6">
                  <c:v>8.4536787359854824</c:v>
                </c:pt>
                <c:pt idx="7">
                  <c:v>8.4347152674162942</c:v>
                </c:pt>
                <c:pt idx="8">
                  <c:v>8.7720668763705714</c:v>
                </c:pt>
                <c:pt idx="9">
                  <c:v>8.5926140869273144</c:v>
                </c:pt>
                <c:pt idx="10">
                  <c:v>8.4930869050901379</c:v>
                </c:pt>
                <c:pt idx="11">
                  <c:v>8.2864260049795533</c:v>
                </c:pt>
                <c:pt idx="12">
                  <c:v>8.183669559717563</c:v>
                </c:pt>
                <c:pt idx="13">
                  <c:v>8.1315840356138729</c:v>
                </c:pt>
                <c:pt idx="14">
                  <c:v>7.7877338251490924</c:v>
                </c:pt>
                <c:pt idx="15">
                  <c:v>7.7218397451717635</c:v>
                </c:pt>
                <c:pt idx="16">
                  <c:v>8.0474969805089511</c:v>
                </c:pt>
                <c:pt idx="17">
                  <c:v>8.1757565289441896</c:v>
                </c:pt>
                <c:pt idx="18">
                  <c:v>8.336043936886421</c:v>
                </c:pt>
                <c:pt idx="19">
                  <c:v>8.5385395424432158</c:v>
                </c:pt>
                <c:pt idx="20">
                  <c:v>8.5139545455336023</c:v>
                </c:pt>
                <c:pt idx="21">
                  <c:v>8.4029218485076331</c:v>
                </c:pt>
                <c:pt idx="22">
                  <c:v>8.3875615126917307</c:v>
                </c:pt>
                <c:pt idx="23">
                  <c:v>8.2645386114614823</c:v>
                </c:pt>
                <c:pt idx="24">
                  <c:v>8.0347089492041626</c:v>
                </c:pt>
                <c:pt idx="25">
                  <c:v>7.6393503111608512</c:v>
                </c:pt>
                <c:pt idx="26">
                  <c:v>7.3103130834632823</c:v>
                </c:pt>
                <c:pt idx="27">
                  <c:v>7.0236250795111834</c:v>
                </c:pt>
                <c:pt idx="28">
                  <c:v>6.9006494227083364</c:v>
                </c:pt>
                <c:pt idx="29">
                  <c:v>6.2221574229511489</c:v>
                </c:pt>
                <c:pt idx="30">
                  <c:v>5.9471071819032906</c:v>
                </c:pt>
                <c:pt idx="31">
                  <c:v>5.6471045810734433</c:v>
                </c:pt>
                <c:pt idx="32">
                  <c:v>5.0805239032447984</c:v>
                </c:pt>
                <c:pt idx="33">
                  <c:v>4.813222112951018</c:v>
                </c:pt>
                <c:pt idx="34">
                  <c:v>4.81205959579846</c:v>
                </c:pt>
                <c:pt idx="35">
                  <c:v>4.3674719828309838</c:v>
                </c:pt>
                <c:pt idx="36">
                  <c:v>4.2771717559376725</c:v>
                </c:pt>
                <c:pt idx="37">
                  <c:v>3.9220759277590411</c:v>
                </c:pt>
                <c:pt idx="38">
                  <c:v>3.3887781531516015</c:v>
                </c:pt>
                <c:pt idx="39">
                  <c:v>3.0621392993981016</c:v>
                </c:pt>
                <c:pt idx="40">
                  <c:v>2.926227587511947</c:v>
                </c:pt>
                <c:pt idx="41">
                  <c:v>2.8751564162614911</c:v>
                </c:pt>
                <c:pt idx="42">
                  <c:v>2.8427039747882614</c:v>
                </c:pt>
                <c:pt idx="43">
                  <c:v>2.6577763373324834</c:v>
                </c:pt>
              </c:numCache>
            </c:numRef>
          </c:val>
          <c:extLst>
            <c:ext xmlns:c16="http://schemas.microsoft.com/office/drawing/2014/chart" uri="{C3380CC4-5D6E-409C-BE32-E72D297353CC}">
              <c16:uniqueId val="{00000001-23DB-4EE3-A33C-FD26EF5021D0}"/>
            </c:ext>
          </c:extLst>
        </c:ser>
        <c:dLbls>
          <c:showLegendKey val="0"/>
          <c:showVal val="0"/>
          <c:showCatName val="0"/>
          <c:showSerName val="0"/>
          <c:showPercent val="0"/>
          <c:showBubbleSize val="0"/>
        </c:dLbls>
        <c:gapWidth val="150"/>
        <c:axId val="91373952"/>
        <c:axId val="91375488"/>
      </c:barChart>
      <c:lineChart>
        <c:grouping val="standard"/>
        <c:varyColors val="0"/>
        <c:ser>
          <c:idx val="2"/>
          <c:order val="2"/>
          <c:tx>
            <c:strRef>
              <c:f>'R-GRAF-1'!$E$2</c:f>
              <c:strCache>
                <c:ptCount val="1"/>
                <c:pt idx="0">
                  <c:v>Obecná míra nezaměstnanosti celkem</c:v>
                </c:pt>
              </c:strCache>
            </c:strRef>
          </c:tx>
          <c:spPr>
            <a:ln w="15875" cap="rnd">
              <a:solidFill>
                <a:schemeClr val="bg1">
                  <a:lumMod val="50000"/>
                </a:schemeClr>
              </a:solidFill>
              <a:round/>
            </a:ln>
            <a:effectLst/>
          </c:spPr>
          <c:marker>
            <c:symbol val="none"/>
          </c:marker>
          <c:cat>
            <c:multiLvlStrRef>
              <c:f>'R-GRAF-1'!$A$15:$B$58</c:f>
              <c:multiLvlStrCache>
                <c:ptCount val="44"/>
                <c:lvl>
                  <c:pt idx="0">
                    <c:v>1q</c:v>
                  </c:pt>
                  <c:pt idx="1">
                    <c:v>2q</c:v>
                  </c:pt>
                  <c:pt idx="2">
                    <c:v>3q</c:v>
                  </c:pt>
                  <c:pt idx="3">
                    <c:v>4q</c:v>
                  </c:pt>
                  <c:pt idx="4">
                    <c:v>1q</c:v>
                  </c:pt>
                  <c:pt idx="5">
                    <c:v>2q</c:v>
                  </c:pt>
                  <c:pt idx="6">
                    <c:v>3q</c:v>
                  </c:pt>
                  <c:pt idx="7">
                    <c:v>4q</c:v>
                  </c:pt>
                  <c:pt idx="8">
                    <c:v>1q</c:v>
                  </c:pt>
                  <c:pt idx="9">
                    <c:v>2q</c:v>
                  </c:pt>
                  <c:pt idx="10">
                    <c:v>3q</c:v>
                  </c:pt>
                  <c:pt idx="11">
                    <c:v>4q</c:v>
                  </c:pt>
                  <c:pt idx="12">
                    <c:v>1q</c:v>
                  </c:pt>
                  <c:pt idx="13">
                    <c:v>2q</c:v>
                  </c:pt>
                  <c:pt idx="14">
                    <c:v>3q</c:v>
                  </c:pt>
                  <c:pt idx="15">
                    <c:v>4q</c:v>
                  </c:pt>
                  <c:pt idx="16">
                    <c:v>1q</c:v>
                  </c:pt>
                  <c:pt idx="17">
                    <c:v>2q</c:v>
                  </c:pt>
                  <c:pt idx="18">
                    <c:v>3q</c:v>
                  </c:pt>
                  <c:pt idx="19">
                    <c:v>4q</c:v>
                  </c:pt>
                  <c:pt idx="20">
                    <c:v>1q</c:v>
                  </c:pt>
                  <c:pt idx="21">
                    <c:v>2q</c:v>
                  </c:pt>
                  <c:pt idx="22">
                    <c:v>3q</c:v>
                  </c:pt>
                  <c:pt idx="23">
                    <c:v>4q</c:v>
                  </c:pt>
                  <c:pt idx="24">
                    <c:v>1q</c:v>
                  </c:pt>
                  <c:pt idx="25">
                    <c:v>2q</c:v>
                  </c:pt>
                  <c:pt idx="26">
                    <c:v>3q</c:v>
                  </c:pt>
                  <c:pt idx="27">
                    <c:v>4q</c:v>
                  </c:pt>
                  <c:pt idx="28">
                    <c:v>1q</c:v>
                  </c:pt>
                  <c:pt idx="29">
                    <c:v>2q</c:v>
                  </c:pt>
                  <c:pt idx="30">
                    <c:v>3q</c:v>
                  </c:pt>
                  <c:pt idx="31">
                    <c:v>4q</c:v>
                  </c:pt>
                  <c:pt idx="32">
                    <c:v>1q</c:v>
                  </c:pt>
                  <c:pt idx="33">
                    <c:v>2q</c:v>
                  </c:pt>
                  <c:pt idx="34">
                    <c:v>3q</c:v>
                  </c:pt>
                  <c:pt idx="35">
                    <c:v>4q</c:v>
                  </c:pt>
                  <c:pt idx="36">
                    <c:v>1q</c:v>
                  </c:pt>
                  <c:pt idx="37">
                    <c:v>2q</c:v>
                  </c:pt>
                  <c:pt idx="38">
                    <c:v>3q</c:v>
                  </c:pt>
                  <c:pt idx="39">
                    <c:v>4q</c:v>
                  </c:pt>
                  <c:pt idx="40">
                    <c:v>1q</c:v>
                  </c:pt>
                  <c:pt idx="41">
                    <c:v>2q</c:v>
                  </c:pt>
                  <c:pt idx="42">
                    <c:v>3q</c:v>
                  </c:pt>
                  <c:pt idx="43">
                    <c:v>4q</c:v>
                  </c:pt>
                </c:lvl>
                <c:lvl>
                  <c:pt idx="0">
                    <c:v>2008</c:v>
                  </c:pt>
                  <c:pt idx="4">
                    <c:v>2009</c:v>
                  </c:pt>
                  <c:pt idx="8">
                    <c:v>2010</c:v>
                  </c:pt>
                  <c:pt idx="12">
                    <c:v>2011</c:v>
                  </c:pt>
                  <c:pt idx="16">
                    <c:v>2012</c:v>
                  </c:pt>
                  <c:pt idx="20">
                    <c:v>2013</c:v>
                  </c:pt>
                  <c:pt idx="24">
                    <c:v>2014</c:v>
                  </c:pt>
                  <c:pt idx="28">
                    <c:v>2015</c:v>
                  </c:pt>
                  <c:pt idx="32">
                    <c:v>2016</c:v>
                  </c:pt>
                  <c:pt idx="36">
                    <c:v>2017</c:v>
                  </c:pt>
                  <c:pt idx="40">
                    <c:v>2018</c:v>
                  </c:pt>
                </c:lvl>
              </c:multiLvlStrCache>
            </c:multiLvlStrRef>
          </c:cat>
          <c:val>
            <c:numRef>
              <c:f>'R-GRAF-1'!$E$15:$E$58</c:f>
              <c:numCache>
                <c:formatCode>#\ ##0.0</c:formatCode>
                <c:ptCount val="44"/>
                <c:pt idx="0">
                  <c:v>4.6999639709187502</c:v>
                </c:pt>
                <c:pt idx="1">
                  <c:v>4.2143659188007678</c:v>
                </c:pt>
                <c:pt idx="2">
                  <c:v>4.2741270316468416</c:v>
                </c:pt>
                <c:pt idx="3">
                  <c:v>4.3833278575253649</c:v>
                </c:pt>
                <c:pt idx="4">
                  <c:v>5.7678447833988091</c:v>
                </c:pt>
                <c:pt idx="5">
                  <c:v>6.33022574644973</c:v>
                </c:pt>
                <c:pt idx="6">
                  <c:v>7.2906179642971507</c:v>
                </c:pt>
                <c:pt idx="7">
                  <c:v>7.2473113396650994</c:v>
                </c:pt>
                <c:pt idx="8">
                  <c:v>8.0483847843271601</c:v>
                </c:pt>
                <c:pt idx="9">
                  <c:v>7.1292854754297208</c:v>
                </c:pt>
                <c:pt idx="10">
                  <c:v>7.0788000079001447</c:v>
                </c:pt>
                <c:pt idx="11">
                  <c:v>6.872991512252673</c:v>
                </c:pt>
                <c:pt idx="12">
                  <c:v>7.1631339801283431</c:v>
                </c:pt>
                <c:pt idx="13">
                  <c:v>6.7213658952868407</c:v>
                </c:pt>
                <c:pt idx="14">
                  <c:v>6.5421858630296637</c:v>
                </c:pt>
                <c:pt idx="15">
                  <c:v>6.4230779401213605</c:v>
                </c:pt>
                <c:pt idx="16">
                  <c:v>7.0945710820963459</c:v>
                </c:pt>
                <c:pt idx="17">
                  <c:v>6.6978086843177058</c:v>
                </c:pt>
                <c:pt idx="18">
                  <c:v>6.9572876491758961</c:v>
                </c:pt>
                <c:pt idx="19">
                  <c:v>7.1661799323346722</c:v>
                </c:pt>
                <c:pt idx="20">
                  <c:v>7.4433581968998714</c:v>
                </c:pt>
                <c:pt idx="21">
                  <c:v>6.74149911023824</c:v>
                </c:pt>
                <c:pt idx="22">
                  <c:v>6.9423714128953709</c:v>
                </c:pt>
                <c:pt idx="23">
                  <c:v>6.6888804024801187</c:v>
                </c:pt>
                <c:pt idx="24">
                  <c:v>6.7762954360144816</c:v>
                </c:pt>
                <c:pt idx="25">
                  <c:v>6.0330468641498696</c:v>
                </c:pt>
                <c:pt idx="26">
                  <c:v>5.8908269697659597</c:v>
                </c:pt>
                <c:pt idx="27">
                  <c:v>5.7355190219650387</c:v>
                </c:pt>
                <c:pt idx="28">
                  <c:v>5.9631510095214653</c:v>
                </c:pt>
                <c:pt idx="29">
                  <c:v>4.9338387525808391</c:v>
                </c:pt>
                <c:pt idx="30">
                  <c:v>4.8371126526112906</c:v>
                </c:pt>
                <c:pt idx="31">
                  <c:v>4.4596438986175686</c:v>
                </c:pt>
                <c:pt idx="32">
                  <c:v>4.3484362640424976</c:v>
                </c:pt>
                <c:pt idx="33">
                  <c:v>3.9289026871834518</c:v>
                </c:pt>
                <c:pt idx="34">
                  <c:v>3.9710450735543481</c:v>
                </c:pt>
                <c:pt idx="35">
                  <c:v>3.5648916842726752</c:v>
                </c:pt>
                <c:pt idx="36">
                  <c:v>3.4484836416686893</c:v>
                </c:pt>
                <c:pt idx="37">
                  <c:v>2.9640317235410896</c:v>
                </c:pt>
                <c:pt idx="38">
                  <c:v>2.7750619800626297</c:v>
                </c:pt>
                <c:pt idx="39">
                  <c:v>2.3872243044602537</c:v>
                </c:pt>
                <c:pt idx="40">
                  <c:v>2.4084302610244142</c:v>
                </c:pt>
                <c:pt idx="41">
                  <c:v>2.1861508604035613</c:v>
                </c:pt>
                <c:pt idx="42">
                  <c:v>2.3480201797545011</c:v>
                </c:pt>
                <c:pt idx="43">
                  <c:v>2.0421267206175955</c:v>
                </c:pt>
              </c:numCache>
            </c:numRef>
          </c:val>
          <c:smooth val="0"/>
          <c:extLst>
            <c:ext xmlns:c16="http://schemas.microsoft.com/office/drawing/2014/chart" uri="{C3380CC4-5D6E-409C-BE32-E72D297353CC}">
              <c16:uniqueId val="{00000002-23DB-4EE3-A33C-FD26EF5021D0}"/>
            </c:ext>
          </c:extLst>
        </c:ser>
        <c:ser>
          <c:idx val="3"/>
          <c:order val="3"/>
          <c:tx>
            <c:strRef>
              <c:f>'R-GRAF-1'!$F$2</c:f>
              <c:strCache>
                <c:ptCount val="1"/>
                <c:pt idx="0">
                  <c:v>Podíl nezaměstnaných dle ÚP*</c:v>
                </c:pt>
              </c:strCache>
            </c:strRef>
          </c:tx>
          <c:spPr>
            <a:ln w="15875" cap="rnd">
              <a:solidFill>
                <a:schemeClr val="bg1">
                  <a:lumMod val="50000"/>
                </a:schemeClr>
              </a:solidFill>
              <a:prstDash val="sysDash"/>
              <a:round/>
            </a:ln>
            <a:effectLst/>
          </c:spPr>
          <c:marker>
            <c:symbol val="none"/>
          </c:marker>
          <c:cat>
            <c:multiLvlStrRef>
              <c:f>'R-GRAF-1'!$A$15:$B$58</c:f>
              <c:multiLvlStrCache>
                <c:ptCount val="44"/>
                <c:lvl>
                  <c:pt idx="0">
                    <c:v>1q</c:v>
                  </c:pt>
                  <c:pt idx="1">
                    <c:v>2q</c:v>
                  </c:pt>
                  <c:pt idx="2">
                    <c:v>3q</c:v>
                  </c:pt>
                  <c:pt idx="3">
                    <c:v>4q</c:v>
                  </c:pt>
                  <c:pt idx="4">
                    <c:v>1q</c:v>
                  </c:pt>
                  <c:pt idx="5">
                    <c:v>2q</c:v>
                  </c:pt>
                  <c:pt idx="6">
                    <c:v>3q</c:v>
                  </c:pt>
                  <c:pt idx="7">
                    <c:v>4q</c:v>
                  </c:pt>
                  <c:pt idx="8">
                    <c:v>1q</c:v>
                  </c:pt>
                  <c:pt idx="9">
                    <c:v>2q</c:v>
                  </c:pt>
                  <c:pt idx="10">
                    <c:v>3q</c:v>
                  </c:pt>
                  <c:pt idx="11">
                    <c:v>4q</c:v>
                  </c:pt>
                  <c:pt idx="12">
                    <c:v>1q</c:v>
                  </c:pt>
                  <c:pt idx="13">
                    <c:v>2q</c:v>
                  </c:pt>
                  <c:pt idx="14">
                    <c:v>3q</c:v>
                  </c:pt>
                  <c:pt idx="15">
                    <c:v>4q</c:v>
                  </c:pt>
                  <c:pt idx="16">
                    <c:v>1q</c:v>
                  </c:pt>
                  <c:pt idx="17">
                    <c:v>2q</c:v>
                  </c:pt>
                  <c:pt idx="18">
                    <c:v>3q</c:v>
                  </c:pt>
                  <c:pt idx="19">
                    <c:v>4q</c:v>
                  </c:pt>
                  <c:pt idx="20">
                    <c:v>1q</c:v>
                  </c:pt>
                  <c:pt idx="21">
                    <c:v>2q</c:v>
                  </c:pt>
                  <c:pt idx="22">
                    <c:v>3q</c:v>
                  </c:pt>
                  <c:pt idx="23">
                    <c:v>4q</c:v>
                  </c:pt>
                  <c:pt idx="24">
                    <c:v>1q</c:v>
                  </c:pt>
                  <c:pt idx="25">
                    <c:v>2q</c:v>
                  </c:pt>
                  <c:pt idx="26">
                    <c:v>3q</c:v>
                  </c:pt>
                  <c:pt idx="27">
                    <c:v>4q</c:v>
                  </c:pt>
                  <c:pt idx="28">
                    <c:v>1q</c:v>
                  </c:pt>
                  <c:pt idx="29">
                    <c:v>2q</c:v>
                  </c:pt>
                  <c:pt idx="30">
                    <c:v>3q</c:v>
                  </c:pt>
                  <c:pt idx="31">
                    <c:v>4q</c:v>
                  </c:pt>
                  <c:pt idx="32">
                    <c:v>1q</c:v>
                  </c:pt>
                  <c:pt idx="33">
                    <c:v>2q</c:v>
                  </c:pt>
                  <c:pt idx="34">
                    <c:v>3q</c:v>
                  </c:pt>
                  <c:pt idx="35">
                    <c:v>4q</c:v>
                  </c:pt>
                  <c:pt idx="36">
                    <c:v>1q</c:v>
                  </c:pt>
                  <c:pt idx="37">
                    <c:v>2q</c:v>
                  </c:pt>
                  <c:pt idx="38">
                    <c:v>3q</c:v>
                  </c:pt>
                  <c:pt idx="39">
                    <c:v>4q</c:v>
                  </c:pt>
                  <c:pt idx="40">
                    <c:v>1q</c:v>
                  </c:pt>
                  <c:pt idx="41">
                    <c:v>2q</c:v>
                  </c:pt>
                  <c:pt idx="42">
                    <c:v>3q</c:v>
                  </c:pt>
                  <c:pt idx="43">
                    <c:v>4q</c:v>
                  </c:pt>
                </c:lvl>
                <c:lvl>
                  <c:pt idx="0">
                    <c:v>2008</c:v>
                  </c:pt>
                  <c:pt idx="4">
                    <c:v>2009</c:v>
                  </c:pt>
                  <c:pt idx="8">
                    <c:v>2010</c:v>
                  </c:pt>
                  <c:pt idx="12">
                    <c:v>2011</c:v>
                  </c:pt>
                  <c:pt idx="16">
                    <c:v>2012</c:v>
                  </c:pt>
                  <c:pt idx="20">
                    <c:v>2013</c:v>
                  </c:pt>
                  <c:pt idx="24">
                    <c:v>2014</c:v>
                  </c:pt>
                  <c:pt idx="28">
                    <c:v>2015</c:v>
                  </c:pt>
                  <c:pt idx="32">
                    <c:v>2016</c:v>
                  </c:pt>
                  <c:pt idx="36">
                    <c:v>2017</c:v>
                  </c:pt>
                  <c:pt idx="40">
                    <c:v>2018</c:v>
                  </c:pt>
                </c:lvl>
              </c:multiLvlStrCache>
            </c:multiLvlStrRef>
          </c:cat>
          <c:val>
            <c:numRef>
              <c:f>'R-GRAF-1'!$F$15:$F$58</c:f>
              <c:numCache>
                <c:formatCode>0.0</c:formatCode>
                <c:ptCount val="44"/>
                <c:pt idx="0">
                  <c:v>4.4292662686227757</c:v>
                </c:pt>
                <c:pt idx="1">
                  <c:v>3.8624293685657167</c:v>
                </c:pt>
                <c:pt idx="2">
                  <c:v>3.998046330821786</c:v>
                </c:pt>
                <c:pt idx="3">
                  <c:v>4.1618745694947279</c:v>
                </c:pt>
                <c:pt idx="4">
                  <c:v>5.5531105544233226</c:v>
                </c:pt>
                <c:pt idx="5">
                  <c:v>6.0356281358614767</c:v>
                </c:pt>
                <c:pt idx="6">
                  <c:v>6.5010320494838076</c:v>
                </c:pt>
                <c:pt idx="7">
                  <c:v>6.7631225655566753</c:v>
                </c:pt>
                <c:pt idx="8">
                  <c:v>7.5924393948536997</c:v>
                </c:pt>
                <c:pt idx="9">
                  <c:v>6.8045727854448499</c:v>
                </c:pt>
                <c:pt idx="10">
                  <c:v>6.6464665434043804</c:v>
                </c:pt>
                <c:pt idx="11">
                  <c:v>6.8597066525350741</c:v>
                </c:pt>
                <c:pt idx="12">
                  <c:v>7.4136150425745457</c:v>
                </c:pt>
                <c:pt idx="13">
                  <c:v>6.483216248071769</c:v>
                </c:pt>
                <c:pt idx="14">
                  <c:v>6.3766785163980435</c:v>
                </c:pt>
                <c:pt idx="15">
                  <c:v>6.4221343883515836</c:v>
                </c:pt>
                <c:pt idx="16">
                  <c:v>7.1270437985059703</c:v>
                </c:pt>
                <c:pt idx="17">
                  <c:v>6.4769018338604978</c:v>
                </c:pt>
                <c:pt idx="18">
                  <c:v>6.5600119834226556</c:v>
                </c:pt>
                <c:pt idx="19">
                  <c:v>6.9613101523913059</c:v>
                </c:pt>
                <c:pt idx="20">
                  <c:v>8.019067943749949</c:v>
                </c:pt>
                <c:pt idx="21">
                  <c:v>7.4977737635911597</c:v>
                </c:pt>
                <c:pt idx="22">
                  <c:v>7.5390616451125547</c:v>
                </c:pt>
                <c:pt idx="23">
                  <c:v>7.8154194285338292</c:v>
                </c:pt>
                <c:pt idx="24">
                  <c:v>8.5154408018848731</c:v>
                </c:pt>
                <c:pt idx="25">
                  <c:v>7.5981749344212508</c:v>
                </c:pt>
                <c:pt idx="26">
                  <c:v>7.3571089212078435</c:v>
                </c:pt>
                <c:pt idx="27">
                  <c:v>7.2193574917379273</c:v>
                </c:pt>
                <c:pt idx="28">
                  <c:v>7.4622580257098434</c:v>
                </c:pt>
                <c:pt idx="29">
                  <c:v>6.4252374030262489</c:v>
                </c:pt>
                <c:pt idx="30">
                  <c:v>6.1690391869493029</c:v>
                </c:pt>
                <c:pt idx="31">
                  <c:v>6.0113265809025611</c:v>
                </c:pt>
                <c:pt idx="32">
                  <c:v>6.2864366393767162</c:v>
                </c:pt>
                <c:pt idx="33">
                  <c:v>5.4369603668984601</c:v>
                </c:pt>
                <c:pt idx="34">
                  <c:v>5.2882043549691407</c:v>
                </c:pt>
                <c:pt idx="35">
                  <c:v>5.0194630220205214</c:v>
                </c:pt>
                <c:pt idx="36">
                  <c:v>5.0747015366450379</c:v>
                </c:pt>
                <c:pt idx="37">
                  <c:v>4.1581243929363936</c:v>
                </c:pt>
                <c:pt idx="38">
                  <c:v>3.9496869182633128</c:v>
                </c:pt>
                <c:pt idx="39">
                  <c:v>3.6291276540886561</c:v>
                </c:pt>
                <c:pt idx="40" formatCode="#\ ##0.0">
                  <c:v>3.7116010025658617</c:v>
                </c:pt>
                <c:pt idx="41" formatCode="#\ ##0.0">
                  <c:v>3.0506596353596791</c:v>
                </c:pt>
                <c:pt idx="42" formatCode="#\ ##0.0">
                  <c:v>3.0260248487007857</c:v>
                </c:pt>
                <c:pt idx="43" formatCode="#\ ##0.0">
                  <c:v>2.903918193245314</c:v>
                </c:pt>
              </c:numCache>
            </c:numRef>
          </c:val>
          <c:smooth val="0"/>
          <c:extLst>
            <c:ext xmlns:c16="http://schemas.microsoft.com/office/drawing/2014/chart" uri="{C3380CC4-5D6E-409C-BE32-E72D297353CC}">
              <c16:uniqueId val="{00000003-23DB-4EE3-A33C-FD26EF5021D0}"/>
            </c:ext>
          </c:extLst>
        </c:ser>
        <c:dLbls>
          <c:showLegendKey val="0"/>
          <c:showVal val="0"/>
          <c:showCatName val="0"/>
          <c:showSerName val="0"/>
          <c:showPercent val="0"/>
          <c:showBubbleSize val="0"/>
        </c:dLbls>
        <c:marker val="1"/>
        <c:smooth val="0"/>
        <c:axId val="91373952"/>
        <c:axId val="91375488"/>
      </c:lineChart>
      <c:lineChart>
        <c:grouping val="standard"/>
        <c:varyColors val="0"/>
        <c:ser>
          <c:idx val="4"/>
          <c:order val="4"/>
          <c:tx>
            <c:strRef>
              <c:f>'R-GRAF-1'!$G$2</c:f>
              <c:strCache>
                <c:ptCount val="1"/>
                <c:pt idx="0">
                  <c:v>Ekon. neaktiv. chtějící pracovat (pr. osa)**</c:v>
                </c:pt>
              </c:strCache>
            </c:strRef>
          </c:tx>
          <c:spPr>
            <a:ln w="15875" cap="rnd">
              <a:solidFill>
                <a:srgbClr val="00B050"/>
              </a:solidFill>
              <a:round/>
            </a:ln>
            <a:effectLst/>
          </c:spPr>
          <c:marker>
            <c:symbol val="none"/>
          </c:marker>
          <c:cat>
            <c:multiLvlStrRef>
              <c:f>'R-GRAF-1'!$A$15:$B$58</c:f>
              <c:multiLvlStrCache>
                <c:ptCount val="44"/>
                <c:lvl>
                  <c:pt idx="0">
                    <c:v>1q</c:v>
                  </c:pt>
                  <c:pt idx="1">
                    <c:v>2q</c:v>
                  </c:pt>
                  <c:pt idx="2">
                    <c:v>3q</c:v>
                  </c:pt>
                  <c:pt idx="3">
                    <c:v>4q</c:v>
                  </c:pt>
                  <c:pt idx="4">
                    <c:v>1q</c:v>
                  </c:pt>
                  <c:pt idx="5">
                    <c:v>2q</c:v>
                  </c:pt>
                  <c:pt idx="6">
                    <c:v>3q</c:v>
                  </c:pt>
                  <c:pt idx="7">
                    <c:v>4q</c:v>
                  </c:pt>
                  <c:pt idx="8">
                    <c:v>1q</c:v>
                  </c:pt>
                  <c:pt idx="9">
                    <c:v>2q</c:v>
                  </c:pt>
                  <c:pt idx="10">
                    <c:v>3q</c:v>
                  </c:pt>
                  <c:pt idx="11">
                    <c:v>4q</c:v>
                  </c:pt>
                  <c:pt idx="12">
                    <c:v>1q</c:v>
                  </c:pt>
                  <c:pt idx="13">
                    <c:v>2q</c:v>
                  </c:pt>
                  <c:pt idx="14">
                    <c:v>3q</c:v>
                  </c:pt>
                  <c:pt idx="15">
                    <c:v>4q</c:v>
                  </c:pt>
                  <c:pt idx="16">
                    <c:v>1q</c:v>
                  </c:pt>
                  <c:pt idx="17">
                    <c:v>2q</c:v>
                  </c:pt>
                  <c:pt idx="18">
                    <c:v>3q</c:v>
                  </c:pt>
                  <c:pt idx="19">
                    <c:v>4q</c:v>
                  </c:pt>
                  <c:pt idx="20">
                    <c:v>1q</c:v>
                  </c:pt>
                  <c:pt idx="21">
                    <c:v>2q</c:v>
                  </c:pt>
                  <c:pt idx="22">
                    <c:v>3q</c:v>
                  </c:pt>
                  <c:pt idx="23">
                    <c:v>4q</c:v>
                  </c:pt>
                  <c:pt idx="24">
                    <c:v>1q</c:v>
                  </c:pt>
                  <c:pt idx="25">
                    <c:v>2q</c:v>
                  </c:pt>
                  <c:pt idx="26">
                    <c:v>3q</c:v>
                  </c:pt>
                  <c:pt idx="27">
                    <c:v>4q</c:v>
                  </c:pt>
                  <c:pt idx="28">
                    <c:v>1q</c:v>
                  </c:pt>
                  <c:pt idx="29">
                    <c:v>2q</c:v>
                  </c:pt>
                  <c:pt idx="30">
                    <c:v>3q</c:v>
                  </c:pt>
                  <c:pt idx="31">
                    <c:v>4q</c:v>
                  </c:pt>
                  <c:pt idx="32">
                    <c:v>1q</c:v>
                  </c:pt>
                  <c:pt idx="33">
                    <c:v>2q</c:v>
                  </c:pt>
                  <c:pt idx="34">
                    <c:v>3q</c:v>
                  </c:pt>
                  <c:pt idx="35">
                    <c:v>4q</c:v>
                  </c:pt>
                  <c:pt idx="36">
                    <c:v>1q</c:v>
                  </c:pt>
                  <c:pt idx="37">
                    <c:v>2q</c:v>
                  </c:pt>
                  <c:pt idx="38">
                    <c:v>3q</c:v>
                  </c:pt>
                  <c:pt idx="39">
                    <c:v>4q</c:v>
                  </c:pt>
                  <c:pt idx="40">
                    <c:v>1q</c:v>
                  </c:pt>
                  <c:pt idx="41">
                    <c:v>2q</c:v>
                  </c:pt>
                  <c:pt idx="42">
                    <c:v>3q</c:v>
                  </c:pt>
                  <c:pt idx="43">
                    <c:v>4q</c:v>
                  </c:pt>
                </c:lvl>
                <c:lvl>
                  <c:pt idx="0">
                    <c:v>2008</c:v>
                  </c:pt>
                  <c:pt idx="4">
                    <c:v>2009</c:v>
                  </c:pt>
                  <c:pt idx="8">
                    <c:v>2010</c:v>
                  </c:pt>
                  <c:pt idx="12">
                    <c:v>2011</c:v>
                  </c:pt>
                  <c:pt idx="16">
                    <c:v>2012</c:v>
                  </c:pt>
                  <c:pt idx="20">
                    <c:v>2013</c:v>
                  </c:pt>
                  <c:pt idx="24">
                    <c:v>2014</c:v>
                  </c:pt>
                  <c:pt idx="28">
                    <c:v>2015</c:v>
                  </c:pt>
                  <c:pt idx="32">
                    <c:v>2016</c:v>
                  </c:pt>
                  <c:pt idx="36">
                    <c:v>2017</c:v>
                  </c:pt>
                  <c:pt idx="40">
                    <c:v>2018</c:v>
                  </c:pt>
                </c:lvl>
              </c:multiLvlStrCache>
            </c:multiLvlStrRef>
          </c:cat>
          <c:val>
            <c:numRef>
              <c:f>'R-GRAF-1'!$G$15:$G$58</c:f>
              <c:numCache>
                <c:formatCode>#\ ##0.0</c:formatCode>
                <c:ptCount val="44"/>
                <c:pt idx="0">
                  <c:v>186.5</c:v>
                </c:pt>
                <c:pt idx="1">
                  <c:v>188.9</c:v>
                </c:pt>
                <c:pt idx="2">
                  <c:v>187.2</c:v>
                </c:pt>
                <c:pt idx="3">
                  <c:v>174.5</c:v>
                </c:pt>
                <c:pt idx="4">
                  <c:v>185.8</c:v>
                </c:pt>
                <c:pt idx="5">
                  <c:v>180.5</c:v>
                </c:pt>
                <c:pt idx="6">
                  <c:v>182.9</c:v>
                </c:pt>
                <c:pt idx="7">
                  <c:v>169.1</c:v>
                </c:pt>
                <c:pt idx="8">
                  <c:v>180.8</c:v>
                </c:pt>
                <c:pt idx="9">
                  <c:v>181.1</c:v>
                </c:pt>
                <c:pt idx="10">
                  <c:v>169.9</c:v>
                </c:pt>
                <c:pt idx="11">
                  <c:v>169.2</c:v>
                </c:pt>
                <c:pt idx="12">
                  <c:v>189.9</c:v>
                </c:pt>
                <c:pt idx="13">
                  <c:v>179.8</c:v>
                </c:pt>
                <c:pt idx="14">
                  <c:v>185</c:v>
                </c:pt>
                <c:pt idx="15">
                  <c:v>179.4</c:v>
                </c:pt>
                <c:pt idx="16">
                  <c:v>192.1</c:v>
                </c:pt>
                <c:pt idx="17">
                  <c:v>172.4</c:v>
                </c:pt>
                <c:pt idx="18">
                  <c:v>162.19999999999999</c:v>
                </c:pt>
                <c:pt idx="19">
                  <c:v>152.5</c:v>
                </c:pt>
                <c:pt idx="20">
                  <c:v>166</c:v>
                </c:pt>
                <c:pt idx="21">
                  <c:v>145.80000000000001</c:v>
                </c:pt>
                <c:pt idx="22">
                  <c:v>136.1</c:v>
                </c:pt>
                <c:pt idx="23">
                  <c:v>136.9</c:v>
                </c:pt>
                <c:pt idx="24">
                  <c:v>143</c:v>
                </c:pt>
                <c:pt idx="25">
                  <c:v>135.30000000000001</c:v>
                </c:pt>
                <c:pt idx="26">
                  <c:v>127.5</c:v>
                </c:pt>
                <c:pt idx="27">
                  <c:v>125.9</c:v>
                </c:pt>
                <c:pt idx="28">
                  <c:v>136.80000000000001</c:v>
                </c:pt>
                <c:pt idx="29">
                  <c:v>140</c:v>
                </c:pt>
                <c:pt idx="30">
                  <c:v>132.5</c:v>
                </c:pt>
                <c:pt idx="31">
                  <c:v>128.69999999999999</c:v>
                </c:pt>
                <c:pt idx="32">
                  <c:v>139.1</c:v>
                </c:pt>
                <c:pt idx="33">
                  <c:v>124.7</c:v>
                </c:pt>
                <c:pt idx="34">
                  <c:v>127.4</c:v>
                </c:pt>
                <c:pt idx="35">
                  <c:v>126.1</c:v>
                </c:pt>
                <c:pt idx="36">
                  <c:v>132.1</c:v>
                </c:pt>
                <c:pt idx="37">
                  <c:v>118.3</c:v>
                </c:pt>
                <c:pt idx="38">
                  <c:v>119.2</c:v>
                </c:pt>
                <c:pt idx="39">
                  <c:v>117.6</c:v>
                </c:pt>
                <c:pt idx="40">
                  <c:v>112.1</c:v>
                </c:pt>
                <c:pt idx="41">
                  <c:v>106.8</c:v>
                </c:pt>
                <c:pt idx="42">
                  <c:v>109.1</c:v>
                </c:pt>
                <c:pt idx="43">
                  <c:v>100.3</c:v>
                </c:pt>
              </c:numCache>
            </c:numRef>
          </c:val>
          <c:smooth val="0"/>
          <c:extLst>
            <c:ext xmlns:c16="http://schemas.microsoft.com/office/drawing/2014/chart" uri="{C3380CC4-5D6E-409C-BE32-E72D297353CC}">
              <c16:uniqueId val="{00000004-23DB-4EE3-A33C-FD26EF5021D0}"/>
            </c:ext>
          </c:extLst>
        </c:ser>
        <c:dLbls>
          <c:showLegendKey val="0"/>
          <c:showVal val="0"/>
          <c:showCatName val="0"/>
          <c:showSerName val="0"/>
          <c:showPercent val="0"/>
          <c:showBubbleSize val="0"/>
        </c:dLbls>
        <c:marker val="1"/>
        <c:smooth val="0"/>
        <c:axId val="91382912"/>
        <c:axId val="91377024"/>
      </c:lineChart>
      <c:catAx>
        <c:axId val="91373952"/>
        <c:scaling>
          <c:orientation val="minMax"/>
        </c:scaling>
        <c:delete val="0"/>
        <c:axPos val="b"/>
        <c:numFmt formatCode="General" sourceLinked="1"/>
        <c:majorTickMark val="none"/>
        <c:minorTickMark val="none"/>
        <c:tickLblPos val="nextTo"/>
        <c:spPr>
          <a:noFill/>
          <a:ln w="9525" cap="flat" cmpd="sng" algn="ctr">
            <a:solidFill>
              <a:schemeClr val="tx1">
                <a:lumMod val="95000"/>
                <a:lumOff val="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91375488"/>
        <c:crosses val="autoZero"/>
        <c:auto val="1"/>
        <c:lblAlgn val="ctr"/>
        <c:lblOffset val="0"/>
        <c:noMultiLvlLbl val="0"/>
      </c:catAx>
      <c:valAx>
        <c:axId val="91375488"/>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6350">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91373952"/>
        <c:crosses val="autoZero"/>
        <c:crossBetween val="between"/>
        <c:majorUnit val="1"/>
      </c:valAx>
      <c:valAx>
        <c:axId val="91377024"/>
        <c:scaling>
          <c:orientation val="minMax"/>
          <c:max val="20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91382912"/>
        <c:crosses val="max"/>
        <c:crossBetween val="between"/>
        <c:majorUnit val="20"/>
      </c:valAx>
      <c:catAx>
        <c:axId val="91382912"/>
        <c:scaling>
          <c:orientation val="minMax"/>
        </c:scaling>
        <c:delete val="1"/>
        <c:axPos val="b"/>
        <c:numFmt formatCode="General" sourceLinked="1"/>
        <c:majorTickMark val="out"/>
        <c:minorTickMark val="none"/>
        <c:tickLblPos val="nextTo"/>
        <c:crossAx val="91377024"/>
        <c:crosses val="autoZero"/>
        <c:auto val="1"/>
        <c:lblAlgn val="ctr"/>
        <c:lblOffset val="100"/>
        <c:noMultiLvlLbl val="0"/>
      </c:catAx>
      <c:spPr>
        <a:noFill/>
        <a:ln>
          <a:solidFill>
            <a:schemeClr val="tx1">
              <a:lumMod val="95000"/>
              <a:lumOff val="5000"/>
            </a:schemeClr>
          </a:solidFill>
        </a:ln>
        <a:effectLst/>
      </c:spPr>
    </c:plotArea>
    <c:legend>
      <c:legendPos val="b"/>
      <c:layout>
        <c:manualLayout>
          <c:xMode val="edge"/>
          <c:yMode val="edge"/>
          <c:x val="1.7187965916143261E-2"/>
          <c:y val="0.87403147083808286"/>
          <c:w val="0.94706760611166074"/>
          <c:h val="0.11512849124965271"/>
        </c:manualLayout>
      </c:layout>
      <c:overlay val="0"/>
      <c:spPr>
        <a:noFill/>
        <a:ln w="6350">
          <a:solidFill>
            <a:schemeClr val="tx1">
              <a:lumMod val="95000"/>
              <a:lumOff val="5000"/>
            </a:schemeClr>
          </a:solidFill>
        </a:ln>
        <a:effectLst/>
      </c:spPr>
      <c:txPr>
        <a:bodyPr rot="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545448133762548E-2"/>
          <c:y val="2.7530680286585799E-2"/>
          <c:w val="0.94125127833109157"/>
          <c:h val="0.76069007590267435"/>
        </c:manualLayout>
      </c:layout>
      <c:barChart>
        <c:barDir val="col"/>
        <c:grouping val="clustered"/>
        <c:varyColors val="0"/>
        <c:ser>
          <c:idx val="5"/>
          <c:order val="5"/>
          <c:tx>
            <c:strRef>
              <c:f>'R-GRAF-3'!$A$11</c:f>
              <c:strCache>
                <c:ptCount val="1"/>
                <c:pt idx="0">
                  <c:v>Základní vzdělání a bez vzdělání</c:v>
                </c:pt>
              </c:strCache>
            </c:strRef>
          </c:tx>
          <c:spPr>
            <a:solidFill>
              <a:srgbClr val="E6E6E6"/>
            </a:solidFill>
            <a:ln>
              <a:noFill/>
            </a:ln>
            <a:effectLst/>
          </c:spPr>
          <c:invertIfNegative val="0"/>
          <c:cat>
            <c:numRef>
              <c:f>'R-GRAF-3'!$B$5:$O$5</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'R-GRAF-3'!$B$11:$O$11</c:f>
              <c:numCache>
                <c:formatCode>#\ ##0.0</c:formatCode>
                <c:ptCount val="14"/>
                <c:pt idx="0">
                  <c:v>26.684288596941681</c:v>
                </c:pt>
                <c:pt idx="1">
                  <c:v>24.453937757877391</c:v>
                </c:pt>
                <c:pt idx="2">
                  <c:v>20.076135815373746</c:v>
                </c:pt>
                <c:pt idx="3">
                  <c:v>19.035407570034348</c:v>
                </c:pt>
                <c:pt idx="4">
                  <c:v>24.077660894622888</c:v>
                </c:pt>
                <c:pt idx="5">
                  <c:v>25.001281841202349</c:v>
                </c:pt>
                <c:pt idx="6">
                  <c:v>24.325447680523425</c:v>
                </c:pt>
                <c:pt idx="7">
                  <c:v>28.476511948953064</c:v>
                </c:pt>
                <c:pt idx="8">
                  <c:v>25.628411500311611</c:v>
                </c:pt>
                <c:pt idx="9">
                  <c:v>22.075592385260034</c:v>
                </c:pt>
                <c:pt idx="10">
                  <c:v>22.655876137729447</c:v>
                </c:pt>
                <c:pt idx="11">
                  <c:v>20.444448760398622</c:v>
                </c:pt>
                <c:pt idx="12">
                  <c:v>13.034840426810279</c:v>
                </c:pt>
                <c:pt idx="13">
                  <c:v>10.636580086709555</c:v>
                </c:pt>
              </c:numCache>
            </c:numRef>
          </c:val>
          <c:extLst>
            <c:ext xmlns:c16="http://schemas.microsoft.com/office/drawing/2014/chart" uri="{C3380CC4-5D6E-409C-BE32-E72D297353CC}">
              <c16:uniqueId val="{00000000-A802-4126-88AC-0BB1F2FB5A67}"/>
            </c:ext>
          </c:extLst>
        </c:ser>
        <c:ser>
          <c:idx val="6"/>
          <c:order val="6"/>
          <c:tx>
            <c:strRef>
              <c:f>'R-GRAF-3'!$A$12</c:f>
              <c:strCache>
                <c:ptCount val="1"/>
                <c:pt idx="0">
                  <c:v>Střední vzdělání bez maturity</c:v>
                </c:pt>
              </c:strCache>
            </c:strRef>
          </c:tx>
          <c:spPr>
            <a:solidFill>
              <a:srgbClr val="CFCFCF"/>
            </a:solidFill>
            <a:ln>
              <a:noFill/>
            </a:ln>
            <a:effectLst/>
          </c:spPr>
          <c:invertIfNegative val="0"/>
          <c:cat>
            <c:numRef>
              <c:f>'R-GRAF-3'!$B$5:$O$5</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'R-GRAF-3'!$B$12:$O$12</c:f>
              <c:numCache>
                <c:formatCode>#\ ##0.0</c:formatCode>
                <c:ptCount val="14"/>
                <c:pt idx="0">
                  <c:v>8.9274203027975858</c:v>
                </c:pt>
                <c:pt idx="1">
                  <c:v>7.7429207535617497</c:v>
                </c:pt>
                <c:pt idx="2">
                  <c:v>5.90148952645416</c:v>
                </c:pt>
                <c:pt idx="3">
                  <c:v>4.4278727023805518</c:v>
                </c:pt>
                <c:pt idx="4">
                  <c:v>7.3830839709405103</c:v>
                </c:pt>
                <c:pt idx="5">
                  <c:v>8.4558991391630833</c:v>
                </c:pt>
                <c:pt idx="6">
                  <c:v>7.7330753067120837</c:v>
                </c:pt>
                <c:pt idx="7">
                  <c:v>7.9948530036617029</c:v>
                </c:pt>
                <c:pt idx="8">
                  <c:v>8.3604375341145474</c:v>
                </c:pt>
                <c:pt idx="9">
                  <c:v>7.2869270740470098</c:v>
                </c:pt>
                <c:pt idx="10">
                  <c:v>5.7578047604341025</c:v>
                </c:pt>
                <c:pt idx="11">
                  <c:v>4.2706738059850764</c:v>
                </c:pt>
                <c:pt idx="12">
                  <c:v>3.3841213996583916</c:v>
                </c:pt>
                <c:pt idx="13">
                  <c:v>2.4482233806294689</c:v>
                </c:pt>
              </c:numCache>
            </c:numRef>
          </c:val>
          <c:extLst>
            <c:ext xmlns:c16="http://schemas.microsoft.com/office/drawing/2014/chart" uri="{C3380CC4-5D6E-409C-BE32-E72D297353CC}">
              <c16:uniqueId val="{00000001-A802-4126-88AC-0BB1F2FB5A67}"/>
            </c:ext>
          </c:extLst>
        </c:ser>
        <c:ser>
          <c:idx val="7"/>
          <c:order val="7"/>
          <c:tx>
            <c:strRef>
              <c:f>'R-GRAF-3'!$A$13</c:f>
              <c:strCache>
                <c:ptCount val="1"/>
                <c:pt idx="0">
                  <c:v>Vysokoškolské vzdělání </c:v>
                </c:pt>
              </c:strCache>
            </c:strRef>
          </c:tx>
          <c:spPr>
            <a:solidFill>
              <a:schemeClr val="bg1">
                <a:lumMod val="65000"/>
              </a:schemeClr>
            </a:solidFill>
            <a:ln>
              <a:noFill/>
            </a:ln>
            <a:effectLst/>
          </c:spPr>
          <c:invertIfNegative val="0"/>
          <c:cat>
            <c:numRef>
              <c:f>'R-GRAF-3'!$B$5:$O$5</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'R-GRAF-3'!$B$13:$O$13</c:f>
              <c:numCache>
                <c:formatCode>#\ ##0.0</c:formatCode>
                <c:ptCount val="14"/>
                <c:pt idx="0">
                  <c:v>2.3332550655531294</c:v>
                </c:pt>
                <c:pt idx="1">
                  <c:v>2.4025800001033302</c:v>
                </c:pt>
                <c:pt idx="2">
                  <c:v>1.6556087720550887</c:v>
                </c:pt>
                <c:pt idx="3">
                  <c:v>1.6434784688050392</c:v>
                </c:pt>
                <c:pt idx="4">
                  <c:v>2.4088959362192428</c:v>
                </c:pt>
                <c:pt idx="5">
                  <c:v>2.7677584170026179</c:v>
                </c:pt>
                <c:pt idx="6">
                  <c:v>2.7832966337510419</c:v>
                </c:pt>
                <c:pt idx="7">
                  <c:v>2.8612007633792476</c:v>
                </c:pt>
                <c:pt idx="8">
                  <c:v>2.7599463972411682</c:v>
                </c:pt>
                <c:pt idx="9">
                  <c:v>2.8507910167116175</c:v>
                </c:pt>
                <c:pt idx="10">
                  <c:v>2.3888991030378168</c:v>
                </c:pt>
                <c:pt idx="11">
                  <c:v>1.884376205791001</c:v>
                </c:pt>
                <c:pt idx="12">
                  <c:v>1.4859782159970694</c:v>
                </c:pt>
                <c:pt idx="13">
                  <c:v>1.1912731943249437</c:v>
                </c:pt>
              </c:numCache>
            </c:numRef>
          </c:val>
          <c:extLst>
            <c:ext xmlns:c16="http://schemas.microsoft.com/office/drawing/2014/chart" uri="{C3380CC4-5D6E-409C-BE32-E72D297353CC}">
              <c16:uniqueId val="{00000002-A802-4126-88AC-0BB1F2FB5A67}"/>
            </c:ext>
          </c:extLst>
        </c:ser>
        <c:dLbls>
          <c:showLegendKey val="0"/>
          <c:showVal val="0"/>
          <c:showCatName val="0"/>
          <c:showSerName val="0"/>
          <c:showPercent val="0"/>
          <c:showBubbleSize val="0"/>
        </c:dLbls>
        <c:gapWidth val="150"/>
        <c:axId val="74482432"/>
        <c:axId val="74483968"/>
      </c:barChart>
      <c:lineChart>
        <c:grouping val="standard"/>
        <c:varyColors val="0"/>
        <c:ser>
          <c:idx val="0"/>
          <c:order val="0"/>
          <c:tx>
            <c:strRef>
              <c:f>'R-GRAF-3'!$A$6</c:f>
              <c:strCache>
                <c:ptCount val="1"/>
                <c:pt idx="0">
                  <c:v>20  až  24  let</c:v>
                </c:pt>
              </c:strCache>
            </c:strRef>
          </c:tx>
          <c:spPr>
            <a:ln w="15875" cap="rnd">
              <a:solidFill>
                <a:srgbClr val="7030A0"/>
              </a:solidFill>
              <a:round/>
            </a:ln>
            <a:effectLst/>
          </c:spPr>
          <c:marker>
            <c:symbol val="none"/>
          </c:marker>
          <c:cat>
            <c:numRef>
              <c:f>'R-GRAF-3'!$B$5:$O$5</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'R-GRAF-3'!$B$6:$O$6</c:f>
              <c:numCache>
                <c:formatCode>#\ ##0.0</c:formatCode>
                <c:ptCount val="14"/>
                <c:pt idx="0">
                  <c:v>15.770165947418558</c:v>
                </c:pt>
                <c:pt idx="1">
                  <c:v>14.535519477091672</c:v>
                </c:pt>
                <c:pt idx="2">
                  <c:v>8.7873560995691644</c:v>
                </c:pt>
                <c:pt idx="3">
                  <c:v>8.0194881928316324</c:v>
                </c:pt>
                <c:pt idx="4">
                  <c:v>14.295602150335446</c:v>
                </c:pt>
                <c:pt idx="5">
                  <c:v>15.949281324158282</c:v>
                </c:pt>
                <c:pt idx="6">
                  <c:v>15.432575267349455</c:v>
                </c:pt>
                <c:pt idx="7">
                  <c:v>16.722654370155745</c:v>
                </c:pt>
                <c:pt idx="8">
                  <c:v>16.841213833523387</c:v>
                </c:pt>
                <c:pt idx="9">
                  <c:v>13.628618935711797</c:v>
                </c:pt>
                <c:pt idx="10">
                  <c:v>10.744109603599107</c:v>
                </c:pt>
                <c:pt idx="11">
                  <c:v>9.2131596862792318</c:v>
                </c:pt>
                <c:pt idx="12">
                  <c:v>6.494553765107451</c:v>
                </c:pt>
                <c:pt idx="13">
                  <c:v>5.5767799529238316</c:v>
                </c:pt>
              </c:numCache>
            </c:numRef>
          </c:val>
          <c:smooth val="0"/>
          <c:extLst>
            <c:ext xmlns:c16="http://schemas.microsoft.com/office/drawing/2014/chart" uri="{C3380CC4-5D6E-409C-BE32-E72D297353CC}">
              <c16:uniqueId val="{00000003-A802-4126-88AC-0BB1F2FB5A67}"/>
            </c:ext>
          </c:extLst>
        </c:ser>
        <c:ser>
          <c:idx val="1"/>
          <c:order val="1"/>
          <c:tx>
            <c:strRef>
              <c:f>'R-GRAF-3'!$A$7</c:f>
              <c:strCache>
                <c:ptCount val="1"/>
                <c:pt idx="0">
                  <c:v>25  až  29  let</c:v>
                </c:pt>
              </c:strCache>
            </c:strRef>
          </c:tx>
          <c:spPr>
            <a:ln w="15875" cap="rnd">
              <a:solidFill>
                <a:srgbClr val="0071B7"/>
              </a:solidFill>
              <a:round/>
            </a:ln>
            <a:effectLst/>
          </c:spPr>
          <c:marker>
            <c:symbol val="none"/>
          </c:marker>
          <c:cat>
            <c:numRef>
              <c:f>'R-GRAF-3'!$B$5:$O$5</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'R-GRAF-3'!$B$7:$O$7</c:f>
              <c:numCache>
                <c:formatCode>#\ ##0.0</c:formatCode>
                <c:ptCount val="14"/>
                <c:pt idx="0">
                  <c:v>8.4891085008639369</c:v>
                </c:pt>
                <c:pt idx="1">
                  <c:v>6.565029471283462</c:v>
                </c:pt>
                <c:pt idx="2">
                  <c:v>5.2061403186154118</c:v>
                </c:pt>
                <c:pt idx="3">
                  <c:v>4.0640761909900993</c:v>
                </c:pt>
                <c:pt idx="4">
                  <c:v>8.2068466146143138</c:v>
                </c:pt>
                <c:pt idx="5">
                  <c:v>9.3952147308880658</c:v>
                </c:pt>
                <c:pt idx="6">
                  <c:v>7.8589086948069671</c:v>
                </c:pt>
                <c:pt idx="7">
                  <c:v>8.911557820171419</c:v>
                </c:pt>
                <c:pt idx="8">
                  <c:v>8.1377523497886539</c:v>
                </c:pt>
                <c:pt idx="9">
                  <c:v>7.4305697588882609</c:v>
                </c:pt>
                <c:pt idx="10">
                  <c:v>6.7113492043069307</c:v>
                </c:pt>
                <c:pt idx="11">
                  <c:v>5.5158509780097411</c:v>
                </c:pt>
                <c:pt idx="12">
                  <c:v>3.4850999119104964</c:v>
                </c:pt>
                <c:pt idx="13">
                  <c:v>3.1298477136060301</c:v>
                </c:pt>
              </c:numCache>
            </c:numRef>
          </c:val>
          <c:smooth val="0"/>
          <c:extLst>
            <c:ext xmlns:c16="http://schemas.microsoft.com/office/drawing/2014/chart" uri="{C3380CC4-5D6E-409C-BE32-E72D297353CC}">
              <c16:uniqueId val="{00000004-A802-4126-88AC-0BB1F2FB5A67}"/>
            </c:ext>
          </c:extLst>
        </c:ser>
        <c:ser>
          <c:idx val="2"/>
          <c:order val="2"/>
          <c:tx>
            <c:strRef>
              <c:f>'R-GRAF-3'!$A$8</c:f>
              <c:strCache>
                <c:ptCount val="1"/>
                <c:pt idx="0">
                  <c:v>50  až  54  let</c:v>
                </c:pt>
              </c:strCache>
            </c:strRef>
          </c:tx>
          <c:spPr>
            <a:ln w="15875" cap="rnd">
              <a:solidFill>
                <a:srgbClr val="7DBB2D"/>
              </a:solidFill>
              <a:round/>
            </a:ln>
            <a:effectLst/>
          </c:spPr>
          <c:marker>
            <c:symbol val="none"/>
          </c:marker>
          <c:cat>
            <c:numRef>
              <c:f>'R-GRAF-3'!$B$5:$O$5</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'R-GRAF-3'!$B$8:$O$8</c:f>
              <c:numCache>
                <c:formatCode>#\ ##0.0</c:formatCode>
                <c:ptCount val="14"/>
                <c:pt idx="0">
                  <c:v>7.5638538921984484</c:v>
                </c:pt>
                <c:pt idx="1">
                  <c:v>6.6078044903824402</c:v>
                </c:pt>
                <c:pt idx="2">
                  <c:v>5.3151358687263359</c:v>
                </c:pt>
                <c:pt idx="3">
                  <c:v>3.9390036543921321</c:v>
                </c:pt>
                <c:pt idx="4">
                  <c:v>5.6097057256509562</c:v>
                </c:pt>
                <c:pt idx="5">
                  <c:v>6.5977915990961131</c:v>
                </c:pt>
                <c:pt idx="6">
                  <c:v>6.1805033785087646</c:v>
                </c:pt>
                <c:pt idx="7">
                  <c:v>6.0626917601139114</c:v>
                </c:pt>
                <c:pt idx="8">
                  <c:v>5.8331672798318115</c:v>
                </c:pt>
                <c:pt idx="9">
                  <c:v>5.0080765727972452</c:v>
                </c:pt>
                <c:pt idx="10">
                  <c:v>4.1937500779646699</c:v>
                </c:pt>
                <c:pt idx="11">
                  <c:v>3.3913242593864052</c:v>
                </c:pt>
                <c:pt idx="12">
                  <c:v>2.6232708355297865</c:v>
                </c:pt>
                <c:pt idx="13">
                  <c:v>1.7903104083108781</c:v>
                </c:pt>
              </c:numCache>
            </c:numRef>
          </c:val>
          <c:smooth val="0"/>
          <c:extLst>
            <c:ext xmlns:c16="http://schemas.microsoft.com/office/drawing/2014/chart" uri="{C3380CC4-5D6E-409C-BE32-E72D297353CC}">
              <c16:uniqueId val="{00000005-A802-4126-88AC-0BB1F2FB5A67}"/>
            </c:ext>
          </c:extLst>
        </c:ser>
        <c:ser>
          <c:idx val="3"/>
          <c:order val="3"/>
          <c:tx>
            <c:strRef>
              <c:f>'R-GRAF-3'!$A$9</c:f>
              <c:strCache>
                <c:ptCount val="1"/>
                <c:pt idx="0">
                  <c:v>55  až  59  let</c:v>
                </c:pt>
              </c:strCache>
            </c:strRef>
          </c:tx>
          <c:spPr>
            <a:ln w="15875" cap="rnd">
              <a:solidFill>
                <a:srgbClr val="BD1B21"/>
              </a:solidFill>
              <a:round/>
            </a:ln>
            <a:effectLst/>
          </c:spPr>
          <c:marker>
            <c:symbol val="none"/>
          </c:marker>
          <c:cat>
            <c:numRef>
              <c:f>'R-GRAF-3'!$B$5:$O$5</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'R-GRAF-3'!$B$9:$O$9</c:f>
              <c:numCache>
                <c:formatCode>#\ ##0.0</c:formatCode>
                <c:ptCount val="14"/>
                <c:pt idx="0">
                  <c:v>5.7559973035496323</c:v>
                </c:pt>
                <c:pt idx="1">
                  <c:v>5.9715744663489225</c:v>
                </c:pt>
                <c:pt idx="2">
                  <c:v>5.3633741511249937</c:v>
                </c:pt>
                <c:pt idx="3">
                  <c:v>4.4267042728243577</c:v>
                </c:pt>
                <c:pt idx="4">
                  <c:v>6.2417466480280792</c:v>
                </c:pt>
                <c:pt idx="5">
                  <c:v>7.3825306013210241</c:v>
                </c:pt>
                <c:pt idx="6">
                  <c:v>6.6345342674990562</c:v>
                </c:pt>
                <c:pt idx="7">
                  <c:v>6.5960183234314211</c:v>
                </c:pt>
                <c:pt idx="8">
                  <c:v>6.433958440237701</c:v>
                </c:pt>
                <c:pt idx="9">
                  <c:v>5.4551641472442842</c:v>
                </c:pt>
                <c:pt idx="10">
                  <c:v>5.0921965147300083</c:v>
                </c:pt>
                <c:pt idx="11">
                  <c:v>4.1711479013553054</c:v>
                </c:pt>
                <c:pt idx="12">
                  <c:v>2.7332393752964137</c:v>
                </c:pt>
                <c:pt idx="13">
                  <c:v>2.1429009581432759</c:v>
                </c:pt>
              </c:numCache>
            </c:numRef>
          </c:val>
          <c:smooth val="0"/>
          <c:extLst>
            <c:ext xmlns:c16="http://schemas.microsoft.com/office/drawing/2014/chart" uri="{C3380CC4-5D6E-409C-BE32-E72D297353CC}">
              <c16:uniqueId val="{00000006-A802-4126-88AC-0BB1F2FB5A67}"/>
            </c:ext>
          </c:extLst>
        </c:ser>
        <c:ser>
          <c:idx val="4"/>
          <c:order val="4"/>
          <c:tx>
            <c:strRef>
              <c:f>'R-GRAF-3'!$A$10</c:f>
              <c:strCache>
                <c:ptCount val="1"/>
                <c:pt idx="0">
                  <c:v>60  až 64 let</c:v>
                </c:pt>
              </c:strCache>
            </c:strRef>
          </c:tx>
          <c:spPr>
            <a:ln w="15875" cap="rnd">
              <a:solidFill>
                <a:srgbClr val="F8A124"/>
              </a:solidFill>
              <a:round/>
            </a:ln>
            <a:effectLst/>
          </c:spPr>
          <c:marker>
            <c:symbol val="none"/>
          </c:marker>
          <c:cat>
            <c:numRef>
              <c:f>'R-GRAF-3'!$B$5:$O$5</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'R-GRAF-3'!$B$10:$O$10</c:f>
              <c:numCache>
                <c:formatCode>#\ ##0.0</c:formatCode>
                <c:ptCount val="14"/>
                <c:pt idx="0">
                  <c:v>2.9914508107086206</c:v>
                </c:pt>
                <c:pt idx="1">
                  <c:v>2.9631219692283994</c:v>
                </c:pt>
                <c:pt idx="2">
                  <c:v>2.4666031277549463</c:v>
                </c:pt>
                <c:pt idx="3">
                  <c:v>2.3483802534087062</c:v>
                </c:pt>
                <c:pt idx="4">
                  <c:v>4.0439116370297468</c:v>
                </c:pt>
                <c:pt idx="5">
                  <c:v>3.967300023501072</c:v>
                </c:pt>
                <c:pt idx="6">
                  <c:v>3.517917041076684</c:v>
                </c:pt>
                <c:pt idx="7">
                  <c:v>3.7830047464324332</c:v>
                </c:pt>
                <c:pt idx="8">
                  <c:v>4.2807095014966219</c:v>
                </c:pt>
                <c:pt idx="9">
                  <c:v>3.6973535760156224</c:v>
                </c:pt>
                <c:pt idx="10">
                  <c:v>2.8397550054035752</c:v>
                </c:pt>
                <c:pt idx="11">
                  <c:v>3.1519985347404167</c:v>
                </c:pt>
                <c:pt idx="12">
                  <c:v>1.8182758151534448</c:v>
                </c:pt>
                <c:pt idx="13">
                  <c:v>1.6604021346665228</c:v>
                </c:pt>
              </c:numCache>
            </c:numRef>
          </c:val>
          <c:smooth val="0"/>
          <c:extLst>
            <c:ext xmlns:c16="http://schemas.microsoft.com/office/drawing/2014/chart" uri="{C3380CC4-5D6E-409C-BE32-E72D297353CC}">
              <c16:uniqueId val="{00000007-A802-4126-88AC-0BB1F2FB5A67}"/>
            </c:ext>
          </c:extLst>
        </c:ser>
        <c:dLbls>
          <c:showLegendKey val="0"/>
          <c:showVal val="0"/>
          <c:showCatName val="0"/>
          <c:showSerName val="0"/>
          <c:showPercent val="0"/>
          <c:showBubbleSize val="0"/>
        </c:dLbls>
        <c:marker val="1"/>
        <c:smooth val="0"/>
        <c:axId val="74482432"/>
        <c:axId val="74483968"/>
      </c:lineChart>
      <c:catAx>
        <c:axId val="74482432"/>
        <c:scaling>
          <c:orientation val="minMax"/>
        </c:scaling>
        <c:delete val="0"/>
        <c:axPos val="b"/>
        <c:numFmt formatCode="General" sourceLinked="1"/>
        <c:majorTickMark val="none"/>
        <c:minorTickMark val="none"/>
        <c:tickLblPos val="nextTo"/>
        <c:spPr>
          <a:noFill/>
          <a:ln w="6350" cap="flat" cmpd="sng" algn="ctr">
            <a:solidFill>
              <a:schemeClr val="tx1">
                <a:lumMod val="95000"/>
                <a:lumOff val="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74483968"/>
        <c:crosses val="autoZero"/>
        <c:auto val="1"/>
        <c:lblAlgn val="ctr"/>
        <c:lblOffset val="0"/>
        <c:noMultiLvlLbl val="0"/>
      </c:catAx>
      <c:valAx>
        <c:axId val="74483968"/>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74482432"/>
        <c:crosses val="autoZero"/>
        <c:crossBetween val="between"/>
      </c:valAx>
      <c:spPr>
        <a:noFill/>
        <a:ln w="6350">
          <a:solidFill>
            <a:schemeClr val="tx1">
              <a:lumMod val="95000"/>
              <a:lumOff val="5000"/>
            </a:schemeClr>
          </a:solidFill>
        </a:ln>
        <a:effectLst/>
      </c:spPr>
    </c:plotArea>
    <c:legend>
      <c:legendPos val="b"/>
      <c:layout>
        <c:manualLayout>
          <c:xMode val="edge"/>
          <c:yMode val="edge"/>
          <c:x val="5.2715704203001493E-2"/>
          <c:y val="0.83924288959646642"/>
          <c:w val="0.9305252870262618"/>
          <c:h val="0.14672310074587977"/>
        </c:manualLayout>
      </c:layout>
      <c:overlay val="0"/>
      <c:spPr>
        <a:noFill/>
        <a:ln w="6350">
          <a:solidFill>
            <a:schemeClr val="tx1">
              <a:lumMod val="95000"/>
              <a:lumOff val="5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626534809030705E-2"/>
          <c:y val="2.0119113922553743E-2"/>
          <c:w val="0.88528948528697038"/>
          <c:h val="0.7618641533203202"/>
        </c:manualLayout>
      </c:layout>
      <c:barChart>
        <c:barDir val="col"/>
        <c:grouping val="stacked"/>
        <c:varyColors val="0"/>
        <c:ser>
          <c:idx val="0"/>
          <c:order val="0"/>
          <c:tx>
            <c:strRef>
              <c:f>'R-GRAF-2'!$A$7</c:f>
              <c:strCache>
                <c:ptCount val="1"/>
                <c:pt idx="0">
                  <c:v>Zaměstnaný → Nezaměstnaný (q/q-1)</c:v>
                </c:pt>
              </c:strCache>
            </c:strRef>
          </c:tx>
          <c:spPr>
            <a:solidFill>
              <a:schemeClr val="accent2">
                <a:lumMod val="60000"/>
                <a:lumOff val="40000"/>
              </a:schemeClr>
            </a:solidFill>
            <a:ln>
              <a:noFill/>
            </a:ln>
            <a:effectLst/>
          </c:spPr>
          <c:invertIfNegative val="0"/>
          <c:cat>
            <c:multiLvlStrRef>
              <c:f>'R-GRAF-2'!$B$5:$AJ$6</c:f>
              <c:multiLvlStrCache>
                <c:ptCount val="35"/>
                <c:lvl>
                  <c:pt idx="0">
                    <c:v>2q</c:v>
                  </c:pt>
                  <c:pt idx="1">
                    <c:v>3q</c:v>
                  </c:pt>
                  <c:pt idx="2">
                    <c:v>4q</c:v>
                  </c:pt>
                  <c:pt idx="3">
                    <c:v>1q</c:v>
                  </c:pt>
                  <c:pt idx="4">
                    <c:v>2q</c:v>
                  </c:pt>
                  <c:pt idx="5">
                    <c:v>3q</c:v>
                  </c:pt>
                  <c:pt idx="6">
                    <c:v>4q</c:v>
                  </c:pt>
                  <c:pt idx="7">
                    <c:v>1q</c:v>
                  </c:pt>
                  <c:pt idx="8">
                    <c:v>2q</c:v>
                  </c:pt>
                  <c:pt idx="9">
                    <c:v>3q</c:v>
                  </c:pt>
                  <c:pt idx="10">
                    <c:v>4q</c:v>
                  </c:pt>
                  <c:pt idx="11">
                    <c:v>1q</c:v>
                  </c:pt>
                  <c:pt idx="12">
                    <c:v>2q</c:v>
                  </c:pt>
                  <c:pt idx="13">
                    <c:v>3q</c:v>
                  </c:pt>
                  <c:pt idx="14">
                    <c:v>4q</c:v>
                  </c:pt>
                  <c:pt idx="15">
                    <c:v>1q</c:v>
                  </c:pt>
                  <c:pt idx="16">
                    <c:v>2q</c:v>
                  </c:pt>
                  <c:pt idx="17">
                    <c:v>3q</c:v>
                  </c:pt>
                  <c:pt idx="18">
                    <c:v>4q</c:v>
                  </c:pt>
                  <c:pt idx="19">
                    <c:v>1q</c:v>
                  </c:pt>
                  <c:pt idx="20">
                    <c:v>2q</c:v>
                  </c:pt>
                  <c:pt idx="21">
                    <c:v>3q</c:v>
                  </c:pt>
                  <c:pt idx="22">
                    <c:v>4q</c:v>
                  </c:pt>
                  <c:pt idx="23">
                    <c:v>1q</c:v>
                  </c:pt>
                  <c:pt idx="24">
                    <c:v>2q</c:v>
                  </c:pt>
                  <c:pt idx="25">
                    <c:v>3q</c:v>
                  </c:pt>
                  <c:pt idx="26">
                    <c:v>4q</c:v>
                  </c:pt>
                  <c:pt idx="27">
                    <c:v>1q</c:v>
                  </c:pt>
                  <c:pt idx="28">
                    <c:v>2q</c:v>
                  </c:pt>
                  <c:pt idx="29">
                    <c:v>3q</c:v>
                  </c:pt>
                  <c:pt idx="30">
                    <c:v>4q</c:v>
                  </c:pt>
                  <c:pt idx="31">
                    <c:v>1q</c:v>
                  </c:pt>
                  <c:pt idx="32">
                    <c:v>2q</c:v>
                  </c:pt>
                  <c:pt idx="33">
                    <c:v>3q</c:v>
                  </c:pt>
                  <c:pt idx="34">
                    <c:v>4q</c:v>
                  </c:pt>
                </c:lvl>
                <c:lvl>
                  <c:pt idx="0">
                    <c:v>2010</c:v>
                  </c:pt>
                  <c:pt idx="3">
                    <c:v>2011</c:v>
                  </c:pt>
                  <c:pt idx="7">
                    <c:v>2012</c:v>
                  </c:pt>
                  <c:pt idx="11">
                    <c:v>2013</c:v>
                  </c:pt>
                  <c:pt idx="15">
                    <c:v>2014</c:v>
                  </c:pt>
                  <c:pt idx="19">
                    <c:v>2015</c:v>
                  </c:pt>
                  <c:pt idx="23">
                    <c:v>2016</c:v>
                  </c:pt>
                  <c:pt idx="27">
                    <c:v>2017</c:v>
                  </c:pt>
                  <c:pt idx="31">
                    <c:v>2018</c:v>
                  </c:pt>
                </c:lvl>
              </c:multiLvlStrCache>
            </c:multiLvlStrRef>
          </c:cat>
          <c:val>
            <c:numRef>
              <c:f>'R-GRAF-2'!$B$7:$AJ$7</c:f>
              <c:numCache>
                <c:formatCode>#,##0</c:formatCode>
                <c:ptCount val="35"/>
                <c:pt idx="0">
                  <c:v>34</c:v>
                </c:pt>
                <c:pt idx="1">
                  <c:v>37</c:v>
                </c:pt>
                <c:pt idx="2">
                  <c:v>44</c:v>
                </c:pt>
                <c:pt idx="3">
                  <c:v>78</c:v>
                </c:pt>
                <c:pt idx="4">
                  <c:v>36</c:v>
                </c:pt>
                <c:pt idx="5">
                  <c:v>35</c:v>
                </c:pt>
                <c:pt idx="6">
                  <c:v>42</c:v>
                </c:pt>
                <c:pt idx="7">
                  <c:v>69</c:v>
                </c:pt>
                <c:pt idx="8">
                  <c:v>35</c:v>
                </c:pt>
                <c:pt idx="9">
                  <c:v>37</c:v>
                </c:pt>
                <c:pt idx="10">
                  <c:v>51</c:v>
                </c:pt>
                <c:pt idx="11">
                  <c:v>56</c:v>
                </c:pt>
                <c:pt idx="12">
                  <c:v>29</c:v>
                </c:pt>
                <c:pt idx="13">
                  <c:v>41</c:v>
                </c:pt>
                <c:pt idx="14">
                  <c:v>46</c:v>
                </c:pt>
                <c:pt idx="15">
                  <c:v>66</c:v>
                </c:pt>
                <c:pt idx="16">
                  <c:v>31</c:v>
                </c:pt>
                <c:pt idx="17">
                  <c:v>27</c:v>
                </c:pt>
                <c:pt idx="18">
                  <c:v>35</c:v>
                </c:pt>
                <c:pt idx="19">
                  <c:v>54</c:v>
                </c:pt>
                <c:pt idx="20">
                  <c:v>24</c:v>
                </c:pt>
                <c:pt idx="21">
                  <c:v>26</c:v>
                </c:pt>
                <c:pt idx="22">
                  <c:v>22</c:v>
                </c:pt>
                <c:pt idx="23">
                  <c:v>31</c:v>
                </c:pt>
                <c:pt idx="24">
                  <c:v>20</c:v>
                </c:pt>
                <c:pt idx="25">
                  <c:v>27</c:v>
                </c:pt>
                <c:pt idx="26">
                  <c:v>21</c:v>
                </c:pt>
                <c:pt idx="27">
                  <c:v>33</c:v>
                </c:pt>
                <c:pt idx="28">
                  <c:v>22</c:v>
                </c:pt>
                <c:pt idx="29">
                  <c:v>22</c:v>
                </c:pt>
                <c:pt idx="30">
                  <c:v>20</c:v>
                </c:pt>
                <c:pt idx="31">
                  <c:v>23</c:v>
                </c:pt>
                <c:pt idx="32">
                  <c:v>16</c:v>
                </c:pt>
                <c:pt idx="33">
                  <c:v>20</c:v>
                </c:pt>
                <c:pt idx="34">
                  <c:v>15</c:v>
                </c:pt>
              </c:numCache>
            </c:numRef>
          </c:val>
          <c:extLst>
            <c:ext xmlns:c16="http://schemas.microsoft.com/office/drawing/2014/chart" uri="{C3380CC4-5D6E-409C-BE32-E72D297353CC}">
              <c16:uniqueId val="{00000000-AC59-43DE-A125-CD89EE82DCD7}"/>
            </c:ext>
          </c:extLst>
        </c:ser>
        <c:ser>
          <c:idx val="1"/>
          <c:order val="1"/>
          <c:tx>
            <c:strRef>
              <c:f>'R-GRAF-2'!$A$8</c:f>
              <c:strCache>
                <c:ptCount val="1"/>
                <c:pt idx="0">
                  <c:v>Nezaměstnaný → Zaměstnaný (q/q-1)</c:v>
                </c:pt>
              </c:strCache>
            </c:strRef>
          </c:tx>
          <c:spPr>
            <a:solidFill>
              <a:srgbClr val="00B050"/>
            </a:solidFill>
            <a:ln>
              <a:noFill/>
            </a:ln>
            <a:effectLst/>
          </c:spPr>
          <c:invertIfNegative val="0"/>
          <c:cat>
            <c:multiLvlStrRef>
              <c:f>'R-GRAF-2'!$B$5:$AJ$6</c:f>
              <c:multiLvlStrCache>
                <c:ptCount val="35"/>
                <c:lvl>
                  <c:pt idx="0">
                    <c:v>2q</c:v>
                  </c:pt>
                  <c:pt idx="1">
                    <c:v>3q</c:v>
                  </c:pt>
                  <c:pt idx="2">
                    <c:v>4q</c:v>
                  </c:pt>
                  <c:pt idx="3">
                    <c:v>1q</c:v>
                  </c:pt>
                  <c:pt idx="4">
                    <c:v>2q</c:v>
                  </c:pt>
                  <c:pt idx="5">
                    <c:v>3q</c:v>
                  </c:pt>
                  <c:pt idx="6">
                    <c:v>4q</c:v>
                  </c:pt>
                  <c:pt idx="7">
                    <c:v>1q</c:v>
                  </c:pt>
                  <c:pt idx="8">
                    <c:v>2q</c:v>
                  </c:pt>
                  <c:pt idx="9">
                    <c:v>3q</c:v>
                  </c:pt>
                  <c:pt idx="10">
                    <c:v>4q</c:v>
                  </c:pt>
                  <c:pt idx="11">
                    <c:v>1q</c:v>
                  </c:pt>
                  <c:pt idx="12">
                    <c:v>2q</c:v>
                  </c:pt>
                  <c:pt idx="13">
                    <c:v>3q</c:v>
                  </c:pt>
                  <c:pt idx="14">
                    <c:v>4q</c:v>
                  </c:pt>
                  <c:pt idx="15">
                    <c:v>1q</c:v>
                  </c:pt>
                  <c:pt idx="16">
                    <c:v>2q</c:v>
                  </c:pt>
                  <c:pt idx="17">
                    <c:v>3q</c:v>
                  </c:pt>
                  <c:pt idx="18">
                    <c:v>4q</c:v>
                  </c:pt>
                  <c:pt idx="19">
                    <c:v>1q</c:v>
                  </c:pt>
                  <c:pt idx="20">
                    <c:v>2q</c:v>
                  </c:pt>
                  <c:pt idx="21">
                    <c:v>3q</c:v>
                  </c:pt>
                  <c:pt idx="22">
                    <c:v>4q</c:v>
                  </c:pt>
                  <c:pt idx="23">
                    <c:v>1q</c:v>
                  </c:pt>
                  <c:pt idx="24">
                    <c:v>2q</c:v>
                  </c:pt>
                  <c:pt idx="25">
                    <c:v>3q</c:v>
                  </c:pt>
                  <c:pt idx="26">
                    <c:v>4q</c:v>
                  </c:pt>
                  <c:pt idx="27">
                    <c:v>1q</c:v>
                  </c:pt>
                  <c:pt idx="28">
                    <c:v>2q</c:v>
                  </c:pt>
                  <c:pt idx="29">
                    <c:v>3q</c:v>
                  </c:pt>
                  <c:pt idx="30">
                    <c:v>4q</c:v>
                  </c:pt>
                  <c:pt idx="31">
                    <c:v>1q</c:v>
                  </c:pt>
                  <c:pt idx="32">
                    <c:v>2q</c:v>
                  </c:pt>
                  <c:pt idx="33">
                    <c:v>3q</c:v>
                  </c:pt>
                  <c:pt idx="34">
                    <c:v>4q</c:v>
                  </c:pt>
                </c:lvl>
                <c:lvl>
                  <c:pt idx="0">
                    <c:v>2010</c:v>
                  </c:pt>
                  <c:pt idx="3">
                    <c:v>2011</c:v>
                  </c:pt>
                  <c:pt idx="7">
                    <c:v>2012</c:v>
                  </c:pt>
                  <c:pt idx="11">
                    <c:v>2013</c:v>
                  </c:pt>
                  <c:pt idx="15">
                    <c:v>2014</c:v>
                  </c:pt>
                  <c:pt idx="19">
                    <c:v>2015</c:v>
                  </c:pt>
                  <c:pt idx="23">
                    <c:v>2016</c:v>
                  </c:pt>
                  <c:pt idx="27">
                    <c:v>2017</c:v>
                  </c:pt>
                  <c:pt idx="31">
                    <c:v>2018</c:v>
                  </c:pt>
                </c:lvl>
              </c:multiLvlStrCache>
            </c:multiLvlStrRef>
          </c:cat>
          <c:val>
            <c:numRef>
              <c:f>'R-GRAF-2'!$B$8:$AJ$8</c:f>
              <c:numCache>
                <c:formatCode>#,##0</c:formatCode>
                <c:ptCount val="35"/>
                <c:pt idx="0">
                  <c:v>-84</c:v>
                </c:pt>
                <c:pt idx="1">
                  <c:v>-59</c:v>
                </c:pt>
                <c:pt idx="2">
                  <c:v>-62</c:v>
                </c:pt>
                <c:pt idx="3">
                  <c:v>-49</c:v>
                </c:pt>
                <c:pt idx="4">
                  <c:v>-74</c:v>
                </c:pt>
                <c:pt idx="5">
                  <c:v>-59</c:v>
                </c:pt>
                <c:pt idx="6">
                  <c:v>-57</c:v>
                </c:pt>
                <c:pt idx="7">
                  <c:v>-44</c:v>
                </c:pt>
                <c:pt idx="8">
                  <c:v>-70</c:v>
                </c:pt>
                <c:pt idx="9">
                  <c:v>-53</c:v>
                </c:pt>
                <c:pt idx="10">
                  <c:v>-52</c:v>
                </c:pt>
                <c:pt idx="11">
                  <c:v>-48</c:v>
                </c:pt>
                <c:pt idx="12">
                  <c:v>-73</c:v>
                </c:pt>
                <c:pt idx="13">
                  <c:v>-50</c:v>
                </c:pt>
                <c:pt idx="14">
                  <c:v>-57</c:v>
                </c:pt>
                <c:pt idx="15">
                  <c:v>-58</c:v>
                </c:pt>
                <c:pt idx="16">
                  <c:v>-78</c:v>
                </c:pt>
                <c:pt idx="17">
                  <c:v>-56</c:v>
                </c:pt>
                <c:pt idx="18">
                  <c:v>-52</c:v>
                </c:pt>
                <c:pt idx="19">
                  <c:v>-45</c:v>
                </c:pt>
                <c:pt idx="20">
                  <c:v>-70</c:v>
                </c:pt>
                <c:pt idx="21">
                  <c:v>-44</c:v>
                </c:pt>
                <c:pt idx="22">
                  <c:v>-44</c:v>
                </c:pt>
                <c:pt idx="23">
                  <c:v>-44</c:v>
                </c:pt>
                <c:pt idx="24">
                  <c:v>-51</c:v>
                </c:pt>
                <c:pt idx="25">
                  <c:v>-40</c:v>
                </c:pt>
                <c:pt idx="26">
                  <c:v>-51</c:v>
                </c:pt>
                <c:pt idx="27">
                  <c:v>-39</c:v>
                </c:pt>
                <c:pt idx="28">
                  <c:v>-45</c:v>
                </c:pt>
                <c:pt idx="29">
                  <c:v>-47</c:v>
                </c:pt>
                <c:pt idx="30">
                  <c:v>-38</c:v>
                </c:pt>
                <c:pt idx="31">
                  <c:v>-31</c:v>
                </c:pt>
                <c:pt idx="32">
                  <c:v>-37</c:v>
                </c:pt>
                <c:pt idx="33">
                  <c:v>-24</c:v>
                </c:pt>
                <c:pt idx="34">
                  <c:v>-38</c:v>
                </c:pt>
              </c:numCache>
            </c:numRef>
          </c:val>
          <c:extLst>
            <c:ext xmlns:c16="http://schemas.microsoft.com/office/drawing/2014/chart" uri="{C3380CC4-5D6E-409C-BE32-E72D297353CC}">
              <c16:uniqueId val="{00000001-AC59-43DE-A125-CD89EE82DCD7}"/>
            </c:ext>
          </c:extLst>
        </c:ser>
        <c:ser>
          <c:idx val="2"/>
          <c:order val="2"/>
          <c:tx>
            <c:strRef>
              <c:f>'R-GRAF-2'!$A$9</c:f>
              <c:strCache>
                <c:ptCount val="1"/>
                <c:pt idx="0">
                  <c:v>Ek. neaktivní → Nezaměstnaný (q/q-1)</c:v>
                </c:pt>
              </c:strCache>
            </c:strRef>
          </c:tx>
          <c:spPr>
            <a:solidFill>
              <a:schemeClr val="accent6">
                <a:lumMod val="40000"/>
                <a:lumOff val="60000"/>
              </a:schemeClr>
            </a:solidFill>
            <a:ln>
              <a:noFill/>
            </a:ln>
            <a:effectLst/>
          </c:spPr>
          <c:invertIfNegative val="0"/>
          <c:cat>
            <c:multiLvlStrRef>
              <c:f>'R-GRAF-2'!$B$5:$AJ$6</c:f>
              <c:multiLvlStrCache>
                <c:ptCount val="35"/>
                <c:lvl>
                  <c:pt idx="0">
                    <c:v>2q</c:v>
                  </c:pt>
                  <c:pt idx="1">
                    <c:v>3q</c:v>
                  </c:pt>
                  <c:pt idx="2">
                    <c:v>4q</c:v>
                  </c:pt>
                  <c:pt idx="3">
                    <c:v>1q</c:v>
                  </c:pt>
                  <c:pt idx="4">
                    <c:v>2q</c:v>
                  </c:pt>
                  <c:pt idx="5">
                    <c:v>3q</c:v>
                  </c:pt>
                  <c:pt idx="6">
                    <c:v>4q</c:v>
                  </c:pt>
                  <c:pt idx="7">
                    <c:v>1q</c:v>
                  </c:pt>
                  <c:pt idx="8">
                    <c:v>2q</c:v>
                  </c:pt>
                  <c:pt idx="9">
                    <c:v>3q</c:v>
                  </c:pt>
                  <c:pt idx="10">
                    <c:v>4q</c:v>
                  </c:pt>
                  <c:pt idx="11">
                    <c:v>1q</c:v>
                  </c:pt>
                  <c:pt idx="12">
                    <c:v>2q</c:v>
                  </c:pt>
                  <c:pt idx="13">
                    <c:v>3q</c:v>
                  </c:pt>
                  <c:pt idx="14">
                    <c:v>4q</c:v>
                  </c:pt>
                  <c:pt idx="15">
                    <c:v>1q</c:v>
                  </c:pt>
                  <c:pt idx="16">
                    <c:v>2q</c:v>
                  </c:pt>
                  <c:pt idx="17">
                    <c:v>3q</c:v>
                  </c:pt>
                  <c:pt idx="18">
                    <c:v>4q</c:v>
                  </c:pt>
                  <c:pt idx="19">
                    <c:v>1q</c:v>
                  </c:pt>
                  <c:pt idx="20">
                    <c:v>2q</c:v>
                  </c:pt>
                  <c:pt idx="21">
                    <c:v>3q</c:v>
                  </c:pt>
                  <c:pt idx="22">
                    <c:v>4q</c:v>
                  </c:pt>
                  <c:pt idx="23">
                    <c:v>1q</c:v>
                  </c:pt>
                  <c:pt idx="24">
                    <c:v>2q</c:v>
                  </c:pt>
                  <c:pt idx="25">
                    <c:v>3q</c:v>
                  </c:pt>
                  <c:pt idx="26">
                    <c:v>4q</c:v>
                  </c:pt>
                  <c:pt idx="27">
                    <c:v>1q</c:v>
                  </c:pt>
                  <c:pt idx="28">
                    <c:v>2q</c:v>
                  </c:pt>
                  <c:pt idx="29">
                    <c:v>3q</c:v>
                  </c:pt>
                  <c:pt idx="30">
                    <c:v>4q</c:v>
                  </c:pt>
                  <c:pt idx="31">
                    <c:v>1q</c:v>
                  </c:pt>
                  <c:pt idx="32">
                    <c:v>2q</c:v>
                  </c:pt>
                  <c:pt idx="33">
                    <c:v>3q</c:v>
                  </c:pt>
                  <c:pt idx="34">
                    <c:v>4q</c:v>
                  </c:pt>
                </c:lvl>
                <c:lvl>
                  <c:pt idx="0">
                    <c:v>2010</c:v>
                  </c:pt>
                  <c:pt idx="3">
                    <c:v>2011</c:v>
                  </c:pt>
                  <c:pt idx="7">
                    <c:v>2012</c:v>
                  </c:pt>
                  <c:pt idx="11">
                    <c:v>2013</c:v>
                  </c:pt>
                  <c:pt idx="15">
                    <c:v>2014</c:v>
                  </c:pt>
                  <c:pt idx="19">
                    <c:v>2015</c:v>
                  </c:pt>
                  <c:pt idx="23">
                    <c:v>2016</c:v>
                  </c:pt>
                  <c:pt idx="27">
                    <c:v>2017</c:v>
                  </c:pt>
                  <c:pt idx="31">
                    <c:v>2018</c:v>
                  </c:pt>
                </c:lvl>
              </c:multiLvlStrCache>
            </c:multiLvlStrRef>
          </c:cat>
          <c:val>
            <c:numRef>
              <c:f>'R-GRAF-2'!$B$9:$AJ$9</c:f>
              <c:numCache>
                <c:formatCode>#,##0</c:formatCode>
                <c:ptCount val="35"/>
                <c:pt idx="0">
                  <c:v>25</c:v>
                </c:pt>
                <c:pt idx="1">
                  <c:v>41</c:v>
                </c:pt>
                <c:pt idx="2">
                  <c:v>31</c:v>
                </c:pt>
                <c:pt idx="3">
                  <c:v>40</c:v>
                </c:pt>
                <c:pt idx="4">
                  <c:v>55</c:v>
                </c:pt>
                <c:pt idx="5">
                  <c:v>69</c:v>
                </c:pt>
                <c:pt idx="6">
                  <c:v>56</c:v>
                </c:pt>
                <c:pt idx="7">
                  <c:v>47</c:v>
                </c:pt>
                <c:pt idx="8">
                  <c:v>52</c:v>
                </c:pt>
                <c:pt idx="9">
                  <c:v>73</c:v>
                </c:pt>
                <c:pt idx="10">
                  <c:v>54</c:v>
                </c:pt>
                <c:pt idx="11">
                  <c:v>43</c:v>
                </c:pt>
                <c:pt idx="12">
                  <c:v>57</c:v>
                </c:pt>
                <c:pt idx="13">
                  <c:v>62</c:v>
                </c:pt>
                <c:pt idx="14">
                  <c:v>43</c:v>
                </c:pt>
                <c:pt idx="15">
                  <c:v>42</c:v>
                </c:pt>
                <c:pt idx="16">
                  <c:v>49</c:v>
                </c:pt>
                <c:pt idx="17">
                  <c:v>66</c:v>
                </c:pt>
                <c:pt idx="18">
                  <c:v>52</c:v>
                </c:pt>
                <c:pt idx="19">
                  <c:v>37</c:v>
                </c:pt>
                <c:pt idx="20">
                  <c:v>38</c:v>
                </c:pt>
                <c:pt idx="21">
                  <c:v>55</c:v>
                </c:pt>
                <c:pt idx="22">
                  <c:v>37</c:v>
                </c:pt>
                <c:pt idx="23">
                  <c:v>37</c:v>
                </c:pt>
                <c:pt idx="24">
                  <c:v>39</c:v>
                </c:pt>
                <c:pt idx="25">
                  <c:v>49</c:v>
                </c:pt>
                <c:pt idx="26">
                  <c:v>38</c:v>
                </c:pt>
                <c:pt idx="27">
                  <c:v>31</c:v>
                </c:pt>
                <c:pt idx="28">
                  <c:v>26</c:v>
                </c:pt>
                <c:pt idx="29">
                  <c:v>41</c:v>
                </c:pt>
                <c:pt idx="30">
                  <c:v>26</c:v>
                </c:pt>
                <c:pt idx="31">
                  <c:v>28</c:v>
                </c:pt>
                <c:pt idx="32">
                  <c:v>29</c:v>
                </c:pt>
                <c:pt idx="33">
                  <c:v>34</c:v>
                </c:pt>
                <c:pt idx="34">
                  <c:v>32</c:v>
                </c:pt>
              </c:numCache>
            </c:numRef>
          </c:val>
          <c:extLst>
            <c:ext xmlns:c16="http://schemas.microsoft.com/office/drawing/2014/chart" uri="{C3380CC4-5D6E-409C-BE32-E72D297353CC}">
              <c16:uniqueId val="{00000002-AC59-43DE-A125-CD89EE82DCD7}"/>
            </c:ext>
          </c:extLst>
        </c:ser>
        <c:ser>
          <c:idx val="3"/>
          <c:order val="3"/>
          <c:tx>
            <c:strRef>
              <c:f>'R-GRAF-2'!$A$10</c:f>
              <c:strCache>
                <c:ptCount val="1"/>
                <c:pt idx="0">
                  <c:v>Nezaměstnaný → Ek. neaktivní (q/q-1)</c:v>
                </c:pt>
              </c:strCache>
            </c:strRef>
          </c:tx>
          <c:spPr>
            <a:solidFill>
              <a:srgbClr val="92D050"/>
            </a:solidFill>
            <a:ln>
              <a:noFill/>
            </a:ln>
            <a:effectLst/>
          </c:spPr>
          <c:invertIfNegative val="0"/>
          <c:cat>
            <c:multiLvlStrRef>
              <c:f>'R-GRAF-2'!$B$5:$AJ$6</c:f>
              <c:multiLvlStrCache>
                <c:ptCount val="35"/>
                <c:lvl>
                  <c:pt idx="0">
                    <c:v>2q</c:v>
                  </c:pt>
                  <c:pt idx="1">
                    <c:v>3q</c:v>
                  </c:pt>
                  <c:pt idx="2">
                    <c:v>4q</c:v>
                  </c:pt>
                  <c:pt idx="3">
                    <c:v>1q</c:v>
                  </c:pt>
                  <c:pt idx="4">
                    <c:v>2q</c:v>
                  </c:pt>
                  <c:pt idx="5">
                    <c:v>3q</c:v>
                  </c:pt>
                  <c:pt idx="6">
                    <c:v>4q</c:v>
                  </c:pt>
                  <c:pt idx="7">
                    <c:v>1q</c:v>
                  </c:pt>
                  <c:pt idx="8">
                    <c:v>2q</c:v>
                  </c:pt>
                  <c:pt idx="9">
                    <c:v>3q</c:v>
                  </c:pt>
                  <c:pt idx="10">
                    <c:v>4q</c:v>
                  </c:pt>
                  <c:pt idx="11">
                    <c:v>1q</c:v>
                  </c:pt>
                  <c:pt idx="12">
                    <c:v>2q</c:v>
                  </c:pt>
                  <c:pt idx="13">
                    <c:v>3q</c:v>
                  </c:pt>
                  <c:pt idx="14">
                    <c:v>4q</c:v>
                  </c:pt>
                  <c:pt idx="15">
                    <c:v>1q</c:v>
                  </c:pt>
                  <c:pt idx="16">
                    <c:v>2q</c:v>
                  </c:pt>
                  <c:pt idx="17">
                    <c:v>3q</c:v>
                  </c:pt>
                  <c:pt idx="18">
                    <c:v>4q</c:v>
                  </c:pt>
                  <c:pt idx="19">
                    <c:v>1q</c:v>
                  </c:pt>
                  <c:pt idx="20">
                    <c:v>2q</c:v>
                  </c:pt>
                  <c:pt idx="21">
                    <c:v>3q</c:v>
                  </c:pt>
                  <c:pt idx="22">
                    <c:v>4q</c:v>
                  </c:pt>
                  <c:pt idx="23">
                    <c:v>1q</c:v>
                  </c:pt>
                  <c:pt idx="24">
                    <c:v>2q</c:v>
                  </c:pt>
                  <c:pt idx="25">
                    <c:v>3q</c:v>
                  </c:pt>
                  <c:pt idx="26">
                    <c:v>4q</c:v>
                  </c:pt>
                  <c:pt idx="27">
                    <c:v>1q</c:v>
                  </c:pt>
                  <c:pt idx="28">
                    <c:v>2q</c:v>
                  </c:pt>
                  <c:pt idx="29">
                    <c:v>3q</c:v>
                  </c:pt>
                  <c:pt idx="30">
                    <c:v>4q</c:v>
                  </c:pt>
                  <c:pt idx="31">
                    <c:v>1q</c:v>
                  </c:pt>
                  <c:pt idx="32">
                    <c:v>2q</c:v>
                  </c:pt>
                  <c:pt idx="33">
                    <c:v>3q</c:v>
                  </c:pt>
                  <c:pt idx="34">
                    <c:v>4q</c:v>
                  </c:pt>
                </c:lvl>
                <c:lvl>
                  <c:pt idx="0">
                    <c:v>2010</c:v>
                  </c:pt>
                  <c:pt idx="3">
                    <c:v>2011</c:v>
                  </c:pt>
                  <c:pt idx="7">
                    <c:v>2012</c:v>
                  </c:pt>
                  <c:pt idx="11">
                    <c:v>2013</c:v>
                  </c:pt>
                  <c:pt idx="15">
                    <c:v>2014</c:v>
                  </c:pt>
                  <c:pt idx="19">
                    <c:v>2015</c:v>
                  </c:pt>
                  <c:pt idx="23">
                    <c:v>2016</c:v>
                  </c:pt>
                  <c:pt idx="27">
                    <c:v>2017</c:v>
                  </c:pt>
                  <c:pt idx="31">
                    <c:v>2018</c:v>
                  </c:pt>
                </c:lvl>
              </c:multiLvlStrCache>
            </c:multiLvlStrRef>
          </c:cat>
          <c:val>
            <c:numRef>
              <c:f>'R-GRAF-2'!$B$10:$AJ$10</c:f>
              <c:numCache>
                <c:formatCode>#,##0</c:formatCode>
                <c:ptCount val="35"/>
                <c:pt idx="0">
                  <c:v>-22</c:v>
                </c:pt>
                <c:pt idx="1">
                  <c:v>-20</c:v>
                </c:pt>
                <c:pt idx="2">
                  <c:v>-24</c:v>
                </c:pt>
                <c:pt idx="3">
                  <c:v>-59</c:v>
                </c:pt>
                <c:pt idx="4">
                  <c:v>-39</c:v>
                </c:pt>
                <c:pt idx="5">
                  <c:v>-53</c:v>
                </c:pt>
                <c:pt idx="6">
                  <c:v>-48</c:v>
                </c:pt>
                <c:pt idx="7">
                  <c:v>-38</c:v>
                </c:pt>
                <c:pt idx="8">
                  <c:v>-35</c:v>
                </c:pt>
                <c:pt idx="9">
                  <c:v>-40</c:v>
                </c:pt>
                <c:pt idx="10">
                  <c:v>-42</c:v>
                </c:pt>
                <c:pt idx="11">
                  <c:v>-38</c:v>
                </c:pt>
                <c:pt idx="12">
                  <c:v>-48</c:v>
                </c:pt>
                <c:pt idx="13">
                  <c:v>-42</c:v>
                </c:pt>
                <c:pt idx="14">
                  <c:v>-46</c:v>
                </c:pt>
                <c:pt idx="15">
                  <c:v>-46</c:v>
                </c:pt>
                <c:pt idx="16">
                  <c:v>-41</c:v>
                </c:pt>
                <c:pt idx="17">
                  <c:v>-43</c:v>
                </c:pt>
                <c:pt idx="18">
                  <c:v>-42</c:v>
                </c:pt>
                <c:pt idx="19">
                  <c:v>-35</c:v>
                </c:pt>
                <c:pt idx="20">
                  <c:v>-46</c:v>
                </c:pt>
                <c:pt idx="21">
                  <c:v>-41</c:v>
                </c:pt>
                <c:pt idx="22">
                  <c:v>-36</c:v>
                </c:pt>
                <c:pt idx="23">
                  <c:v>-30</c:v>
                </c:pt>
                <c:pt idx="24">
                  <c:v>-30</c:v>
                </c:pt>
                <c:pt idx="25">
                  <c:v>-32</c:v>
                </c:pt>
                <c:pt idx="26">
                  <c:v>-31</c:v>
                </c:pt>
                <c:pt idx="27">
                  <c:v>-32</c:v>
                </c:pt>
                <c:pt idx="28">
                  <c:v>-28</c:v>
                </c:pt>
                <c:pt idx="29">
                  <c:v>-25</c:v>
                </c:pt>
                <c:pt idx="30">
                  <c:v>-28</c:v>
                </c:pt>
                <c:pt idx="31">
                  <c:v>-20</c:v>
                </c:pt>
                <c:pt idx="32">
                  <c:v>-19</c:v>
                </c:pt>
                <c:pt idx="33">
                  <c:v>-22</c:v>
                </c:pt>
                <c:pt idx="34">
                  <c:v>-25</c:v>
                </c:pt>
              </c:numCache>
            </c:numRef>
          </c:val>
          <c:extLst>
            <c:ext xmlns:c16="http://schemas.microsoft.com/office/drawing/2014/chart" uri="{C3380CC4-5D6E-409C-BE32-E72D297353CC}">
              <c16:uniqueId val="{00000003-AC59-43DE-A125-CD89EE82DCD7}"/>
            </c:ext>
          </c:extLst>
        </c:ser>
        <c:dLbls>
          <c:showLegendKey val="0"/>
          <c:showVal val="0"/>
          <c:showCatName val="0"/>
          <c:showSerName val="0"/>
          <c:showPercent val="0"/>
          <c:showBubbleSize val="0"/>
        </c:dLbls>
        <c:gapWidth val="84"/>
        <c:overlap val="100"/>
        <c:axId val="92033408"/>
        <c:axId val="92035328"/>
      </c:barChart>
      <c:lineChart>
        <c:grouping val="standard"/>
        <c:varyColors val="0"/>
        <c:ser>
          <c:idx val="5"/>
          <c:order val="4"/>
          <c:tx>
            <c:strRef>
              <c:f>'R-GRAF-2'!$A$11</c:f>
              <c:strCache>
                <c:ptCount val="1"/>
                <c:pt idx="0">
                  <c:v>% nez. setrvávajících v nez. (q/q-1, pr. osa)</c:v>
                </c:pt>
              </c:strCache>
            </c:strRef>
          </c:tx>
          <c:spPr>
            <a:ln w="15875" cap="rnd">
              <a:solidFill>
                <a:schemeClr val="tx1">
                  <a:lumMod val="95000"/>
                  <a:lumOff val="5000"/>
                </a:schemeClr>
              </a:solidFill>
              <a:round/>
            </a:ln>
            <a:effectLst/>
          </c:spPr>
          <c:marker>
            <c:symbol val="none"/>
          </c:marker>
          <c:cat>
            <c:multiLvlStrRef>
              <c:f>'R-GRAF-2'!$B$5:$AJ$6</c:f>
              <c:multiLvlStrCache>
                <c:ptCount val="35"/>
                <c:lvl>
                  <c:pt idx="0">
                    <c:v>2q</c:v>
                  </c:pt>
                  <c:pt idx="1">
                    <c:v>3q</c:v>
                  </c:pt>
                  <c:pt idx="2">
                    <c:v>4q</c:v>
                  </c:pt>
                  <c:pt idx="3">
                    <c:v>1q</c:v>
                  </c:pt>
                  <c:pt idx="4">
                    <c:v>2q</c:v>
                  </c:pt>
                  <c:pt idx="5">
                    <c:v>3q</c:v>
                  </c:pt>
                  <c:pt idx="6">
                    <c:v>4q</c:v>
                  </c:pt>
                  <c:pt idx="7">
                    <c:v>1q</c:v>
                  </c:pt>
                  <c:pt idx="8">
                    <c:v>2q</c:v>
                  </c:pt>
                  <c:pt idx="9">
                    <c:v>3q</c:v>
                  </c:pt>
                  <c:pt idx="10">
                    <c:v>4q</c:v>
                  </c:pt>
                  <c:pt idx="11">
                    <c:v>1q</c:v>
                  </c:pt>
                  <c:pt idx="12">
                    <c:v>2q</c:v>
                  </c:pt>
                  <c:pt idx="13">
                    <c:v>3q</c:v>
                  </c:pt>
                  <c:pt idx="14">
                    <c:v>4q</c:v>
                  </c:pt>
                  <c:pt idx="15">
                    <c:v>1q</c:v>
                  </c:pt>
                  <c:pt idx="16">
                    <c:v>2q</c:v>
                  </c:pt>
                  <c:pt idx="17">
                    <c:v>3q</c:v>
                  </c:pt>
                  <c:pt idx="18">
                    <c:v>4q</c:v>
                  </c:pt>
                  <c:pt idx="19">
                    <c:v>1q</c:v>
                  </c:pt>
                  <c:pt idx="20">
                    <c:v>2q</c:v>
                  </c:pt>
                  <c:pt idx="21">
                    <c:v>3q</c:v>
                  </c:pt>
                  <c:pt idx="22">
                    <c:v>4q</c:v>
                  </c:pt>
                  <c:pt idx="23">
                    <c:v>1q</c:v>
                  </c:pt>
                  <c:pt idx="24">
                    <c:v>2q</c:v>
                  </c:pt>
                  <c:pt idx="25">
                    <c:v>3q</c:v>
                  </c:pt>
                  <c:pt idx="26">
                    <c:v>4q</c:v>
                  </c:pt>
                  <c:pt idx="27">
                    <c:v>1q</c:v>
                  </c:pt>
                  <c:pt idx="28">
                    <c:v>2q</c:v>
                  </c:pt>
                  <c:pt idx="29">
                    <c:v>3q</c:v>
                  </c:pt>
                  <c:pt idx="30">
                    <c:v>4q</c:v>
                  </c:pt>
                  <c:pt idx="31">
                    <c:v>1q</c:v>
                  </c:pt>
                  <c:pt idx="32">
                    <c:v>2q</c:v>
                  </c:pt>
                  <c:pt idx="33">
                    <c:v>3q</c:v>
                  </c:pt>
                  <c:pt idx="34">
                    <c:v>4q</c:v>
                  </c:pt>
                </c:lvl>
                <c:lvl>
                  <c:pt idx="0">
                    <c:v>2010</c:v>
                  </c:pt>
                  <c:pt idx="3">
                    <c:v>2011</c:v>
                  </c:pt>
                  <c:pt idx="7">
                    <c:v>2012</c:v>
                  </c:pt>
                  <c:pt idx="11">
                    <c:v>2013</c:v>
                  </c:pt>
                  <c:pt idx="15">
                    <c:v>2014</c:v>
                  </c:pt>
                  <c:pt idx="19">
                    <c:v>2015</c:v>
                  </c:pt>
                  <c:pt idx="23">
                    <c:v>2016</c:v>
                  </c:pt>
                  <c:pt idx="27">
                    <c:v>2017</c:v>
                  </c:pt>
                  <c:pt idx="31">
                    <c:v>2018</c:v>
                  </c:pt>
                </c:lvl>
              </c:multiLvlStrCache>
            </c:multiLvlStrRef>
          </c:cat>
          <c:val>
            <c:numRef>
              <c:f>'R-GRAF-2'!$B$11:$AJ$11</c:f>
              <c:numCache>
                <c:formatCode>#\ ##0.0</c:formatCode>
                <c:ptCount val="35"/>
                <c:pt idx="0">
                  <c:v>74.8</c:v>
                </c:pt>
                <c:pt idx="1">
                  <c:v>78.900000000000006</c:v>
                </c:pt>
                <c:pt idx="2">
                  <c:v>77</c:v>
                </c:pt>
                <c:pt idx="3">
                  <c:v>70.3</c:v>
                </c:pt>
                <c:pt idx="4">
                  <c:v>69.900000000000006</c:v>
                </c:pt>
                <c:pt idx="5">
                  <c:v>68</c:v>
                </c:pt>
                <c:pt idx="6">
                  <c:v>69.3</c:v>
                </c:pt>
                <c:pt idx="7">
                  <c:v>75.7</c:v>
                </c:pt>
                <c:pt idx="8">
                  <c:v>71.400000000000006</c:v>
                </c:pt>
                <c:pt idx="9">
                  <c:v>73.5</c:v>
                </c:pt>
                <c:pt idx="10">
                  <c:v>74.5</c:v>
                </c:pt>
                <c:pt idx="11">
                  <c:v>77.3</c:v>
                </c:pt>
                <c:pt idx="12">
                  <c:v>69.2</c:v>
                </c:pt>
                <c:pt idx="13">
                  <c:v>74.400000000000006</c:v>
                </c:pt>
                <c:pt idx="14">
                  <c:v>72.2</c:v>
                </c:pt>
                <c:pt idx="15">
                  <c:v>70.5</c:v>
                </c:pt>
                <c:pt idx="16">
                  <c:v>66.7</c:v>
                </c:pt>
                <c:pt idx="17">
                  <c:v>68.900000000000006</c:v>
                </c:pt>
                <c:pt idx="18">
                  <c:v>70</c:v>
                </c:pt>
                <c:pt idx="19">
                  <c:v>73.900000000000006</c:v>
                </c:pt>
                <c:pt idx="20">
                  <c:v>63.2</c:v>
                </c:pt>
                <c:pt idx="21">
                  <c:v>67.5</c:v>
                </c:pt>
                <c:pt idx="22">
                  <c:v>69.2</c:v>
                </c:pt>
                <c:pt idx="23">
                  <c:v>69</c:v>
                </c:pt>
                <c:pt idx="24">
                  <c:v>65.2</c:v>
                </c:pt>
                <c:pt idx="25">
                  <c:v>65.3</c:v>
                </c:pt>
                <c:pt idx="26">
                  <c:v>61.8</c:v>
                </c:pt>
                <c:pt idx="27">
                  <c:v>62.9</c:v>
                </c:pt>
                <c:pt idx="28">
                  <c:v>60.2</c:v>
                </c:pt>
                <c:pt idx="29">
                  <c:v>54.3</c:v>
                </c:pt>
                <c:pt idx="30">
                  <c:v>55.5</c:v>
                </c:pt>
                <c:pt idx="31">
                  <c:v>60.7</c:v>
                </c:pt>
                <c:pt idx="32">
                  <c:v>56.5</c:v>
                </c:pt>
                <c:pt idx="33">
                  <c:v>61.3</c:v>
                </c:pt>
                <c:pt idx="34">
                  <c:v>50.3</c:v>
                </c:pt>
              </c:numCache>
            </c:numRef>
          </c:val>
          <c:smooth val="0"/>
          <c:extLst>
            <c:ext xmlns:c16="http://schemas.microsoft.com/office/drawing/2014/chart" uri="{C3380CC4-5D6E-409C-BE32-E72D297353CC}">
              <c16:uniqueId val="{00000004-AC59-43DE-A125-CD89EE82DCD7}"/>
            </c:ext>
          </c:extLst>
        </c:ser>
        <c:dLbls>
          <c:showLegendKey val="0"/>
          <c:showVal val="0"/>
          <c:showCatName val="0"/>
          <c:showSerName val="0"/>
          <c:showPercent val="0"/>
          <c:showBubbleSize val="0"/>
        </c:dLbls>
        <c:marker val="1"/>
        <c:smooth val="0"/>
        <c:axId val="92042752"/>
        <c:axId val="92041216"/>
      </c:lineChart>
      <c:scatterChart>
        <c:scatterStyle val="lineMarker"/>
        <c:varyColors val="0"/>
        <c:ser>
          <c:idx val="4"/>
          <c:order val="5"/>
          <c:tx>
            <c:strRef>
              <c:f>'R-GRAF-2'!$A$12</c:f>
              <c:strCache>
                <c:ptCount val="1"/>
                <c:pt idx="0">
                  <c:v>Mezičtvrt. změna počtu nezam. celkem</c:v>
                </c:pt>
              </c:strCache>
            </c:strRef>
          </c:tx>
          <c:spPr>
            <a:ln w="25400" cap="rnd">
              <a:noFill/>
              <a:round/>
            </a:ln>
            <a:effectLst/>
          </c:spPr>
          <c:marker>
            <c:symbol val="diamond"/>
            <c:size val="6"/>
            <c:spPr>
              <a:solidFill>
                <a:schemeClr val="bg1"/>
              </a:solidFill>
              <a:ln w="9525">
                <a:solidFill>
                  <a:schemeClr val="tx1">
                    <a:lumMod val="95000"/>
                    <a:lumOff val="5000"/>
                  </a:schemeClr>
                </a:solidFill>
              </a:ln>
              <a:effectLst/>
            </c:spPr>
          </c:marker>
          <c:xVal>
            <c:multiLvlStrRef>
              <c:f>'R-GRAF-2'!$B$5:$AJ$6</c:f>
              <c:multiLvlStrCache>
                <c:ptCount val="35"/>
                <c:lvl>
                  <c:pt idx="0">
                    <c:v>2q</c:v>
                  </c:pt>
                  <c:pt idx="1">
                    <c:v>3q</c:v>
                  </c:pt>
                  <c:pt idx="2">
                    <c:v>4q</c:v>
                  </c:pt>
                  <c:pt idx="3">
                    <c:v>1q</c:v>
                  </c:pt>
                  <c:pt idx="4">
                    <c:v>2q</c:v>
                  </c:pt>
                  <c:pt idx="5">
                    <c:v>3q</c:v>
                  </c:pt>
                  <c:pt idx="6">
                    <c:v>4q</c:v>
                  </c:pt>
                  <c:pt idx="7">
                    <c:v>1q</c:v>
                  </c:pt>
                  <c:pt idx="8">
                    <c:v>2q</c:v>
                  </c:pt>
                  <c:pt idx="9">
                    <c:v>3q</c:v>
                  </c:pt>
                  <c:pt idx="10">
                    <c:v>4q</c:v>
                  </c:pt>
                  <c:pt idx="11">
                    <c:v>1q</c:v>
                  </c:pt>
                  <c:pt idx="12">
                    <c:v>2q</c:v>
                  </c:pt>
                  <c:pt idx="13">
                    <c:v>3q</c:v>
                  </c:pt>
                  <c:pt idx="14">
                    <c:v>4q</c:v>
                  </c:pt>
                  <c:pt idx="15">
                    <c:v>1q</c:v>
                  </c:pt>
                  <c:pt idx="16">
                    <c:v>2q</c:v>
                  </c:pt>
                  <c:pt idx="17">
                    <c:v>3q</c:v>
                  </c:pt>
                  <c:pt idx="18">
                    <c:v>4q</c:v>
                  </c:pt>
                  <c:pt idx="19">
                    <c:v>1q</c:v>
                  </c:pt>
                  <c:pt idx="20">
                    <c:v>2q</c:v>
                  </c:pt>
                  <c:pt idx="21">
                    <c:v>3q</c:v>
                  </c:pt>
                  <c:pt idx="22">
                    <c:v>4q</c:v>
                  </c:pt>
                  <c:pt idx="23">
                    <c:v>1q</c:v>
                  </c:pt>
                  <c:pt idx="24">
                    <c:v>2q</c:v>
                  </c:pt>
                  <c:pt idx="25">
                    <c:v>3q</c:v>
                  </c:pt>
                  <c:pt idx="26">
                    <c:v>4q</c:v>
                  </c:pt>
                  <c:pt idx="27">
                    <c:v>1q</c:v>
                  </c:pt>
                  <c:pt idx="28">
                    <c:v>2q</c:v>
                  </c:pt>
                  <c:pt idx="29">
                    <c:v>3q</c:v>
                  </c:pt>
                  <c:pt idx="30">
                    <c:v>4q</c:v>
                  </c:pt>
                  <c:pt idx="31">
                    <c:v>1q</c:v>
                  </c:pt>
                  <c:pt idx="32">
                    <c:v>2q</c:v>
                  </c:pt>
                  <c:pt idx="33">
                    <c:v>3q</c:v>
                  </c:pt>
                  <c:pt idx="34">
                    <c:v>4q</c:v>
                  </c:pt>
                </c:lvl>
                <c:lvl>
                  <c:pt idx="0">
                    <c:v>2010</c:v>
                  </c:pt>
                  <c:pt idx="3">
                    <c:v>2011</c:v>
                  </c:pt>
                  <c:pt idx="7">
                    <c:v>2012</c:v>
                  </c:pt>
                  <c:pt idx="11">
                    <c:v>2013</c:v>
                  </c:pt>
                  <c:pt idx="15">
                    <c:v>2014</c:v>
                  </c:pt>
                  <c:pt idx="19">
                    <c:v>2015</c:v>
                  </c:pt>
                  <c:pt idx="23">
                    <c:v>2016</c:v>
                  </c:pt>
                  <c:pt idx="27">
                    <c:v>2017</c:v>
                  </c:pt>
                  <c:pt idx="31">
                    <c:v>2018</c:v>
                  </c:pt>
                </c:lvl>
              </c:multiLvlStrCache>
            </c:multiLvlStrRef>
          </c:xVal>
          <c:yVal>
            <c:numRef>
              <c:f>'R-GRAF-2'!$B$12:$AJ$12</c:f>
              <c:numCache>
                <c:formatCode>#,##0</c:formatCode>
                <c:ptCount val="35"/>
                <c:pt idx="0">
                  <c:v>-48</c:v>
                </c:pt>
                <c:pt idx="1">
                  <c:v>-0.39999999999997726</c:v>
                </c:pt>
                <c:pt idx="2">
                  <c:v>-11.200000000000045</c:v>
                </c:pt>
                <c:pt idx="3">
                  <c:v>9.8000000000000114</c:v>
                </c:pt>
                <c:pt idx="4">
                  <c:v>-21.300000000000011</c:v>
                </c:pt>
                <c:pt idx="5">
                  <c:v>-8.6999999999999886</c:v>
                </c:pt>
                <c:pt idx="6">
                  <c:v>-7.3999999999999773</c:v>
                </c:pt>
                <c:pt idx="7">
                  <c:v>33.899999999999977</c:v>
                </c:pt>
                <c:pt idx="8">
                  <c:v>-18.300000000000011</c:v>
                </c:pt>
                <c:pt idx="9">
                  <c:v>17</c:v>
                </c:pt>
                <c:pt idx="10">
                  <c:v>11.400000000000034</c:v>
                </c:pt>
                <c:pt idx="11">
                  <c:v>13.399999999999977</c:v>
                </c:pt>
                <c:pt idx="12">
                  <c:v>-34.699999999999989</c:v>
                </c:pt>
                <c:pt idx="13">
                  <c:v>11.600000000000023</c:v>
                </c:pt>
                <c:pt idx="14">
                  <c:v>-14.200000000000045</c:v>
                </c:pt>
                <c:pt idx="15">
                  <c:v>2.4000000000000341</c:v>
                </c:pt>
                <c:pt idx="16">
                  <c:v>-39.199999999999989</c:v>
                </c:pt>
                <c:pt idx="17">
                  <c:v>-5.9000000000000341</c:v>
                </c:pt>
                <c:pt idx="18">
                  <c:v>-7.3999999999999773</c:v>
                </c:pt>
                <c:pt idx="19">
                  <c:v>10.899999999999977</c:v>
                </c:pt>
                <c:pt idx="20">
                  <c:v>-54.399999999999977</c:v>
                </c:pt>
                <c:pt idx="21">
                  <c:v>-4.8000000000000114</c:v>
                </c:pt>
                <c:pt idx="22">
                  <c:v>-20.300000000000011</c:v>
                </c:pt>
                <c:pt idx="23">
                  <c:v>-5.5</c:v>
                </c:pt>
                <c:pt idx="24">
                  <c:v>-21.5</c:v>
                </c:pt>
                <c:pt idx="25">
                  <c:v>3.3000000000000114</c:v>
                </c:pt>
                <c:pt idx="26">
                  <c:v>-21.400000000000006</c:v>
                </c:pt>
                <c:pt idx="27">
                  <c:v>-7.1999999999999886</c:v>
                </c:pt>
                <c:pt idx="28">
                  <c:v>-25.700000000000017</c:v>
                </c:pt>
                <c:pt idx="29">
                  <c:v>-9</c:v>
                </c:pt>
                <c:pt idx="30">
                  <c:v>-21</c:v>
                </c:pt>
                <c:pt idx="31">
                  <c:v>1.1000000000000227</c:v>
                </c:pt>
                <c:pt idx="32">
                  <c:v>-11.600000000000009</c:v>
                </c:pt>
                <c:pt idx="33">
                  <c:v>8.8999999999999915</c:v>
                </c:pt>
                <c:pt idx="34">
                  <c:v>-16.299999999999997</c:v>
                </c:pt>
              </c:numCache>
            </c:numRef>
          </c:yVal>
          <c:smooth val="0"/>
          <c:extLst>
            <c:ext xmlns:c16="http://schemas.microsoft.com/office/drawing/2014/chart" uri="{C3380CC4-5D6E-409C-BE32-E72D297353CC}">
              <c16:uniqueId val="{00000005-AC59-43DE-A125-CD89EE82DCD7}"/>
            </c:ext>
          </c:extLst>
        </c:ser>
        <c:dLbls>
          <c:showLegendKey val="0"/>
          <c:showVal val="0"/>
          <c:showCatName val="0"/>
          <c:showSerName val="0"/>
          <c:showPercent val="0"/>
          <c:showBubbleSize val="0"/>
        </c:dLbls>
        <c:axId val="92033408"/>
        <c:axId val="92035328"/>
      </c:scatterChart>
      <c:catAx>
        <c:axId val="92033408"/>
        <c:scaling>
          <c:orientation val="minMax"/>
        </c:scaling>
        <c:delete val="0"/>
        <c:axPos val="b"/>
        <c:numFmt formatCode="General" sourceLinked="1"/>
        <c:majorTickMark val="none"/>
        <c:minorTickMark val="none"/>
        <c:tickLblPos val="low"/>
        <c:spPr>
          <a:noFill/>
          <a:ln w="6350" cap="flat" cmpd="sng" algn="ctr">
            <a:solidFill>
              <a:schemeClr val="tx1">
                <a:lumMod val="95000"/>
                <a:lumOff val="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92035328"/>
        <c:crosses val="autoZero"/>
        <c:auto val="1"/>
        <c:lblAlgn val="ctr"/>
        <c:lblOffset val="0"/>
        <c:noMultiLvlLbl val="0"/>
      </c:catAx>
      <c:valAx>
        <c:axId val="92035328"/>
        <c:scaling>
          <c:orientation val="minMax"/>
          <c:max val="120"/>
          <c:min val="-14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92033408"/>
        <c:crosses val="autoZero"/>
        <c:crossBetween val="between"/>
        <c:majorUnit val="20"/>
      </c:valAx>
      <c:valAx>
        <c:axId val="92041216"/>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92042752"/>
        <c:crosses val="max"/>
        <c:crossBetween val="between"/>
      </c:valAx>
      <c:catAx>
        <c:axId val="92042752"/>
        <c:scaling>
          <c:orientation val="minMax"/>
        </c:scaling>
        <c:delete val="0"/>
        <c:axPos val="t"/>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2041216"/>
        <c:crosses val="max"/>
        <c:auto val="1"/>
        <c:lblAlgn val="ctr"/>
        <c:lblOffset val="100"/>
        <c:noMultiLvlLbl val="0"/>
      </c:catAx>
      <c:spPr>
        <a:noFill/>
        <a:ln w="6350">
          <a:solidFill>
            <a:schemeClr val="tx1">
              <a:lumMod val="95000"/>
              <a:lumOff val="5000"/>
            </a:schemeClr>
          </a:solidFill>
        </a:ln>
        <a:effectLst/>
      </c:spPr>
    </c:plotArea>
    <c:legend>
      <c:legendPos val="b"/>
      <c:layout>
        <c:manualLayout>
          <c:xMode val="edge"/>
          <c:yMode val="edge"/>
          <c:x val="5.3287815077828976E-3"/>
          <c:y val="0.87454832489589196"/>
          <c:w val="0.97950680528391276"/>
          <c:h val="0.108514871424504"/>
        </c:manualLayout>
      </c:layout>
      <c:overlay val="0"/>
      <c:spPr>
        <a:noFill/>
        <a:ln w="6350">
          <a:solidFill>
            <a:schemeClr val="tx1">
              <a:lumMod val="95000"/>
              <a:lumOff val="5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30607412349347"/>
          <c:y val="1.6213638122410581E-2"/>
          <c:w val="0.86102097538335554"/>
          <c:h val="0.67873437775945045"/>
        </c:manualLayout>
      </c:layout>
      <c:barChart>
        <c:barDir val="col"/>
        <c:grouping val="clustered"/>
        <c:varyColors val="0"/>
        <c:ser>
          <c:idx val="0"/>
          <c:order val="0"/>
          <c:tx>
            <c:strRef>
              <c:f>'R-GRAF-4'!$A$28</c:f>
              <c:strCache>
                <c:ptCount val="1"/>
                <c:pt idx="0">
                  <c:v>2018/2017</c:v>
                </c:pt>
              </c:strCache>
            </c:strRef>
          </c:tx>
          <c:spPr>
            <a:solidFill>
              <a:srgbClr val="A6CDE8"/>
            </a:solidFill>
            <a:ln>
              <a:noFill/>
            </a:ln>
            <a:effectLst/>
          </c:spPr>
          <c:invertIfNegative val="0"/>
          <c:cat>
            <c:multiLvlStrRef>
              <c:f>'R-GRAF-4'!$B$26:$Q$27</c:f>
              <c:multiLvlStrCache>
                <c:ptCount val="16"/>
                <c:lvl>
                  <c:pt idx="0">
                    <c:v>ZŠ vč. neukonč.
vzdělání</c:v>
                  </c:pt>
                  <c:pt idx="1">
                    <c:v>SŠ bez maturity</c:v>
                  </c:pt>
                  <c:pt idx="2">
                    <c:v>SŠ s maturitou</c:v>
                  </c:pt>
                  <c:pt idx="3">
                    <c:v>VOŠ a VŠ</c:v>
                  </c:pt>
                  <c:pt idx="4">
                    <c:v>tř. 1 až 3*</c:v>
                  </c:pt>
                  <c:pt idx="5">
                    <c:v>tř.4 až 6**</c:v>
                  </c:pt>
                  <c:pt idx="6">
                    <c:v>Řemeslníci 
a opraváři</c:v>
                  </c:pt>
                  <c:pt idx="7">
                    <c:v>Obsluha strojů 
a zaříz., montéři</c:v>
                  </c:pt>
                  <c:pt idx="8">
                    <c:v>Pomocní a nekvalif. 
pracovníci</c:v>
                  </c:pt>
                  <c:pt idx="9">
                    <c:v>Zeměděl., těžba,
 energetika</c:v>
                  </c:pt>
                  <c:pt idx="10">
                    <c:v>Zpracovatelský
průmysl</c:v>
                  </c:pt>
                  <c:pt idx="11">
                    <c:v>Stavebnictví</c:v>
                  </c:pt>
                  <c:pt idx="12">
                    <c:v>Obchod, doprava,
pohost., strav., ubyt.</c:v>
                  </c:pt>
                  <c:pt idx="13">
                    <c:v>Veř. spr., školství, 
zdravotn., soc. péče</c:v>
                  </c:pt>
                  <c:pt idx="14">
                    <c:v>Ostatní služby</c:v>
                  </c:pt>
                  <c:pt idx="15">
                    <c:v>Nezjištěné odvětví</c:v>
                  </c:pt>
                </c:lvl>
                <c:lvl>
                  <c:pt idx="0">
                    <c:v>vzdělání</c:v>
                  </c:pt>
                  <c:pt idx="4">
                    <c:v>kvalifikace</c:v>
                  </c:pt>
                  <c:pt idx="9">
                    <c:v>odvětví</c:v>
                  </c:pt>
                </c:lvl>
              </c:multiLvlStrCache>
            </c:multiLvlStrRef>
          </c:cat>
          <c:val>
            <c:numRef>
              <c:f>'R-GRAF-4'!$B$28:$Q$28</c:f>
              <c:numCache>
                <c:formatCode>#,##0</c:formatCode>
                <c:ptCount val="16"/>
                <c:pt idx="0">
                  <c:v>93571</c:v>
                </c:pt>
                <c:pt idx="1">
                  <c:v>9434</c:v>
                </c:pt>
                <c:pt idx="2">
                  <c:v>2529</c:v>
                </c:pt>
                <c:pt idx="3">
                  <c:v>2247</c:v>
                </c:pt>
                <c:pt idx="4">
                  <c:v>3509</c:v>
                </c:pt>
                <c:pt idx="5">
                  <c:v>7894</c:v>
                </c:pt>
                <c:pt idx="6">
                  <c:v>19630</c:v>
                </c:pt>
                <c:pt idx="7">
                  <c:v>45124</c:v>
                </c:pt>
                <c:pt idx="8">
                  <c:v>31629</c:v>
                </c:pt>
                <c:pt idx="9">
                  <c:v>2051</c:v>
                </c:pt>
                <c:pt idx="10">
                  <c:v>18564</c:v>
                </c:pt>
                <c:pt idx="11">
                  <c:v>9667</c:v>
                </c:pt>
                <c:pt idx="12">
                  <c:v>9093</c:v>
                </c:pt>
                <c:pt idx="13">
                  <c:v>1663</c:v>
                </c:pt>
                <c:pt idx="14">
                  <c:v>14778</c:v>
                </c:pt>
                <c:pt idx="15">
                  <c:v>51965</c:v>
                </c:pt>
              </c:numCache>
            </c:numRef>
          </c:val>
          <c:extLst>
            <c:ext xmlns:c16="http://schemas.microsoft.com/office/drawing/2014/chart" uri="{C3380CC4-5D6E-409C-BE32-E72D297353CC}">
              <c16:uniqueId val="{00000000-596D-4B7A-8DF1-D34D631C82E3}"/>
            </c:ext>
          </c:extLst>
        </c:ser>
        <c:ser>
          <c:idx val="1"/>
          <c:order val="1"/>
          <c:tx>
            <c:strRef>
              <c:f>'R-GRAF-4'!$A$29</c:f>
              <c:strCache>
                <c:ptCount val="1"/>
                <c:pt idx="0">
                  <c:v>2017/2016</c:v>
                </c:pt>
              </c:strCache>
            </c:strRef>
          </c:tx>
          <c:spPr>
            <a:solidFill>
              <a:srgbClr val="E8AFB2"/>
            </a:solidFill>
            <a:ln>
              <a:noFill/>
            </a:ln>
            <a:effectLst/>
          </c:spPr>
          <c:invertIfNegative val="0"/>
          <c:cat>
            <c:multiLvlStrRef>
              <c:f>'R-GRAF-4'!$B$26:$Q$27</c:f>
              <c:multiLvlStrCache>
                <c:ptCount val="16"/>
                <c:lvl>
                  <c:pt idx="0">
                    <c:v>ZŠ vč. neukonč.
vzdělání</c:v>
                  </c:pt>
                  <c:pt idx="1">
                    <c:v>SŠ bez maturity</c:v>
                  </c:pt>
                  <c:pt idx="2">
                    <c:v>SŠ s maturitou</c:v>
                  </c:pt>
                  <c:pt idx="3">
                    <c:v>VOŠ a VŠ</c:v>
                  </c:pt>
                  <c:pt idx="4">
                    <c:v>tř. 1 až 3*</c:v>
                  </c:pt>
                  <c:pt idx="5">
                    <c:v>tř.4 až 6**</c:v>
                  </c:pt>
                  <c:pt idx="6">
                    <c:v>Řemeslníci 
a opraváři</c:v>
                  </c:pt>
                  <c:pt idx="7">
                    <c:v>Obsluha strojů 
a zaříz., montéři</c:v>
                  </c:pt>
                  <c:pt idx="8">
                    <c:v>Pomocní a nekvalif. 
pracovníci</c:v>
                  </c:pt>
                  <c:pt idx="9">
                    <c:v>Zeměděl., těžba,
 energetika</c:v>
                  </c:pt>
                  <c:pt idx="10">
                    <c:v>Zpracovatelský
průmysl</c:v>
                  </c:pt>
                  <c:pt idx="11">
                    <c:v>Stavebnictví</c:v>
                  </c:pt>
                  <c:pt idx="12">
                    <c:v>Obchod, doprava,
pohost., strav., ubyt.</c:v>
                  </c:pt>
                  <c:pt idx="13">
                    <c:v>Veř. spr., školství, 
zdravotn., soc. péče</c:v>
                  </c:pt>
                  <c:pt idx="14">
                    <c:v>Ostatní služby</c:v>
                  </c:pt>
                  <c:pt idx="15">
                    <c:v>Nezjištěné odvětví</c:v>
                  </c:pt>
                </c:lvl>
                <c:lvl>
                  <c:pt idx="0">
                    <c:v>vzdělání</c:v>
                  </c:pt>
                  <c:pt idx="4">
                    <c:v>kvalifikace</c:v>
                  </c:pt>
                  <c:pt idx="9">
                    <c:v>odvětví</c:v>
                  </c:pt>
                </c:lvl>
              </c:multiLvlStrCache>
            </c:multiLvlStrRef>
          </c:cat>
          <c:val>
            <c:numRef>
              <c:f>'R-GRAF-4'!$B$29:$Q$29</c:f>
              <c:numCache>
                <c:formatCode>#,##0</c:formatCode>
                <c:ptCount val="16"/>
                <c:pt idx="0">
                  <c:v>62085</c:v>
                </c:pt>
                <c:pt idx="1">
                  <c:v>13733</c:v>
                </c:pt>
                <c:pt idx="2">
                  <c:v>4694</c:v>
                </c:pt>
                <c:pt idx="3">
                  <c:v>3621</c:v>
                </c:pt>
                <c:pt idx="4">
                  <c:v>6268</c:v>
                </c:pt>
                <c:pt idx="5">
                  <c:v>8776</c:v>
                </c:pt>
                <c:pt idx="6">
                  <c:v>15029</c:v>
                </c:pt>
                <c:pt idx="7">
                  <c:v>28949</c:v>
                </c:pt>
                <c:pt idx="8">
                  <c:v>25170</c:v>
                </c:pt>
                <c:pt idx="9">
                  <c:v>2753</c:v>
                </c:pt>
                <c:pt idx="10">
                  <c:v>19673</c:v>
                </c:pt>
                <c:pt idx="11">
                  <c:v>7546</c:v>
                </c:pt>
                <c:pt idx="12">
                  <c:v>9023</c:v>
                </c:pt>
                <c:pt idx="13">
                  <c:v>3500</c:v>
                </c:pt>
                <c:pt idx="14">
                  <c:v>6799</c:v>
                </c:pt>
                <c:pt idx="15">
                  <c:v>34839</c:v>
                </c:pt>
              </c:numCache>
            </c:numRef>
          </c:val>
          <c:extLst>
            <c:ext xmlns:c16="http://schemas.microsoft.com/office/drawing/2014/chart" uri="{C3380CC4-5D6E-409C-BE32-E72D297353CC}">
              <c16:uniqueId val="{00000001-596D-4B7A-8DF1-D34D631C82E3}"/>
            </c:ext>
          </c:extLst>
        </c:ser>
        <c:ser>
          <c:idx val="2"/>
          <c:order val="2"/>
          <c:tx>
            <c:strRef>
              <c:f>'R-GRAF-4'!$A$30</c:f>
              <c:strCache>
                <c:ptCount val="1"/>
                <c:pt idx="0">
                  <c:v>2016/2015</c:v>
                </c:pt>
              </c:strCache>
            </c:strRef>
          </c:tx>
          <c:spPr>
            <a:solidFill>
              <a:srgbClr val="D2E7B6"/>
            </a:solidFill>
            <a:ln>
              <a:noFill/>
            </a:ln>
            <a:effectLst/>
          </c:spPr>
          <c:invertIfNegative val="0"/>
          <c:cat>
            <c:multiLvlStrRef>
              <c:f>'R-GRAF-4'!$B$26:$Q$27</c:f>
              <c:multiLvlStrCache>
                <c:ptCount val="16"/>
                <c:lvl>
                  <c:pt idx="0">
                    <c:v>ZŠ vč. neukonč.
vzdělání</c:v>
                  </c:pt>
                  <c:pt idx="1">
                    <c:v>SŠ bez maturity</c:v>
                  </c:pt>
                  <c:pt idx="2">
                    <c:v>SŠ s maturitou</c:v>
                  </c:pt>
                  <c:pt idx="3">
                    <c:v>VOŠ a VŠ</c:v>
                  </c:pt>
                  <c:pt idx="4">
                    <c:v>tř. 1 až 3*</c:v>
                  </c:pt>
                  <c:pt idx="5">
                    <c:v>tř.4 až 6**</c:v>
                  </c:pt>
                  <c:pt idx="6">
                    <c:v>Řemeslníci 
a opraváři</c:v>
                  </c:pt>
                  <c:pt idx="7">
                    <c:v>Obsluha strojů 
a zaříz., montéři</c:v>
                  </c:pt>
                  <c:pt idx="8">
                    <c:v>Pomocní a nekvalif. 
pracovníci</c:v>
                  </c:pt>
                  <c:pt idx="9">
                    <c:v>Zeměděl., těžba,
 energetika</c:v>
                  </c:pt>
                  <c:pt idx="10">
                    <c:v>Zpracovatelský
průmysl</c:v>
                  </c:pt>
                  <c:pt idx="11">
                    <c:v>Stavebnictví</c:v>
                  </c:pt>
                  <c:pt idx="12">
                    <c:v>Obchod, doprava,
pohost., strav., ubyt.</c:v>
                  </c:pt>
                  <c:pt idx="13">
                    <c:v>Veř. spr., školství, 
zdravotn., soc. péče</c:v>
                  </c:pt>
                  <c:pt idx="14">
                    <c:v>Ostatní služby</c:v>
                  </c:pt>
                  <c:pt idx="15">
                    <c:v>Nezjištěné odvětví</c:v>
                  </c:pt>
                </c:lvl>
                <c:lvl>
                  <c:pt idx="0">
                    <c:v>vzdělání</c:v>
                  </c:pt>
                  <c:pt idx="4">
                    <c:v>kvalifikace</c:v>
                  </c:pt>
                  <c:pt idx="9">
                    <c:v>odvětví</c:v>
                  </c:pt>
                </c:lvl>
              </c:multiLvlStrCache>
            </c:multiLvlStrRef>
          </c:cat>
          <c:val>
            <c:numRef>
              <c:f>'R-GRAF-4'!$B$30:$Q$30</c:f>
              <c:numCache>
                <c:formatCode>#,##0</c:formatCode>
                <c:ptCount val="16"/>
                <c:pt idx="0">
                  <c:v>20108</c:v>
                </c:pt>
                <c:pt idx="1">
                  <c:v>5992</c:v>
                </c:pt>
                <c:pt idx="2">
                  <c:v>1535</c:v>
                </c:pt>
                <c:pt idx="3">
                  <c:v>2316</c:v>
                </c:pt>
                <c:pt idx="4">
                  <c:v>4243</c:v>
                </c:pt>
                <c:pt idx="5">
                  <c:v>2897</c:v>
                </c:pt>
                <c:pt idx="6">
                  <c:v>6619</c:v>
                </c:pt>
                <c:pt idx="7">
                  <c:v>8868</c:v>
                </c:pt>
                <c:pt idx="8">
                  <c:v>7605</c:v>
                </c:pt>
                <c:pt idx="9">
                  <c:v>1411</c:v>
                </c:pt>
                <c:pt idx="10">
                  <c:v>9280</c:v>
                </c:pt>
                <c:pt idx="11">
                  <c:v>2084</c:v>
                </c:pt>
                <c:pt idx="12">
                  <c:v>2942</c:v>
                </c:pt>
                <c:pt idx="13">
                  <c:v>1675</c:v>
                </c:pt>
                <c:pt idx="14">
                  <c:v>3230</c:v>
                </c:pt>
                <c:pt idx="15">
                  <c:v>9329</c:v>
                </c:pt>
              </c:numCache>
            </c:numRef>
          </c:val>
          <c:extLst>
            <c:ext xmlns:c16="http://schemas.microsoft.com/office/drawing/2014/chart" uri="{C3380CC4-5D6E-409C-BE32-E72D297353CC}">
              <c16:uniqueId val="{00000002-596D-4B7A-8DF1-D34D631C82E3}"/>
            </c:ext>
          </c:extLst>
        </c:ser>
        <c:dLbls>
          <c:showLegendKey val="0"/>
          <c:showVal val="0"/>
          <c:showCatName val="0"/>
          <c:showSerName val="0"/>
          <c:showPercent val="0"/>
          <c:showBubbleSize val="0"/>
        </c:dLbls>
        <c:gapWidth val="80"/>
        <c:axId val="103187968"/>
        <c:axId val="103189504"/>
      </c:barChart>
      <c:catAx>
        <c:axId val="103187968"/>
        <c:scaling>
          <c:orientation val="minMax"/>
        </c:scaling>
        <c:delete val="0"/>
        <c:axPos val="b"/>
        <c:numFmt formatCode="General" sourceLinked="1"/>
        <c:majorTickMark val="none"/>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3189504"/>
        <c:crosses val="autoZero"/>
        <c:auto val="1"/>
        <c:lblAlgn val="ctr"/>
        <c:lblOffset val="37"/>
        <c:noMultiLvlLbl val="0"/>
      </c:catAx>
      <c:valAx>
        <c:axId val="103189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03187968"/>
        <c:crosses val="autoZero"/>
        <c:crossBetween val="between"/>
      </c:valAx>
      <c:spPr>
        <a:noFill/>
        <a:ln>
          <a:solidFill>
            <a:schemeClr val="tx1">
              <a:lumMod val="95000"/>
              <a:lumOff val="5000"/>
            </a:schemeClr>
          </a:solidFill>
        </a:ln>
        <a:effectLst/>
      </c:spPr>
    </c:plotArea>
    <c:legend>
      <c:legendPos val="b"/>
      <c:layout>
        <c:manualLayout>
          <c:xMode val="edge"/>
          <c:yMode val="edge"/>
          <c:x val="0.30952830997862019"/>
          <c:y val="1.7662483589753263E-2"/>
          <c:w val="0.45139514655669855"/>
          <c:h val="6.0976036532018864E-2"/>
        </c:manualLayout>
      </c:layout>
      <c:overlay val="0"/>
      <c:spPr>
        <a:noFill/>
        <a:ln>
          <a:solidFill>
            <a:schemeClr val="tx1">
              <a:lumMod val="95000"/>
              <a:lumOff val="5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FC510-8DB3-41C3-BC1D-E50348517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Anaýza ekonomického vývoje v roce 2017.dotx</Template>
  <TotalTime>0</TotalTime>
  <Pages>8</Pages>
  <Words>2012</Words>
  <Characters>11876</Characters>
  <Application>Microsoft Office Word</Application>
  <DocSecurity>0</DocSecurity>
  <Lines>98</Lines>
  <Paragraphs>27</Paragraphs>
  <ScaleCrop>false</ScaleCrop>
  <HeadingPairs>
    <vt:vector size="6" baseType="variant">
      <vt:variant>
        <vt:lpstr>Název</vt:lpstr>
      </vt:variant>
      <vt:variant>
        <vt:i4>1</vt:i4>
      </vt:variant>
      <vt:variant>
        <vt:lpstr>Title</vt:lpstr>
      </vt:variant>
      <vt:variant>
        <vt:i4>1</vt:i4>
      </vt:variant>
      <vt:variant>
        <vt:lpstr>Headings</vt:lpstr>
      </vt:variant>
      <vt:variant>
        <vt:i4>8</vt:i4>
      </vt:variant>
    </vt:vector>
  </HeadingPairs>
  <TitlesOfParts>
    <vt:vector size="10" baseType="lpstr">
      <vt:lpstr/>
      <vt:lpstr/>
      <vt:lpstr>Styl: Nadpis 1</vt:lpstr>
      <vt:lpstr>    Styl: Nadpis 2</vt:lpstr>
      <vt:lpstr>        Styl: Nadpis 3</vt:lpstr>
      <vt:lpstr>        Styl: Nadpis 3</vt:lpstr>
      <vt:lpstr>    Styl: Nadpis 2</vt:lpstr>
      <vt:lpstr>        Styl: Nadpis 3</vt:lpstr>
      <vt:lpstr>    Styl: Nadpis 2</vt:lpstr>
      <vt:lpstr>        Styl: Nadpis 3</vt:lpstr>
    </vt:vector>
  </TitlesOfParts>
  <Company>CSU</Company>
  <LinksUpToDate>false</LinksUpToDate>
  <CharactersWithSpaces>13861</CharactersWithSpaces>
  <SharedDoc>false</SharedDoc>
  <HLinks>
    <vt:vector size="18" baseType="variant">
      <vt:variant>
        <vt:i4>7602181</vt:i4>
      </vt:variant>
      <vt:variant>
        <vt:i4>11092</vt:i4>
      </vt:variant>
      <vt:variant>
        <vt:i4>1025</vt:i4>
      </vt:variant>
      <vt:variant>
        <vt:i4>1</vt:i4>
      </vt:variant>
      <vt:variant>
        <vt:lpwstr>msoFAAF</vt:lpwstr>
      </vt:variant>
      <vt:variant>
        <vt:lpwstr/>
      </vt:variant>
      <vt:variant>
        <vt:i4>7995509</vt:i4>
      </vt:variant>
      <vt:variant>
        <vt:i4>-1</vt:i4>
      </vt:variant>
      <vt:variant>
        <vt:i4>2058</vt:i4>
      </vt:variant>
      <vt:variant>
        <vt:i4>1</vt:i4>
      </vt:variant>
      <vt:variant>
        <vt:lpwstr>CSU RGB CZ logo-02</vt:lpwstr>
      </vt:variant>
      <vt:variant>
        <vt:lpwstr/>
      </vt:variant>
      <vt:variant>
        <vt:i4>7929973</vt:i4>
      </vt:variant>
      <vt:variant>
        <vt:i4>-1</vt:i4>
      </vt:variant>
      <vt:variant>
        <vt:i4>2059</vt:i4>
      </vt:variant>
      <vt:variant>
        <vt:i4>1</vt:i4>
      </vt:variant>
      <vt:variant>
        <vt:lpwstr>CSU RGB CZ logo-01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Mgr. Karolína Súkupová</dc:creator>
  <cp:lastModifiedBy>kamenicky3604</cp:lastModifiedBy>
  <cp:revision>2</cp:revision>
  <cp:lastPrinted>2014-07-17T14:07:00Z</cp:lastPrinted>
  <dcterms:created xsi:type="dcterms:W3CDTF">2019-09-11T12:31:00Z</dcterms:created>
  <dcterms:modified xsi:type="dcterms:W3CDTF">2019-09-11T12:31:00Z</dcterms:modified>
</cp:coreProperties>
</file>