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38019" w14:textId="77777777" w:rsidR="009E674A" w:rsidRDefault="009E674A" w:rsidP="00B02051">
      <w:pPr>
        <w:pStyle w:val="Nadpis1"/>
        <w:numPr>
          <w:ilvl w:val="0"/>
          <w:numId w:val="26"/>
        </w:numPr>
        <w:tabs>
          <w:tab w:val="left" w:pos="709"/>
        </w:tabs>
        <w:spacing w:after="0"/>
        <w:ind w:left="709" w:hanging="709"/>
      </w:pPr>
      <w:bookmarkStart w:id="0" w:name="_Toc17873163"/>
      <w:r>
        <w:t xml:space="preserve">Ekonomická aktivita, zaměstnanost </w:t>
      </w:r>
      <w:r w:rsidR="00BC7833">
        <w:t>a </w:t>
      </w:r>
      <w:r>
        <w:t>produktivita práce</w:t>
      </w:r>
      <w:bookmarkEnd w:id="0"/>
    </w:p>
    <w:p w14:paraId="243605AB" w14:textId="77777777" w:rsidR="009E674A" w:rsidRPr="002A5986" w:rsidRDefault="009E674A" w:rsidP="009E674A">
      <w:pPr>
        <w:pStyle w:val="Odstavecseseznamem"/>
        <w:numPr>
          <w:ilvl w:val="1"/>
          <w:numId w:val="26"/>
        </w:numPr>
        <w:spacing w:after="0"/>
        <w:rPr>
          <w:rFonts w:eastAsia="MS Gothic"/>
          <w:b/>
          <w:bCs/>
          <w:color w:val="71818C"/>
          <w:sz w:val="28"/>
          <w:szCs w:val="28"/>
        </w:rPr>
      </w:pPr>
      <w:r w:rsidRPr="002A5986">
        <w:rPr>
          <w:rFonts w:eastAsia="MS Gothic"/>
          <w:b/>
          <w:bCs/>
          <w:color w:val="71818C"/>
          <w:sz w:val="28"/>
          <w:szCs w:val="28"/>
        </w:rPr>
        <w:t>Ekonomická aktivita obyvatel</w:t>
      </w:r>
      <w:r w:rsidR="000F6340">
        <w:rPr>
          <w:rFonts w:eastAsia="MS Gothic"/>
          <w:b/>
          <w:bCs/>
          <w:color w:val="71818C"/>
          <w:sz w:val="28"/>
          <w:szCs w:val="28"/>
        </w:rPr>
        <w:t>stva</w:t>
      </w:r>
    </w:p>
    <w:tbl>
      <w:tblPr>
        <w:tblW w:w="964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976"/>
        <w:gridCol w:w="277"/>
        <w:gridCol w:w="7391"/>
      </w:tblGrid>
      <w:tr w:rsidR="009E674A" w14:paraId="008D658B" w14:textId="77777777" w:rsidTr="006F668F">
        <w:trPr>
          <w:trHeight w:val="145"/>
        </w:trPr>
        <w:tc>
          <w:tcPr>
            <w:tcW w:w="1976" w:type="dxa"/>
            <w:tcBorders>
              <w:top w:val="nil"/>
              <w:left w:val="nil"/>
              <w:bottom w:val="nil"/>
              <w:right w:val="nil"/>
            </w:tcBorders>
          </w:tcPr>
          <w:p w14:paraId="478428A5" w14:textId="4FAD858A" w:rsidR="009E674A" w:rsidRDefault="009E674A" w:rsidP="006F668F">
            <w:pPr>
              <w:pStyle w:val="Marginlie"/>
            </w:pPr>
            <w:r>
              <w:t>Počet osob v produktivním věku se dále snižoval. Ekonomicky aktivních ale přibývalo díky sílící míře participace ve většině věkových skupin,…</w:t>
            </w:r>
          </w:p>
        </w:tc>
        <w:tc>
          <w:tcPr>
            <w:tcW w:w="277" w:type="dxa"/>
            <w:tcBorders>
              <w:top w:val="nil"/>
              <w:left w:val="nil"/>
              <w:bottom w:val="nil"/>
              <w:right w:val="nil"/>
            </w:tcBorders>
          </w:tcPr>
          <w:p w14:paraId="34180C45"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199B941A" w14:textId="637D1558" w:rsidR="009E674A" w:rsidRDefault="009E674A" w:rsidP="006F668F">
            <w:pPr>
              <w:spacing w:after="220"/>
              <w:rPr>
                <w:rFonts w:cs="Arial"/>
                <w:color w:val="0D0D0D" w:themeColor="text1" w:themeTint="F2"/>
                <w:spacing w:val="-4"/>
              </w:rPr>
            </w:pPr>
            <w:r>
              <w:rPr>
                <w:rFonts w:cs="Arial"/>
                <w:color w:val="0D0D0D" w:themeColor="text1" w:themeTint="F2"/>
                <w:spacing w:val="-4"/>
              </w:rPr>
              <w:t>Navzdory pokračujícímu procesu demografického stárnutí se ekonomická aktivita (participace) obyvatelstva ČR dlouhodobě zvyšuje. Zatímco počet obyvatel v produktivním věku (15 až 6</w:t>
            </w:r>
            <w:r w:rsidR="00D82A1E">
              <w:rPr>
                <w:rFonts w:cs="Arial"/>
                <w:color w:val="0D0D0D" w:themeColor="text1" w:themeTint="F2"/>
                <w:spacing w:val="-4"/>
              </w:rPr>
              <w:t>4 </w:t>
            </w:r>
            <w:r>
              <w:rPr>
                <w:rFonts w:cs="Arial"/>
                <w:color w:val="0D0D0D" w:themeColor="text1" w:themeTint="F2"/>
                <w:spacing w:val="-4"/>
              </w:rPr>
              <w:t>let) se v poslední dekádě plynule redukoval (dle údajů z výběrového šetření v domácnostech byl proti roku 2009 loni nižší o více než 55</w:t>
            </w:r>
            <w:r w:rsidR="00D82A1E">
              <w:rPr>
                <w:rFonts w:cs="Arial"/>
                <w:color w:val="0D0D0D" w:themeColor="text1" w:themeTint="F2"/>
                <w:spacing w:val="-4"/>
              </w:rPr>
              <w:t>2 </w:t>
            </w:r>
            <w:r>
              <w:rPr>
                <w:rFonts w:cs="Arial"/>
                <w:color w:val="0D0D0D" w:themeColor="text1" w:themeTint="F2"/>
                <w:spacing w:val="-4"/>
              </w:rPr>
              <w:t>tis. osob, resp.</w:t>
            </w:r>
            <w:r w:rsidR="00F724F9">
              <w:rPr>
                <w:rFonts w:cs="Arial"/>
                <w:color w:val="0D0D0D" w:themeColor="text1" w:themeTint="F2"/>
                <w:spacing w:val="-4"/>
              </w:rPr>
              <w:t> </w:t>
            </w:r>
            <w:r>
              <w:rPr>
                <w:rFonts w:cs="Arial"/>
                <w:color w:val="0D0D0D" w:themeColor="text1" w:themeTint="F2"/>
                <w:spacing w:val="-4"/>
              </w:rPr>
              <w:t>7,4</w:t>
            </w:r>
            <w:r w:rsidR="006454CC">
              <w:rPr>
                <w:rFonts w:cs="Arial"/>
                <w:color w:val="0D0D0D" w:themeColor="text1" w:themeTint="F2"/>
                <w:spacing w:val="-4"/>
              </w:rPr>
              <w:t> %</w:t>
            </w:r>
            <w:r>
              <w:rPr>
                <w:rFonts w:cs="Arial"/>
                <w:color w:val="0D0D0D" w:themeColor="text1" w:themeTint="F2"/>
                <w:spacing w:val="-4"/>
              </w:rPr>
              <w:t>), ekonomicky aktivních naopak přibývalo. Výsledkem byl růst míry ekonomické aktivity populace v produktivním věku. Ta rostla již desátým rokem v řadě, když loni dosáhla 76,6</w:t>
            </w:r>
            <w:r w:rsidR="006454CC">
              <w:rPr>
                <w:rFonts w:cs="Arial"/>
                <w:color w:val="0D0D0D" w:themeColor="text1" w:themeTint="F2"/>
                <w:spacing w:val="-4"/>
              </w:rPr>
              <w:t>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 xml:space="preserve">meziročně posílila </w:t>
            </w:r>
            <w:r w:rsidR="00BC7833">
              <w:rPr>
                <w:rFonts w:cs="Arial"/>
                <w:color w:val="0D0D0D" w:themeColor="text1" w:themeTint="F2"/>
                <w:spacing w:val="-4"/>
              </w:rPr>
              <w:t>o </w:t>
            </w:r>
            <w:r>
              <w:rPr>
                <w:rFonts w:cs="Arial"/>
                <w:color w:val="0D0D0D" w:themeColor="text1" w:themeTint="F2"/>
                <w:spacing w:val="-4"/>
              </w:rPr>
              <w:t>0,</w:t>
            </w:r>
            <w:r w:rsidR="00D82A1E">
              <w:rPr>
                <w:rFonts w:cs="Arial"/>
                <w:color w:val="0D0D0D" w:themeColor="text1" w:themeTint="F2"/>
                <w:spacing w:val="-4"/>
              </w:rPr>
              <w:t>7 </w:t>
            </w:r>
            <w:r>
              <w:rPr>
                <w:rFonts w:cs="Arial"/>
                <w:color w:val="0D0D0D" w:themeColor="text1" w:themeTint="F2"/>
                <w:spacing w:val="-4"/>
              </w:rPr>
              <w:t xml:space="preserve">procentního bodu. Od roku 2016 se tak </w:t>
            </w:r>
            <w:r w:rsidR="00F724F9">
              <w:rPr>
                <w:rFonts w:cs="Arial"/>
                <w:color w:val="0D0D0D" w:themeColor="text1" w:themeTint="F2"/>
                <w:spacing w:val="-4"/>
              </w:rPr>
              <w:t xml:space="preserve">nacházely </w:t>
            </w:r>
            <w:r>
              <w:rPr>
                <w:rFonts w:cs="Arial"/>
                <w:color w:val="0D0D0D" w:themeColor="text1" w:themeTint="F2"/>
                <w:spacing w:val="-4"/>
              </w:rPr>
              <w:t>ve stavu zaměstnaných či nezaměstnaných více než tři čtvrtiny obyvatel produktivního věku.</w:t>
            </w:r>
          </w:p>
        </w:tc>
      </w:tr>
      <w:tr w:rsidR="009E674A" w14:paraId="2398AB05" w14:textId="77777777" w:rsidTr="006F668F">
        <w:trPr>
          <w:trHeight w:val="145"/>
        </w:trPr>
        <w:tc>
          <w:tcPr>
            <w:tcW w:w="1976" w:type="dxa"/>
            <w:tcBorders>
              <w:top w:val="nil"/>
              <w:left w:val="nil"/>
              <w:bottom w:val="nil"/>
              <w:right w:val="nil"/>
            </w:tcBorders>
          </w:tcPr>
          <w:p w14:paraId="4B7D2C89" w14:textId="4EE8D440" w:rsidR="009E674A" w:rsidRDefault="009E674A" w:rsidP="006F668F">
            <w:pPr>
              <w:pStyle w:val="Marginlie"/>
            </w:pPr>
            <w:r>
              <w:t>…</w:t>
            </w:r>
            <w:r w:rsidR="00626D21">
              <w:t> </w:t>
            </w:r>
            <w:r>
              <w:t xml:space="preserve">ale </w:t>
            </w:r>
            <w:r w:rsidR="00BC7833">
              <w:t>i </w:t>
            </w:r>
            <w:r>
              <w:t>posunu populačně silných ročníků do věkových skupin s nejvyšší mírou ekonomické aktivity.</w:t>
            </w:r>
          </w:p>
        </w:tc>
        <w:tc>
          <w:tcPr>
            <w:tcW w:w="277" w:type="dxa"/>
            <w:tcBorders>
              <w:top w:val="nil"/>
              <w:left w:val="nil"/>
              <w:bottom w:val="nil"/>
              <w:right w:val="nil"/>
            </w:tcBorders>
          </w:tcPr>
          <w:p w14:paraId="1C224F9A"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B547EFD" w14:textId="2C29FD9C" w:rsidR="009E674A" w:rsidRPr="00C87BFB" w:rsidRDefault="009E674A" w:rsidP="006F668F">
            <w:pPr>
              <w:spacing w:after="220"/>
              <w:rPr>
                <w:rFonts w:cs="Arial"/>
                <w:color w:val="0D0D0D" w:themeColor="text1" w:themeTint="F2"/>
                <w:spacing w:val="-4"/>
              </w:rPr>
            </w:pPr>
            <w:r>
              <w:rPr>
                <w:rFonts w:cs="Arial"/>
                <w:color w:val="0D0D0D" w:themeColor="text1" w:themeTint="F2"/>
                <w:spacing w:val="-4"/>
              </w:rPr>
              <w:t>Počet všech ekonomicky aktivních čítal loni 5 41</w:t>
            </w:r>
            <w:r w:rsidR="00D82A1E">
              <w:rPr>
                <w:rFonts w:cs="Arial"/>
                <w:color w:val="0D0D0D" w:themeColor="text1" w:themeTint="F2"/>
                <w:spacing w:val="-4"/>
              </w:rPr>
              <w:t>5 </w:t>
            </w:r>
            <w:r>
              <w:rPr>
                <w:rFonts w:cs="Arial"/>
                <w:color w:val="0D0D0D" w:themeColor="text1" w:themeTint="F2"/>
                <w:spacing w:val="-4"/>
              </w:rPr>
              <w:t>tis. osob. K jeho navyšování přispěla v poslední dekádě</w:t>
            </w:r>
            <w:r>
              <w:rPr>
                <w:rStyle w:val="Znakapoznpodarou"/>
                <w:rFonts w:cs="Arial"/>
                <w:color w:val="0D0D0D" w:themeColor="text1" w:themeTint="F2"/>
                <w:spacing w:val="-4"/>
              </w:rPr>
              <w:footnoteReference w:id="1"/>
            </w:r>
            <w:r>
              <w:rPr>
                <w:rFonts w:cs="Arial"/>
                <w:color w:val="0D0D0D" w:themeColor="text1" w:themeTint="F2"/>
                <w:spacing w:val="-4"/>
              </w:rPr>
              <w:t xml:space="preserve"> hlavně vyšší míra participace</w:t>
            </w:r>
            <w:r>
              <w:rPr>
                <w:rStyle w:val="Znakapoznpodarou"/>
                <w:rFonts w:cs="Arial"/>
                <w:color w:val="0D0D0D" w:themeColor="text1" w:themeTint="F2"/>
                <w:spacing w:val="-4"/>
              </w:rPr>
              <w:footnoteReference w:id="2"/>
            </w:r>
            <w:r>
              <w:rPr>
                <w:rFonts w:cs="Arial"/>
                <w:color w:val="0D0D0D" w:themeColor="text1" w:themeTint="F2"/>
                <w:spacing w:val="-4"/>
              </w:rPr>
              <w:t xml:space="preserve">, jež na jedné straně odrážela efekt hospodářského růstu (projevující se sílící poptávkou po pracovní síle), na druhé straně ale </w:t>
            </w:r>
            <w:r w:rsidR="00BC7833">
              <w:rPr>
                <w:rFonts w:cs="Arial"/>
                <w:color w:val="0D0D0D" w:themeColor="text1" w:themeTint="F2"/>
                <w:spacing w:val="-4"/>
              </w:rPr>
              <w:t>i </w:t>
            </w:r>
            <w:r>
              <w:rPr>
                <w:rFonts w:cs="Arial"/>
                <w:color w:val="0D0D0D" w:themeColor="text1" w:themeTint="F2"/>
                <w:spacing w:val="-4"/>
              </w:rPr>
              <w:t>významný dopad legislativních změn v oblasti pracovního trhu (především plynulé zvyšování zákonného důchodového věku). Vedle toho byl ale stále významněji patrný i tzv.</w:t>
            </w:r>
            <w:r w:rsidR="00F724F9">
              <w:rPr>
                <w:rFonts w:cs="Arial"/>
                <w:color w:val="0D0D0D" w:themeColor="text1" w:themeTint="F2"/>
                <w:spacing w:val="-4"/>
              </w:rPr>
              <w:t> </w:t>
            </w:r>
            <w:r>
              <w:rPr>
                <w:rFonts w:cs="Arial"/>
                <w:color w:val="0D0D0D" w:themeColor="text1" w:themeTint="F2"/>
                <w:spacing w:val="-4"/>
              </w:rPr>
              <w:t>demografický efekt</w:t>
            </w:r>
            <w:r>
              <w:rPr>
                <w:rStyle w:val="Znakapoznpodarou"/>
                <w:rFonts w:cs="Arial"/>
                <w:color w:val="0D0D0D" w:themeColor="text1" w:themeTint="F2"/>
                <w:spacing w:val="-4"/>
              </w:rPr>
              <w:footnoteReference w:id="3"/>
            </w:r>
            <w:r w:rsidR="00F724F9">
              <w:rPr>
                <w:rFonts w:cs="Arial"/>
                <w:color w:val="0D0D0D" w:themeColor="text1" w:themeTint="F2"/>
                <w:spacing w:val="-4"/>
              </w:rPr>
              <w:t xml:space="preserve">, </w:t>
            </w:r>
            <w:r>
              <w:rPr>
                <w:rFonts w:cs="Arial"/>
                <w:color w:val="0D0D0D" w:themeColor="text1" w:themeTint="F2"/>
                <w:spacing w:val="-4"/>
              </w:rPr>
              <w:t xml:space="preserve">spočívající v proměně věkové skladby osob v rámci produktivního věku (posun početně silných kohort narozených v 70. </w:t>
            </w:r>
            <w:r w:rsidR="00BC7833">
              <w:rPr>
                <w:rFonts w:cs="Arial"/>
                <w:color w:val="0D0D0D" w:themeColor="text1" w:themeTint="F2"/>
                <w:spacing w:val="-4"/>
              </w:rPr>
              <w:t>a </w:t>
            </w:r>
            <w:r>
              <w:rPr>
                <w:rFonts w:cs="Arial"/>
                <w:color w:val="0D0D0D" w:themeColor="text1" w:themeTint="F2"/>
                <w:spacing w:val="-4"/>
              </w:rPr>
              <w:t>8</w:t>
            </w:r>
            <w:r w:rsidR="00BC7833">
              <w:rPr>
                <w:rFonts w:cs="Arial"/>
                <w:color w:val="0D0D0D" w:themeColor="text1" w:themeTint="F2"/>
                <w:spacing w:val="-4"/>
              </w:rPr>
              <w:t>0. </w:t>
            </w:r>
            <w:r>
              <w:rPr>
                <w:rFonts w:cs="Arial"/>
                <w:color w:val="0D0D0D" w:themeColor="text1" w:themeTint="F2"/>
                <w:spacing w:val="-4"/>
              </w:rPr>
              <w:t>letech do věku s nejvyšší mírou ekonomické aktivity).</w:t>
            </w:r>
          </w:p>
        </w:tc>
      </w:tr>
      <w:tr w:rsidR="009E674A" w14:paraId="298ADC7D" w14:textId="77777777" w:rsidTr="006F668F">
        <w:trPr>
          <w:trHeight w:val="145"/>
        </w:trPr>
        <w:tc>
          <w:tcPr>
            <w:tcW w:w="1976" w:type="dxa"/>
            <w:tcBorders>
              <w:top w:val="nil"/>
              <w:left w:val="nil"/>
              <w:bottom w:val="nil"/>
              <w:right w:val="nil"/>
            </w:tcBorders>
          </w:tcPr>
          <w:p w14:paraId="32E5A314" w14:textId="77777777" w:rsidR="009E674A" w:rsidRDefault="009E674A" w:rsidP="006F668F">
            <w:pPr>
              <w:pStyle w:val="Marginlie"/>
            </w:pPr>
          </w:p>
        </w:tc>
        <w:tc>
          <w:tcPr>
            <w:tcW w:w="277" w:type="dxa"/>
            <w:tcBorders>
              <w:top w:val="nil"/>
              <w:left w:val="nil"/>
              <w:bottom w:val="nil"/>
              <w:right w:val="nil"/>
            </w:tcBorders>
          </w:tcPr>
          <w:p w14:paraId="2EADFBF3"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3A77044" w14:textId="7BA65BFC" w:rsidR="009E674A" w:rsidRDefault="009E674A" w:rsidP="006F668F">
            <w:pPr>
              <w:spacing w:after="0"/>
              <w:jc w:val="left"/>
              <w:rPr>
                <w:rFonts w:cs="Arial"/>
                <w:color w:val="0D0D0D" w:themeColor="text1" w:themeTint="F2"/>
                <w:spacing w:val="-4"/>
              </w:rPr>
            </w:pPr>
            <w:r>
              <w:rPr>
                <w:b/>
              </w:rPr>
              <w:t xml:space="preserve">Graf </w:t>
            </w:r>
            <w:r w:rsidR="009A4F91">
              <w:rPr>
                <w:b/>
              </w:rPr>
              <w:t>č.</w:t>
            </w:r>
            <w:r w:rsidR="00BA35F3">
              <w:rPr>
                <w:b/>
              </w:rPr>
              <w:t> </w:t>
            </w:r>
            <w:r w:rsidR="00BC7833">
              <w:rPr>
                <w:b/>
              </w:rPr>
              <w:t>1</w:t>
            </w:r>
            <w:r w:rsidR="00BA35F3">
              <w:rPr>
                <w:b/>
              </w:rPr>
              <w:t xml:space="preserve"> </w:t>
            </w:r>
            <w:r>
              <w:rPr>
                <w:b/>
              </w:rPr>
              <w:t xml:space="preserve"> Míra ekonomické aktivity obyvatel dle pohlaví </w:t>
            </w:r>
            <w:r w:rsidR="00BC7833">
              <w:rPr>
                <w:b/>
              </w:rPr>
              <w:t>a </w:t>
            </w:r>
            <w:r>
              <w:rPr>
                <w:b/>
              </w:rPr>
              <w:t xml:space="preserve">věku </w:t>
            </w:r>
            <w:r>
              <w:rPr>
                <w:spacing w:val="-3"/>
              </w:rPr>
              <w:t>(</w:t>
            </w:r>
            <w:r w:rsidRPr="000D13CF">
              <w:rPr>
                <w:spacing w:val="-3"/>
              </w:rPr>
              <w:t>v</w:t>
            </w:r>
            <w:r w:rsidR="006454CC">
              <w:rPr>
                <w:spacing w:val="-3"/>
              </w:rPr>
              <w:t> %</w:t>
            </w:r>
            <w:r w:rsidRPr="000D13CF">
              <w:rPr>
                <w:spacing w:val="-3"/>
              </w:rPr>
              <w:t>)</w:t>
            </w:r>
            <w:r>
              <w:rPr>
                <w:spacing w:val="-3"/>
              </w:rPr>
              <w:t xml:space="preserve"> </w:t>
            </w:r>
            <w:r w:rsidR="00BC7833" w:rsidRPr="00021653">
              <w:rPr>
                <w:b/>
                <w:spacing w:val="-3"/>
              </w:rPr>
              <w:t>a</w:t>
            </w:r>
            <w:r w:rsidR="00BC7833">
              <w:rPr>
                <w:b/>
                <w:spacing w:val="-3"/>
              </w:rPr>
              <w:t> </w:t>
            </w:r>
            <w:r w:rsidRPr="00021653">
              <w:rPr>
                <w:b/>
                <w:spacing w:val="-3"/>
              </w:rPr>
              <w:t>počet ekonomicky aktivních obyvatel</w:t>
            </w:r>
            <w:r>
              <w:rPr>
                <w:spacing w:val="-3"/>
              </w:rPr>
              <w:t xml:space="preserve"> (úroveň roku 2000</w:t>
            </w:r>
            <w:r w:rsidR="00BF67DD">
              <w:rPr>
                <w:spacing w:val="-3"/>
              </w:rPr>
              <w:t xml:space="preserve"> </w:t>
            </w:r>
            <w:r>
              <w:rPr>
                <w:spacing w:val="-3"/>
              </w:rPr>
              <w:t>=</w:t>
            </w:r>
            <w:r w:rsidR="00BF67DD">
              <w:rPr>
                <w:spacing w:val="-3"/>
              </w:rPr>
              <w:t xml:space="preserve"> </w:t>
            </w:r>
            <w:r>
              <w:rPr>
                <w:spacing w:val="-3"/>
              </w:rPr>
              <w:t>100, pravá osa)</w:t>
            </w:r>
          </w:p>
        </w:tc>
      </w:tr>
      <w:tr w:rsidR="009E674A" w14:paraId="3521A156" w14:textId="77777777" w:rsidTr="00525824">
        <w:tblPrEx>
          <w:tblCellMar>
            <w:left w:w="70" w:type="dxa"/>
            <w:right w:w="70" w:type="dxa"/>
          </w:tblCellMar>
        </w:tblPrEx>
        <w:trPr>
          <w:trHeight w:val="145"/>
        </w:trPr>
        <w:tc>
          <w:tcPr>
            <w:tcW w:w="1976" w:type="dxa"/>
            <w:tcBorders>
              <w:top w:val="nil"/>
              <w:left w:val="nil"/>
              <w:bottom w:val="nil"/>
              <w:right w:val="nil"/>
            </w:tcBorders>
          </w:tcPr>
          <w:p w14:paraId="4F395D95" w14:textId="77777777" w:rsidR="009E674A" w:rsidRDefault="009E674A" w:rsidP="006F668F">
            <w:pPr>
              <w:pStyle w:val="Marginlie"/>
            </w:pPr>
          </w:p>
        </w:tc>
        <w:tc>
          <w:tcPr>
            <w:tcW w:w="277" w:type="dxa"/>
            <w:tcBorders>
              <w:top w:val="nil"/>
              <w:left w:val="nil"/>
              <w:bottom w:val="nil"/>
              <w:right w:val="nil"/>
            </w:tcBorders>
          </w:tcPr>
          <w:p w14:paraId="66C8037B"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223A642C" w14:textId="19C4E7E3" w:rsidR="009E674A" w:rsidRDefault="00525824" w:rsidP="006F668F">
            <w:pPr>
              <w:spacing w:after="0"/>
              <w:rPr>
                <w:rFonts w:cs="Arial"/>
                <w:color w:val="0D0D0D" w:themeColor="text1" w:themeTint="F2"/>
                <w:spacing w:val="-4"/>
              </w:rPr>
            </w:pPr>
            <w:r>
              <w:rPr>
                <w:noProof/>
              </w:rPr>
              <w:drawing>
                <wp:inline distT="0" distB="0" distL="0" distR="0" wp14:anchorId="3200A8B6" wp14:editId="5F606E5D">
                  <wp:extent cx="4513194" cy="3390487"/>
                  <wp:effectExtent l="0" t="0" r="1905" b="63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9E674A" w14:paraId="67650055" w14:textId="77777777" w:rsidTr="006F668F">
        <w:trPr>
          <w:trHeight w:val="145"/>
        </w:trPr>
        <w:tc>
          <w:tcPr>
            <w:tcW w:w="1976" w:type="dxa"/>
            <w:tcBorders>
              <w:top w:val="nil"/>
              <w:left w:val="nil"/>
              <w:bottom w:val="nil"/>
              <w:right w:val="nil"/>
            </w:tcBorders>
          </w:tcPr>
          <w:p w14:paraId="6637204E" w14:textId="77777777" w:rsidR="009E674A" w:rsidRDefault="009E674A" w:rsidP="006F668F">
            <w:pPr>
              <w:pStyle w:val="Marginlie"/>
            </w:pPr>
          </w:p>
        </w:tc>
        <w:tc>
          <w:tcPr>
            <w:tcW w:w="277" w:type="dxa"/>
            <w:tcBorders>
              <w:top w:val="nil"/>
              <w:left w:val="nil"/>
              <w:bottom w:val="nil"/>
              <w:right w:val="nil"/>
            </w:tcBorders>
          </w:tcPr>
          <w:p w14:paraId="6BDF35C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D1F5DF9" w14:textId="55538360" w:rsidR="009E674A" w:rsidRPr="004E0BFC" w:rsidRDefault="009E674A" w:rsidP="006F668F">
            <w:pPr>
              <w:spacing w:after="220"/>
              <w:rPr>
                <w:rFonts w:cs="Arial"/>
                <w:sz w:val="14"/>
                <w:szCs w:val="14"/>
              </w:rPr>
            </w:pPr>
            <w:r>
              <w:rPr>
                <w:rFonts w:cs="Arial"/>
                <w:sz w:val="14"/>
                <w:szCs w:val="14"/>
              </w:rPr>
              <w:t>Zdroj: ČSÚ (výběrové šetření pracovních sil</w:t>
            </w:r>
            <w:r w:rsidR="0037734D">
              <w:rPr>
                <w:rFonts w:cs="Arial"/>
                <w:sz w:val="14"/>
                <w:szCs w:val="14"/>
              </w:rPr>
              <w:t xml:space="preserve"> – </w:t>
            </w:r>
            <w:r>
              <w:rPr>
                <w:rFonts w:cs="Arial"/>
                <w:sz w:val="14"/>
                <w:szCs w:val="14"/>
              </w:rPr>
              <w:t>VŠPS).</w:t>
            </w:r>
          </w:p>
        </w:tc>
      </w:tr>
      <w:tr w:rsidR="009E674A" w14:paraId="5BC13627" w14:textId="77777777" w:rsidTr="006F668F">
        <w:trPr>
          <w:trHeight w:val="145"/>
        </w:trPr>
        <w:tc>
          <w:tcPr>
            <w:tcW w:w="1976" w:type="dxa"/>
            <w:tcBorders>
              <w:top w:val="nil"/>
              <w:left w:val="nil"/>
              <w:bottom w:val="nil"/>
              <w:right w:val="nil"/>
            </w:tcBorders>
          </w:tcPr>
          <w:p w14:paraId="28CAA5DB" w14:textId="77777777" w:rsidR="009E674A" w:rsidRDefault="009E674A" w:rsidP="006F668F">
            <w:pPr>
              <w:pStyle w:val="Marginlie"/>
            </w:pPr>
            <w:r>
              <w:lastRenderedPageBreak/>
              <w:t xml:space="preserve">Míra ekonomické aktivity roste znatelně dynamičtěji u žen, především vlivem svižnějšího zvyšování důchodového věku. Přibývá ale </w:t>
            </w:r>
            <w:r w:rsidR="00BC7833">
              <w:t>i </w:t>
            </w:r>
            <w:r>
              <w:t>pracujících nad 6</w:t>
            </w:r>
            <w:r w:rsidR="00D82A1E">
              <w:t>4 </w:t>
            </w:r>
            <w:r>
              <w:t>let.</w:t>
            </w:r>
          </w:p>
        </w:tc>
        <w:tc>
          <w:tcPr>
            <w:tcW w:w="277" w:type="dxa"/>
            <w:tcBorders>
              <w:top w:val="nil"/>
              <w:left w:val="nil"/>
              <w:bottom w:val="nil"/>
              <w:right w:val="nil"/>
            </w:tcBorders>
          </w:tcPr>
          <w:p w14:paraId="01498865"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7D024941" w14:textId="22468FC7" w:rsidR="009E674A" w:rsidRDefault="00BC7833" w:rsidP="006F668F">
            <w:pPr>
              <w:spacing w:after="220"/>
              <w:rPr>
                <w:rFonts w:cs="Arial"/>
                <w:color w:val="0D0D0D" w:themeColor="text1" w:themeTint="F2"/>
                <w:spacing w:val="-4"/>
              </w:rPr>
            </w:pPr>
            <w:r>
              <w:rPr>
                <w:rFonts w:cs="Arial"/>
                <w:color w:val="0D0D0D" w:themeColor="text1" w:themeTint="F2"/>
                <w:spacing w:val="-4"/>
              </w:rPr>
              <w:t>K </w:t>
            </w:r>
            <w:r w:rsidR="009E674A">
              <w:rPr>
                <w:rFonts w:cs="Arial"/>
                <w:color w:val="0D0D0D" w:themeColor="text1" w:themeTint="F2"/>
                <w:spacing w:val="-4"/>
              </w:rPr>
              <w:t>rostoucí míře participace přispívají v posledních letech více ženy, u nichž se projevuje zejména vliv rychlejšího zvyšování zákonného důchodového věku. Zatímco v roce 2008 se ve věku 60 až 6</w:t>
            </w:r>
            <w:r w:rsidR="00D82A1E">
              <w:rPr>
                <w:rFonts w:cs="Arial"/>
                <w:color w:val="0D0D0D" w:themeColor="text1" w:themeTint="F2"/>
                <w:spacing w:val="-4"/>
              </w:rPr>
              <w:t>4 </w:t>
            </w:r>
            <w:r w:rsidR="009E674A">
              <w:rPr>
                <w:rFonts w:cs="Arial"/>
                <w:color w:val="0D0D0D" w:themeColor="text1" w:themeTint="F2"/>
                <w:spacing w:val="-4"/>
              </w:rPr>
              <w:t xml:space="preserve">let mezi ekonomicky aktivní řadila zhruba jen sedmina </w:t>
            </w:r>
            <w:r>
              <w:rPr>
                <w:rFonts w:cs="Arial"/>
                <w:color w:val="0D0D0D" w:themeColor="text1" w:themeTint="F2"/>
                <w:spacing w:val="-4"/>
              </w:rPr>
              <w:t>z </w:t>
            </w:r>
            <w:r w:rsidR="009E674A">
              <w:rPr>
                <w:rFonts w:cs="Arial"/>
                <w:color w:val="0D0D0D" w:themeColor="text1" w:themeTint="F2"/>
                <w:spacing w:val="-4"/>
              </w:rPr>
              <w:t>nich, o deset let později již více než třetina (mezi muži v tomto věku přesahovala ovšem loni míra aktivity 60</w:t>
            </w:r>
            <w:r w:rsidR="006454CC">
              <w:rPr>
                <w:rFonts w:cs="Arial"/>
                <w:color w:val="0D0D0D" w:themeColor="text1" w:themeTint="F2"/>
                <w:spacing w:val="-4"/>
              </w:rPr>
              <w:t> %</w:t>
            </w:r>
            <w:r w:rsidR="009E674A">
              <w:rPr>
                <w:rFonts w:cs="Arial"/>
                <w:color w:val="0D0D0D" w:themeColor="text1" w:themeTint="F2"/>
                <w:spacing w:val="-4"/>
              </w:rPr>
              <w:t xml:space="preserve">). Nedostatečně saturovaná poptávka po pracovnících zvyšující úroveň potenciálních výdělků (podpořená </w:t>
            </w:r>
            <w:r>
              <w:rPr>
                <w:rFonts w:cs="Arial"/>
                <w:color w:val="0D0D0D" w:themeColor="text1" w:themeTint="F2"/>
                <w:spacing w:val="-4"/>
              </w:rPr>
              <w:t>i </w:t>
            </w:r>
            <w:r w:rsidR="009E674A">
              <w:rPr>
                <w:rFonts w:cs="Arial"/>
                <w:color w:val="0D0D0D" w:themeColor="text1" w:themeTint="F2"/>
                <w:spacing w:val="-4"/>
              </w:rPr>
              <w:t xml:space="preserve">navyšováním minimální mzdy </w:t>
            </w:r>
            <w:r w:rsidR="00E402A5">
              <w:rPr>
                <w:rFonts w:cs="Arial"/>
                <w:color w:val="0D0D0D" w:themeColor="text1" w:themeTint="F2"/>
                <w:spacing w:val="-4"/>
              </w:rPr>
              <w:t>a</w:t>
            </w:r>
            <w:r w:rsidR="009E674A">
              <w:rPr>
                <w:rFonts w:cs="Arial"/>
                <w:color w:val="0D0D0D" w:themeColor="text1" w:themeTint="F2"/>
                <w:spacing w:val="-4"/>
              </w:rPr>
              <w:t xml:space="preserve"> daňovými úlevami) </w:t>
            </w:r>
            <w:r w:rsidR="00E402A5">
              <w:rPr>
                <w:rFonts w:cs="Arial"/>
                <w:color w:val="0D0D0D" w:themeColor="text1" w:themeTint="F2"/>
                <w:spacing w:val="-4"/>
              </w:rPr>
              <w:t xml:space="preserve">a naproti tomu </w:t>
            </w:r>
            <w:r w:rsidR="009E674A">
              <w:rPr>
                <w:rFonts w:cs="Arial"/>
                <w:color w:val="0D0D0D" w:themeColor="text1" w:themeTint="F2"/>
                <w:spacing w:val="-4"/>
              </w:rPr>
              <w:t>rostoucí výdaje domácností seniorů spojené s bydlením vytvář</w:t>
            </w:r>
            <w:r w:rsidR="00D64026">
              <w:rPr>
                <w:rFonts w:cs="Arial"/>
                <w:color w:val="0D0D0D" w:themeColor="text1" w:themeTint="F2"/>
                <w:spacing w:val="-4"/>
              </w:rPr>
              <w:t>ej</w:t>
            </w:r>
            <w:r w:rsidR="009E674A">
              <w:rPr>
                <w:rFonts w:cs="Arial"/>
                <w:color w:val="0D0D0D" w:themeColor="text1" w:themeTint="F2"/>
                <w:spacing w:val="-4"/>
              </w:rPr>
              <w:t>í příznivé podmínky pro větší zapojení lidí v poproduktivním věku na pracovní</w:t>
            </w:r>
            <w:r w:rsidR="00D64026">
              <w:rPr>
                <w:rFonts w:cs="Arial"/>
                <w:color w:val="0D0D0D" w:themeColor="text1" w:themeTint="F2"/>
                <w:spacing w:val="-4"/>
              </w:rPr>
              <w:t>m</w:t>
            </w:r>
            <w:r w:rsidR="009E674A">
              <w:rPr>
                <w:rFonts w:cs="Arial"/>
                <w:color w:val="0D0D0D" w:themeColor="text1" w:themeTint="F2"/>
                <w:spacing w:val="-4"/>
              </w:rPr>
              <w:t xml:space="preserve"> trh</w:t>
            </w:r>
            <w:r w:rsidR="00D64026">
              <w:rPr>
                <w:rFonts w:cs="Arial"/>
                <w:color w:val="0D0D0D" w:themeColor="text1" w:themeTint="F2"/>
                <w:spacing w:val="-4"/>
              </w:rPr>
              <w:t>u</w:t>
            </w:r>
            <w:r w:rsidR="009E674A">
              <w:rPr>
                <w:rFonts w:cs="Arial"/>
                <w:color w:val="0D0D0D" w:themeColor="text1" w:themeTint="F2"/>
                <w:spacing w:val="-4"/>
              </w:rPr>
              <w:t>. Míra ekonomické aktivity seniorů ve věku 65 až 7</w:t>
            </w:r>
            <w:r w:rsidR="00D82A1E">
              <w:rPr>
                <w:rFonts w:cs="Arial"/>
                <w:color w:val="0D0D0D" w:themeColor="text1" w:themeTint="F2"/>
                <w:spacing w:val="-4"/>
              </w:rPr>
              <w:t>4 </w:t>
            </w:r>
            <w:r w:rsidR="009E674A">
              <w:rPr>
                <w:rFonts w:cs="Arial"/>
                <w:color w:val="0D0D0D" w:themeColor="text1" w:themeTint="F2"/>
                <w:spacing w:val="-4"/>
              </w:rPr>
              <w:t>let se za poslední čtyři roky zvýšila o polovinu. V roce 2018 tak pracovalo 14</w:t>
            </w:r>
            <w:r w:rsidR="006454CC">
              <w:rPr>
                <w:rFonts w:cs="Arial"/>
                <w:color w:val="0D0D0D" w:themeColor="text1" w:themeTint="F2"/>
                <w:spacing w:val="-4"/>
              </w:rPr>
              <w:t> %</w:t>
            </w:r>
            <w:r w:rsidR="009E674A">
              <w:rPr>
                <w:rFonts w:cs="Arial"/>
                <w:color w:val="0D0D0D" w:themeColor="text1" w:themeTint="F2"/>
                <w:spacing w:val="-4"/>
              </w:rPr>
              <w:t xml:space="preserve"> mužů </w:t>
            </w:r>
            <w:r>
              <w:rPr>
                <w:rFonts w:cs="Arial"/>
                <w:color w:val="0D0D0D" w:themeColor="text1" w:themeTint="F2"/>
                <w:spacing w:val="-4"/>
              </w:rPr>
              <w:t>a </w:t>
            </w:r>
            <w:r w:rsidR="009E674A">
              <w:rPr>
                <w:rFonts w:cs="Arial"/>
                <w:color w:val="0D0D0D" w:themeColor="text1" w:themeTint="F2"/>
                <w:spacing w:val="-4"/>
              </w:rPr>
              <w:t>8</w:t>
            </w:r>
            <w:r w:rsidR="006454CC">
              <w:rPr>
                <w:rFonts w:cs="Arial"/>
                <w:color w:val="0D0D0D" w:themeColor="text1" w:themeTint="F2"/>
                <w:spacing w:val="-4"/>
              </w:rPr>
              <w:t> %</w:t>
            </w:r>
            <w:r w:rsidR="009E674A">
              <w:rPr>
                <w:rFonts w:cs="Arial"/>
                <w:color w:val="0D0D0D" w:themeColor="text1" w:themeTint="F2"/>
                <w:spacing w:val="-4"/>
              </w:rPr>
              <w:t xml:space="preserve"> žen v tomto věku.</w:t>
            </w:r>
          </w:p>
        </w:tc>
      </w:tr>
      <w:tr w:rsidR="009E674A" w14:paraId="41580431" w14:textId="77777777" w:rsidTr="006F668F">
        <w:trPr>
          <w:trHeight w:val="145"/>
        </w:trPr>
        <w:tc>
          <w:tcPr>
            <w:tcW w:w="1976" w:type="dxa"/>
            <w:tcBorders>
              <w:top w:val="nil"/>
              <w:left w:val="nil"/>
              <w:bottom w:val="nil"/>
              <w:right w:val="nil"/>
            </w:tcBorders>
          </w:tcPr>
          <w:p w14:paraId="1E475EFF" w14:textId="1CA08534" w:rsidR="009E674A" w:rsidRDefault="009E674A" w:rsidP="006F668F">
            <w:pPr>
              <w:pStyle w:val="Marginlie"/>
            </w:pPr>
            <w:r>
              <w:t>Míra aktivity mladých do 2</w:t>
            </w:r>
            <w:r w:rsidR="00D82A1E">
              <w:t>5 </w:t>
            </w:r>
            <w:r>
              <w:t xml:space="preserve">let </w:t>
            </w:r>
            <w:r w:rsidR="00D64026">
              <w:t xml:space="preserve">se </w:t>
            </w:r>
            <w:r>
              <w:t>mírně snížila. Klesla i participace žen ve věku 30 až 3</w:t>
            </w:r>
            <w:r w:rsidR="00D82A1E">
              <w:t>4 </w:t>
            </w:r>
            <w:r>
              <w:t xml:space="preserve">let. </w:t>
            </w:r>
            <w:r w:rsidR="00BC7833">
              <w:t>U </w:t>
            </w:r>
            <w:r>
              <w:t>osob ve</w:t>
            </w:r>
            <w:r w:rsidR="00D64026">
              <w:t> </w:t>
            </w:r>
            <w:r>
              <w:t>středních věkových skupinách aktivita stagnovala na vysoké úrovni.</w:t>
            </w:r>
          </w:p>
        </w:tc>
        <w:tc>
          <w:tcPr>
            <w:tcW w:w="277" w:type="dxa"/>
            <w:tcBorders>
              <w:top w:val="nil"/>
              <w:left w:val="nil"/>
              <w:bottom w:val="nil"/>
              <w:right w:val="nil"/>
            </w:tcBorders>
          </w:tcPr>
          <w:p w14:paraId="3314148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24649294" w14:textId="0A6324E3" w:rsidR="009E674A" w:rsidRDefault="009E674A" w:rsidP="006F668F">
            <w:pPr>
              <w:spacing w:after="220"/>
              <w:rPr>
                <w:rFonts w:cs="Arial"/>
                <w:color w:val="0D0D0D" w:themeColor="text1" w:themeTint="F2"/>
                <w:spacing w:val="-4"/>
              </w:rPr>
            </w:pPr>
            <w:r>
              <w:rPr>
                <w:rFonts w:cs="Arial"/>
                <w:color w:val="0D0D0D" w:themeColor="text1" w:themeTint="F2"/>
                <w:spacing w:val="-4"/>
              </w:rPr>
              <w:t xml:space="preserve">Vedle hospodářského růstu </w:t>
            </w:r>
            <w:r w:rsidR="00BC7833">
              <w:rPr>
                <w:rFonts w:cs="Arial"/>
                <w:color w:val="0D0D0D" w:themeColor="text1" w:themeTint="F2"/>
                <w:spacing w:val="-4"/>
              </w:rPr>
              <w:t>a </w:t>
            </w:r>
            <w:r>
              <w:rPr>
                <w:rFonts w:cs="Arial"/>
                <w:color w:val="0D0D0D" w:themeColor="text1" w:themeTint="F2"/>
                <w:spacing w:val="-4"/>
              </w:rPr>
              <w:t xml:space="preserve">posunu důchodového věku působí dlouhodobě na ekonomickou aktivitu také rostoucí zapojení do terciárního vzdělávání </w:t>
            </w:r>
            <w:r w:rsidR="00BC7833">
              <w:rPr>
                <w:rFonts w:cs="Arial"/>
                <w:color w:val="0D0D0D" w:themeColor="text1" w:themeTint="F2"/>
                <w:spacing w:val="-4"/>
              </w:rPr>
              <w:t>a u </w:t>
            </w:r>
            <w:r>
              <w:rPr>
                <w:rFonts w:cs="Arial"/>
                <w:color w:val="0D0D0D" w:themeColor="text1" w:themeTint="F2"/>
                <w:spacing w:val="-4"/>
              </w:rPr>
              <w:t xml:space="preserve">žen změny v reprodukčním chování </w:t>
            </w:r>
            <w:r w:rsidR="00BC7833">
              <w:rPr>
                <w:rFonts w:cs="Arial"/>
                <w:color w:val="0D0D0D" w:themeColor="text1" w:themeTint="F2"/>
                <w:spacing w:val="-4"/>
              </w:rPr>
              <w:t>i v </w:t>
            </w:r>
            <w:r>
              <w:rPr>
                <w:rFonts w:cs="Arial"/>
                <w:color w:val="0D0D0D" w:themeColor="text1" w:themeTint="F2"/>
                <w:spacing w:val="-4"/>
              </w:rPr>
              <w:t xml:space="preserve">možnostech slaďování pracovního </w:t>
            </w:r>
            <w:r w:rsidR="00BC7833">
              <w:rPr>
                <w:rFonts w:cs="Arial"/>
                <w:color w:val="0D0D0D" w:themeColor="text1" w:themeTint="F2"/>
                <w:spacing w:val="-4"/>
              </w:rPr>
              <w:t>a </w:t>
            </w:r>
            <w:r>
              <w:rPr>
                <w:rFonts w:cs="Arial"/>
                <w:color w:val="0D0D0D" w:themeColor="text1" w:themeTint="F2"/>
                <w:spacing w:val="-4"/>
              </w:rPr>
              <w:t>rodinného života. V roce 2018 mírně klesla ekonomická participace mladých do 2</w:t>
            </w:r>
            <w:r w:rsidR="00D82A1E">
              <w:rPr>
                <w:rFonts w:cs="Arial"/>
                <w:color w:val="0D0D0D" w:themeColor="text1" w:themeTint="F2"/>
                <w:spacing w:val="-4"/>
              </w:rPr>
              <w:t>5 </w:t>
            </w:r>
            <w:r>
              <w:rPr>
                <w:rFonts w:cs="Arial"/>
                <w:color w:val="0D0D0D" w:themeColor="text1" w:themeTint="F2"/>
                <w:spacing w:val="-4"/>
              </w:rPr>
              <w:t>let –</w:t>
            </w:r>
            <w:r w:rsidR="00D64026">
              <w:rPr>
                <w:rFonts w:cs="Arial"/>
                <w:color w:val="0D0D0D" w:themeColor="text1" w:themeTint="F2"/>
                <w:spacing w:val="-4"/>
              </w:rPr>
              <w:t> </w:t>
            </w:r>
            <w:r>
              <w:rPr>
                <w:rFonts w:cs="Arial"/>
                <w:color w:val="0D0D0D" w:themeColor="text1" w:themeTint="F2"/>
                <w:spacing w:val="-4"/>
              </w:rPr>
              <w:t>ve skupině 15 až</w:t>
            </w:r>
            <w:r w:rsidR="00D82A1E">
              <w:rPr>
                <w:rFonts w:cs="Arial"/>
                <w:color w:val="0D0D0D" w:themeColor="text1" w:themeTint="F2"/>
                <w:spacing w:val="-4"/>
              </w:rPr>
              <w:t xml:space="preserve"> </w:t>
            </w:r>
            <w:r>
              <w:rPr>
                <w:rFonts w:cs="Arial"/>
                <w:color w:val="0D0D0D" w:themeColor="text1" w:themeTint="F2"/>
                <w:spacing w:val="-4"/>
              </w:rPr>
              <w:t>19</w:t>
            </w:r>
            <w:r w:rsidR="00D82A1E">
              <w:rPr>
                <w:rFonts w:cs="Arial"/>
                <w:color w:val="0D0D0D" w:themeColor="text1" w:themeTint="F2"/>
                <w:spacing w:val="-4"/>
              </w:rPr>
              <w:t> </w:t>
            </w:r>
            <w:r>
              <w:rPr>
                <w:rFonts w:cs="Arial"/>
                <w:color w:val="0D0D0D" w:themeColor="text1" w:themeTint="F2"/>
                <w:spacing w:val="-4"/>
              </w:rPr>
              <w:t>let jich pracovalo pouze 6</w:t>
            </w:r>
            <w:r w:rsidR="006454CC">
              <w:rPr>
                <w:rFonts w:cs="Arial"/>
                <w:color w:val="0D0D0D" w:themeColor="text1" w:themeTint="F2"/>
                <w:spacing w:val="-4"/>
              </w:rPr>
              <w:t>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mezi 20</w:t>
            </w:r>
            <w:r w:rsidR="00D64026">
              <w:rPr>
                <w:rFonts w:cs="Arial"/>
                <w:color w:val="0D0D0D" w:themeColor="text1" w:themeTint="F2"/>
                <w:spacing w:val="-4"/>
              </w:rPr>
              <w:t>-</w:t>
            </w:r>
            <w:r>
              <w:rPr>
                <w:rFonts w:cs="Arial"/>
                <w:color w:val="0D0D0D" w:themeColor="text1" w:themeTint="F2"/>
                <w:spacing w:val="-4"/>
              </w:rPr>
              <w:t xml:space="preserve"> až 24letými polovina (</w:t>
            </w:r>
            <w:r w:rsidR="00BC7833">
              <w:rPr>
                <w:rFonts w:cs="Arial"/>
                <w:color w:val="0D0D0D" w:themeColor="text1" w:themeTint="F2"/>
                <w:spacing w:val="-4"/>
              </w:rPr>
              <w:t>s </w:t>
            </w:r>
            <w:r>
              <w:rPr>
                <w:rFonts w:cs="Arial"/>
                <w:color w:val="0D0D0D" w:themeColor="text1" w:themeTint="F2"/>
                <w:spacing w:val="-4"/>
              </w:rPr>
              <w:t>výraznější převahou mužů). Meziročně se snížila také aktivita žen ve věku 30 až 3</w:t>
            </w:r>
            <w:r w:rsidR="00D82A1E">
              <w:rPr>
                <w:rFonts w:cs="Arial"/>
                <w:color w:val="0D0D0D" w:themeColor="text1" w:themeTint="F2"/>
                <w:spacing w:val="-4"/>
              </w:rPr>
              <w:t>4 </w:t>
            </w:r>
            <w:r>
              <w:rPr>
                <w:rFonts w:cs="Arial"/>
                <w:color w:val="0D0D0D" w:themeColor="text1" w:themeTint="F2"/>
                <w:spacing w:val="-4"/>
              </w:rPr>
              <w:t>let (</w:t>
            </w:r>
            <w:r w:rsidR="00BC7833">
              <w:rPr>
                <w:rFonts w:cs="Arial"/>
                <w:color w:val="0D0D0D" w:themeColor="text1" w:themeTint="F2"/>
                <w:spacing w:val="-4"/>
              </w:rPr>
              <w:t>o </w:t>
            </w:r>
            <w:r>
              <w:rPr>
                <w:rFonts w:cs="Arial"/>
                <w:color w:val="0D0D0D" w:themeColor="text1" w:themeTint="F2"/>
                <w:spacing w:val="-4"/>
              </w:rPr>
              <w:t>3</w:t>
            </w:r>
            <w:r w:rsidR="00D82A1E">
              <w:rPr>
                <w:rFonts w:cs="Arial"/>
                <w:color w:val="0D0D0D" w:themeColor="text1" w:themeTint="F2"/>
                <w:spacing w:val="-4"/>
              </w:rPr>
              <w:t> </w:t>
            </w:r>
            <w:r>
              <w:rPr>
                <w:rFonts w:cs="Arial"/>
                <w:color w:val="0D0D0D" w:themeColor="text1" w:themeTint="F2"/>
                <w:spacing w:val="-4"/>
              </w:rPr>
              <w:t>p.</w:t>
            </w:r>
            <w:r w:rsidR="00D82A1E">
              <w:rPr>
                <w:rFonts w:cs="Arial"/>
                <w:color w:val="0D0D0D" w:themeColor="text1" w:themeTint="F2"/>
                <w:spacing w:val="-4"/>
              </w:rPr>
              <w:t> </w:t>
            </w:r>
            <w:r>
              <w:rPr>
                <w:rFonts w:cs="Arial"/>
                <w:color w:val="0D0D0D" w:themeColor="text1" w:themeTint="F2"/>
                <w:spacing w:val="-4"/>
              </w:rPr>
              <w:t>b. na 65,5</w:t>
            </w:r>
            <w:r w:rsidR="006454CC">
              <w:rPr>
                <w:rFonts w:cs="Arial"/>
                <w:color w:val="0D0D0D" w:themeColor="text1" w:themeTint="F2"/>
                <w:spacing w:val="-4"/>
              </w:rPr>
              <w:t> %</w:t>
            </w:r>
            <w:r>
              <w:rPr>
                <w:rFonts w:cs="Arial"/>
                <w:color w:val="0D0D0D" w:themeColor="text1" w:themeTint="F2"/>
                <w:spacing w:val="-4"/>
              </w:rPr>
              <w:t xml:space="preserve">), což bylo částečně kompenzováno posílením </w:t>
            </w:r>
            <w:r w:rsidR="00BC7833">
              <w:rPr>
                <w:rFonts w:cs="Arial"/>
                <w:color w:val="0D0D0D" w:themeColor="text1" w:themeTint="F2"/>
                <w:spacing w:val="-4"/>
              </w:rPr>
              <w:t>u </w:t>
            </w:r>
            <w:r>
              <w:rPr>
                <w:rFonts w:cs="Arial"/>
                <w:color w:val="0D0D0D" w:themeColor="text1" w:themeTint="F2"/>
                <w:spacing w:val="-4"/>
              </w:rPr>
              <w:t>35</w:t>
            </w:r>
            <w:r w:rsidR="00D64026">
              <w:rPr>
                <w:rFonts w:cs="Arial"/>
                <w:color w:val="0D0D0D" w:themeColor="text1" w:themeTint="F2"/>
                <w:spacing w:val="-4"/>
              </w:rPr>
              <w:t>-</w:t>
            </w:r>
            <w:r>
              <w:rPr>
                <w:rFonts w:cs="Arial"/>
                <w:color w:val="0D0D0D" w:themeColor="text1" w:themeTint="F2"/>
                <w:spacing w:val="-4"/>
              </w:rPr>
              <w:t xml:space="preserve"> až 39letých. Ve středních věkových skupinách (40 až 5</w:t>
            </w:r>
            <w:r w:rsidR="00D82A1E">
              <w:rPr>
                <w:rFonts w:cs="Arial"/>
                <w:color w:val="0D0D0D" w:themeColor="text1" w:themeTint="F2"/>
                <w:spacing w:val="-4"/>
              </w:rPr>
              <w:t>4 </w:t>
            </w:r>
            <w:r>
              <w:rPr>
                <w:rFonts w:cs="Arial"/>
                <w:color w:val="0D0D0D" w:themeColor="text1" w:themeTint="F2"/>
                <w:spacing w:val="-4"/>
              </w:rPr>
              <w:t>let) nedochází v posledních letech k významnějším změnám, míry aktivity zde dlouhodobě převyšují 90</w:t>
            </w:r>
            <w:r w:rsidR="006454CC">
              <w:rPr>
                <w:rFonts w:cs="Arial"/>
                <w:color w:val="0D0D0D" w:themeColor="text1" w:themeTint="F2"/>
                <w:spacing w:val="-4"/>
              </w:rPr>
              <w:t>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 xml:space="preserve">patří v rámci této skupiny k nejvyšším i v evropském kontextu. Míra ekonomické aktivity je tradičně u mužů vyšší než </w:t>
            </w:r>
            <w:r w:rsidR="00BC7833">
              <w:rPr>
                <w:rFonts w:cs="Arial"/>
                <w:color w:val="0D0D0D" w:themeColor="text1" w:themeTint="F2"/>
                <w:spacing w:val="-4"/>
              </w:rPr>
              <w:t>u </w:t>
            </w:r>
            <w:r>
              <w:rPr>
                <w:rFonts w:cs="Arial"/>
                <w:color w:val="0D0D0D" w:themeColor="text1" w:themeTint="F2"/>
                <w:spacing w:val="-4"/>
              </w:rPr>
              <w:t>žen, a to ve všech věkových skupinách. Největší rozdíl byl loni nepřekvapivě ve skupině 30 až 3</w:t>
            </w:r>
            <w:r w:rsidR="00D82A1E">
              <w:rPr>
                <w:rFonts w:cs="Arial"/>
                <w:color w:val="0D0D0D" w:themeColor="text1" w:themeTint="F2"/>
                <w:spacing w:val="-4"/>
              </w:rPr>
              <w:t>4 </w:t>
            </w:r>
            <w:r>
              <w:rPr>
                <w:rFonts w:cs="Arial"/>
                <w:color w:val="0D0D0D" w:themeColor="text1" w:themeTint="F2"/>
                <w:spacing w:val="-4"/>
              </w:rPr>
              <w:t>let, kde bylo neaktivních jen 2,5</w:t>
            </w:r>
            <w:r w:rsidR="006454CC">
              <w:rPr>
                <w:rFonts w:cs="Arial"/>
                <w:color w:val="0D0D0D" w:themeColor="text1" w:themeTint="F2"/>
                <w:spacing w:val="-4"/>
              </w:rPr>
              <w:t> %</w:t>
            </w:r>
            <w:r>
              <w:rPr>
                <w:rFonts w:cs="Arial"/>
                <w:color w:val="0D0D0D" w:themeColor="text1" w:themeTint="F2"/>
                <w:spacing w:val="-4"/>
              </w:rPr>
              <w:t xml:space="preserve"> mužů, ale více než třetina žen. Nejmenší odstup lze nalézt </w:t>
            </w:r>
            <w:r w:rsidR="00BC7833">
              <w:rPr>
                <w:rFonts w:cs="Arial"/>
                <w:color w:val="0D0D0D" w:themeColor="text1" w:themeTint="F2"/>
                <w:spacing w:val="-4"/>
              </w:rPr>
              <w:t>u </w:t>
            </w:r>
            <w:r>
              <w:rPr>
                <w:rFonts w:cs="Arial"/>
                <w:color w:val="0D0D0D" w:themeColor="text1" w:themeTint="F2"/>
                <w:spacing w:val="-4"/>
              </w:rPr>
              <w:t>skupiny do 2</w:t>
            </w:r>
            <w:r w:rsidR="00D82A1E">
              <w:rPr>
                <w:rFonts w:cs="Arial"/>
                <w:color w:val="0D0D0D" w:themeColor="text1" w:themeTint="F2"/>
                <w:spacing w:val="-4"/>
              </w:rPr>
              <w:t>0 </w:t>
            </w:r>
            <w:r>
              <w:rPr>
                <w:rFonts w:cs="Arial"/>
                <w:color w:val="0D0D0D" w:themeColor="text1" w:themeTint="F2"/>
                <w:spacing w:val="-4"/>
              </w:rPr>
              <w:t>let (jen 1,6</w:t>
            </w:r>
            <w:r w:rsidR="006454CC">
              <w:rPr>
                <w:rFonts w:cs="Arial"/>
                <w:color w:val="0D0D0D" w:themeColor="text1" w:themeTint="F2"/>
                <w:spacing w:val="-4"/>
              </w:rPr>
              <w:t> p. b.</w:t>
            </w:r>
            <w:r>
              <w:rPr>
                <w:rFonts w:cs="Arial"/>
                <w:color w:val="0D0D0D" w:themeColor="text1" w:themeTint="F2"/>
                <w:spacing w:val="-4"/>
              </w:rPr>
              <w:t xml:space="preserve">), z váhově významnějších skupin pracujících pak </w:t>
            </w:r>
            <w:r w:rsidR="00BC7833">
              <w:rPr>
                <w:rFonts w:cs="Arial"/>
                <w:color w:val="0D0D0D" w:themeColor="text1" w:themeTint="F2"/>
                <w:spacing w:val="-4"/>
              </w:rPr>
              <w:t>u </w:t>
            </w:r>
            <w:r>
              <w:rPr>
                <w:rFonts w:cs="Arial"/>
                <w:color w:val="0D0D0D" w:themeColor="text1" w:themeTint="F2"/>
                <w:spacing w:val="-4"/>
              </w:rPr>
              <w:t>50</w:t>
            </w:r>
            <w:r w:rsidR="00D64026">
              <w:rPr>
                <w:rFonts w:cs="Arial"/>
                <w:color w:val="0D0D0D" w:themeColor="text1" w:themeTint="F2"/>
                <w:spacing w:val="-4"/>
              </w:rPr>
              <w:t>-</w:t>
            </w:r>
            <w:r>
              <w:rPr>
                <w:rFonts w:cs="Arial"/>
                <w:color w:val="0D0D0D" w:themeColor="text1" w:themeTint="F2"/>
                <w:spacing w:val="-4"/>
              </w:rPr>
              <w:t xml:space="preserve"> až 54letých (1,9</w:t>
            </w:r>
            <w:r w:rsidR="006454CC">
              <w:rPr>
                <w:rFonts w:cs="Arial"/>
                <w:color w:val="0D0D0D" w:themeColor="text1" w:themeTint="F2"/>
                <w:spacing w:val="-4"/>
              </w:rPr>
              <w:t> p. b.</w:t>
            </w:r>
            <w:r>
              <w:rPr>
                <w:rFonts w:cs="Arial"/>
                <w:color w:val="0D0D0D" w:themeColor="text1" w:themeTint="F2"/>
                <w:spacing w:val="-4"/>
              </w:rPr>
              <w:t>).</w:t>
            </w:r>
          </w:p>
        </w:tc>
      </w:tr>
      <w:tr w:rsidR="009E674A" w14:paraId="4EB97431" w14:textId="77777777" w:rsidTr="006F668F">
        <w:trPr>
          <w:trHeight w:val="145"/>
        </w:trPr>
        <w:tc>
          <w:tcPr>
            <w:tcW w:w="1976" w:type="dxa"/>
            <w:tcBorders>
              <w:top w:val="nil"/>
              <w:left w:val="nil"/>
              <w:bottom w:val="nil"/>
              <w:right w:val="nil"/>
            </w:tcBorders>
          </w:tcPr>
          <w:p w14:paraId="68A5B021" w14:textId="77777777" w:rsidR="009E674A" w:rsidRDefault="009E674A" w:rsidP="006F668F">
            <w:pPr>
              <w:pStyle w:val="Marginlie"/>
            </w:pPr>
          </w:p>
        </w:tc>
        <w:tc>
          <w:tcPr>
            <w:tcW w:w="277" w:type="dxa"/>
            <w:tcBorders>
              <w:top w:val="nil"/>
              <w:left w:val="nil"/>
              <w:bottom w:val="nil"/>
              <w:right w:val="nil"/>
            </w:tcBorders>
          </w:tcPr>
          <w:p w14:paraId="3762C425"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30B9755" w14:textId="77777777" w:rsidR="009E674A" w:rsidRPr="003D48FD" w:rsidRDefault="009E674A" w:rsidP="006F668F">
            <w:pPr>
              <w:spacing w:after="0"/>
              <w:jc w:val="left"/>
              <w:rPr>
                <w:b/>
                <w:spacing w:val="-2"/>
              </w:rPr>
            </w:pPr>
            <w:r w:rsidRPr="00EE6974">
              <w:rPr>
                <w:b/>
                <w:spacing w:val="-2"/>
              </w:rPr>
              <w:t xml:space="preserve">Graf </w:t>
            </w:r>
            <w:r w:rsidR="00BA35F3">
              <w:rPr>
                <w:b/>
                <w:spacing w:val="-2"/>
              </w:rPr>
              <w:t>č. </w:t>
            </w:r>
            <w:r w:rsidR="00BC7833">
              <w:rPr>
                <w:b/>
                <w:spacing w:val="-2"/>
              </w:rPr>
              <w:t>2</w:t>
            </w:r>
            <w:r w:rsidR="009F47E7">
              <w:rPr>
                <w:b/>
                <w:spacing w:val="-2"/>
              </w:rPr>
              <w:t xml:space="preserve">  </w:t>
            </w:r>
            <w:r>
              <w:rPr>
                <w:b/>
              </w:rPr>
              <w:t xml:space="preserve">Míra ekonomické aktivity obyvatel dle pohlaví </w:t>
            </w:r>
            <w:r w:rsidR="00BC7833">
              <w:rPr>
                <w:b/>
              </w:rPr>
              <w:t>a </w:t>
            </w:r>
            <w:r>
              <w:rPr>
                <w:b/>
              </w:rPr>
              <w:t xml:space="preserve">stupně vzdělání v letech 2008 </w:t>
            </w:r>
            <w:r w:rsidR="00BC7833">
              <w:rPr>
                <w:b/>
              </w:rPr>
              <w:t>a </w:t>
            </w:r>
            <w:r>
              <w:rPr>
                <w:b/>
              </w:rPr>
              <w:t xml:space="preserve">2018 </w:t>
            </w:r>
            <w:r>
              <w:rPr>
                <w:spacing w:val="-2"/>
              </w:rPr>
              <w:t>(</w:t>
            </w:r>
            <w:r w:rsidRPr="00EE6974">
              <w:rPr>
                <w:spacing w:val="-2"/>
              </w:rPr>
              <w:t>v</w:t>
            </w:r>
            <w:r w:rsidR="006454CC">
              <w:rPr>
                <w:spacing w:val="-2"/>
              </w:rPr>
              <w:t> %</w:t>
            </w:r>
            <w:r w:rsidRPr="00EE6974">
              <w:rPr>
                <w:spacing w:val="-2"/>
              </w:rPr>
              <w:t>)</w:t>
            </w:r>
          </w:p>
        </w:tc>
      </w:tr>
      <w:tr w:rsidR="009E674A" w14:paraId="3036F118" w14:textId="77777777" w:rsidTr="007B1C79">
        <w:tblPrEx>
          <w:tblCellMar>
            <w:left w:w="70" w:type="dxa"/>
            <w:right w:w="70" w:type="dxa"/>
          </w:tblCellMar>
        </w:tblPrEx>
        <w:trPr>
          <w:trHeight w:val="145"/>
        </w:trPr>
        <w:tc>
          <w:tcPr>
            <w:tcW w:w="1976" w:type="dxa"/>
            <w:tcBorders>
              <w:top w:val="nil"/>
              <w:left w:val="nil"/>
              <w:bottom w:val="nil"/>
              <w:right w:val="nil"/>
            </w:tcBorders>
          </w:tcPr>
          <w:p w14:paraId="3BAB4D40" w14:textId="77777777" w:rsidR="009E674A" w:rsidRDefault="009E674A" w:rsidP="006F668F">
            <w:pPr>
              <w:pStyle w:val="Marginlie"/>
            </w:pPr>
          </w:p>
        </w:tc>
        <w:tc>
          <w:tcPr>
            <w:tcW w:w="277" w:type="dxa"/>
            <w:tcBorders>
              <w:top w:val="nil"/>
              <w:left w:val="nil"/>
              <w:bottom w:val="nil"/>
              <w:right w:val="nil"/>
            </w:tcBorders>
          </w:tcPr>
          <w:p w14:paraId="35BF54BC"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08228AE4" w14:textId="493BCD4B" w:rsidR="009E674A" w:rsidRDefault="007B1C79" w:rsidP="006F668F">
            <w:pPr>
              <w:spacing w:after="0"/>
              <w:rPr>
                <w:rFonts w:cs="Arial"/>
                <w:color w:val="0D0D0D" w:themeColor="text1" w:themeTint="F2"/>
                <w:spacing w:val="-4"/>
              </w:rPr>
            </w:pPr>
            <w:r>
              <w:rPr>
                <w:noProof/>
              </w:rPr>
              <w:drawing>
                <wp:inline distT="0" distB="0" distL="0" distR="0" wp14:anchorId="163F9ABA" wp14:editId="7F4E56E1">
                  <wp:extent cx="4553683" cy="34671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9E674A" w14:paraId="5D902878" w14:textId="77777777" w:rsidTr="006F668F">
        <w:trPr>
          <w:trHeight w:val="145"/>
        </w:trPr>
        <w:tc>
          <w:tcPr>
            <w:tcW w:w="1976" w:type="dxa"/>
            <w:tcBorders>
              <w:top w:val="nil"/>
              <w:left w:val="nil"/>
              <w:bottom w:val="nil"/>
              <w:right w:val="nil"/>
            </w:tcBorders>
          </w:tcPr>
          <w:p w14:paraId="46CBFC43" w14:textId="77777777" w:rsidR="009E674A" w:rsidRDefault="009E674A" w:rsidP="006F668F">
            <w:pPr>
              <w:pStyle w:val="Marginlie"/>
            </w:pPr>
          </w:p>
        </w:tc>
        <w:tc>
          <w:tcPr>
            <w:tcW w:w="277" w:type="dxa"/>
            <w:tcBorders>
              <w:top w:val="nil"/>
              <w:left w:val="nil"/>
              <w:bottom w:val="nil"/>
              <w:right w:val="nil"/>
            </w:tcBorders>
          </w:tcPr>
          <w:p w14:paraId="1A996850"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0A4393F7" w14:textId="77777777" w:rsidR="009E674A" w:rsidRPr="00711FC2" w:rsidRDefault="009E674A" w:rsidP="006F668F">
            <w:r>
              <w:rPr>
                <w:rFonts w:cs="Arial"/>
                <w:sz w:val="14"/>
                <w:szCs w:val="14"/>
              </w:rPr>
              <w:t xml:space="preserve">Poznámka: čísla v závorce </w:t>
            </w:r>
            <w:r w:rsidR="00BC7833">
              <w:rPr>
                <w:rFonts w:cs="Arial"/>
                <w:sz w:val="14"/>
                <w:szCs w:val="14"/>
              </w:rPr>
              <w:t>u </w:t>
            </w:r>
            <w:r>
              <w:rPr>
                <w:rFonts w:cs="Arial"/>
                <w:sz w:val="14"/>
                <w:szCs w:val="14"/>
              </w:rPr>
              <w:t>stupňů vzdělání vyjadřují kódy dle klasifikace ISCED.                          Zdroj: ČSÚ (VŠPS)</w:t>
            </w:r>
          </w:p>
        </w:tc>
      </w:tr>
      <w:tr w:rsidR="009E674A" w14:paraId="645D4C42" w14:textId="77777777" w:rsidTr="006F668F">
        <w:trPr>
          <w:trHeight w:val="145"/>
        </w:trPr>
        <w:tc>
          <w:tcPr>
            <w:tcW w:w="1976" w:type="dxa"/>
            <w:tcBorders>
              <w:top w:val="nil"/>
              <w:left w:val="nil"/>
              <w:bottom w:val="nil"/>
              <w:right w:val="nil"/>
            </w:tcBorders>
          </w:tcPr>
          <w:p w14:paraId="7E6D7734" w14:textId="546D8306" w:rsidR="009E674A" w:rsidRDefault="009E674A" w:rsidP="006F668F">
            <w:pPr>
              <w:pStyle w:val="Marginlie"/>
            </w:pPr>
            <w:r>
              <w:t>Vysoké rozdíly v míře ekonomické aktivity dle vzdělání přetrvávaly. Mezi 25</w:t>
            </w:r>
            <w:r w:rsidR="00B936B1">
              <w:t>-</w:t>
            </w:r>
            <w:r>
              <w:t xml:space="preserve"> až 74letými dosahovala </w:t>
            </w:r>
            <w:r>
              <w:lastRenderedPageBreak/>
              <w:t>u osob se základním vzděláním aktivita jen poloviny úrovně vysokoškoláků.</w:t>
            </w:r>
          </w:p>
        </w:tc>
        <w:tc>
          <w:tcPr>
            <w:tcW w:w="277" w:type="dxa"/>
            <w:tcBorders>
              <w:top w:val="nil"/>
              <w:left w:val="nil"/>
              <w:bottom w:val="nil"/>
              <w:right w:val="nil"/>
            </w:tcBorders>
          </w:tcPr>
          <w:p w14:paraId="48831082"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71D2690" w14:textId="5A6A4A8C" w:rsidR="009E674A" w:rsidRPr="00EF1C11" w:rsidRDefault="009E674A" w:rsidP="006F668F">
            <w:pPr>
              <w:spacing w:after="220"/>
              <w:rPr>
                <w:rFonts w:cs="Arial"/>
                <w:color w:val="0D0D0D" w:themeColor="text1" w:themeTint="F2"/>
                <w:spacing w:val="-3"/>
              </w:rPr>
            </w:pPr>
            <w:r>
              <w:rPr>
                <w:rFonts w:cs="Arial"/>
                <w:color w:val="0D0D0D" w:themeColor="text1" w:themeTint="F2"/>
                <w:spacing w:val="-3"/>
              </w:rPr>
              <w:t xml:space="preserve">Kromě věku či pohlaví představuje významný diferenční faktor ekonomické participace obyvatelstva </w:t>
            </w:r>
            <w:r w:rsidR="00BC7833">
              <w:rPr>
                <w:rFonts w:cs="Arial"/>
                <w:color w:val="0D0D0D" w:themeColor="text1" w:themeTint="F2"/>
                <w:spacing w:val="-3"/>
              </w:rPr>
              <w:t>i </w:t>
            </w:r>
            <w:r>
              <w:rPr>
                <w:rFonts w:cs="Arial"/>
                <w:color w:val="0D0D0D" w:themeColor="text1" w:themeTint="F2"/>
                <w:spacing w:val="-3"/>
              </w:rPr>
              <w:t>stupeň dosaženého vzdělání. Jestliže mezi osobami ve věku 25 až 7</w:t>
            </w:r>
            <w:r w:rsidR="00D82A1E">
              <w:rPr>
                <w:rFonts w:cs="Arial"/>
                <w:color w:val="0D0D0D" w:themeColor="text1" w:themeTint="F2"/>
                <w:spacing w:val="-3"/>
              </w:rPr>
              <w:t>4 </w:t>
            </w:r>
            <w:r>
              <w:rPr>
                <w:rFonts w:cs="Arial"/>
                <w:color w:val="0D0D0D" w:themeColor="text1" w:themeTint="F2"/>
                <w:spacing w:val="-3"/>
              </w:rPr>
              <w:t>let s primárním či nižším sekundárním vzděláním (zjednodušeně odpovídající</w:t>
            </w:r>
            <w:r w:rsidR="00B936B1">
              <w:rPr>
                <w:rFonts w:cs="Arial"/>
                <w:color w:val="0D0D0D" w:themeColor="text1" w:themeTint="F2"/>
                <w:spacing w:val="-3"/>
              </w:rPr>
              <w:t>m</w:t>
            </w:r>
            <w:r>
              <w:rPr>
                <w:rFonts w:cs="Arial"/>
                <w:color w:val="0D0D0D" w:themeColor="text1" w:themeTint="F2"/>
                <w:spacing w:val="-3"/>
              </w:rPr>
              <w:t xml:space="preserve"> </w:t>
            </w:r>
            <w:r>
              <w:rPr>
                <w:rFonts w:cs="Arial"/>
                <w:color w:val="0D0D0D" w:themeColor="text1" w:themeTint="F2"/>
                <w:spacing w:val="-3"/>
              </w:rPr>
              <w:lastRenderedPageBreak/>
              <w:t>základnímu vzdělání, v</w:t>
            </w:r>
            <w:r w:rsidR="00BA35F3">
              <w:rPr>
                <w:rFonts w:cs="Arial"/>
                <w:color w:val="0D0D0D" w:themeColor="text1" w:themeTint="F2"/>
                <w:spacing w:val="-3"/>
              </w:rPr>
              <w:t>č. </w:t>
            </w:r>
            <w:r>
              <w:rPr>
                <w:rFonts w:cs="Arial"/>
                <w:color w:val="0D0D0D" w:themeColor="text1" w:themeTint="F2"/>
                <w:spacing w:val="-3"/>
              </w:rPr>
              <w:t>neukončeného) bylo loni ekonomicky aktivních jen 40</w:t>
            </w:r>
            <w:r w:rsidR="006454CC">
              <w:rPr>
                <w:rFonts w:cs="Arial"/>
                <w:color w:val="0D0D0D" w:themeColor="text1" w:themeTint="F2"/>
                <w:spacing w:val="-3"/>
              </w:rPr>
              <w:t> %</w:t>
            </w:r>
            <w:r>
              <w:rPr>
                <w:rFonts w:cs="Arial"/>
                <w:color w:val="0D0D0D" w:themeColor="text1" w:themeTint="F2"/>
                <w:spacing w:val="-3"/>
              </w:rPr>
              <w:t>, u středoškoláků již necelých 71</w:t>
            </w:r>
            <w:r w:rsidR="006454CC">
              <w:rPr>
                <w:rFonts w:cs="Arial"/>
                <w:color w:val="0D0D0D" w:themeColor="text1" w:themeTint="F2"/>
                <w:spacing w:val="-3"/>
              </w:rPr>
              <w:t> %</w:t>
            </w:r>
            <w:r>
              <w:rPr>
                <w:rFonts w:cs="Arial"/>
                <w:color w:val="0D0D0D" w:themeColor="text1" w:themeTint="F2"/>
                <w:spacing w:val="-3"/>
              </w:rPr>
              <w:t xml:space="preserve"> </w:t>
            </w:r>
            <w:r w:rsidR="00BC7833">
              <w:rPr>
                <w:rFonts w:cs="Arial"/>
                <w:color w:val="0D0D0D" w:themeColor="text1" w:themeTint="F2"/>
                <w:spacing w:val="-3"/>
              </w:rPr>
              <w:t>a </w:t>
            </w:r>
            <w:r>
              <w:rPr>
                <w:rFonts w:cs="Arial"/>
                <w:color w:val="0D0D0D" w:themeColor="text1" w:themeTint="F2"/>
                <w:spacing w:val="-3"/>
              </w:rPr>
              <w:t xml:space="preserve">mezi absolventy terciárního vzdělání (vyššího odborného </w:t>
            </w:r>
            <w:r w:rsidR="00BC7833">
              <w:rPr>
                <w:rFonts w:cs="Arial"/>
                <w:color w:val="0D0D0D" w:themeColor="text1" w:themeTint="F2"/>
                <w:spacing w:val="-3"/>
              </w:rPr>
              <w:t>a </w:t>
            </w:r>
            <w:r>
              <w:rPr>
                <w:rFonts w:cs="Arial"/>
                <w:color w:val="0D0D0D" w:themeColor="text1" w:themeTint="F2"/>
                <w:spacing w:val="-3"/>
              </w:rPr>
              <w:t>vysokoškolského vzdělání) 82</w:t>
            </w:r>
            <w:r w:rsidR="006454CC">
              <w:rPr>
                <w:rFonts w:cs="Arial"/>
                <w:color w:val="0D0D0D" w:themeColor="text1" w:themeTint="F2"/>
                <w:spacing w:val="-3"/>
              </w:rPr>
              <w:t> %</w:t>
            </w:r>
            <w:r>
              <w:rPr>
                <w:rFonts w:cs="Arial"/>
                <w:color w:val="0D0D0D" w:themeColor="text1" w:themeTint="F2"/>
                <w:spacing w:val="-3"/>
              </w:rPr>
              <w:t xml:space="preserve">. Oproti roku 2008 (představujícímu na pracovním trhu vrchol konjunktury minulé dekády) došlo jen k minimálním posunům. Ve srovnání s rokem 2015 byl patrný náznak velmi mírného zvýšení míry participace, hlavně </w:t>
            </w:r>
            <w:r w:rsidR="00BC7833">
              <w:rPr>
                <w:rFonts w:cs="Arial"/>
                <w:color w:val="0D0D0D" w:themeColor="text1" w:themeTint="F2"/>
                <w:spacing w:val="-3"/>
              </w:rPr>
              <w:t>u </w:t>
            </w:r>
            <w:r>
              <w:rPr>
                <w:rFonts w:cs="Arial"/>
                <w:color w:val="0D0D0D" w:themeColor="text1" w:themeTint="F2"/>
                <w:spacing w:val="-3"/>
              </w:rPr>
              <w:t>osob s vyšším vzděláním.</w:t>
            </w:r>
          </w:p>
        </w:tc>
      </w:tr>
      <w:tr w:rsidR="009E674A" w14:paraId="573D79FE" w14:textId="77777777" w:rsidTr="006F668F">
        <w:trPr>
          <w:trHeight w:val="145"/>
        </w:trPr>
        <w:tc>
          <w:tcPr>
            <w:tcW w:w="1976" w:type="dxa"/>
            <w:tcBorders>
              <w:top w:val="nil"/>
              <w:left w:val="nil"/>
              <w:bottom w:val="nil"/>
              <w:right w:val="nil"/>
            </w:tcBorders>
          </w:tcPr>
          <w:p w14:paraId="6A437A08" w14:textId="77777777" w:rsidR="009E674A" w:rsidRDefault="009E674A" w:rsidP="006F668F">
            <w:pPr>
              <w:pStyle w:val="Marginlie"/>
            </w:pPr>
            <w:r>
              <w:lastRenderedPageBreak/>
              <w:t>Mezi ženami věku 25 až 2</w:t>
            </w:r>
            <w:r w:rsidR="00D82A1E">
              <w:t>9 </w:t>
            </w:r>
            <w:r>
              <w:t>let s nejvyšším stupněm vzdělání se míra aktivity blížila 80</w:t>
            </w:r>
            <w:r w:rsidR="006454CC">
              <w:t> %</w:t>
            </w:r>
            <w:r>
              <w:t xml:space="preserve"> </w:t>
            </w:r>
            <w:r w:rsidR="00BC7833">
              <w:t>a </w:t>
            </w:r>
            <w:r>
              <w:t>dokládala vysoké pracovní aspirace žen předcházející potenciálnímu založení rodiny.</w:t>
            </w:r>
          </w:p>
          <w:p w14:paraId="39AD80FD" w14:textId="77777777" w:rsidR="009E674A" w:rsidRDefault="009E674A" w:rsidP="006F668F">
            <w:pPr>
              <w:pStyle w:val="Marginlie"/>
            </w:pPr>
          </w:p>
        </w:tc>
        <w:tc>
          <w:tcPr>
            <w:tcW w:w="277" w:type="dxa"/>
            <w:tcBorders>
              <w:top w:val="nil"/>
              <w:left w:val="nil"/>
              <w:bottom w:val="nil"/>
              <w:right w:val="nil"/>
            </w:tcBorders>
          </w:tcPr>
          <w:p w14:paraId="503A3BF5" w14:textId="77777777" w:rsidR="009E674A" w:rsidRPr="005E4483" w:rsidRDefault="009E674A" w:rsidP="006F668F">
            <w:pPr>
              <w:pStyle w:val="Textpoznpodarou"/>
              <w:jc w:val="both"/>
              <w:rPr>
                <w:spacing w:val="-4"/>
              </w:rPr>
            </w:pPr>
            <w:r>
              <w:rPr>
                <w:spacing w:val="-4"/>
              </w:rPr>
              <w:t xml:space="preserve"> </w:t>
            </w:r>
          </w:p>
        </w:tc>
        <w:tc>
          <w:tcPr>
            <w:tcW w:w="7391" w:type="dxa"/>
            <w:tcBorders>
              <w:top w:val="nil"/>
              <w:left w:val="nil"/>
              <w:bottom w:val="nil"/>
              <w:right w:val="nil"/>
            </w:tcBorders>
          </w:tcPr>
          <w:p w14:paraId="651AFBDF" w14:textId="472DC28E" w:rsidR="009E674A" w:rsidRDefault="009E674A" w:rsidP="006F668F">
            <w:pPr>
              <w:spacing w:after="220"/>
              <w:rPr>
                <w:rFonts w:cs="Arial"/>
                <w:color w:val="0D0D0D" w:themeColor="text1" w:themeTint="F2"/>
                <w:spacing w:val="-4"/>
              </w:rPr>
            </w:pPr>
            <w:r>
              <w:rPr>
                <w:rFonts w:cs="Arial"/>
                <w:color w:val="0D0D0D" w:themeColor="text1" w:themeTint="F2"/>
                <w:spacing w:val="-3"/>
              </w:rPr>
              <w:t xml:space="preserve">Růst míry participace spolu s úrovní dosaženého vzdělání vykazovaly prakticky všechny věkové skupiny u obou pohlaví. Výjimkou byli muži </w:t>
            </w:r>
            <w:r w:rsidR="00BC7833">
              <w:rPr>
                <w:rFonts w:cs="Arial"/>
                <w:color w:val="0D0D0D" w:themeColor="text1" w:themeTint="F2"/>
                <w:spacing w:val="-3"/>
              </w:rPr>
              <w:t>v </w:t>
            </w:r>
            <w:r>
              <w:rPr>
                <w:rFonts w:cs="Arial"/>
                <w:color w:val="0D0D0D" w:themeColor="text1" w:themeTint="F2"/>
                <w:spacing w:val="-3"/>
              </w:rPr>
              <w:t>pásmu 20 až 2</w:t>
            </w:r>
            <w:r w:rsidR="00D82A1E">
              <w:rPr>
                <w:rFonts w:cs="Arial"/>
                <w:color w:val="0D0D0D" w:themeColor="text1" w:themeTint="F2"/>
                <w:spacing w:val="-3"/>
              </w:rPr>
              <w:t>9 </w:t>
            </w:r>
            <w:r>
              <w:rPr>
                <w:rFonts w:cs="Arial"/>
                <w:color w:val="0D0D0D" w:themeColor="text1" w:themeTint="F2"/>
                <w:spacing w:val="-3"/>
              </w:rPr>
              <w:t xml:space="preserve">let (kde relativně nižší míry aktivity osob </w:t>
            </w:r>
            <w:r w:rsidR="00BC7833">
              <w:rPr>
                <w:rFonts w:cs="Arial"/>
                <w:color w:val="0D0D0D" w:themeColor="text1" w:themeTint="F2"/>
                <w:spacing w:val="-3"/>
              </w:rPr>
              <w:t>s </w:t>
            </w:r>
            <w:r>
              <w:rPr>
                <w:rFonts w:cs="Arial"/>
                <w:color w:val="0D0D0D" w:themeColor="text1" w:themeTint="F2"/>
                <w:spacing w:val="-3"/>
              </w:rPr>
              <w:t xml:space="preserve">terciárním vzděláním souvisely s delší přípravou na budoucí povolání) </w:t>
            </w:r>
            <w:r w:rsidR="00BC7833">
              <w:rPr>
                <w:rFonts w:cs="Arial"/>
                <w:color w:val="0D0D0D" w:themeColor="text1" w:themeTint="F2"/>
                <w:spacing w:val="-3"/>
              </w:rPr>
              <w:t>a </w:t>
            </w:r>
            <w:r>
              <w:rPr>
                <w:rFonts w:cs="Arial"/>
                <w:color w:val="0D0D0D" w:themeColor="text1" w:themeTint="F2"/>
                <w:spacing w:val="-3"/>
              </w:rPr>
              <w:t>ženy ve věku 30 až 4</w:t>
            </w:r>
            <w:r w:rsidR="00D82A1E">
              <w:rPr>
                <w:rFonts w:cs="Arial"/>
                <w:color w:val="0D0D0D" w:themeColor="text1" w:themeTint="F2"/>
                <w:spacing w:val="-3"/>
              </w:rPr>
              <w:t>4 </w:t>
            </w:r>
            <w:r>
              <w:rPr>
                <w:rFonts w:cs="Arial"/>
                <w:color w:val="0D0D0D" w:themeColor="text1" w:themeTint="F2"/>
                <w:spacing w:val="-3"/>
              </w:rPr>
              <w:t>let (</w:t>
            </w:r>
            <w:r w:rsidR="00BC7833">
              <w:rPr>
                <w:rFonts w:cs="Arial"/>
                <w:color w:val="0D0D0D" w:themeColor="text1" w:themeTint="F2"/>
                <w:spacing w:val="-3"/>
              </w:rPr>
              <w:t>v </w:t>
            </w:r>
            <w:r>
              <w:rPr>
                <w:rFonts w:cs="Arial"/>
                <w:color w:val="0D0D0D" w:themeColor="text1" w:themeTint="F2"/>
                <w:spacing w:val="-3"/>
              </w:rPr>
              <w:t xml:space="preserve">němž vykazovaly nejvyšší aktivitu středoškolačky). Odlišné postavení mladších žen odráželo rozdílné modely reprodukčního chování i možnosti sladění pracovní </w:t>
            </w:r>
            <w:r w:rsidR="00D0260C">
              <w:rPr>
                <w:rFonts w:cs="Arial"/>
                <w:color w:val="0D0D0D" w:themeColor="text1" w:themeTint="F2"/>
                <w:spacing w:val="-3"/>
              </w:rPr>
              <w:t>a</w:t>
            </w:r>
            <w:r>
              <w:rPr>
                <w:rFonts w:cs="Arial"/>
                <w:color w:val="0D0D0D" w:themeColor="text1" w:themeTint="F2"/>
                <w:spacing w:val="-3"/>
              </w:rPr>
              <w:t xml:space="preserve"> rodinné dráhy. </w:t>
            </w:r>
            <w:r w:rsidR="00BC7833">
              <w:rPr>
                <w:rFonts w:cs="Arial"/>
                <w:color w:val="0D0D0D" w:themeColor="text1" w:themeTint="F2"/>
                <w:spacing w:val="-3"/>
              </w:rPr>
              <w:t>U </w:t>
            </w:r>
            <w:r>
              <w:rPr>
                <w:rFonts w:cs="Arial"/>
                <w:color w:val="0D0D0D" w:themeColor="text1" w:themeTint="F2"/>
                <w:spacing w:val="-3"/>
              </w:rPr>
              <w:t>nejvzdělanější skupiny žen ve věku 25 až 2</w:t>
            </w:r>
            <w:r w:rsidR="00D82A1E">
              <w:rPr>
                <w:rFonts w:cs="Arial"/>
                <w:color w:val="0D0D0D" w:themeColor="text1" w:themeTint="F2"/>
                <w:spacing w:val="-3"/>
              </w:rPr>
              <w:t>9 </w:t>
            </w:r>
            <w:r>
              <w:rPr>
                <w:rFonts w:cs="Arial"/>
                <w:color w:val="0D0D0D" w:themeColor="text1" w:themeTint="F2"/>
                <w:spacing w:val="-3"/>
              </w:rPr>
              <w:t xml:space="preserve">let ekonomická aktivita prudce stoupá (na téměř dvojnásobnou úroveň proti ženám se základním vzděláním). Výrazně </w:t>
            </w:r>
            <w:r w:rsidR="002634D9">
              <w:rPr>
                <w:rFonts w:cs="Arial"/>
                <w:color w:val="0D0D0D" w:themeColor="text1" w:themeTint="F2"/>
                <w:spacing w:val="-3"/>
              </w:rPr>
              <w:t>tato věková skupina</w:t>
            </w:r>
            <w:r>
              <w:rPr>
                <w:rFonts w:cs="Arial"/>
                <w:color w:val="0D0D0D" w:themeColor="text1" w:themeTint="F2"/>
                <w:spacing w:val="-3"/>
              </w:rPr>
              <w:t xml:space="preserve"> nezaostává ani za muži (78 % ku 91</w:t>
            </w:r>
            <w:r w:rsidR="006454CC">
              <w:rPr>
                <w:rFonts w:cs="Arial"/>
                <w:color w:val="0D0D0D" w:themeColor="text1" w:themeTint="F2"/>
                <w:spacing w:val="-3"/>
              </w:rPr>
              <w:t> %</w:t>
            </w:r>
            <w:r>
              <w:rPr>
                <w:rFonts w:cs="Arial"/>
                <w:color w:val="0D0D0D" w:themeColor="text1" w:themeTint="F2"/>
                <w:spacing w:val="-3"/>
              </w:rPr>
              <w:t xml:space="preserve">), neboť vysoký podíl těchto žen zde zůstává ještě bezdětných. Podstatné rozdíly mezi ženami nacházíme </w:t>
            </w:r>
            <w:r w:rsidR="00BC7833">
              <w:rPr>
                <w:rFonts w:cs="Arial"/>
                <w:color w:val="0D0D0D" w:themeColor="text1" w:themeTint="F2"/>
                <w:spacing w:val="-3"/>
              </w:rPr>
              <w:t>i </w:t>
            </w:r>
            <w:r>
              <w:rPr>
                <w:rFonts w:cs="Arial"/>
                <w:color w:val="0D0D0D" w:themeColor="text1" w:themeTint="F2"/>
                <w:spacing w:val="-3"/>
              </w:rPr>
              <w:t>ve věku vrcholící intenzity ekonomické aktivity –</w:t>
            </w:r>
            <w:r w:rsidR="002634D9">
              <w:rPr>
                <w:rFonts w:cs="Arial"/>
                <w:color w:val="0D0D0D" w:themeColor="text1" w:themeTint="F2"/>
                <w:spacing w:val="-3"/>
              </w:rPr>
              <w:t> </w:t>
            </w:r>
            <w:r>
              <w:rPr>
                <w:rFonts w:cs="Arial"/>
                <w:color w:val="0D0D0D" w:themeColor="text1" w:themeTint="F2"/>
                <w:spacing w:val="-3"/>
              </w:rPr>
              <w:t>ve skupině 45</w:t>
            </w:r>
            <w:r w:rsidR="002634D9">
              <w:rPr>
                <w:rFonts w:cs="Arial"/>
                <w:color w:val="0D0D0D" w:themeColor="text1" w:themeTint="F2"/>
                <w:spacing w:val="-3"/>
              </w:rPr>
              <w:t>-</w:t>
            </w:r>
            <w:r>
              <w:rPr>
                <w:rFonts w:cs="Arial"/>
                <w:color w:val="0D0D0D" w:themeColor="text1" w:themeTint="F2"/>
                <w:spacing w:val="-3"/>
              </w:rPr>
              <w:t xml:space="preserve"> až 54letých bylo loni neaktivních méně než 2,5</w:t>
            </w:r>
            <w:r w:rsidR="006454CC">
              <w:rPr>
                <w:rFonts w:cs="Arial"/>
                <w:color w:val="0D0D0D" w:themeColor="text1" w:themeTint="F2"/>
                <w:spacing w:val="-3"/>
              </w:rPr>
              <w:t> %</w:t>
            </w:r>
            <w:r>
              <w:rPr>
                <w:rFonts w:cs="Arial"/>
                <w:color w:val="0D0D0D" w:themeColor="text1" w:themeTint="F2"/>
                <w:spacing w:val="-3"/>
              </w:rPr>
              <w:t xml:space="preserve"> osob s terciárním vzděláním, ale více než čtvrtina osob se základním vzděláním. Tyto diference se za posledních deset let ještě prohloubily</w:t>
            </w:r>
            <w:r>
              <w:rPr>
                <w:rStyle w:val="Znakapoznpodarou"/>
                <w:rFonts w:cs="Arial"/>
                <w:color w:val="0D0D0D" w:themeColor="text1" w:themeTint="F2"/>
                <w:spacing w:val="-4"/>
              </w:rPr>
              <w:footnoteReference w:id="4"/>
            </w:r>
            <w:r>
              <w:rPr>
                <w:rFonts w:cs="Arial"/>
                <w:color w:val="0D0D0D" w:themeColor="text1" w:themeTint="F2"/>
                <w:spacing w:val="-3"/>
              </w:rPr>
              <w:t>.</w:t>
            </w:r>
          </w:p>
        </w:tc>
      </w:tr>
      <w:tr w:rsidR="009E674A" w14:paraId="7988260A" w14:textId="77777777" w:rsidTr="006F668F">
        <w:trPr>
          <w:trHeight w:val="145"/>
        </w:trPr>
        <w:tc>
          <w:tcPr>
            <w:tcW w:w="1976" w:type="dxa"/>
            <w:tcBorders>
              <w:top w:val="nil"/>
              <w:left w:val="nil"/>
              <w:bottom w:val="nil"/>
              <w:right w:val="nil"/>
            </w:tcBorders>
          </w:tcPr>
          <w:p w14:paraId="6C7DF943" w14:textId="77777777" w:rsidR="009E674A" w:rsidRDefault="009E674A" w:rsidP="006F668F">
            <w:pPr>
              <w:pStyle w:val="Marginlie"/>
            </w:pPr>
            <w:r>
              <w:t>Míra participace v poproduktivním věku posílila oproti roku 2008 napříč vzdělanostními skupinami. Na současnou konjunkturu ale pružněji reagovali zejména senioři s vyšším stupněm vzdělání.</w:t>
            </w:r>
          </w:p>
          <w:p w14:paraId="37D06013" w14:textId="77777777" w:rsidR="009E674A" w:rsidRDefault="009E674A" w:rsidP="006F668F">
            <w:pPr>
              <w:pStyle w:val="Marginlie"/>
            </w:pPr>
          </w:p>
        </w:tc>
        <w:tc>
          <w:tcPr>
            <w:tcW w:w="277" w:type="dxa"/>
            <w:tcBorders>
              <w:top w:val="nil"/>
              <w:left w:val="nil"/>
              <w:bottom w:val="nil"/>
              <w:right w:val="nil"/>
            </w:tcBorders>
          </w:tcPr>
          <w:p w14:paraId="50027F8F" w14:textId="77777777" w:rsidR="009E674A" w:rsidRDefault="009E674A" w:rsidP="006F668F">
            <w:pPr>
              <w:pStyle w:val="Textpoznpodarou"/>
              <w:jc w:val="both"/>
              <w:rPr>
                <w:spacing w:val="-4"/>
              </w:rPr>
            </w:pPr>
          </w:p>
        </w:tc>
        <w:tc>
          <w:tcPr>
            <w:tcW w:w="7391" w:type="dxa"/>
            <w:tcBorders>
              <w:top w:val="nil"/>
              <w:left w:val="nil"/>
              <w:bottom w:val="nil"/>
              <w:right w:val="nil"/>
            </w:tcBorders>
          </w:tcPr>
          <w:p w14:paraId="0AE475CE" w14:textId="059217CF" w:rsidR="009E674A" w:rsidRDefault="009E674A" w:rsidP="006F668F">
            <w:pPr>
              <w:spacing w:after="220"/>
              <w:rPr>
                <w:rFonts w:cs="Arial"/>
                <w:color w:val="0D0D0D" w:themeColor="text1" w:themeTint="F2"/>
                <w:spacing w:val="-3"/>
              </w:rPr>
            </w:pPr>
            <w:r>
              <w:rPr>
                <w:rFonts w:cs="Arial"/>
                <w:color w:val="0D0D0D" w:themeColor="text1" w:themeTint="F2"/>
                <w:spacing w:val="-3"/>
              </w:rPr>
              <w:t xml:space="preserve">Úroveň vzdělání zásadně ovlivňuje </w:t>
            </w:r>
            <w:r w:rsidR="00BC7833">
              <w:rPr>
                <w:rFonts w:cs="Arial"/>
                <w:color w:val="0D0D0D" w:themeColor="text1" w:themeTint="F2"/>
                <w:spacing w:val="-3"/>
              </w:rPr>
              <w:t>u </w:t>
            </w:r>
            <w:r>
              <w:rPr>
                <w:rFonts w:cs="Arial"/>
                <w:color w:val="0D0D0D" w:themeColor="text1" w:themeTint="F2"/>
                <w:spacing w:val="-3"/>
              </w:rPr>
              <w:t xml:space="preserve">obou pohlaví </w:t>
            </w:r>
            <w:r w:rsidR="00BC7833">
              <w:rPr>
                <w:rFonts w:cs="Arial"/>
                <w:color w:val="0D0D0D" w:themeColor="text1" w:themeTint="F2"/>
                <w:spacing w:val="-3"/>
              </w:rPr>
              <w:t>i </w:t>
            </w:r>
            <w:r>
              <w:rPr>
                <w:rFonts w:cs="Arial"/>
                <w:color w:val="0D0D0D" w:themeColor="text1" w:themeTint="F2"/>
                <w:spacing w:val="-3"/>
              </w:rPr>
              <w:t xml:space="preserve">konec pracovní kariéry. Souvisí s charakterem vykonávaného zaměstnání, jenž je důležitým determinantem zdravotního stavu lidí </w:t>
            </w:r>
            <w:r w:rsidR="00BC7833">
              <w:rPr>
                <w:rFonts w:cs="Arial"/>
                <w:color w:val="0D0D0D" w:themeColor="text1" w:themeTint="F2"/>
                <w:spacing w:val="-3"/>
              </w:rPr>
              <w:t>i </w:t>
            </w:r>
            <w:r>
              <w:rPr>
                <w:rFonts w:cs="Arial"/>
                <w:color w:val="0D0D0D" w:themeColor="text1" w:themeTint="F2"/>
                <w:spacing w:val="-3"/>
              </w:rPr>
              <w:t xml:space="preserve">možností pokračování pracovní kariéry v poproduktivním věku. </w:t>
            </w:r>
            <w:r w:rsidR="00BC7833">
              <w:rPr>
                <w:rFonts w:cs="Arial"/>
                <w:color w:val="0D0D0D" w:themeColor="text1" w:themeTint="F2"/>
                <w:spacing w:val="-3"/>
              </w:rPr>
              <w:t>U </w:t>
            </w:r>
            <w:r>
              <w:rPr>
                <w:rFonts w:cs="Arial"/>
                <w:color w:val="0D0D0D" w:themeColor="text1" w:themeTint="F2"/>
                <w:spacing w:val="-3"/>
              </w:rPr>
              <w:t>žen hrají stále významnou roli i rodinné faktory (např.</w:t>
            </w:r>
            <w:r w:rsidR="000B305D">
              <w:rPr>
                <w:rFonts w:cs="Arial"/>
                <w:color w:val="0D0D0D" w:themeColor="text1" w:themeTint="F2"/>
                <w:spacing w:val="-3"/>
              </w:rPr>
              <w:t> </w:t>
            </w:r>
            <w:r>
              <w:rPr>
                <w:rFonts w:cs="Arial"/>
                <w:color w:val="0D0D0D" w:themeColor="text1" w:themeTint="F2"/>
                <w:spacing w:val="-3"/>
              </w:rPr>
              <w:t>počet vychovaných dětí). Ve věku 60 až 6</w:t>
            </w:r>
            <w:r w:rsidR="00D82A1E">
              <w:rPr>
                <w:rFonts w:cs="Arial"/>
                <w:color w:val="0D0D0D" w:themeColor="text1" w:themeTint="F2"/>
                <w:spacing w:val="-3"/>
              </w:rPr>
              <w:t>4 </w:t>
            </w:r>
            <w:r>
              <w:rPr>
                <w:rFonts w:cs="Arial"/>
                <w:color w:val="0D0D0D" w:themeColor="text1" w:themeTint="F2"/>
                <w:spacing w:val="-3"/>
              </w:rPr>
              <w:t xml:space="preserve">let byla v roce 2018 ekonomicky aktivní jen každá šestá žena se základním vzděláním, </w:t>
            </w:r>
            <w:r w:rsidR="00BC7833">
              <w:rPr>
                <w:rFonts w:cs="Arial"/>
                <w:color w:val="0D0D0D" w:themeColor="text1" w:themeTint="F2"/>
                <w:spacing w:val="-3"/>
              </w:rPr>
              <w:t>u </w:t>
            </w:r>
            <w:r>
              <w:rPr>
                <w:rFonts w:cs="Arial"/>
                <w:color w:val="0D0D0D" w:themeColor="text1" w:themeTint="F2"/>
                <w:spacing w:val="-3"/>
              </w:rPr>
              <w:t xml:space="preserve">středoškolaček každá třetí </w:t>
            </w:r>
            <w:r w:rsidR="00BC7833">
              <w:rPr>
                <w:rFonts w:cs="Arial"/>
                <w:color w:val="0D0D0D" w:themeColor="text1" w:themeTint="F2"/>
                <w:spacing w:val="-3"/>
              </w:rPr>
              <w:t>a u </w:t>
            </w:r>
            <w:r>
              <w:rPr>
                <w:rFonts w:cs="Arial"/>
                <w:color w:val="0D0D0D" w:themeColor="text1" w:themeTint="F2"/>
                <w:spacing w:val="-3"/>
              </w:rPr>
              <w:t xml:space="preserve">vysokoškolaček bezmála dvě ze tří. </w:t>
            </w:r>
            <w:r w:rsidR="00BC7833">
              <w:rPr>
                <w:rFonts w:cs="Arial"/>
                <w:color w:val="0D0D0D" w:themeColor="text1" w:themeTint="F2"/>
                <w:spacing w:val="-3"/>
              </w:rPr>
              <w:t>U </w:t>
            </w:r>
            <w:r>
              <w:rPr>
                <w:rFonts w:cs="Arial"/>
                <w:color w:val="0D0D0D" w:themeColor="text1" w:themeTint="F2"/>
                <w:spacing w:val="-3"/>
              </w:rPr>
              <w:t>mužů ve věku 65 až 6</w:t>
            </w:r>
            <w:r w:rsidR="00D82A1E">
              <w:rPr>
                <w:rFonts w:cs="Arial"/>
                <w:color w:val="0D0D0D" w:themeColor="text1" w:themeTint="F2"/>
                <w:spacing w:val="-3"/>
              </w:rPr>
              <w:t>9 </w:t>
            </w:r>
            <w:r>
              <w:rPr>
                <w:rFonts w:cs="Arial"/>
                <w:color w:val="0D0D0D" w:themeColor="text1" w:themeTint="F2"/>
                <w:spacing w:val="-3"/>
              </w:rPr>
              <w:t>let činily obdobné podíly 6</w:t>
            </w:r>
            <w:r w:rsidR="006454CC">
              <w:rPr>
                <w:rFonts w:cs="Arial"/>
                <w:color w:val="0D0D0D" w:themeColor="text1" w:themeTint="F2"/>
                <w:spacing w:val="-3"/>
              </w:rPr>
              <w:t> %</w:t>
            </w:r>
            <w:r>
              <w:rPr>
                <w:rFonts w:cs="Arial"/>
                <w:color w:val="0D0D0D" w:themeColor="text1" w:themeTint="F2"/>
                <w:spacing w:val="-3"/>
              </w:rPr>
              <w:t>, 14</w:t>
            </w:r>
            <w:r w:rsidR="006454CC">
              <w:rPr>
                <w:rFonts w:cs="Arial"/>
                <w:color w:val="0D0D0D" w:themeColor="text1" w:themeTint="F2"/>
                <w:spacing w:val="-3"/>
              </w:rPr>
              <w:t> %</w:t>
            </w:r>
            <w:r>
              <w:rPr>
                <w:rFonts w:cs="Arial"/>
                <w:color w:val="0D0D0D" w:themeColor="text1" w:themeTint="F2"/>
                <w:spacing w:val="-3"/>
              </w:rPr>
              <w:t xml:space="preserve"> </w:t>
            </w:r>
            <w:r w:rsidR="00BC7833">
              <w:rPr>
                <w:rFonts w:cs="Arial"/>
                <w:color w:val="0D0D0D" w:themeColor="text1" w:themeTint="F2"/>
                <w:spacing w:val="-3"/>
              </w:rPr>
              <w:t>a </w:t>
            </w:r>
            <w:r>
              <w:rPr>
                <w:rFonts w:cs="Arial"/>
                <w:color w:val="0D0D0D" w:themeColor="text1" w:themeTint="F2"/>
                <w:spacing w:val="-3"/>
              </w:rPr>
              <w:t>40</w:t>
            </w:r>
            <w:r w:rsidR="006454CC">
              <w:rPr>
                <w:rFonts w:cs="Arial"/>
                <w:color w:val="0D0D0D" w:themeColor="text1" w:themeTint="F2"/>
                <w:spacing w:val="-3"/>
              </w:rPr>
              <w:t> %</w:t>
            </w:r>
            <w:r>
              <w:rPr>
                <w:rFonts w:cs="Arial"/>
                <w:color w:val="0D0D0D" w:themeColor="text1" w:themeTint="F2"/>
                <w:spacing w:val="-3"/>
              </w:rPr>
              <w:t xml:space="preserve">. Ve srovnání s rokem 2008 mírně posílila ekonomická participace obyvatel v poproduktivním věku, </w:t>
            </w:r>
            <w:r w:rsidR="00BC7833">
              <w:rPr>
                <w:rFonts w:cs="Arial"/>
                <w:color w:val="0D0D0D" w:themeColor="text1" w:themeTint="F2"/>
                <w:spacing w:val="-3"/>
              </w:rPr>
              <w:t>a </w:t>
            </w:r>
            <w:r>
              <w:rPr>
                <w:rFonts w:cs="Arial"/>
                <w:color w:val="0D0D0D" w:themeColor="text1" w:themeTint="F2"/>
                <w:spacing w:val="-3"/>
              </w:rPr>
              <w:t>to napříč vzdělanostními skupinami. Nicméně na silnou poptávku po</w:t>
            </w:r>
            <w:r w:rsidR="000B305D">
              <w:rPr>
                <w:rFonts w:cs="Arial"/>
                <w:color w:val="0D0D0D" w:themeColor="text1" w:themeTint="F2"/>
                <w:spacing w:val="-3"/>
              </w:rPr>
              <w:t xml:space="preserve"> </w:t>
            </w:r>
            <w:r>
              <w:rPr>
                <w:rFonts w:cs="Arial"/>
                <w:color w:val="0D0D0D" w:themeColor="text1" w:themeTint="F2"/>
                <w:spacing w:val="-3"/>
              </w:rPr>
              <w:t>pracovní</w:t>
            </w:r>
            <w:r w:rsidR="000B305D">
              <w:rPr>
                <w:rFonts w:cs="Arial"/>
                <w:color w:val="0D0D0D" w:themeColor="text1" w:themeTint="F2"/>
                <w:spacing w:val="-3"/>
              </w:rPr>
              <w:t>cí</w:t>
            </w:r>
            <w:r>
              <w:rPr>
                <w:rFonts w:cs="Arial"/>
                <w:color w:val="0D0D0D" w:themeColor="text1" w:themeTint="F2"/>
                <w:spacing w:val="-3"/>
              </w:rPr>
              <w:t>ch v době současné konjunktury reagovali pružně především senioři s vyšším stupněm vzdělání.</w:t>
            </w:r>
          </w:p>
        </w:tc>
      </w:tr>
      <w:tr w:rsidR="009E674A" w:rsidRPr="005A2E40" w14:paraId="5B49B6CC" w14:textId="77777777" w:rsidTr="006F668F">
        <w:trPr>
          <w:trHeight w:val="429"/>
        </w:trPr>
        <w:tc>
          <w:tcPr>
            <w:tcW w:w="1976" w:type="dxa"/>
            <w:tcBorders>
              <w:top w:val="nil"/>
              <w:left w:val="nil"/>
              <w:bottom w:val="nil"/>
              <w:right w:val="nil"/>
            </w:tcBorders>
          </w:tcPr>
          <w:p w14:paraId="77285566" w14:textId="6380006A" w:rsidR="009E674A" w:rsidRDefault="009E674A" w:rsidP="006F668F">
            <w:pPr>
              <w:pStyle w:val="Marginlie"/>
            </w:pPr>
            <w:r>
              <w:t>Míra zaměstnanosti v produktivním věku rostla osmým rokem v řadě a přiblížila se 75% hranici.</w:t>
            </w:r>
          </w:p>
          <w:p w14:paraId="61612F5A" w14:textId="77777777" w:rsidR="009E674A" w:rsidRDefault="009E674A" w:rsidP="006F668F">
            <w:pPr>
              <w:pStyle w:val="Marginlie"/>
            </w:pPr>
          </w:p>
          <w:p w14:paraId="68626EED" w14:textId="77777777" w:rsidR="009E674A" w:rsidRDefault="009E674A" w:rsidP="006F668F">
            <w:pPr>
              <w:pStyle w:val="Marginlie"/>
            </w:pPr>
          </w:p>
          <w:p w14:paraId="23467522" w14:textId="77777777" w:rsidR="009E674A" w:rsidRDefault="009E674A" w:rsidP="006F668F">
            <w:pPr>
              <w:pStyle w:val="Marginlie"/>
            </w:pPr>
          </w:p>
          <w:p w14:paraId="61085691" w14:textId="77777777" w:rsidR="009E674A" w:rsidRDefault="009E674A" w:rsidP="006F668F">
            <w:pPr>
              <w:pStyle w:val="Marginlie"/>
            </w:pPr>
          </w:p>
          <w:p w14:paraId="17EDE1E1" w14:textId="77777777" w:rsidR="009E674A" w:rsidRDefault="009E674A" w:rsidP="006F668F">
            <w:pPr>
              <w:pStyle w:val="Marginlie"/>
            </w:pPr>
          </w:p>
          <w:p w14:paraId="1BFF291E" w14:textId="77777777" w:rsidR="009E674A" w:rsidRDefault="009E674A" w:rsidP="006F668F">
            <w:pPr>
              <w:pStyle w:val="Marginlie"/>
            </w:pPr>
          </w:p>
          <w:p w14:paraId="26D9161A" w14:textId="77777777" w:rsidR="009E674A" w:rsidRDefault="009E674A" w:rsidP="006F668F">
            <w:pPr>
              <w:pStyle w:val="Marginlie"/>
            </w:pPr>
          </w:p>
          <w:p w14:paraId="7131B1BE" w14:textId="77777777" w:rsidR="009E674A" w:rsidRPr="00106639" w:rsidRDefault="009E674A" w:rsidP="006F668F">
            <w:pPr>
              <w:pStyle w:val="Marginlie"/>
            </w:pPr>
            <w:r>
              <w:t>Proces stárnutí pracovníků pokračoval.</w:t>
            </w:r>
          </w:p>
        </w:tc>
        <w:tc>
          <w:tcPr>
            <w:tcW w:w="277" w:type="dxa"/>
            <w:tcBorders>
              <w:top w:val="nil"/>
              <w:left w:val="nil"/>
              <w:bottom w:val="nil"/>
              <w:right w:val="nil"/>
            </w:tcBorders>
          </w:tcPr>
          <w:p w14:paraId="1A7CBF1C"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3EBC5D07" w14:textId="22619856" w:rsidR="009E674A" w:rsidRPr="00C80D51" w:rsidRDefault="009E674A" w:rsidP="006F668F">
            <w:pPr>
              <w:spacing w:after="220"/>
              <w:rPr>
                <w:rFonts w:cs="Arial"/>
                <w:color w:val="0D0D0D" w:themeColor="text1" w:themeTint="F2"/>
                <w:spacing w:val="-2"/>
              </w:rPr>
            </w:pPr>
            <w:r>
              <w:rPr>
                <w:rFonts w:cs="Arial"/>
                <w:color w:val="0D0D0D" w:themeColor="text1" w:themeTint="F2"/>
                <w:spacing w:val="-2"/>
              </w:rPr>
              <w:t xml:space="preserve">Při velmi nízké míře nezaměstnanosti </w:t>
            </w:r>
            <w:r w:rsidR="00BC7833">
              <w:rPr>
                <w:rFonts w:cs="Arial"/>
                <w:color w:val="0D0D0D" w:themeColor="text1" w:themeTint="F2"/>
                <w:spacing w:val="-2"/>
              </w:rPr>
              <w:t>i </w:t>
            </w:r>
            <w:r>
              <w:rPr>
                <w:rFonts w:cs="Arial"/>
                <w:color w:val="0D0D0D" w:themeColor="text1" w:themeTint="F2"/>
                <w:spacing w:val="-2"/>
              </w:rPr>
              <w:t>její poměrně slabé dynamice v posledním období (speciálně v roce 2018) vystihuje výše popsaný obraz ekonomické aktivity v</w:t>
            </w:r>
            <w:r w:rsidR="00BA35F3">
              <w:rPr>
                <w:rFonts w:cs="Arial"/>
                <w:color w:val="0D0D0D" w:themeColor="text1" w:themeTint="F2"/>
                <w:spacing w:val="-2"/>
              </w:rPr>
              <w:t>č. </w:t>
            </w:r>
            <w:r>
              <w:rPr>
                <w:rFonts w:cs="Arial"/>
                <w:color w:val="0D0D0D" w:themeColor="text1" w:themeTint="F2"/>
                <w:spacing w:val="-2"/>
              </w:rPr>
              <w:t>strukturálních rozdílů velmi dobře také situaci v oblasti zaměstnanosti. Míra zaměstnanosti ve věku 15 až 6</w:t>
            </w:r>
            <w:r w:rsidR="00D82A1E">
              <w:rPr>
                <w:rFonts w:cs="Arial"/>
                <w:color w:val="0D0D0D" w:themeColor="text1" w:themeTint="F2"/>
                <w:spacing w:val="-2"/>
              </w:rPr>
              <w:t>4 </w:t>
            </w:r>
            <w:r>
              <w:rPr>
                <w:rFonts w:cs="Arial"/>
                <w:color w:val="0D0D0D" w:themeColor="text1" w:themeTint="F2"/>
                <w:spacing w:val="-2"/>
              </w:rPr>
              <w:t xml:space="preserve">let se zvyšovala již osmým rokem </w:t>
            </w:r>
            <w:r w:rsidR="00BC7833">
              <w:rPr>
                <w:rFonts w:cs="Arial"/>
                <w:color w:val="0D0D0D" w:themeColor="text1" w:themeTint="F2"/>
                <w:spacing w:val="-2"/>
              </w:rPr>
              <w:t>v </w:t>
            </w:r>
            <w:r>
              <w:rPr>
                <w:rFonts w:cs="Arial"/>
                <w:color w:val="0D0D0D" w:themeColor="text1" w:themeTint="F2"/>
                <w:spacing w:val="-2"/>
              </w:rPr>
              <w:t xml:space="preserve">řadě </w:t>
            </w:r>
            <w:r w:rsidR="00BC7833">
              <w:rPr>
                <w:rFonts w:cs="Arial"/>
                <w:color w:val="0D0D0D" w:themeColor="text1" w:themeTint="F2"/>
                <w:spacing w:val="-2"/>
              </w:rPr>
              <w:t>a </w:t>
            </w:r>
            <w:r>
              <w:rPr>
                <w:rFonts w:cs="Arial"/>
                <w:color w:val="0D0D0D" w:themeColor="text1" w:themeTint="F2"/>
                <w:spacing w:val="-2"/>
              </w:rPr>
              <w:t>loni vystoupala až na 74,8</w:t>
            </w:r>
            <w:r w:rsidR="006454CC">
              <w:rPr>
                <w:rFonts w:cs="Arial"/>
                <w:color w:val="0D0D0D" w:themeColor="text1" w:themeTint="F2"/>
                <w:spacing w:val="-2"/>
              </w:rPr>
              <w:t> %</w:t>
            </w:r>
            <w:r>
              <w:rPr>
                <w:rFonts w:cs="Arial"/>
                <w:color w:val="0D0D0D" w:themeColor="text1" w:themeTint="F2"/>
                <w:spacing w:val="-2"/>
              </w:rPr>
              <w:t>. Již tradičně meziročně posílila svižněji zaměstnanost žen (</w:t>
            </w:r>
            <w:r w:rsidR="00BC7833">
              <w:rPr>
                <w:rFonts w:cs="Arial"/>
                <w:color w:val="0D0D0D" w:themeColor="text1" w:themeTint="F2"/>
                <w:spacing w:val="-2"/>
              </w:rPr>
              <w:t>o </w:t>
            </w:r>
            <w:r>
              <w:rPr>
                <w:rFonts w:cs="Arial"/>
                <w:color w:val="0D0D0D" w:themeColor="text1" w:themeTint="F2"/>
                <w:spacing w:val="-2"/>
              </w:rPr>
              <w:t>1,5</w:t>
            </w:r>
            <w:r w:rsidR="006454CC">
              <w:rPr>
                <w:rFonts w:cs="Arial"/>
                <w:color w:val="0D0D0D" w:themeColor="text1" w:themeTint="F2"/>
                <w:spacing w:val="-2"/>
              </w:rPr>
              <w:t> p. b.</w:t>
            </w:r>
            <w:r>
              <w:rPr>
                <w:rFonts w:cs="Arial"/>
                <w:color w:val="0D0D0D" w:themeColor="text1" w:themeTint="F2"/>
                <w:spacing w:val="-2"/>
              </w:rPr>
              <w:t xml:space="preserve"> na 67,6</w:t>
            </w:r>
            <w:r w:rsidR="006454CC">
              <w:rPr>
                <w:rFonts w:cs="Arial"/>
                <w:color w:val="0D0D0D" w:themeColor="text1" w:themeTint="F2"/>
                <w:spacing w:val="-2"/>
              </w:rPr>
              <w:t> %</w:t>
            </w:r>
            <w:r>
              <w:rPr>
                <w:rFonts w:cs="Arial"/>
                <w:color w:val="0D0D0D" w:themeColor="text1" w:themeTint="F2"/>
                <w:spacing w:val="-2"/>
              </w:rPr>
              <w:t>) než mužů (</w:t>
            </w:r>
            <w:r w:rsidR="00BC7833">
              <w:rPr>
                <w:rFonts w:cs="Arial"/>
                <w:color w:val="0D0D0D" w:themeColor="text1" w:themeTint="F2"/>
                <w:spacing w:val="-2"/>
              </w:rPr>
              <w:t>o </w:t>
            </w:r>
            <w:r>
              <w:rPr>
                <w:rFonts w:cs="Arial"/>
                <w:color w:val="0D0D0D" w:themeColor="text1" w:themeTint="F2"/>
                <w:spacing w:val="-2"/>
              </w:rPr>
              <w:t>0,9</w:t>
            </w:r>
            <w:r w:rsidR="006454CC">
              <w:rPr>
                <w:rFonts w:cs="Arial"/>
                <w:color w:val="0D0D0D" w:themeColor="text1" w:themeTint="F2"/>
                <w:spacing w:val="-2"/>
              </w:rPr>
              <w:t> p. b.</w:t>
            </w:r>
            <w:r>
              <w:rPr>
                <w:rFonts w:cs="Arial"/>
                <w:color w:val="0D0D0D" w:themeColor="text1" w:themeTint="F2"/>
                <w:spacing w:val="-2"/>
              </w:rPr>
              <w:t xml:space="preserve"> na 81,8</w:t>
            </w:r>
            <w:r w:rsidR="006454CC">
              <w:rPr>
                <w:rFonts w:cs="Arial"/>
                <w:color w:val="0D0D0D" w:themeColor="text1" w:themeTint="F2"/>
                <w:spacing w:val="-2"/>
              </w:rPr>
              <w:t> %</w:t>
            </w:r>
            <w:r>
              <w:rPr>
                <w:rFonts w:cs="Arial"/>
                <w:color w:val="0D0D0D" w:themeColor="text1" w:themeTint="F2"/>
                <w:spacing w:val="-2"/>
              </w:rPr>
              <w:t xml:space="preserve">). </w:t>
            </w:r>
            <w:r w:rsidR="00BC7833">
              <w:rPr>
                <w:rFonts w:cs="Arial"/>
                <w:color w:val="0D0D0D" w:themeColor="text1" w:themeTint="F2"/>
                <w:spacing w:val="-2"/>
              </w:rPr>
              <w:t>U </w:t>
            </w:r>
            <w:r>
              <w:rPr>
                <w:rFonts w:cs="Arial"/>
                <w:color w:val="0D0D0D" w:themeColor="text1" w:themeTint="F2"/>
                <w:spacing w:val="-2"/>
              </w:rPr>
              <w:t>obou pohlaví došlo loni opět k dalšímu posunu rekordních úrovní v éře samostatné ČR. K </w:t>
            </w:r>
            <w:r w:rsidRPr="00422BFE">
              <w:rPr>
                <w:rFonts w:cs="Arial"/>
                <w:color w:val="0D0D0D" w:themeColor="text1" w:themeTint="F2"/>
                <w:spacing w:val="-2"/>
              </w:rPr>
              <w:t xml:space="preserve">vyšší celkové zaměstnanosti </w:t>
            </w:r>
            <w:r>
              <w:rPr>
                <w:rFonts w:cs="Arial"/>
                <w:color w:val="0D0D0D" w:themeColor="text1" w:themeTint="F2"/>
                <w:spacing w:val="-2"/>
              </w:rPr>
              <w:t>přispěli</w:t>
            </w:r>
            <w:r w:rsidRPr="00422BFE">
              <w:rPr>
                <w:rFonts w:cs="Arial"/>
                <w:color w:val="0D0D0D" w:themeColor="text1" w:themeTint="F2"/>
                <w:spacing w:val="-2"/>
              </w:rPr>
              <w:t xml:space="preserve"> téměř z poloviny lidé s terciárním vzděláním</w:t>
            </w:r>
            <w:r>
              <w:rPr>
                <w:rFonts w:cs="Arial"/>
                <w:color w:val="0D0D0D" w:themeColor="text1" w:themeTint="F2"/>
                <w:spacing w:val="-2"/>
              </w:rPr>
              <w:t xml:space="preserve"> (u nichž také nejvíce vzrostla míra zaměstnanosti –</w:t>
            </w:r>
            <w:r w:rsidR="000B305D">
              <w:rPr>
                <w:rFonts w:cs="Arial"/>
                <w:color w:val="0D0D0D" w:themeColor="text1" w:themeTint="F2"/>
                <w:spacing w:val="-2"/>
              </w:rPr>
              <w:t> </w:t>
            </w:r>
            <w:r w:rsidRPr="008C5A66">
              <w:rPr>
                <w:rFonts w:cs="Arial"/>
                <w:color w:val="0D0D0D" w:themeColor="text1" w:themeTint="F2"/>
                <w:spacing w:val="-2"/>
              </w:rPr>
              <w:t>na 85,6</w:t>
            </w:r>
            <w:r w:rsidR="006454CC">
              <w:rPr>
                <w:rFonts w:cs="Arial"/>
                <w:color w:val="0D0D0D" w:themeColor="text1" w:themeTint="F2"/>
                <w:spacing w:val="-2"/>
              </w:rPr>
              <w:t> %</w:t>
            </w:r>
            <w:r w:rsidRPr="008C5A66">
              <w:rPr>
                <w:rFonts w:cs="Arial"/>
                <w:color w:val="0D0D0D" w:themeColor="text1" w:themeTint="F2"/>
                <w:spacing w:val="-2"/>
              </w:rPr>
              <w:t>)</w:t>
            </w:r>
            <w:r>
              <w:rPr>
                <w:rFonts w:cs="Arial"/>
                <w:color w:val="0D0D0D" w:themeColor="text1" w:themeTint="F2"/>
                <w:spacing w:val="-2"/>
              </w:rPr>
              <w:t xml:space="preserve">, velmi mírně ale přibylo také pracovníků se základním vzděláním </w:t>
            </w:r>
            <w:r w:rsidR="00BC7833">
              <w:rPr>
                <w:rFonts w:cs="Arial"/>
                <w:color w:val="0D0D0D" w:themeColor="text1" w:themeTint="F2"/>
                <w:spacing w:val="-2"/>
              </w:rPr>
              <w:t>i </w:t>
            </w:r>
            <w:r>
              <w:rPr>
                <w:rFonts w:cs="Arial"/>
                <w:color w:val="0D0D0D" w:themeColor="text1" w:themeTint="F2"/>
                <w:spacing w:val="-2"/>
              </w:rPr>
              <w:t xml:space="preserve">vyučených. Vlivem nepravidelností věkové skladby populace, posunu zákonného důchodového věku, ale </w:t>
            </w:r>
            <w:r w:rsidR="00BC7833">
              <w:rPr>
                <w:rFonts w:cs="Arial"/>
                <w:color w:val="0D0D0D" w:themeColor="text1" w:themeTint="F2"/>
                <w:spacing w:val="-2"/>
              </w:rPr>
              <w:t>i </w:t>
            </w:r>
            <w:r>
              <w:rPr>
                <w:rFonts w:cs="Arial"/>
                <w:color w:val="0D0D0D" w:themeColor="text1" w:themeTint="F2"/>
                <w:spacing w:val="-2"/>
              </w:rPr>
              <w:t>vyšší ekonomické participace lidí v poproduktivním věku pokračoval proces stárnutí pracovníků. Zaměstnaných do 4</w:t>
            </w:r>
            <w:r w:rsidR="00D82A1E">
              <w:rPr>
                <w:rFonts w:cs="Arial"/>
                <w:color w:val="0D0D0D" w:themeColor="text1" w:themeTint="F2"/>
                <w:spacing w:val="-2"/>
              </w:rPr>
              <w:t>0 </w:t>
            </w:r>
            <w:r>
              <w:rPr>
                <w:rFonts w:cs="Arial"/>
                <w:color w:val="0D0D0D" w:themeColor="text1" w:themeTint="F2"/>
                <w:spacing w:val="-2"/>
              </w:rPr>
              <w:t xml:space="preserve">let věku meziročně </w:t>
            </w:r>
            <w:r w:rsidR="00BC7833">
              <w:rPr>
                <w:rFonts w:cs="Arial"/>
                <w:color w:val="0D0D0D" w:themeColor="text1" w:themeTint="F2"/>
                <w:spacing w:val="-2"/>
              </w:rPr>
              <w:t>o </w:t>
            </w:r>
            <w:r>
              <w:rPr>
                <w:rFonts w:cs="Arial"/>
                <w:color w:val="0D0D0D" w:themeColor="text1" w:themeTint="F2"/>
                <w:spacing w:val="-2"/>
              </w:rPr>
              <w:t>1,7</w:t>
            </w:r>
            <w:r w:rsidR="006454CC">
              <w:rPr>
                <w:rFonts w:cs="Arial"/>
                <w:color w:val="0D0D0D" w:themeColor="text1" w:themeTint="F2"/>
                <w:spacing w:val="-2"/>
              </w:rPr>
              <w:t> %</w:t>
            </w:r>
            <w:r>
              <w:rPr>
                <w:rFonts w:cs="Arial"/>
                <w:color w:val="0D0D0D" w:themeColor="text1" w:themeTint="F2"/>
                <w:spacing w:val="-2"/>
              </w:rPr>
              <w:t xml:space="preserve"> (resp.</w:t>
            </w:r>
            <w:r w:rsidR="000B305D">
              <w:rPr>
                <w:rFonts w:cs="Arial"/>
                <w:color w:val="0D0D0D" w:themeColor="text1" w:themeTint="F2"/>
                <w:spacing w:val="-2"/>
              </w:rPr>
              <w:t> </w:t>
            </w:r>
            <w:r>
              <w:rPr>
                <w:rFonts w:cs="Arial"/>
                <w:color w:val="0D0D0D" w:themeColor="text1" w:themeTint="F2"/>
                <w:spacing w:val="-2"/>
              </w:rPr>
              <w:t>3</w:t>
            </w:r>
            <w:r w:rsidR="00D82A1E">
              <w:rPr>
                <w:rFonts w:cs="Arial"/>
                <w:color w:val="0D0D0D" w:themeColor="text1" w:themeTint="F2"/>
                <w:spacing w:val="-2"/>
              </w:rPr>
              <w:t>7 </w:t>
            </w:r>
            <w:r>
              <w:rPr>
                <w:rFonts w:cs="Arial"/>
                <w:color w:val="0D0D0D" w:themeColor="text1" w:themeTint="F2"/>
                <w:spacing w:val="-2"/>
              </w:rPr>
              <w:t xml:space="preserve">tis.) ubylo, kontingent 55letých </w:t>
            </w:r>
            <w:r w:rsidR="00BC7833">
              <w:rPr>
                <w:rFonts w:cs="Arial"/>
                <w:color w:val="0D0D0D" w:themeColor="text1" w:themeTint="F2"/>
                <w:spacing w:val="-2"/>
              </w:rPr>
              <w:t>a </w:t>
            </w:r>
            <w:r>
              <w:rPr>
                <w:rFonts w:cs="Arial"/>
                <w:color w:val="0D0D0D" w:themeColor="text1" w:themeTint="F2"/>
                <w:spacing w:val="-2"/>
              </w:rPr>
              <w:t xml:space="preserve">starších naopak posílil </w:t>
            </w:r>
            <w:r w:rsidR="00BC7833">
              <w:rPr>
                <w:rFonts w:cs="Arial"/>
                <w:color w:val="0D0D0D" w:themeColor="text1" w:themeTint="F2"/>
                <w:spacing w:val="-2"/>
              </w:rPr>
              <w:t>o </w:t>
            </w:r>
            <w:r>
              <w:rPr>
                <w:rFonts w:cs="Arial"/>
                <w:color w:val="0D0D0D" w:themeColor="text1" w:themeTint="F2"/>
                <w:spacing w:val="-2"/>
              </w:rPr>
              <w:t>rovných 5</w:t>
            </w:r>
            <w:r w:rsidR="006454CC">
              <w:rPr>
                <w:rFonts w:cs="Arial"/>
                <w:color w:val="0D0D0D" w:themeColor="text1" w:themeTint="F2"/>
                <w:spacing w:val="-2"/>
              </w:rPr>
              <w:t> %</w:t>
            </w:r>
            <w:r>
              <w:rPr>
                <w:rFonts w:cs="Arial"/>
                <w:color w:val="0D0D0D" w:themeColor="text1" w:themeTint="F2"/>
                <w:spacing w:val="-2"/>
              </w:rPr>
              <w:t xml:space="preserve"> (4</w:t>
            </w:r>
            <w:r w:rsidR="00D82A1E">
              <w:rPr>
                <w:rFonts w:cs="Arial"/>
                <w:color w:val="0D0D0D" w:themeColor="text1" w:themeTint="F2"/>
                <w:spacing w:val="-2"/>
              </w:rPr>
              <w:t>8 </w:t>
            </w:r>
            <w:r>
              <w:rPr>
                <w:rFonts w:cs="Arial"/>
                <w:color w:val="0D0D0D" w:themeColor="text1" w:themeTint="F2"/>
                <w:spacing w:val="-2"/>
              </w:rPr>
              <w:t>tis.).</w:t>
            </w:r>
          </w:p>
        </w:tc>
      </w:tr>
      <w:tr w:rsidR="009E674A" w:rsidRPr="005A2E40" w14:paraId="43F13ABE" w14:textId="77777777" w:rsidTr="006F668F">
        <w:trPr>
          <w:trHeight w:val="429"/>
        </w:trPr>
        <w:tc>
          <w:tcPr>
            <w:tcW w:w="1976" w:type="dxa"/>
            <w:tcBorders>
              <w:top w:val="nil"/>
              <w:left w:val="nil"/>
              <w:bottom w:val="nil"/>
              <w:right w:val="nil"/>
            </w:tcBorders>
          </w:tcPr>
          <w:p w14:paraId="35F6A779" w14:textId="77777777" w:rsidR="009E674A" w:rsidRDefault="009E674A" w:rsidP="006F668F">
            <w:pPr>
              <w:pStyle w:val="Marginlie"/>
            </w:pPr>
            <w:r>
              <w:t>Nejvyšší míra zaměstnanosti přetrvává v Praze, středních a jihozápadních Čechách, nejnižší na Ústecku.</w:t>
            </w:r>
          </w:p>
          <w:p w14:paraId="52838DFE" w14:textId="77777777" w:rsidR="009E674A" w:rsidRDefault="009E674A" w:rsidP="006F668F">
            <w:pPr>
              <w:pStyle w:val="Marginlie"/>
            </w:pPr>
          </w:p>
          <w:p w14:paraId="1BEB3C97" w14:textId="77777777" w:rsidR="009E674A" w:rsidRDefault="009E674A" w:rsidP="006F668F">
            <w:pPr>
              <w:pStyle w:val="Marginlie"/>
            </w:pPr>
          </w:p>
          <w:p w14:paraId="2A80353D" w14:textId="77777777" w:rsidR="009E674A" w:rsidRDefault="009E674A" w:rsidP="006F668F">
            <w:pPr>
              <w:pStyle w:val="Marginlie"/>
            </w:pPr>
          </w:p>
          <w:p w14:paraId="13872A79" w14:textId="77777777" w:rsidR="009E674A" w:rsidRDefault="009E674A" w:rsidP="006F668F">
            <w:pPr>
              <w:pStyle w:val="Marginlie"/>
            </w:pPr>
          </w:p>
          <w:p w14:paraId="4375181B" w14:textId="12DD3EB3" w:rsidR="009E674A" w:rsidRPr="00106639" w:rsidRDefault="009E674A" w:rsidP="006F668F">
            <w:pPr>
              <w:pStyle w:val="Marginlie"/>
            </w:pPr>
            <w:r>
              <w:t xml:space="preserve">Mezikrajské rozdíly v zaměstnanosti se spíše mírně snižují. </w:t>
            </w:r>
            <w:r w:rsidR="00BC7833">
              <w:t>U </w:t>
            </w:r>
            <w:r>
              <w:t xml:space="preserve">žen jsou tradičně vyšší než </w:t>
            </w:r>
            <w:r w:rsidR="00BC7833">
              <w:t>u </w:t>
            </w:r>
            <w:r>
              <w:t>mužů.</w:t>
            </w:r>
          </w:p>
        </w:tc>
        <w:tc>
          <w:tcPr>
            <w:tcW w:w="277" w:type="dxa"/>
            <w:tcBorders>
              <w:top w:val="nil"/>
              <w:left w:val="nil"/>
              <w:bottom w:val="nil"/>
              <w:right w:val="nil"/>
            </w:tcBorders>
          </w:tcPr>
          <w:p w14:paraId="7E2AADD4"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65B9F0B" w14:textId="177844A7" w:rsidR="009E674A" w:rsidRDefault="00BC7833" w:rsidP="006F668F">
            <w:pPr>
              <w:spacing w:after="220"/>
              <w:rPr>
                <w:rFonts w:cs="Arial"/>
                <w:color w:val="0D0D0D" w:themeColor="text1" w:themeTint="F2"/>
                <w:spacing w:val="-2"/>
              </w:rPr>
            </w:pPr>
            <w:r>
              <w:rPr>
                <w:rFonts w:cs="Arial"/>
                <w:color w:val="0D0D0D" w:themeColor="text1" w:themeTint="F2"/>
                <w:spacing w:val="-2"/>
              </w:rPr>
              <w:t>V </w:t>
            </w:r>
            <w:r w:rsidR="009E674A">
              <w:rPr>
                <w:rFonts w:cs="Arial"/>
                <w:color w:val="0D0D0D" w:themeColor="text1" w:themeTint="F2"/>
                <w:spacing w:val="-2"/>
              </w:rPr>
              <w:t>roce 2018 podobně jako v předcházejícím roce se míra zaměstnanost</w:t>
            </w:r>
            <w:r w:rsidR="00313C7F">
              <w:rPr>
                <w:rFonts w:cs="Arial"/>
                <w:color w:val="0D0D0D" w:themeColor="text1" w:themeTint="F2"/>
                <w:spacing w:val="-2"/>
              </w:rPr>
              <w:t>i</w:t>
            </w:r>
            <w:r w:rsidR="009E674A">
              <w:rPr>
                <w:rFonts w:cs="Arial"/>
                <w:color w:val="0D0D0D" w:themeColor="text1" w:themeTint="F2"/>
                <w:spacing w:val="-2"/>
              </w:rPr>
              <w:t xml:space="preserve"> zvyšovala ve všech krajích ČR. Nejlepší pozici držela Praha, kde se loni zaměstnanost těsně přiblížila 80</w:t>
            </w:r>
            <w:r w:rsidR="006454CC">
              <w:rPr>
                <w:rFonts w:cs="Arial"/>
                <w:color w:val="0D0D0D" w:themeColor="text1" w:themeTint="F2"/>
                <w:spacing w:val="-2"/>
              </w:rPr>
              <w:t> %</w:t>
            </w:r>
            <w:r w:rsidR="009E674A">
              <w:rPr>
                <w:rFonts w:cs="Arial"/>
                <w:color w:val="0D0D0D" w:themeColor="text1" w:themeTint="F2"/>
                <w:spacing w:val="-2"/>
              </w:rPr>
              <w:t xml:space="preserve">. Nadprůměrnou úrovní se dlouhodobě vyznačují také střední a jihozápadní Čechy. Na opačném pólu figuruje rovněž dlouhodobě </w:t>
            </w:r>
            <w:r>
              <w:rPr>
                <w:rFonts w:cs="Arial"/>
                <w:color w:val="0D0D0D" w:themeColor="text1" w:themeTint="F2"/>
                <w:spacing w:val="-2"/>
              </w:rPr>
              <w:t>u </w:t>
            </w:r>
            <w:r w:rsidR="009E674A">
              <w:rPr>
                <w:rFonts w:cs="Arial"/>
                <w:color w:val="0D0D0D" w:themeColor="text1" w:themeTint="F2"/>
                <w:spacing w:val="-2"/>
              </w:rPr>
              <w:t xml:space="preserve">mužů </w:t>
            </w:r>
            <w:r>
              <w:rPr>
                <w:rFonts w:cs="Arial"/>
                <w:color w:val="0D0D0D" w:themeColor="text1" w:themeTint="F2"/>
                <w:spacing w:val="-2"/>
              </w:rPr>
              <w:t>i </w:t>
            </w:r>
            <w:r w:rsidR="009E674A">
              <w:rPr>
                <w:rFonts w:cs="Arial"/>
                <w:color w:val="0D0D0D" w:themeColor="text1" w:themeTint="F2"/>
                <w:spacing w:val="-2"/>
              </w:rPr>
              <w:t xml:space="preserve">žen </w:t>
            </w:r>
            <w:r w:rsidR="009E674A">
              <w:rPr>
                <w:rFonts w:cs="Arial"/>
                <w:color w:val="0D0D0D" w:themeColor="text1" w:themeTint="F2"/>
                <w:spacing w:val="-2"/>
              </w:rPr>
              <w:lastRenderedPageBreak/>
              <w:t>Ústecký kraj (v úhrnu loni 70,5</w:t>
            </w:r>
            <w:r w:rsidR="006454CC">
              <w:rPr>
                <w:rFonts w:cs="Arial"/>
                <w:color w:val="0D0D0D" w:themeColor="text1" w:themeTint="F2"/>
                <w:spacing w:val="-2"/>
              </w:rPr>
              <w:t> %</w:t>
            </w:r>
            <w:r w:rsidR="009E674A">
              <w:rPr>
                <w:rFonts w:cs="Arial"/>
                <w:color w:val="0D0D0D" w:themeColor="text1" w:themeTint="F2"/>
                <w:spacing w:val="-2"/>
              </w:rPr>
              <w:t xml:space="preserve">) následovaný s menším odstupem </w:t>
            </w:r>
            <w:r w:rsidR="00313C7F">
              <w:rPr>
                <w:rFonts w:cs="Arial"/>
                <w:color w:val="0D0D0D" w:themeColor="text1" w:themeTint="F2"/>
                <w:spacing w:val="-2"/>
              </w:rPr>
              <w:t>kraj</w:t>
            </w:r>
            <w:r w:rsidR="00483AD8">
              <w:rPr>
                <w:rFonts w:cs="Arial"/>
                <w:color w:val="0D0D0D" w:themeColor="text1" w:themeTint="F2"/>
                <w:spacing w:val="-2"/>
              </w:rPr>
              <w:t>i</w:t>
            </w:r>
            <w:r w:rsidR="00313C7F">
              <w:rPr>
                <w:rFonts w:cs="Arial"/>
                <w:color w:val="0D0D0D" w:themeColor="text1" w:themeTint="F2"/>
                <w:spacing w:val="-2"/>
              </w:rPr>
              <w:t xml:space="preserve"> </w:t>
            </w:r>
            <w:r w:rsidR="009E674A">
              <w:rPr>
                <w:rFonts w:cs="Arial"/>
                <w:color w:val="0D0D0D" w:themeColor="text1" w:themeTint="F2"/>
                <w:spacing w:val="-2"/>
              </w:rPr>
              <w:t>Libereckým (72,1</w:t>
            </w:r>
            <w:r w:rsidR="006454CC">
              <w:rPr>
                <w:rFonts w:cs="Arial"/>
                <w:color w:val="0D0D0D" w:themeColor="text1" w:themeTint="F2"/>
                <w:spacing w:val="-2"/>
              </w:rPr>
              <w:t> %</w:t>
            </w:r>
            <w:r w:rsidR="009E674A">
              <w:rPr>
                <w:rFonts w:cs="Arial"/>
                <w:color w:val="0D0D0D" w:themeColor="text1" w:themeTint="F2"/>
                <w:spacing w:val="-2"/>
              </w:rPr>
              <w:t>) a Moravskoslezským (72,8</w:t>
            </w:r>
            <w:r w:rsidR="006454CC">
              <w:rPr>
                <w:rFonts w:cs="Arial"/>
                <w:color w:val="0D0D0D" w:themeColor="text1" w:themeTint="F2"/>
                <w:spacing w:val="-2"/>
              </w:rPr>
              <w:t> %</w:t>
            </w:r>
            <w:r w:rsidR="009E674A">
              <w:rPr>
                <w:rFonts w:cs="Arial"/>
                <w:color w:val="0D0D0D" w:themeColor="text1" w:themeTint="F2"/>
                <w:spacing w:val="-2"/>
              </w:rPr>
              <w:t xml:space="preserve">). Zatímco nepříznivou pozici Liberecka ovlivnila v posledních letech spíše slabší zaměstnanost žen, </w:t>
            </w:r>
            <w:r>
              <w:rPr>
                <w:rFonts w:cs="Arial"/>
                <w:color w:val="0D0D0D" w:themeColor="text1" w:themeTint="F2"/>
                <w:spacing w:val="-2"/>
              </w:rPr>
              <w:t>u </w:t>
            </w:r>
            <w:r w:rsidR="009E674A">
              <w:rPr>
                <w:rFonts w:cs="Arial"/>
                <w:color w:val="0D0D0D" w:themeColor="text1" w:themeTint="F2"/>
                <w:spacing w:val="-2"/>
              </w:rPr>
              <w:t xml:space="preserve">Moravskoslezska pak mužů. Celkové regionální rozdíly se v posledních letech spíše mírně snižují, podobně jako odstup Prahy od ostatních krajů. Mezikrajské disparity jsou dlouhodobě vyšší u žen. </w:t>
            </w:r>
            <w:r>
              <w:rPr>
                <w:rFonts w:cs="Arial"/>
                <w:color w:val="0D0D0D" w:themeColor="text1" w:themeTint="F2"/>
                <w:spacing w:val="-2"/>
              </w:rPr>
              <w:t>U </w:t>
            </w:r>
            <w:r w:rsidR="009E674A">
              <w:rPr>
                <w:rFonts w:cs="Arial"/>
                <w:color w:val="0D0D0D" w:themeColor="text1" w:themeTint="F2"/>
                <w:spacing w:val="-2"/>
              </w:rPr>
              <w:t xml:space="preserve">mužů patrně sehrává pozitivní roli relativně územně </w:t>
            </w:r>
            <w:r w:rsidR="00483AD8">
              <w:rPr>
                <w:rFonts w:cs="Arial"/>
                <w:color w:val="0D0D0D" w:themeColor="text1" w:themeTint="F2"/>
                <w:spacing w:val="-2"/>
              </w:rPr>
              <w:t xml:space="preserve">rovnoměrné </w:t>
            </w:r>
            <w:r w:rsidR="009E674A">
              <w:rPr>
                <w:rFonts w:cs="Arial"/>
                <w:color w:val="0D0D0D" w:themeColor="text1" w:themeTint="F2"/>
                <w:spacing w:val="-2"/>
              </w:rPr>
              <w:t xml:space="preserve">rozložení pracovních míst v průmyslu či stavebnictví. Vedle odvětvové struktury zaměstnanosti působí na regionální disparity </w:t>
            </w:r>
            <w:r>
              <w:rPr>
                <w:rFonts w:cs="Arial"/>
                <w:color w:val="0D0D0D" w:themeColor="text1" w:themeTint="F2"/>
                <w:spacing w:val="-2"/>
              </w:rPr>
              <w:t>i </w:t>
            </w:r>
            <w:r w:rsidR="009E674A">
              <w:rPr>
                <w:rFonts w:cs="Arial"/>
                <w:color w:val="0D0D0D" w:themeColor="text1" w:themeTint="F2"/>
                <w:spacing w:val="-2"/>
              </w:rPr>
              <w:t>rozdílná vzdělanostní skladba pracovníků. Míra zaměstnanosti je obvykle vyšší také v krajích s nadprůměrnou intenzitou podnikatelské aktivity, negativně se naopak projevuje výše nezaměstnanosti i častější využívání předčasných odchodů do</w:t>
            </w:r>
            <w:r w:rsidR="009E674A" w:rsidRPr="00333325">
              <w:rPr>
                <w:rFonts w:cs="Arial"/>
                <w:color w:val="0D0D0D" w:themeColor="text1" w:themeTint="F2"/>
                <w:spacing w:val="-2"/>
              </w:rPr>
              <w:t xml:space="preserve"> důchodu</w:t>
            </w:r>
            <w:r w:rsidR="009E674A">
              <w:rPr>
                <w:rStyle w:val="Znakapoznpodarou"/>
                <w:rFonts w:cs="Arial"/>
                <w:color w:val="0D0D0D" w:themeColor="text1" w:themeTint="F2"/>
                <w:spacing w:val="-4"/>
              </w:rPr>
              <w:footnoteReference w:id="5"/>
            </w:r>
            <w:r w:rsidR="009E674A" w:rsidRPr="00333325">
              <w:rPr>
                <w:rFonts w:cs="Arial"/>
                <w:color w:val="0D0D0D" w:themeColor="text1" w:themeTint="F2"/>
                <w:spacing w:val="-2"/>
              </w:rPr>
              <w:t>.</w:t>
            </w:r>
          </w:p>
        </w:tc>
      </w:tr>
      <w:tr w:rsidR="009E674A" w:rsidRPr="005A2E40" w14:paraId="34151D8F" w14:textId="77777777" w:rsidTr="006F668F">
        <w:trPr>
          <w:trHeight w:val="429"/>
        </w:trPr>
        <w:tc>
          <w:tcPr>
            <w:tcW w:w="1976" w:type="dxa"/>
            <w:tcBorders>
              <w:top w:val="nil"/>
              <w:left w:val="nil"/>
              <w:bottom w:val="nil"/>
              <w:right w:val="nil"/>
            </w:tcBorders>
          </w:tcPr>
          <w:p w14:paraId="18676B62" w14:textId="0B09173E" w:rsidR="009E674A" w:rsidRPr="00106639" w:rsidRDefault="00BC7833" w:rsidP="006F668F">
            <w:pPr>
              <w:pStyle w:val="Marginlie"/>
            </w:pPr>
            <w:r>
              <w:lastRenderedPageBreak/>
              <w:t>K </w:t>
            </w:r>
            <w:r w:rsidR="009E674A">
              <w:t>většímu zapojení žen na</w:t>
            </w:r>
            <w:r w:rsidR="00483AD8">
              <w:t> </w:t>
            </w:r>
            <w:r w:rsidR="009E674A">
              <w:t>rodičovské dovolené na</w:t>
            </w:r>
            <w:r w:rsidR="00483AD8">
              <w:t> </w:t>
            </w:r>
            <w:r w:rsidR="009E674A">
              <w:t xml:space="preserve">pracovní trh by pomohla cílená opatření na straně státu </w:t>
            </w:r>
            <w:r>
              <w:t>i </w:t>
            </w:r>
            <w:r w:rsidR="009E674A">
              <w:t>firem.</w:t>
            </w:r>
          </w:p>
        </w:tc>
        <w:tc>
          <w:tcPr>
            <w:tcW w:w="277" w:type="dxa"/>
            <w:tcBorders>
              <w:top w:val="nil"/>
              <w:left w:val="nil"/>
              <w:bottom w:val="nil"/>
              <w:right w:val="nil"/>
            </w:tcBorders>
          </w:tcPr>
          <w:p w14:paraId="528F58B4"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04AE3E1" w14:textId="1B8D74DE" w:rsidR="009E674A" w:rsidRDefault="00BC7833" w:rsidP="006F668F">
            <w:pPr>
              <w:spacing w:after="220"/>
              <w:rPr>
                <w:rFonts w:cs="Arial"/>
                <w:color w:val="0D0D0D" w:themeColor="text1" w:themeTint="F2"/>
                <w:spacing w:val="-2"/>
              </w:rPr>
            </w:pPr>
            <w:r>
              <w:rPr>
                <w:spacing w:val="-4"/>
              </w:rPr>
              <w:t>V </w:t>
            </w:r>
            <w:r w:rsidR="009E674A">
              <w:rPr>
                <w:spacing w:val="-4"/>
              </w:rPr>
              <w:t>prostředí přetrvávajícího</w:t>
            </w:r>
            <w:r w:rsidR="009E674A" w:rsidRPr="00F673C3">
              <w:rPr>
                <w:spacing w:val="-4"/>
              </w:rPr>
              <w:t xml:space="preserve"> nedostatku nových disponibilních pracovníků se</w:t>
            </w:r>
            <w:r w:rsidR="009E674A">
              <w:rPr>
                <w:spacing w:val="-4"/>
              </w:rPr>
              <w:t xml:space="preserve"> pro tuzemské firmy stává větší výzvou intenzivnějš</w:t>
            </w:r>
            <w:r w:rsidR="009E674A" w:rsidRPr="00F673C3">
              <w:rPr>
                <w:spacing w:val="-4"/>
              </w:rPr>
              <w:t xml:space="preserve">í zapojení obyvatel v „krajních“ věkových skupinách (studentů, osob na sklonku produktivního věku </w:t>
            </w:r>
            <w:r w:rsidRPr="00F673C3">
              <w:rPr>
                <w:spacing w:val="-4"/>
              </w:rPr>
              <w:t>a</w:t>
            </w:r>
            <w:r>
              <w:rPr>
                <w:spacing w:val="-4"/>
              </w:rPr>
              <w:t> </w:t>
            </w:r>
            <w:r w:rsidR="009E674A" w:rsidRPr="00F673C3">
              <w:rPr>
                <w:spacing w:val="-4"/>
              </w:rPr>
              <w:t xml:space="preserve">aktivních seniorů), </w:t>
            </w:r>
            <w:r w:rsidR="009E674A">
              <w:rPr>
                <w:spacing w:val="-4"/>
              </w:rPr>
              <w:t>jakož i</w:t>
            </w:r>
            <w:r w:rsidR="009E674A" w:rsidRPr="00F673C3">
              <w:rPr>
                <w:spacing w:val="-4"/>
              </w:rPr>
              <w:t> dalších lidí se spec</w:t>
            </w:r>
            <w:r w:rsidR="009E674A">
              <w:rPr>
                <w:spacing w:val="-4"/>
              </w:rPr>
              <w:t xml:space="preserve">ifickými potřebami. Mezi ně patří </w:t>
            </w:r>
            <w:r>
              <w:rPr>
                <w:spacing w:val="-4"/>
              </w:rPr>
              <w:t>i </w:t>
            </w:r>
            <w:r w:rsidR="009E674A" w:rsidRPr="00F673C3">
              <w:rPr>
                <w:spacing w:val="-4"/>
              </w:rPr>
              <w:t>žen</w:t>
            </w:r>
            <w:r w:rsidR="009E674A">
              <w:rPr>
                <w:spacing w:val="-4"/>
              </w:rPr>
              <w:t xml:space="preserve">y na rodičovské dovolené (RD). Zatímco intenzivnější zapojení </w:t>
            </w:r>
            <w:r w:rsidR="009E674A">
              <w:rPr>
                <w:rFonts w:cs="Arial"/>
                <w:color w:val="0D0D0D" w:themeColor="text1" w:themeTint="F2"/>
                <w:spacing w:val="-2"/>
              </w:rPr>
              <w:t xml:space="preserve">na pracovní trh </w:t>
            </w:r>
            <w:r>
              <w:rPr>
                <w:rFonts w:cs="Arial"/>
                <w:color w:val="0D0D0D" w:themeColor="text1" w:themeTint="F2"/>
                <w:spacing w:val="-2"/>
              </w:rPr>
              <w:t>u </w:t>
            </w:r>
            <w:r w:rsidR="009E674A">
              <w:rPr>
                <w:rFonts w:cs="Arial"/>
                <w:color w:val="0D0D0D" w:themeColor="text1" w:themeTint="F2"/>
                <w:spacing w:val="-2"/>
              </w:rPr>
              <w:t>starších pracovníků je vedle posunu zákonného důchodového věku stimulováno především hospodářským růstem, v případě žen na</w:t>
            </w:r>
            <w:r w:rsidR="00483AD8">
              <w:rPr>
                <w:rFonts w:cs="Arial"/>
                <w:color w:val="0D0D0D" w:themeColor="text1" w:themeTint="F2"/>
                <w:spacing w:val="-2"/>
              </w:rPr>
              <w:t> </w:t>
            </w:r>
            <w:r w:rsidR="009E674A">
              <w:rPr>
                <w:rFonts w:cs="Arial"/>
                <w:color w:val="0D0D0D" w:themeColor="text1" w:themeTint="F2"/>
                <w:spacing w:val="-2"/>
              </w:rPr>
              <w:t xml:space="preserve">RD nabývají na významu cíleně zaměřená opatření, </w:t>
            </w:r>
            <w:r>
              <w:rPr>
                <w:rFonts w:cs="Arial"/>
                <w:color w:val="0D0D0D" w:themeColor="text1" w:themeTint="F2"/>
                <w:spacing w:val="-2"/>
              </w:rPr>
              <w:t>a </w:t>
            </w:r>
            <w:r w:rsidR="009E674A">
              <w:rPr>
                <w:rFonts w:cs="Arial"/>
                <w:color w:val="0D0D0D" w:themeColor="text1" w:themeTint="F2"/>
                <w:spacing w:val="-2"/>
              </w:rPr>
              <w:t xml:space="preserve">to jak na straně státu, tak </w:t>
            </w:r>
            <w:r w:rsidR="00483AD8">
              <w:rPr>
                <w:rFonts w:cs="Arial"/>
                <w:color w:val="0D0D0D" w:themeColor="text1" w:themeTint="F2"/>
                <w:spacing w:val="-2"/>
              </w:rPr>
              <w:t>i </w:t>
            </w:r>
            <w:r w:rsidR="009E674A">
              <w:rPr>
                <w:rFonts w:cs="Arial"/>
                <w:color w:val="0D0D0D" w:themeColor="text1" w:themeTint="F2"/>
                <w:spacing w:val="-2"/>
              </w:rPr>
              <w:t>samotných zaměstnavatelů.</w:t>
            </w:r>
          </w:p>
        </w:tc>
      </w:tr>
      <w:tr w:rsidR="009E674A" w:rsidRPr="005A2E40" w14:paraId="185F6AD9" w14:textId="77777777" w:rsidTr="006F668F">
        <w:trPr>
          <w:trHeight w:val="143"/>
        </w:trPr>
        <w:tc>
          <w:tcPr>
            <w:tcW w:w="1976" w:type="dxa"/>
            <w:tcBorders>
              <w:top w:val="nil"/>
              <w:left w:val="nil"/>
              <w:bottom w:val="nil"/>
              <w:right w:val="nil"/>
            </w:tcBorders>
          </w:tcPr>
          <w:p w14:paraId="291BC33A" w14:textId="77777777" w:rsidR="009E674A" w:rsidRPr="00106639" w:rsidRDefault="009E674A" w:rsidP="006F668F">
            <w:pPr>
              <w:pStyle w:val="Marginlie"/>
            </w:pPr>
          </w:p>
        </w:tc>
        <w:tc>
          <w:tcPr>
            <w:tcW w:w="277" w:type="dxa"/>
            <w:tcBorders>
              <w:top w:val="nil"/>
              <w:left w:val="nil"/>
              <w:bottom w:val="nil"/>
              <w:right w:val="nil"/>
            </w:tcBorders>
          </w:tcPr>
          <w:p w14:paraId="291D5E77"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6BDBF43" w14:textId="77777777" w:rsidR="009E674A" w:rsidRPr="00D64DED" w:rsidRDefault="009A4F91" w:rsidP="006F668F">
            <w:pPr>
              <w:spacing w:after="0"/>
              <w:jc w:val="left"/>
              <w:rPr>
                <w:b/>
              </w:rPr>
            </w:pPr>
            <w:r>
              <w:rPr>
                <w:b/>
              </w:rPr>
              <w:t xml:space="preserve">Graf </w:t>
            </w:r>
            <w:r w:rsidR="00BA35F3">
              <w:rPr>
                <w:b/>
              </w:rPr>
              <w:t>č. </w:t>
            </w:r>
            <w:r w:rsidR="00BC7833">
              <w:rPr>
                <w:b/>
              </w:rPr>
              <w:t>3</w:t>
            </w:r>
            <w:r w:rsidR="009F47E7">
              <w:rPr>
                <w:b/>
              </w:rPr>
              <w:t xml:space="preserve">  </w:t>
            </w:r>
            <w:r w:rsidR="009E674A" w:rsidRPr="00D64DED">
              <w:rPr>
                <w:b/>
              </w:rPr>
              <w:t>Míra zaměstnanosti žen dle stupně vzdělání</w:t>
            </w:r>
            <w:r w:rsidR="009E674A" w:rsidRPr="00D64DED">
              <w:t xml:space="preserve"> </w:t>
            </w:r>
            <w:r w:rsidR="009E674A" w:rsidRPr="00D64DED">
              <w:rPr>
                <w:b/>
              </w:rPr>
              <w:t>ve věku 25 až 4</w:t>
            </w:r>
            <w:r w:rsidR="00D82A1E" w:rsidRPr="00D64DED">
              <w:rPr>
                <w:b/>
              </w:rPr>
              <w:t>9</w:t>
            </w:r>
            <w:r w:rsidR="00D82A1E">
              <w:rPr>
                <w:b/>
              </w:rPr>
              <w:t> </w:t>
            </w:r>
            <w:r w:rsidR="009E674A" w:rsidRPr="00D64DED">
              <w:rPr>
                <w:b/>
              </w:rPr>
              <w:t xml:space="preserve">let se závislými dětmi </w:t>
            </w:r>
            <w:r w:rsidR="009E674A" w:rsidRPr="00D64DED">
              <w:t>(v</w:t>
            </w:r>
            <w:r w:rsidR="006454CC">
              <w:t> %</w:t>
            </w:r>
            <w:r w:rsidR="009E674A" w:rsidRPr="00D64DED">
              <w:t xml:space="preserve">) </w:t>
            </w:r>
            <w:r w:rsidR="00BC7833" w:rsidRPr="00D64DED">
              <w:rPr>
                <w:b/>
              </w:rPr>
              <w:t>a</w:t>
            </w:r>
            <w:r w:rsidR="00BC7833">
              <w:rPr>
                <w:b/>
              </w:rPr>
              <w:t> </w:t>
            </w:r>
            <w:r w:rsidR="009E674A" w:rsidRPr="00D64DED">
              <w:rPr>
                <w:b/>
              </w:rPr>
              <w:t>podíl žen pracujících na zkrácený úvazek</w:t>
            </w:r>
            <w:r w:rsidR="009E674A" w:rsidRPr="00D64DED">
              <w:t xml:space="preserve"> (v</w:t>
            </w:r>
            <w:r w:rsidR="006454CC">
              <w:t> %</w:t>
            </w:r>
            <w:r w:rsidR="009E674A" w:rsidRPr="00D64DED">
              <w:t>)</w:t>
            </w:r>
          </w:p>
        </w:tc>
      </w:tr>
      <w:tr w:rsidR="009E674A" w14:paraId="7B9160E4" w14:textId="77777777" w:rsidTr="00381A3E">
        <w:tblPrEx>
          <w:tblCellMar>
            <w:left w:w="70" w:type="dxa"/>
            <w:right w:w="70" w:type="dxa"/>
          </w:tblCellMar>
        </w:tblPrEx>
        <w:trPr>
          <w:trHeight w:val="429"/>
        </w:trPr>
        <w:tc>
          <w:tcPr>
            <w:tcW w:w="1976" w:type="dxa"/>
            <w:tcBorders>
              <w:top w:val="nil"/>
              <w:left w:val="nil"/>
              <w:bottom w:val="nil"/>
              <w:right w:val="nil"/>
            </w:tcBorders>
          </w:tcPr>
          <w:p w14:paraId="1F92C3D3" w14:textId="77777777" w:rsidR="009E674A" w:rsidRPr="00106639" w:rsidRDefault="009E674A" w:rsidP="006F668F">
            <w:pPr>
              <w:pStyle w:val="Marginlie"/>
            </w:pPr>
          </w:p>
        </w:tc>
        <w:tc>
          <w:tcPr>
            <w:tcW w:w="277" w:type="dxa"/>
            <w:tcBorders>
              <w:top w:val="nil"/>
              <w:left w:val="nil"/>
              <w:bottom w:val="nil"/>
              <w:right w:val="nil"/>
            </w:tcBorders>
          </w:tcPr>
          <w:p w14:paraId="5C6F49F2"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3474B004" w14:textId="2D9B48E5" w:rsidR="009E674A" w:rsidRDefault="00381A3E" w:rsidP="006F668F">
            <w:pPr>
              <w:spacing w:after="0"/>
            </w:pPr>
            <w:r>
              <w:rPr>
                <w:noProof/>
              </w:rPr>
              <w:drawing>
                <wp:inline distT="0" distB="0" distL="0" distR="0" wp14:anchorId="394840F9" wp14:editId="1A3F28B2">
                  <wp:extent cx="4536385" cy="3372934"/>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9E674A" w:rsidRPr="005A2E40" w14:paraId="204B740E" w14:textId="77777777" w:rsidTr="006F668F">
        <w:trPr>
          <w:trHeight w:val="429"/>
        </w:trPr>
        <w:tc>
          <w:tcPr>
            <w:tcW w:w="1976" w:type="dxa"/>
            <w:tcBorders>
              <w:top w:val="nil"/>
              <w:left w:val="nil"/>
              <w:bottom w:val="nil"/>
              <w:right w:val="nil"/>
            </w:tcBorders>
          </w:tcPr>
          <w:p w14:paraId="133F0A0F" w14:textId="77777777" w:rsidR="009E674A" w:rsidRPr="00106639" w:rsidRDefault="009E674A" w:rsidP="006F668F">
            <w:pPr>
              <w:pStyle w:val="Marginlie"/>
            </w:pPr>
          </w:p>
        </w:tc>
        <w:tc>
          <w:tcPr>
            <w:tcW w:w="277" w:type="dxa"/>
            <w:tcBorders>
              <w:top w:val="nil"/>
              <w:left w:val="nil"/>
              <w:bottom w:val="nil"/>
              <w:right w:val="nil"/>
            </w:tcBorders>
          </w:tcPr>
          <w:p w14:paraId="7471A568"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6E37D51" w14:textId="77777777" w:rsidR="009E674A" w:rsidRPr="00162F12" w:rsidRDefault="009E674A" w:rsidP="006F668F">
            <w:pPr>
              <w:spacing w:after="0"/>
              <w:rPr>
                <w:rFonts w:cs="Arial"/>
                <w:sz w:val="14"/>
                <w:szCs w:val="14"/>
              </w:rPr>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14:paraId="71FBA8BD" w14:textId="77777777" w:rsidTr="006F668F">
        <w:trPr>
          <w:trHeight w:val="145"/>
        </w:trPr>
        <w:tc>
          <w:tcPr>
            <w:tcW w:w="1976" w:type="dxa"/>
            <w:tcBorders>
              <w:top w:val="nil"/>
              <w:left w:val="nil"/>
              <w:bottom w:val="nil"/>
              <w:right w:val="nil"/>
            </w:tcBorders>
          </w:tcPr>
          <w:p w14:paraId="09AFF895" w14:textId="77777777" w:rsidR="009E674A" w:rsidRDefault="009E674A" w:rsidP="006F668F">
            <w:pPr>
              <w:pStyle w:val="Marginlie"/>
            </w:pPr>
            <w:r>
              <w:t>Míra zaměstnanosti žen s malými dětmi mírně rostla.</w:t>
            </w:r>
          </w:p>
          <w:p w14:paraId="3EE02826" w14:textId="77777777" w:rsidR="009E674A" w:rsidRPr="00106639" w:rsidRDefault="009E674A" w:rsidP="006F668F">
            <w:pPr>
              <w:pStyle w:val="Marginlie"/>
            </w:pPr>
          </w:p>
        </w:tc>
        <w:tc>
          <w:tcPr>
            <w:tcW w:w="277" w:type="dxa"/>
            <w:tcBorders>
              <w:top w:val="nil"/>
              <w:left w:val="nil"/>
              <w:bottom w:val="nil"/>
              <w:right w:val="nil"/>
            </w:tcBorders>
          </w:tcPr>
          <w:p w14:paraId="3871003D"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222F41B" w14:textId="4B9A4E39" w:rsidR="009E674A" w:rsidRPr="00FC612C" w:rsidRDefault="009E674A" w:rsidP="006F668F">
            <w:pPr>
              <w:spacing w:after="220"/>
              <w:rPr>
                <w:rFonts w:cs="Arial"/>
                <w:color w:val="0D0D0D" w:themeColor="text1" w:themeTint="F2"/>
                <w:spacing w:val="-2"/>
              </w:rPr>
            </w:pPr>
            <w:r>
              <w:rPr>
                <w:rFonts w:cs="Arial"/>
                <w:color w:val="0D0D0D" w:themeColor="text1" w:themeTint="F2"/>
                <w:spacing w:val="-2"/>
              </w:rPr>
              <w:t xml:space="preserve">Míra zaměstnanosti žen s dětmi roste </w:t>
            </w:r>
            <w:r w:rsidR="00BC7833">
              <w:rPr>
                <w:rFonts w:cs="Arial"/>
                <w:color w:val="0D0D0D" w:themeColor="text1" w:themeTint="F2"/>
                <w:spacing w:val="-2"/>
              </w:rPr>
              <w:t>v </w:t>
            </w:r>
            <w:r>
              <w:rPr>
                <w:rFonts w:cs="Arial"/>
                <w:color w:val="0D0D0D" w:themeColor="text1" w:themeTint="F2"/>
                <w:spacing w:val="-2"/>
              </w:rPr>
              <w:t xml:space="preserve">Česku jen velmi pozvolna. Nejvyšší tempo vykázala </w:t>
            </w:r>
            <w:r w:rsidR="00BC7833">
              <w:rPr>
                <w:rFonts w:cs="Arial"/>
                <w:color w:val="0D0D0D" w:themeColor="text1" w:themeTint="F2"/>
                <w:spacing w:val="-2"/>
              </w:rPr>
              <w:t>u </w:t>
            </w:r>
            <w:r>
              <w:rPr>
                <w:rFonts w:cs="Arial"/>
                <w:color w:val="0D0D0D" w:themeColor="text1" w:themeTint="F2"/>
                <w:spacing w:val="-2"/>
              </w:rPr>
              <w:t xml:space="preserve">žen s nejmladším dítětem do </w:t>
            </w:r>
            <w:r w:rsidR="00D82A1E">
              <w:rPr>
                <w:rFonts w:cs="Arial"/>
                <w:color w:val="0D0D0D" w:themeColor="text1" w:themeTint="F2"/>
                <w:spacing w:val="-2"/>
              </w:rPr>
              <w:t>6 </w:t>
            </w:r>
            <w:r>
              <w:rPr>
                <w:rFonts w:cs="Arial"/>
                <w:color w:val="0D0D0D" w:themeColor="text1" w:themeTint="F2"/>
                <w:spacing w:val="-2"/>
              </w:rPr>
              <w:t xml:space="preserve">let v období 2010 až 2014, kde se patrně projevil vliv zavedení </w:t>
            </w:r>
            <w:r w:rsidR="004E1A7F">
              <w:rPr>
                <w:rFonts w:cs="Arial"/>
                <w:color w:val="0D0D0D" w:themeColor="text1" w:themeTint="F2"/>
                <w:spacing w:val="-2"/>
              </w:rPr>
              <w:t>„</w:t>
            </w:r>
            <w:r>
              <w:rPr>
                <w:rFonts w:cs="Arial"/>
                <w:color w:val="0D0D0D" w:themeColor="text1" w:themeTint="F2"/>
                <w:spacing w:val="-2"/>
              </w:rPr>
              <w:t>vícerychlostní</w:t>
            </w:r>
            <w:r w:rsidR="004E1A7F">
              <w:rPr>
                <w:rFonts w:cs="Arial"/>
                <w:color w:val="0D0D0D" w:themeColor="text1" w:themeTint="F2"/>
                <w:spacing w:val="-2"/>
              </w:rPr>
              <w:t>“</w:t>
            </w:r>
            <w:r>
              <w:rPr>
                <w:rFonts w:cs="Arial"/>
                <w:color w:val="0D0D0D" w:themeColor="text1" w:themeTint="F2"/>
                <w:spacing w:val="-2"/>
              </w:rPr>
              <w:t xml:space="preserve"> rodičovské dovolené</w:t>
            </w:r>
            <w:r>
              <w:rPr>
                <w:rStyle w:val="Znakapoznpodarou"/>
                <w:rFonts w:cs="Arial"/>
                <w:color w:val="0D0D0D" w:themeColor="text1" w:themeTint="F2"/>
                <w:spacing w:val="-4"/>
              </w:rPr>
              <w:footnoteReference w:id="6"/>
            </w:r>
            <w:r>
              <w:rPr>
                <w:rFonts w:cs="Arial"/>
                <w:color w:val="0D0D0D" w:themeColor="text1" w:themeTint="F2"/>
                <w:spacing w:val="-2"/>
              </w:rPr>
              <w:t xml:space="preserve">. K mírnému posílení zaměstnanosti došlo </w:t>
            </w:r>
            <w:r w:rsidR="00BC7833">
              <w:rPr>
                <w:rFonts w:cs="Arial"/>
                <w:color w:val="0D0D0D" w:themeColor="text1" w:themeTint="F2"/>
                <w:spacing w:val="-2"/>
              </w:rPr>
              <w:t>i </w:t>
            </w:r>
            <w:r>
              <w:rPr>
                <w:rFonts w:cs="Arial"/>
                <w:color w:val="0D0D0D" w:themeColor="text1" w:themeTint="F2"/>
                <w:spacing w:val="-2"/>
              </w:rPr>
              <w:t xml:space="preserve">v posledních letech svižného hospodářského růstu, více se ale projevilo </w:t>
            </w:r>
            <w:r w:rsidR="00BC7833">
              <w:rPr>
                <w:rFonts w:cs="Arial"/>
                <w:color w:val="0D0D0D" w:themeColor="text1" w:themeTint="F2"/>
                <w:spacing w:val="-2"/>
              </w:rPr>
              <w:t>u </w:t>
            </w:r>
            <w:r>
              <w:rPr>
                <w:rFonts w:cs="Arial"/>
                <w:color w:val="0D0D0D" w:themeColor="text1" w:themeTint="F2"/>
                <w:spacing w:val="-2"/>
              </w:rPr>
              <w:t>žen s nejmladším dítětem ve věku 6–1</w:t>
            </w:r>
            <w:r w:rsidR="00D82A1E">
              <w:rPr>
                <w:rFonts w:cs="Arial"/>
                <w:color w:val="0D0D0D" w:themeColor="text1" w:themeTint="F2"/>
                <w:spacing w:val="-2"/>
              </w:rPr>
              <w:t>1 </w:t>
            </w:r>
            <w:r>
              <w:rPr>
                <w:rFonts w:cs="Arial"/>
                <w:color w:val="0D0D0D" w:themeColor="text1" w:themeTint="F2"/>
                <w:spacing w:val="-2"/>
              </w:rPr>
              <w:t xml:space="preserve">let. Není překvapivé, že </w:t>
            </w:r>
            <w:r>
              <w:rPr>
                <w:rFonts w:cs="Arial"/>
                <w:color w:val="0D0D0D" w:themeColor="text1" w:themeTint="F2"/>
                <w:spacing w:val="-2"/>
              </w:rPr>
              <w:lastRenderedPageBreak/>
              <w:t>ekonomická participace žen s dětmi roste s úrovní dosaženého vzdělání žen či spolu s věkem nejmladšího dítěte. Mezi ženami (ve věku 25–4</w:t>
            </w:r>
            <w:r w:rsidR="00D82A1E">
              <w:rPr>
                <w:rFonts w:cs="Arial"/>
                <w:color w:val="0D0D0D" w:themeColor="text1" w:themeTint="F2"/>
                <w:spacing w:val="-2"/>
              </w:rPr>
              <w:t>9 </w:t>
            </w:r>
            <w:r>
              <w:rPr>
                <w:rFonts w:cs="Arial"/>
                <w:color w:val="0D0D0D" w:themeColor="text1" w:themeTint="F2"/>
                <w:spacing w:val="-2"/>
              </w:rPr>
              <w:t xml:space="preserve">let) s nejmladším dítětem do </w:t>
            </w:r>
            <w:r w:rsidR="00D82A1E">
              <w:rPr>
                <w:rFonts w:cs="Arial"/>
                <w:color w:val="0D0D0D" w:themeColor="text1" w:themeTint="F2"/>
                <w:spacing w:val="-2"/>
              </w:rPr>
              <w:t>6 </w:t>
            </w:r>
            <w:r>
              <w:rPr>
                <w:rFonts w:cs="Arial"/>
                <w:color w:val="0D0D0D" w:themeColor="text1" w:themeTint="F2"/>
                <w:spacing w:val="-2"/>
              </w:rPr>
              <w:t>let bylo loni zaměstnaných 47,9</w:t>
            </w:r>
            <w:r w:rsidR="006454CC">
              <w:rPr>
                <w:rFonts w:cs="Arial"/>
                <w:color w:val="0D0D0D" w:themeColor="text1" w:themeTint="F2"/>
                <w:spacing w:val="-2"/>
              </w:rPr>
              <w:t> %</w:t>
            </w:r>
            <w:r>
              <w:rPr>
                <w:rFonts w:cs="Arial"/>
                <w:color w:val="0D0D0D" w:themeColor="text1" w:themeTint="F2"/>
                <w:spacing w:val="-2"/>
              </w:rPr>
              <w:t xml:space="preserve"> (meziročně </w:t>
            </w:r>
            <w:r w:rsidR="00BC7833">
              <w:rPr>
                <w:rFonts w:cs="Arial"/>
                <w:color w:val="0D0D0D" w:themeColor="text1" w:themeTint="F2"/>
                <w:spacing w:val="-2"/>
              </w:rPr>
              <w:t>o </w:t>
            </w:r>
            <w:r>
              <w:rPr>
                <w:rFonts w:cs="Arial"/>
                <w:color w:val="0D0D0D" w:themeColor="text1" w:themeTint="F2"/>
                <w:spacing w:val="-2"/>
              </w:rPr>
              <w:t>2,8</w:t>
            </w:r>
            <w:r w:rsidR="006454CC">
              <w:rPr>
                <w:rFonts w:cs="Arial"/>
                <w:color w:val="0D0D0D" w:themeColor="text1" w:themeTint="F2"/>
                <w:spacing w:val="-2"/>
              </w:rPr>
              <w:t> p. b.</w:t>
            </w:r>
            <w:r>
              <w:rPr>
                <w:rFonts w:cs="Arial"/>
                <w:color w:val="0D0D0D" w:themeColor="text1" w:themeTint="F2"/>
                <w:spacing w:val="-2"/>
              </w:rPr>
              <w:t xml:space="preserve"> více), </w:t>
            </w:r>
            <w:r w:rsidR="00BC7833">
              <w:rPr>
                <w:rFonts w:cs="Arial"/>
                <w:color w:val="0D0D0D" w:themeColor="text1" w:themeTint="F2"/>
                <w:spacing w:val="-2"/>
              </w:rPr>
              <w:t>u </w:t>
            </w:r>
            <w:r>
              <w:rPr>
                <w:rFonts w:cs="Arial"/>
                <w:color w:val="0D0D0D" w:themeColor="text1" w:themeTint="F2"/>
                <w:spacing w:val="-2"/>
              </w:rPr>
              <w:t>žen s nejmladším dítětem ve věku 6–1</w:t>
            </w:r>
            <w:r w:rsidR="00D82A1E">
              <w:rPr>
                <w:rFonts w:cs="Arial"/>
                <w:color w:val="0D0D0D" w:themeColor="text1" w:themeTint="F2"/>
                <w:spacing w:val="-2"/>
              </w:rPr>
              <w:t>1 </w:t>
            </w:r>
            <w:r>
              <w:rPr>
                <w:rFonts w:cs="Arial"/>
                <w:color w:val="0D0D0D" w:themeColor="text1" w:themeTint="F2"/>
                <w:spacing w:val="-2"/>
              </w:rPr>
              <w:t>let pak 92,4</w:t>
            </w:r>
            <w:r w:rsidR="006454CC">
              <w:rPr>
                <w:rFonts w:cs="Arial"/>
                <w:color w:val="0D0D0D" w:themeColor="text1" w:themeTint="F2"/>
                <w:spacing w:val="-2"/>
              </w:rPr>
              <w:t> %</w:t>
            </w:r>
            <w:r>
              <w:rPr>
                <w:rFonts w:cs="Arial"/>
                <w:color w:val="0D0D0D" w:themeColor="text1" w:themeTint="F2"/>
                <w:spacing w:val="-2"/>
              </w:rPr>
              <w:t xml:space="preserve"> (dokonce </w:t>
            </w:r>
            <w:r w:rsidR="00BC7833">
              <w:rPr>
                <w:rFonts w:cs="Arial"/>
                <w:color w:val="0D0D0D" w:themeColor="text1" w:themeTint="F2"/>
                <w:spacing w:val="-2"/>
              </w:rPr>
              <w:t>o </w:t>
            </w:r>
            <w:r w:rsidR="00D82A1E">
              <w:rPr>
                <w:rFonts w:cs="Arial"/>
                <w:color w:val="0D0D0D" w:themeColor="text1" w:themeTint="F2"/>
                <w:spacing w:val="-2"/>
              </w:rPr>
              <w:t>2 </w:t>
            </w:r>
            <w:r>
              <w:rPr>
                <w:rFonts w:cs="Arial"/>
                <w:color w:val="0D0D0D" w:themeColor="text1" w:themeTint="F2"/>
                <w:spacing w:val="-2"/>
              </w:rPr>
              <w:t>p.</w:t>
            </w:r>
            <w:r w:rsidR="00BA35F3">
              <w:rPr>
                <w:rFonts w:cs="Arial"/>
                <w:color w:val="0D0D0D" w:themeColor="text1" w:themeTint="F2"/>
                <w:spacing w:val="-2"/>
              </w:rPr>
              <w:t> </w:t>
            </w:r>
            <w:r>
              <w:rPr>
                <w:rFonts w:cs="Arial"/>
                <w:color w:val="0D0D0D" w:themeColor="text1" w:themeTint="F2"/>
                <w:spacing w:val="-2"/>
              </w:rPr>
              <w:t xml:space="preserve">b. více než u bezdětných žen). Není bez zajímavosti, že u obou věkových kategorií dětí dosahovaly maximální míry zaměstnanosti matky s dvěma potomky (zhruba </w:t>
            </w:r>
            <w:r w:rsidR="00BC7833">
              <w:rPr>
                <w:rFonts w:cs="Arial"/>
                <w:color w:val="0D0D0D" w:themeColor="text1" w:themeTint="F2"/>
                <w:spacing w:val="-2"/>
              </w:rPr>
              <w:t>o </w:t>
            </w:r>
            <w:r>
              <w:rPr>
                <w:rFonts w:cs="Arial"/>
                <w:color w:val="0D0D0D" w:themeColor="text1" w:themeTint="F2"/>
                <w:spacing w:val="-2"/>
              </w:rPr>
              <w:t>5</w:t>
            </w:r>
            <w:r w:rsidR="006454CC">
              <w:rPr>
                <w:rFonts w:cs="Arial"/>
                <w:color w:val="0D0D0D" w:themeColor="text1" w:themeTint="F2"/>
                <w:spacing w:val="-2"/>
              </w:rPr>
              <w:t> p. b.</w:t>
            </w:r>
            <w:r>
              <w:rPr>
                <w:rFonts w:cs="Arial"/>
                <w:color w:val="0D0D0D" w:themeColor="text1" w:themeTint="F2"/>
                <w:spacing w:val="-2"/>
              </w:rPr>
              <w:t xml:space="preserve"> vyšší než </w:t>
            </w:r>
            <w:r w:rsidR="00BC7833">
              <w:rPr>
                <w:rFonts w:cs="Arial"/>
                <w:color w:val="0D0D0D" w:themeColor="text1" w:themeTint="F2"/>
                <w:spacing w:val="-2"/>
              </w:rPr>
              <w:t>u </w:t>
            </w:r>
            <w:r>
              <w:rPr>
                <w:rFonts w:cs="Arial"/>
                <w:color w:val="0D0D0D" w:themeColor="text1" w:themeTint="F2"/>
                <w:spacing w:val="-2"/>
              </w:rPr>
              <w:t>žen s jedním dítětem).</w:t>
            </w:r>
          </w:p>
        </w:tc>
      </w:tr>
      <w:tr w:rsidR="009E674A" w14:paraId="27D5053F" w14:textId="77777777" w:rsidTr="006F668F">
        <w:trPr>
          <w:trHeight w:val="145"/>
        </w:trPr>
        <w:tc>
          <w:tcPr>
            <w:tcW w:w="1976" w:type="dxa"/>
            <w:tcBorders>
              <w:top w:val="nil"/>
              <w:left w:val="nil"/>
              <w:bottom w:val="nil"/>
              <w:right w:val="nil"/>
            </w:tcBorders>
          </w:tcPr>
          <w:p w14:paraId="5E85614E" w14:textId="77777777" w:rsidR="009E674A" w:rsidRDefault="009E674A" w:rsidP="006F668F">
            <w:pPr>
              <w:pStyle w:val="Marginlie"/>
            </w:pPr>
            <w:r>
              <w:lastRenderedPageBreak/>
              <w:t xml:space="preserve">Mírně narůstá </w:t>
            </w:r>
            <w:r w:rsidR="00BC7833">
              <w:t>i </w:t>
            </w:r>
            <w:r>
              <w:t>podíl matek ve věku 25 až 4</w:t>
            </w:r>
            <w:r w:rsidR="00D82A1E">
              <w:t>9 </w:t>
            </w:r>
            <w:r>
              <w:t>let pracujících na zkrácený úvazek či z domova.</w:t>
            </w:r>
          </w:p>
        </w:tc>
        <w:tc>
          <w:tcPr>
            <w:tcW w:w="277" w:type="dxa"/>
            <w:tcBorders>
              <w:top w:val="nil"/>
              <w:left w:val="nil"/>
              <w:bottom w:val="nil"/>
              <w:right w:val="nil"/>
            </w:tcBorders>
          </w:tcPr>
          <w:p w14:paraId="3DF2D6E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282B7FDD" w14:textId="2F182CB0" w:rsidR="009E674A" w:rsidRPr="00803FBD" w:rsidRDefault="009E674A" w:rsidP="006F668F">
            <w:pPr>
              <w:spacing w:after="220"/>
              <w:rPr>
                <w:rFonts w:cs="Arial"/>
                <w:color w:val="0D0D0D" w:themeColor="text1" w:themeTint="F2"/>
                <w:spacing w:val="-3"/>
              </w:rPr>
            </w:pPr>
            <w:r w:rsidRPr="00803FBD">
              <w:rPr>
                <w:rFonts w:cs="Arial"/>
                <w:color w:val="0D0D0D" w:themeColor="text1" w:themeTint="F2"/>
                <w:spacing w:val="-3"/>
              </w:rPr>
              <w:t xml:space="preserve">Lepší skloubení pracovního </w:t>
            </w:r>
            <w:r w:rsidR="004E1A7F">
              <w:rPr>
                <w:rFonts w:cs="Arial"/>
                <w:color w:val="0D0D0D" w:themeColor="text1" w:themeTint="F2"/>
                <w:spacing w:val="-3"/>
              </w:rPr>
              <w:t>a</w:t>
            </w:r>
            <w:r w:rsidR="00BC7833">
              <w:rPr>
                <w:rFonts w:cs="Arial"/>
                <w:color w:val="0D0D0D" w:themeColor="text1" w:themeTint="F2"/>
                <w:spacing w:val="-3"/>
              </w:rPr>
              <w:t> </w:t>
            </w:r>
            <w:r w:rsidRPr="00803FBD">
              <w:rPr>
                <w:rFonts w:cs="Arial"/>
                <w:color w:val="0D0D0D" w:themeColor="text1" w:themeTint="F2"/>
                <w:spacing w:val="-3"/>
              </w:rPr>
              <w:t xml:space="preserve">rodinného života žen s malými dětmi předpokládá vedle dostatečné nabídky předškolních zařízení </w:t>
            </w:r>
            <w:r w:rsidR="00BC7833" w:rsidRPr="00803FBD">
              <w:rPr>
                <w:rFonts w:cs="Arial"/>
                <w:color w:val="0D0D0D" w:themeColor="text1" w:themeTint="F2"/>
                <w:spacing w:val="-3"/>
              </w:rPr>
              <w:t>i</w:t>
            </w:r>
            <w:r w:rsidR="00BC7833">
              <w:rPr>
                <w:rFonts w:cs="Arial"/>
                <w:color w:val="0D0D0D" w:themeColor="text1" w:themeTint="F2"/>
                <w:spacing w:val="-3"/>
              </w:rPr>
              <w:t> </w:t>
            </w:r>
            <w:r w:rsidRPr="00803FBD">
              <w:rPr>
                <w:rFonts w:cs="Arial"/>
                <w:color w:val="0D0D0D" w:themeColor="text1" w:themeTint="F2"/>
                <w:spacing w:val="-3"/>
              </w:rPr>
              <w:t xml:space="preserve">větší rozšíření flexibilních forem pracovních úvazků. </w:t>
            </w:r>
            <w:r w:rsidR="00BC7833" w:rsidRPr="00803FBD">
              <w:rPr>
                <w:rFonts w:cs="Arial"/>
                <w:color w:val="0D0D0D" w:themeColor="text1" w:themeTint="F2"/>
                <w:spacing w:val="-3"/>
              </w:rPr>
              <w:t>I</w:t>
            </w:r>
            <w:r w:rsidR="00BC7833">
              <w:rPr>
                <w:rFonts w:cs="Arial"/>
                <w:color w:val="0D0D0D" w:themeColor="text1" w:themeTint="F2"/>
                <w:spacing w:val="-3"/>
              </w:rPr>
              <w:t> </w:t>
            </w:r>
            <w:r w:rsidR="00BC7833" w:rsidRPr="00803FBD">
              <w:rPr>
                <w:rFonts w:cs="Arial"/>
                <w:color w:val="0D0D0D" w:themeColor="text1" w:themeTint="F2"/>
                <w:spacing w:val="-3"/>
              </w:rPr>
              <w:t>v</w:t>
            </w:r>
            <w:r w:rsidR="00BC7833">
              <w:rPr>
                <w:rFonts w:cs="Arial"/>
                <w:color w:val="0D0D0D" w:themeColor="text1" w:themeTint="F2"/>
                <w:spacing w:val="-3"/>
              </w:rPr>
              <w:t> </w:t>
            </w:r>
            <w:r w:rsidRPr="00803FBD">
              <w:rPr>
                <w:rFonts w:cs="Arial"/>
                <w:color w:val="0D0D0D" w:themeColor="text1" w:themeTint="F2"/>
                <w:spacing w:val="-3"/>
              </w:rPr>
              <w:t xml:space="preserve">tomto směru se situace pro ženy od konce poslední recese mírně zlepšila. Jestliže </w:t>
            </w:r>
            <w:r w:rsidR="00BC7833" w:rsidRPr="00803FBD">
              <w:rPr>
                <w:rFonts w:cs="Arial"/>
                <w:color w:val="0D0D0D" w:themeColor="text1" w:themeTint="F2"/>
                <w:spacing w:val="-3"/>
              </w:rPr>
              <w:t>v</w:t>
            </w:r>
            <w:r w:rsidR="00BC7833">
              <w:rPr>
                <w:rFonts w:cs="Arial"/>
                <w:color w:val="0D0D0D" w:themeColor="text1" w:themeTint="F2"/>
                <w:spacing w:val="-3"/>
              </w:rPr>
              <w:t> </w:t>
            </w:r>
            <w:r w:rsidRPr="00803FBD">
              <w:rPr>
                <w:rFonts w:cs="Arial"/>
                <w:color w:val="0D0D0D" w:themeColor="text1" w:themeTint="F2"/>
                <w:spacing w:val="-3"/>
              </w:rPr>
              <w:t>roce 2014 pracovalo na zkrácený úvazek 18,6</w:t>
            </w:r>
            <w:r w:rsidR="006454CC">
              <w:rPr>
                <w:rFonts w:cs="Arial"/>
                <w:color w:val="0D0D0D" w:themeColor="text1" w:themeTint="F2"/>
                <w:spacing w:val="-3"/>
              </w:rPr>
              <w:t> %</w:t>
            </w:r>
            <w:r w:rsidRPr="00803FBD">
              <w:rPr>
                <w:rFonts w:cs="Arial"/>
                <w:color w:val="0D0D0D" w:themeColor="text1" w:themeTint="F2"/>
                <w:spacing w:val="-3"/>
              </w:rPr>
              <w:t xml:space="preserve"> matek ve věku 25–4</w:t>
            </w:r>
            <w:r w:rsidR="00D82A1E" w:rsidRPr="00803FBD">
              <w:rPr>
                <w:rFonts w:cs="Arial"/>
                <w:color w:val="0D0D0D" w:themeColor="text1" w:themeTint="F2"/>
                <w:spacing w:val="-3"/>
              </w:rPr>
              <w:t>9</w:t>
            </w:r>
            <w:r w:rsidR="00D82A1E">
              <w:rPr>
                <w:rFonts w:cs="Arial"/>
                <w:color w:val="0D0D0D" w:themeColor="text1" w:themeTint="F2"/>
                <w:spacing w:val="-3"/>
              </w:rPr>
              <w:t> </w:t>
            </w:r>
            <w:r w:rsidRPr="00803FBD">
              <w:rPr>
                <w:rFonts w:cs="Arial"/>
                <w:color w:val="0D0D0D" w:themeColor="text1" w:themeTint="F2"/>
                <w:spacing w:val="-3"/>
              </w:rPr>
              <w:t xml:space="preserve">let (s nejmladším dítětem do </w:t>
            </w:r>
            <w:r w:rsidR="00D82A1E" w:rsidRPr="00803FBD">
              <w:rPr>
                <w:rFonts w:cs="Arial"/>
                <w:color w:val="0D0D0D" w:themeColor="text1" w:themeTint="F2"/>
                <w:spacing w:val="-3"/>
              </w:rPr>
              <w:t>6</w:t>
            </w:r>
            <w:r w:rsidR="00D82A1E">
              <w:rPr>
                <w:rFonts w:cs="Arial"/>
                <w:color w:val="0D0D0D" w:themeColor="text1" w:themeTint="F2"/>
                <w:spacing w:val="-3"/>
              </w:rPr>
              <w:t> </w:t>
            </w:r>
            <w:r w:rsidRPr="00803FBD">
              <w:rPr>
                <w:rFonts w:cs="Arial"/>
                <w:color w:val="0D0D0D" w:themeColor="text1" w:themeTint="F2"/>
                <w:spacing w:val="-3"/>
              </w:rPr>
              <w:t>let věku), loni již 23,7</w:t>
            </w:r>
            <w:r w:rsidR="006454CC">
              <w:rPr>
                <w:rFonts w:cs="Arial"/>
                <w:color w:val="0D0D0D" w:themeColor="text1" w:themeTint="F2"/>
                <w:spacing w:val="-3"/>
              </w:rPr>
              <w:t> %</w:t>
            </w:r>
            <w:r w:rsidRPr="00803FBD">
              <w:rPr>
                <w:rFonts w:cs="Arial"/>
                <w:color w:val="0D0D0D" w:themeColor="text1" w:themeTint="F2"/>
                <w:spacing w:val="-3"/>
              </w:rPr>
              <w:t xml:space="preserve">. </w:t>
            </w:r>
            <w:r w:rsidR="00BC7833" w:rsidRPr="00803FBD">
              <w:rPr>
                <w:rFonts w:cs="Arial"/>
                <w:color w:val="0D0D0D" w:themeColor="text1" w:themeTint="F2"/>
                <w:spacing w:val="-3"/>
              </w:rPr>
              <w:t>U</w:t>
            </w:r>
            <w:r w:rsidR="00BC7833">
              <w:rPr>
                <w:rFonts w:cs="Arial"/>
                <w:color w:val="0D0D0D" w:themeColor="text1" w:themeTint="F2"/>
                <w:spacing w:val="-3"/>
              </w:rPr>
              <w:t> </w:t>
            </w:r>
            <w:r w:rsidRPr="00803FBD">
              <w:rPr>
                <w:rFonts w:cs="Arial"/>
                <w:color w:val="0D0D0D" w:themeColor="text1" w:themeTint="F2"/>
                <w:spacing w:val="-3"/>
              </w:rPr>
              <w:t>práce z domova došlo ve stejném období k nárůstu ze 7,4</w:t>
            </w:r>
            <w:r w:rsidR="006454CC">
              <w:rPr>
                <w:rFonts w:cs="Arial"/>
                <w:color w:val="0D0D0D" w:themeColor="text1" w:themeTint="F2"/>
                <w:spacing w:val="-3"/>
              </w:rPr>
              <w:t> %</w:t>
            </w:r>
            <w:r w:rsidRPr="00803FBD">
              <w:rPr>
                <w:rFonts w:cs="Arial"/>
                <w:color w:val="0D0D0D" w:themeColor="text1" w:themeTint="F2"/>
                <w:spacing w:val="-3"/>
              </w:rPr>
              <w:t xml:space="preserve"> na 12,0</w:t>
            </w:r>
            <w:r w:rsidR="006454CC">
              <w:rPr>
                <w:rFonts w:cs="Arial"/>
                <w:color w:val="0D0D0D" w:themeColor="text1" w:themeTint="F2"/>
                <w:spacing w:val="-3"/>
              </w:rPr>
              <w:t> %</w:t>
            </w:r>
            <w:r w:rsidRPr="00803FBD">
              <w:rPr>
                <w:rFonts w:cs="Arial"/>
                <w:color w:val="0D0D0D" w:themeColor="text1" w:themeTint="F2"/>
                <w:spacing w:val="-3"/>
              </w:rPr>
              <w:t xml:space="preserve"> (</w:t>
            </w:r>
            <w:r w:rsidR="00BC7833" w:rsidRPr="00803FBD">
              <w:rPr>
                <w:rFonts w:cs="Arial"/>
                <w:color w:val="0D0D0D" w:themeColor="text1" w:themeTint="F2"/>
                <w:spacing w:val="-3"/>
              </w:rPr>
              <w:t>u</w:t>
            </w:r>
            <w:r w:rsidR="00BC7833">
              <w:rPr>
                <w:rFonts w:cs="Arial"/>
                <w:color w:val="0D0D0D" w:themeColor="text1" w:themeTint="F2"/>
                <w:spacing w:val="-3"/>
              </w:rPr>
              <w:t> </w:t>
            </w:r>
            <w:r w:rsidRPr="00803FBD">
              <w:rPr>
                <w:rFonts w:cs="Arial"/>
                <w:color w:val="0D0D0D" w:themeColor="text1" w:themeTint="F2"/>
                <w:spacing w:val="-3"/>
              </w:rPr>
              <w:t>žen s nejmladším dítětem ve věku</w:t>
            </w:r>
            <w:r w:rsidR="004E1A7F">
              <w:rPr>
                <w:rFonts w:cs="Arial"/>
                <w:color w:val="0D0D0D" w:themeColor="text1" w:themeTint="F2"/>
                <w:spacing w:val="-3"/>
              </w:rPr>
              <w:t xml:space="preserve"> </w:t>
            </w:r>
            <w:r w:rsidR="004E1A7F">
              <w:rPr>
                <w:rFonts w:cs="Arial"/>
                <w:color w:val="0D0D0D" w:themeColor="text1" w:themeTint="F2"/>
                <w:spacing w:val="-3"/>
              </w:rPr>
              <w:br/>
            </w:r>
            <w:r w:rsidRPr="00803FBD">
              <w:rPr>
                <w:rFonts w:cs="Arial"/>
                <w:color w:val="0D0D0D" w:themeColor="text1" w:themeTint="F2"/>
                <w:spacing w:val="-3"/>
              </w:rPr>
              <w:t>6–1</w:t>
            </w:r>
            <w:r w:rsidR="00D82A1E" w:rsidRPr="00803FBD">
              <w:rPr>
                <w:rFonts w:cs="Arial"/>
                <w:color w:val="0D0D0D" w:themeColor="text1" w:themeTint="F2"/>
                <w:spacing w:val="-3"/>
              </w:rPr>
              <w:t>1</w:t>
            </w:r>
            <w:r w:rsidR="00D82A1E">
              <w:rPr>
                <w:rFonts w:cs="Arial"/>
                <w:color w:val="0D0D0D" w:themeColor="text1" w:themeTint="F2"/>
                <w:spacing w:val="-3"/>
              </w:rPr>
              <w:t> </w:t>
            </w:r>
            <w:r w:rsidRPr="00803FBD">
              <w:rPr>
                <w:rFonts w:cs="Arial"/>
                <w:color w:val="0D0D0D" w:themeColor="text1" w:themeTint="F2"/>
                <w:spacing w:val="-3"/>
              </w:rPr>
              <w:t>let ze 7,6</w:t>
            </w:r>
            <w:r w:rsidR="006454CC">
              <w:rPr>
                <w:rFonts w:cs="Arial"/>
                <w:color w:val="0D0D0D" w:themeColor="text1" w:themeTint="F2"/>
                <w:spacing w:val="-3"/>
              </w:rPr>
              <w:t> %</w:t>
            </w:r>
            <w:r w:rsidRPr="00803FBD">
              <w:rPr>
                <w:rFonts w:cs="Arial"/>
                <w:color w:val="0D0D0D" w:themeColor="text1" w:themeTint="F2"/>
                <w:spacing w:val="-3"/>
              </w:rPr>
              <w:t xml:space="preserve"> na 9,7</w:t>
            </w:r>
            <w:r w:rsidR="006454CC">
              <w:rPr>
                <w:rFonts w:cs="Arial"/>
                <w:color w:val="0D0D0D" w:themeColor="text1" w:themeTint="F2"/>
                <w:spacing w:val="-3"/>
              </w:rPr>
              <w:t> %</w:t>
            </w:r>
            <w:r w:rsidRPr="00803FBD">
              <w:rPr>
                <w:rFonts w:cs="Arial"/>
                <w:color w:val="0D0D0D" w:themeColor="text1" w:themeTint="F2"/>
                <w:spacing w:val="-3"/>
              </w:rPr>
              <w:t xml:space="preserve">, </w:t>
            </w:r>
            <w:r w:rsidR="00BC7833" w:rsidRPr="00803FBD">
              <w:rPr>
                <w:rFonts w:cs="Arial"/>
                <w:color w:val="0D0D0D" w:themeColor="text1" w:themeTint="F2"/>
                <w:spacing w:val="-3"/>
              </w:rPr>
              <w:t>u</w:t>
            </w:r>
            <w:r w:rsidR="00BC7833">
              <w:rPr>
                <w:rFonts w:cs="Arial"/>
                <w:color w:val="0D0D0D" w:themeColor="text1" w:themeTint="F2"/>
                <w:spacing w:val="-3"/>
              </w:rPr>
              <w:t> </w:t>
            </w:r>
            <w:r w:rsidRPr="00803FBD">
              <w:rPr>
                <w:rFonts w:cs="Arial"/>
                <w:color w:val="0D0D0D" w:themeColor="text1" w:themeTint="F2"/>
                <w:spacing w:val="-3"/>
              </w:rPr>
              <w:t>bezdětných podíl osciloval okolo 8</w:t>
            </w:r>
            <w:r w:rsidR="006454CC">
              <w:rPr>
                <w:rFonts w:cs="Arial"/>
                <w:color w:val="0D0D0D" w:themeColor="text1" w:themeTint="F2"/>
                <w:spacing w:val="-3"/>
              </w:rPr>
              <w:t> %</w:t>
            </w:r>
            <w:r w:rsidRPr="00803FBD">
              <w:rPr>
                <w:rFonts w:cs="Arial"/>
                <w:color w:val="0D0D0D" w:themeColor="text1" w:themeTint="F2"/>
                <w:spacing w:val="-3"/>
              </w:rPr>
              <w:t xml:space="preserve">). Složení domácnosti ovlivňuje </w:t>
            </w:r>
            <w:r w:rsidR="00BC7833" w:rsidRPr="00803FBD">
              <w:rPr>
                <w:rFonts w:cs="Arial"/>
                <w:color w:val="0D0D0D" w:themeColor="text1" w:themeTint="F2"/>
                <w:spacing w:val="-3"/>
              </w:rPr>
              <w:t>i</w:t>
            </w:r>
            <w:r w:rsidR="00BC7833">
              <w:rPr>
                <w:rFonts w:cs="Arial"/>
                <w:color w:val="0D0D0D" w:themeColor="text1" w:themeTint="F2"/>
                <w:spacing w:val="-3"/>
              </w:rPr>
              <w:t> </w:t>
            </w:r>
            <w:r w:rsidRPr="00803FBD">
              <w:rPr>
                <w:rFonts w:cs="Arial"/>
                <w:color w:val="0D0D0D" w:themeColor="text1" w:themeTint="F2"/>
                <w:spacing w:val="-3"/>
              </w:rPr>
              <w:t xml:space="preserve">ekonomickou aktivitu otců. Zejména muži </w:t>
            </w:r>
            <w:r w:rsidR="004E1A7F">
              <w:rPr>
                <w:rFonts w:cs="Arial"/>
                <w:color w:val="0D0D0D" w:themeColor="text1" w:themeTint="F2"/>
                <w:spacing w:val="-3"/>
              </w:rPr>
              <w:t>s </w:t>
            </w:r>
            <w:r w:rsidRPr="00803FBD">
              <w:rPr>
                <w:rFonts w:cs="Arial"/>
                <w:color w:val="0D0D0D" w:themeColor="text1" w:themeTint="F2"/>
                <w:spacing w:val="-3"/>
              </w:rPr>
              <w:t xml:space="preserve">nejmladším dítětem do </w:t>
            </w:r>
            <w:r w:rsidR="00D82A1E" w:rsidRPr="00803FBD">
              <w:rPr>
                <w:rFonts w:cs="Arial"/>
                <w:color w:val="0D0D0D" w:themeColor="text1" w:themeTint="F2"/>
                <w:spacing w:val="-3"/>
              </w:rPr>
              <w:t>6</w:t>
            </w:r>
            <w:r w:rsidR="00D82A1E">
              <w:rPr>
                <w:rFonts w:cs="Arial"/>
                <w:color w:val="0D0D0D" w:themeColor="text1" w:themeTint="F2"/>
                <w:spacing w:val="-3"/>
              </w:rPr>
              <w:t> </w:t>
            </w:r>
            <w:r w:rsidRPr="00803FBD">
              <w:rPr>
                <w:rFonts w:cs="Arial"/>
                <w:color w:val="0D0D0D" w:themeColor="text1" w:themeTint="F2"/>
                <w:spacing w:val="-3"/>
              </w:rPr>
              <w:t xml:space="preserve">let věku mají dlouhodobě častěji dvě zaměstnání než bezdětní muži ve věku </w:t>
            </w:r>
            <w:r w:rsidR="004E1A7F">
              <w:rPr>
                <w:rFonts w:cs="Arial"/>
                <w:color w:val="0D0D0D" w:themeColor="text1" w:themeTint="F2"/>
                <w:spacing w:val="-3"/>
              </w:rPr>
              <w:br/>
            </w:r>
            <w:r w:rsidRPr="00803FBD">
              <w:rPr>
                <w:rFonts w:cs="Arial"/>
                <w:color w:val="0D0D0D" w:themeColor="text1" w:themeTint="F2"/>
                <w:spacing w:val="-3"/>
              </w:rPr>
              <w:t>25–4</w:t>
            </w:r>
            <w:r w:rsidR="00D82A1E" w:rsidRPr="00803FBD">
              <w:rPr>
                <w:rFonts w:cs="Arial"/>
                <w:color w:val="0D0D0D" w:themeColor="text1" w:themeTint="F2"/>
                <w:spacing w:val="-3"/>
              </w:rPr>
              <w:t>9</w:t>
            </w:r>
            <w:r w:rsidR="00D82A1E">
              <w:rPr>
                <w:rFonts w:cs="Arial"/>
                <w:color w:val="0D0D0D" w:themeColor="text1" w:themeTint="F2"/>
                <w:spacing w:val="-3"/>
              </w:rPr>
              <w:t> </w:t>
            </w:r>
            <w:r w:rsidRPr="00803FBD">
              <w:rPr>
                <w:rFonts w:cs="Arial"/>
                <w:color w:val="0D0D0D" w:themeColor="text1" w:themeTint="F2"/>
                <w:spacing w:val="-3"/>
              </w:rPr>
              <w:t>let (</w:t>
            </w:r>
            <w:r w:rsidR="00BC7833" w:rsidRPr="00803FBD">
              <w:rPr>
                <w:rFonts w:cs="Arial"/>
                <w:color w:val="0D0D0D" w:themeColor="text1" w:themeTint="F2"/>
                <w:spacing w:val="-3"/>
              </w:rPr>
              <w:t>v</w:t>
            </w:r>
            <w:r w:rsidR="00BC7833">
              <w:rPr>
                <w:rFonts w:cs="Arial"/>
                <w:color w:val="0D0D0D" w:themeColor="text1" w:themeTint="F2"/>
                <w:spacing w:val="-3"/>
              </w:rPr>
              <w:t> </w:t>
            </w:r>
            <w:r w:rsidRPr="00803FBD">
              <w:rPr>
                <w:rFonts w:cs="Arial"/>
                <w:color w:val="0D0D0D" w:themeColor="text1" w:themeTint="F2"/>
                <w:spacing w:val="-3"/>
              </w:rPr>
              <w:t>roce 2018 činily podíly 3,7</w:t>
            </w:r>
            <w:r w:rsidR="006454CC">
              <w:rPr>
                <w:rFonts w:cs="Arial"/>
                <w:color w:val="0D0D0D" w:themeColor="text1" w:themeTint="F2"/>
                <w:spacing w:val="-3"/>
              </w:rPr>
              <w:t> %</w:t>
            </w:r>
            <w:r w:rsidRPr="00803FBD">
              <w:rPr>
                <w:rFonts w:cs="Arial"/>
                <w:color w:val="0D0D0D" w:themeColor="text1" w:themeTint="F2"/>
                <w:spacing w:val="-3"/>
              </w:rPr>
              <w:t xml:space="preserve"> </w:t>
            </w:r>
            <w:r w:rsidR="00BC7833" w:rsidRPr="00803FBD">
              <w:rPr>
                <w:rFonts w:cs="Arial"/>
                <w:color w:val="0D0D0D" w:themeColor="text1" w:themeTint="F2"/>
                <w:spacing w:val="-3"/>
              </w:rPr>
              <w:t>a</w:t>
            </w:r>
            <w:r w:rsidR="00BC7833">
              <w:rPr>
                <w:rFonts w:cs="Arial"/>
                <w:color w:val="0D0D0D" w:themeColor="text1" w:themeTint="F2"/>
                <w:spacing w:val="-3"/>
              </w:rPr>
              <w:t> </w:t>
            </w:r>
            <w:r w:rsidRPr="00803FBD">
              <w:rPr>
                <w:rFonts w:cs="Arial"/>
                <w:color w:val="0D0D0D" w:themeColor="text1" w:themeTint="F2"/>
                <w:spacing w:val="-3"/>
              </w:rPr>
              <w:t>2,4</w:t>
            </w:r>
            <w:r w:rsidR="006454CC">
              <w:rPr>
                <w:rFonts w:cs="Arial"/>
                <w:color w:val="0D0D0D" w:themeColor="text1" w:themeTint="F2"/>
                <w:spacing w:val="-3"/>
              </w:rPr>
              <w:t> %</w:t>
            </w:r>
            <w:r w:rsidRPr="00803FBD">
              <w:rPr>
                <w:rFonts w:cs="Arial"/>
                <w:color w:val="0D0D0D" w:themeColor="text1" w:themeTint="F2"/>
                <w:spacing w:val="-3"/>
              </w:rPr>
              <w:t>).</w:t>
            </w:r>
          </w:p>
        </w:tc>
      </w:tr>
    </w:tbl>
    <w:p w14:paraId="32371210" w14:textId="77777777" w:rsidR="009E674A" w:rsidRDefault="009E674A" w:rsidP="009E674A">
      <w:pPr>
        <w:spacing w:after="0"/>
        <w:rPr>
          <w:szCs w:val="20"/>
        </w:rPr>
      </w:pPr>
      <w:r>
        <w:rPr>
          <w:rFonts w:eastAsia="MS Gothic"/>
          <w:b/>
          <w:bCs/>
          <w:color w:val="71818C"/>
          <w:sz w:val="28"/>
          <w:szCs w:val="28"/>
        </w:rPr>
        <w:t xml:space="preserve">1.2. Celková zaměstnanost </w:t>
      </w:r>
      <w:r w:rsidR="00BC7833">
        <w:rPr>
          <w:rFonts w:eastAsia="MS Gothic"/>
          <w:b/>
          <w:bCs/>
          <w:color w:val="71818C"/>
          <w:sz w:val="28"/>
          <w:szCs w:val="28"/>
        </w:rPr>
        <w:t>a </w:t>
      </w:r>
      <w:r>
        <w:rPr>
          <w:rFonts w:eastAsia="MS Gothic"/>
          <w:b/>
          <w:bCs/>
          <w:color w:val="71818C"/>
          <w:sz w:val="28"/>
          <w:szCs w:val="28"/>
        </w:rPr>
        <w:t>odvětvová skladba</w:t>
      </w:r>
    </w:p>
    <w:tbl>
      <w:tblPr>
        <w:tblW w:w="964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976"/>
        <w:gridCol w:w="277"/>
        <w:gridCol w:w="7391"/>
      </w:tblGrid>
      <w:tr w:rsidR="009E674A" w14:paraId="38AD40F3" w14:textId="77777777" w:rsidTr="006F668F">
        <w:trPr>
          <w:trHeight w:val="145"/>
        </w:trPr>
        <w:tc>
          <w:tcPr>
            <w:tcW w:w="1976" w:type="dxa"/>
            <w:tcBorders>
              <w:top w:val="nil"/>
              <w:left w:val="nil"/>
              <w:bottom w:val="nil"/>
              <w:right w:val="nil"/>
            </w:tcBorders>
          </w:tcPr>
          <w:p w14:paraId="05BCB0EE" w14:textId="77777777" w:rsidR="009E674A" w:rsidRPr="00140C7B" w:rsidRDefault="009E674A" w:rsidP="006F668F">
            <w:pPr>
              <w:pStyle w:val="Marginlie"/>
            </w:pPr>
            <w:r w:rsidRPr="00140C7B">
              <w:t>Svižný růst celkové zaměstnanosti přetrvával již čtvrtým rokem v řadě.</w:t>
            </w:r>
            <w:r>
              <w:t xml:space="preserve"> Ve druhé polovině roku ale došlo ke zvonění, zejména vlivem vývoje ve zpracovatelském průmyslu.</w:t>
            </w:r>
          </w:p>
        </w:tc>
        <w:tc>
          <w:tcPr>
            <w:tcW w:w="277" w:type="dxa"/>
            <w:tcBorders>
              <w:top w:val="nil"/>
              <w:left w:val="nil"/>
              <w:bottom w:val="nil"/>
              <w:right w:val="nil"/>
            </w:tcBorders>
          </w:tcPr>
          <w:p w14:paraId="32DC4805" w14:textId="77777777" w:rsidR="009E674A" w:rsidRPr="002A5986" w:rsidRDefault="009E674A" w:rsidP="006F668F">
            <w:pPr>
              <w:pStyle w:val="Textpoznpodarou"/>
              <w:jc w:val="both"/>
              <w:rPr>
                <w:b/>
                <w:spacing w:val="-4"/>
              </w:rPr>
            </w:pPr>
          </w:p>
        </w:tc>
        <w:tc>
          <w:tcPr>
            <w:tcW w:w="7391" w:type="dxa"/>
            <w:tcBorders>
              <w:top w:val="nil"/>
              <w:left w:val="nil"/>
              <w:bottom w:val="nil"/>
              <w:right w:val="nil"/>
            </w:tcBorders>
          </w:tcPr>
          <w:p w14:paraId="47C3AC13" w14:textId="3E2C81AC" w:rsidR="009E674A" w:rsidRPr="00CA68C8" w:rsidRDefault="009E674A" w:rsidP="006F668F">
            <w:pPr>
              <w:spacing w:after="220"/>
            </w:pPr>
            <w:r w:rsidRPr="00CA68C8">
              <w:t>Situace na trhu práce v roce 2018 odpovídala vrcholné fázi hospodářského růstu.</w:t>
            </w:r>
            <w:r>
              <w:t xml:space="preserve"> Celková zaměstnanost</w:t>
            </w:r>
            <w:r>
              <w:rPr>
                <w:rStyle w:val="Znakapoznpodarou"/>
                <w:rFonts w:cs="Arial"/>
                <w:color w:val="0D0D0D" w:themeColor="text1" w:themeTint="F2"/>
                <w:spacing w:val="-4"/>
              </w:rPr>
              <w:footnoteReference w:id="7"/>
            </w:r>
            <w:r>
              <w:t xml:space="preserve"> (ve fyzických osobách) v ekonomice vzrostla během roku o 1,3</w:t>
            </w:r>
            <w:r w:rsidR="006454CC">
              <w:t> %</w:t>
            </w:r>
            <w:r>
              <w:t>. Tempo meziročního přírůstku zůstávalo již čtvrtým rokem téměř neměnné. V průběhu loňského roku byly patrné náznaky zpomalování růstu, což indikovaly i dřívější výsledky konjunkturálních šetření v oblasti zaměstnanosti. Ve</w:t>
            </w:r>
            <w:r w:rsidR="00AC0FD3">
              <w:t> </w:t>
            </w:r>
            <w:r>
              <w:t xml:space="preserve">3. </w:t>
            </w:r>
            <w:r w:rsidR="00BC7833">
              <w:t>i 4. </w:t>
            </w:r>
            <w:r>
              <w:t xml:space="preserve">čtvrtletí počet pracovníků ve zpracovatelském průmyslu, ale </w:t>
            </w:r>
            <w:r w:rsidR="00BC7833">
              <w:t>i </w:t>
            </w:r>
            <w:r>
              <w:t>váhově významném uskupení „obchod, doprava, ubytování, pohostinství“ mezikvartálně stagnoval. Nicméně ve většině ostatních odvětví služeb se zaměstnanost stále zvyšovala. Počet pracovníků (po zohlednění sezónních variací) v celé ekonomice tak na sklonku roku opět ustanovil nový rekord v éře samostatné ČR (5,4</w:t>
            </w:r>
            <w:r w:rsidR="00D82A1E">
              <w:t>4 </w:t>
            </w:r>
            <w:r>
              <w:t>mil.)</w:t>
            </w:r>
            <w:r>
              <w:rPr>
                <w:rStyle w:val="Znakapoznpodarou"/>
                <w:rFonts w:cs="Arial"/>
                <w:color w:val="0D0D0D" w:themeColor="text1" w:themeTint="F2"/>
                <w:spacing w:val="-4"/>
              </w:rPr>
              <w:footnoteReference w:id="8"/>
            </w:r>
            <w:r>
              <w:t>.</w:t>
            </w:r>
          </w:p>
        </w:tc>
      </w:tr>
      <w:tr w:rsidR="009E674A" w14:paraId="64F2588E" w14:textId="77777777" w:rsidTr="006F668F">
        <w:trPr>
          <w:trHeight w:val="145"/>
        </w:trPr>
        <w:tc>
          <w:tcPr>
            <w:tcW w:w="1976" w:type="dxa"/>
            <w:tcBorders>
              <w:top w:val="nil"/>
              <w:left w:val="nil"/>
              <w:bottom w:val="nil"/>
              <w:right w:val="nil"/>
            </w:tcBorders>
          </w:tcPr>
          <w:p w14:paraId="69A18144" w14:textId="77777777" w:rsidR="009E674A" w:rsidRDefault="009E674A" w:rsidP="006F668F">
            <w:pPr>
              <w:pStyle w:val="Marginlie"/>
            </w:pPr>
            <w:r>
              <w:t xml:space="preserve">Celková odpracovaná doba se dále zvyšovala dynamičtěji než zaměstnanost, hlavně ve službách </w:t>
            </w:r>
            <w:r w:rsidR="00BC7833">
              <w:t>a </w:t>
            </w:r>
            <w:r>
              <w:t>primárním sektoru.</w:t>
            </w:r>
          </w:p>
        </w:tc>
        <w:tc>
          <w:tcPr>
            <w:tcW w:w="277" w:type="dxa"/>
            <w:tcBorders>
              <w:top w:val="nil"/>
              <w:left w:val="nil"/>
              <w:bottom w:val="nil"/>
              <w:right w:val="nil"/>
            </w:tcBorders>
          </w:tcPr>
          <w:p w14:paraId="73E9097B"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E1DB695" w14:textId="52570868" w:rsidR="009E674A" w:rsidRPr="00140C7B" w:rsidRDefault="009E674A" w:rsidP="006F668F">
            <w:pPr>
              <w:spacing w:after="220"/>
            </w:pPr>
            <w:r>
              <w:t xml:space="preserve">Počet odpracovaných hodin všemi zaměstnanými osobami v ekonomice se loni navýšil </w:t>
            </w:r>
            <w:r w:rsidR="00BC7833">
              <w:t>o </w:t>
            </w:r>
            <w:r>
              <w:t>1,5</w:t>
            </w:r>
            <w:r w:rsidR="006454CC">
              <w:t> %</w:t>
            </w:r>
            <w:r>
              <w:t xml:space="preserve"> (obdobným tempem </w:t>
            </w:r>
            <w:r w:rsidR="00BC7833">
              <w:t>u </w:t>
            </w:r>
            <w:r>
              <w:t xml:space="preserve">zaměstnanců </w:t>
            </w:r>
            <w:r w:rsidR="00BC7833">
              <w:t>i </w:t>
            </w:r>
            <w:r>
              <w:t>sebezaměstnaných</w:t>
            </w:r>
            <w:r>
              <w:rPr>
                <w:rStyle w:val="Znakapoznpodarou"/>
                <w:rFonts w:cs="Arial"/>
                <w:color w:val="0D0D0D" w:themeColor="text1" w:themeTint="F2"/>
                <w:spacing w:val="-4"/>
              </w:rPr>
              <w:footnoteReference w:id="9"/>
            </w:r>
            <w:r>
              <w:t xml:space="preserve">). Byť meziroční tempo již druhým rokem klesalo, růst celkové zaměstnanosti stále převyšovalo. To platilo hlavně ve službách </w:t>
            </w:r>
            <w:r w:rsidR="00BC7833">
              <w:t>a </w:t>
            </w:r>
            <w:r>
              <w:t xml:space="preserve">také </w:t>
            </w:r>
            <w:r w:rsidR="00AC0FD3">
              <w:t>v </w:t>
            </w:r>
            <w:r>
              <w:t xml:space="preserve">primárním sektoru ekonomiky. Růst odpracované doby souvisel se skutečností, že při nedostatečné nabídce nových pracovníků na tuzemském trhu </w:t>
            </w:r>
            <w:r w:rsidR="00AC0FD3">
              <w:t xml:space="preserve">podniky </w:t>
            </w:r>
            <w:r>
              <w:t xml:space="preserve">patrně </w:t>
            </w:r>
            <w:r w:rsidR="00AC0FD3">
              <w:t xml:space="preserve">více </w:t>
            </w:r>
            <w:r>
              <w:t xml:space="preserve">využívaly přesčasové práce. Mírně se zvýšil také podíl osob majících dvě </w:t>
            </w:r>
            <w:r w:rsidR="00BC7833">
              <w:t>a </w:t>
            </w:r>
            <w:r>
              <w:t xml:space="preserve">více zaměstnání. V opačném směru působil tlak na častější využívání zkrácených úvazků, zejména </w:t>
            </w:r>
            <w:r w:rsidR="00BC7833">
              <w:t>u </w:t>
            </w:r>
            <w:r>
              <w:t>žen.</w:t>
            </w:r>
          </w:p>
        </w:tc>
      </w:tr>
      <w:tr w:rsidR="009E674A" w14:paraId="1B427229" w14:textId="77777777" w:rsidTr="006F668F">
        <w:trPr>
          <w:trHeight w:val="145"/>
        </w:trPr>
        <w:tc>
          <w:tcPr>
            <w:tcW w:w="1976" w:type="dxa"/>
            <w:tcBorders>
              <w:top w:val="nil"/>
              <w:left w:val="nil"/>
              <w:bottom w:val="nil"/>
              <w:right w:val="nil"/>
            </w:tcBorders>
          </w:tcPr>
          <w:p w14:paraId="403C250A" w14:textId="640561AF" w:rsidR="009E674A" w:rsidRDefault="009E674A" w:rsidP="006F668F">
            <w:pPr>
              <w:pStyle w:val="Marginlie"/>
            </w:pPr>
            <w:r>
              <w:t xml:space="preserve">Růst celkové zaměstnanosti </w:t>
            </w:r>
            <w:r w:rsidR="001B11D8">
              <w:t xml:space="preserve">táhli </w:t>
            </w:r>
            <w:r>
              <w:t>nejen zaměstnanci</w:t>
            </w:r>
            <w:r w:rsidR="00947BA9">
              <w:t>,</w:t>
            </w:r>
            <w:r>
              <w:t xml:space="preserve"> ale </w:t>
            </w:r>
            <w:r w:rsidR="00BC7833">
              <w:t>i </w:t>
            </w:r>
            <w:r>
              <w:t>sebezaměstnaní, jichž ale přibylo jen velmi mírně.</w:t>
            </w:r>
          </w:p>
        </w:tc>
        <w:tc>
          <w:tcPr>
            <w:tcW w:w="277" w:type="dxa"/>
            <w:tcBorders>
              <w:top w:val="nil"/>
              <w:left w:val="nil"/>
              <w:bottom w:val="nil"/>
              <w:right w:val="nil"/>
            </w:tcBorders>
          </w:tcPr>
          <w:p w14:paraId="5E65C83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01BF1983" w14:textId="1A376B56" w:rsidR="009E674A" w:rsidRPr="00140C7B" w:rsidRDefault="009E674A" w:rsidP="00744D09">
            <w:pPr>
              <w:spacing w:after="200"/>
            </w:pPr>
            <w:r>
              <w:t xml:space="preserve">Podobně jako v roce 2017 </w:t>
            </w:r>
            <w:r w:rsidR="00BC7833">
              <w:t>i </w:t>
            </w:r>
            <w:r>
              <w:t xml:space="preserve">loni celkovou zaměstnanost poháněly vyšší počty jak zaměstnanců, tak sebezaměstnaných. Vliv zaměstnanců ale zůstal výrazně dominantní, neboť drobných podnikatelů loni meziročně přibylo jen </w:t>
            </w:r>
            <w:r w:rsidR="006B5F4A">
              <w:t>o </w:t>
            </w:r>
            <w:r>
              <w:t>0,3</w:t>
            </w:r>
            <w:r w:rsidR="006454CC">
              <w:t> %</w:t>
            </w:r>
            <w:r>
              <w:t xml:space="preserve"> (po přepočtu na plné úvazky). Ti významněji posílili jen v odvětví obchodu (+6,6</w:t>
            </w:r>
            <w:r w:rsidR="006454CC">
              <w:t> %</w:t>
            </w:r>
            <w:r>
              <w:t xml:space="preserve">) a v profesních, vědeckých </w:t>
            </w:r>
            <w:r w:rsidR="00BC7833">
              <w:t>a </w:t>
            </w:r>
            <w:r>
              <w:t>technických činnostech (+5,7</w:t>
            </w:r>
            <w:r w:rsidR="006454CC">
              <w:t> %</w:t>
            </w:r>
            <w:r>
              <w:t>). K vyššímu počtu všech zaměstnanců (+1,5</w:t>
            </w:r>
            <w:r w:rsidR="006454CC">
              <w:t> %</w:t>
            </w:r>
            <w:r>
              <w:t>) přispěla bezmála ze tří pětin sílící odvětví tržních služeb</w:t>
            </w:r>
            <w:r>
              <w:rPr>
                <w:rStyle w:val="Znakapoznpodarou"/>
                <w:rFonts w:cs="Arial"/>
                <w:color w:val="0D0D0D" w:themeColor="text1" w:themeTint="F2"/>
                <w:spacing w:val="-4"/>
              </w:rPr>
              <w:footnoteReference w:id="10"/>
            </w:r>
            <w:r>
              <w:t xml:space="preserve"> (+2,2</w:t>
            </w:r>
            <w:r w:rsidR="006454CC">
              <w:t> %</w:t>
            </w:r>
            <w:r>
              <w:t xml:space="preserve">). Naopak v průmyslu, jenž poskytuje uplatnění téměř třetině všech </w:t>
            </w:r>
            <w:r>
              <w:lastRenderedPageBreak/>
              <w:t>zaměstnanců, rostl jejich počet nejpomaleji za posledních pět let (+1,0</w:t>
            </w:r>
            <w:r w:rsidR="006454CC">
              <w:t> %</w:t>
            </w:r>
            <w:r>
              <w:t>) a k posílení počtu všech zaměstnanců přispěl jen 0,3</w:t>
            </w:r>
            <w:r w:rsidR="006454CC">
              <w:t> p. b.</w:t>
            </w:r>
          </w:p>
        </w:tc>
      </w:tr>
      <w:tr w:rsidR="009E674A" w14:paraId="072595DE" w14:textId="77777777" w:rsidTr="006F668F">
        <w:trPr>
          <w:trHeight w:val="145"/>
        </w:trPr>
        <w:tc>
          <w:tcPr>
            <w:tcW w:w="1976" w:type="dxa"/>
            <w:tcBorders>
              <w:top w:val="nil"/>
              <w:left w:val="nil"/>
              <w:bottom w:val="nil"/>
              <w:right w:val="nil"/>
            </w:tcBorders>
          </w:tcPr>
          <w:p w14:paraId="5F2251E2" w14:textId="77777777" w:rsidR="009E674A" w:rsidRDefault="009E674A" w:rsidP="006F668F">
            <w:pPr>
              <w:pStyle w:val="Marginlie"/>
            </w:pPr>
          </w:p>
        </w:tc>
        <w:tc>
          <w:tcPr>
            <w:tcW w:w="277" w:type="dxa"/>
            <w:tcBorders>
              <w:top w:val="nil"/>
              <w:left w:val="nil"/>
              <w:bottom w:val="nil"/>
              <w:right w:val="nil"/>
            </w:tcBorders>
          </w:tcPr>
          <w:p w14:paraId="42AC246B"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0FDE420" w14:textId="48488C3B" w:rsidR="009E674A" w:rsidRDefault="009E674A" w:rsidP="006F668F">
            <w:pPr>
              <w:spacing w:after="0"/>
              <w:jc w:val="left"/>
              <w:rPr>
                <w:rFonts w:cs="Arial"/>
                <w:color w:val="0D0D0D" w:themeColor="text1" w:themeTint="F2"/>
                <w:spacing w:val="-4"/>
              </w:rPr>
            </w:pPr>
            <w:r>
              <w:rPr>
                <w:b/>
              </w:rPr>
              <w:t xml:space="preserve">Graf </w:t>
            </w:r>
            <w:r w:rsidR="00BA35F3">
              <w:rPr>
                <w:b/>
              </w:rPr>
              <w:t>č. </w:t>
            </w:r>
            <w:r>
              <w:rPr>
                <w:b/>
              </w:rPr>
              <w:t>4</w:t>
            </w:r>
            <w:r w:rsidR="009A4F91">
              <w:rPr>
                <w:b/>
              </w:rPr>
              <w:t xml:space="preserve"> </w:t>
            </w:r>
            <w:r>
              <w:rPr>
                <w:b/>
              </w:rPr>
              <w:t xml:space="preserve"> Celková zaměstnanost, zaměstnanci </w:t>
            </w:r>
            <w:r w:rsidR="00BC7833">
              <w:rPr>
                <w:b/>
              </w:rPr>
              <w:t>a </w:t>
            </w:r>
            <w:r>
              <w:rPr>
                <w:b/>
              </w:rPr>
              <w:t xml:space="preserve">sebezaměstnaní vyjádření počtem osob </w:t>
            </w:r>
            <w:r w:rsidR="00BC7833">
              <w:rPr>
                <w:b/>
              </w:rPr>
              <w:t>a </w:t>
            </w:r>
            <w:r>
              <w:rPr>
                <w:b/>
              </w:rPr>
              <w:t xml:space="preserve">jimi </w:t>
            </w:r>
            <w:r w:rsidR="00CE760D">
              <w:rPr>
                <w:b/>
              </w:rPr>
              <w:t xml:space="preserve">odpracovaných </w:t>
            </w:r>
            <w:r>
              <w:rPr>
                <w:b/>
              </w:rPr>
              <w:t>hodin</w:t>
            </w:r>
            <w:r w:rsidRPr="006C1F6D">
              <w:t xml:space="preserve"> (</w:t>
            </w:r>
            <w:r>
              <w:t>meziročně v</w:t>
            </w:r>
            <w:r w:rsidR="006454CC">
              <w:t> %</w:t>
            </w:r>
            <w:r w:rsidRPr="006C1F6D">
              <w:t>)</w:t>
            </w:r>
          </w:p>
        </w:tc>
      </w:tr>
      <w:tr w:rsidR="009E674A" w14:paraId="6C4A32B2" w14:textId="77777777" w:rsidTr="006F668F">
        <w:tblPrEx>
          <w:tblCellMar>
            <w:left w:w="70" w:type="dxa"/>
            <w:right w:w="70" w:type="dxa"/>
          </w:tblCellMar>
        </w:tblPrEx>
        <w:trPr>
          <w:trHeight w:val="145"/>
        </w:trPr>
        <w:tc>
          <w:tcPr>
            <w:tcW w:w="1976" w:type="dxa"/>
            <w:tcBorders>
              <w:top w:val="nil"/>
              <w:left w:val="nil"/>
              <w:bottom w:val="nil"/>
              <w:right w:val="nil"/>
            </w:tcBorders>
          </w:tcPr>
          <w:p w14:paraId="47F30AE3" w14:textId="77777777" w:rsidR="009E674A" w:rsidRDefault="009E674A" w:rsidP="006F668F">
            <w:pPr>
              <w:pStyle w:val="Marginlie"/>
            </w:pPr>
          </w:p>
        </w:tc>
        <w:tc>
          <w:tcPr>
            <w:tcW w:w="277" w:type="dxa"/>
            <w:tcBorders>
              <w:top w:val="nil"/>
              <w:left w:val="nil"/>
              <w:bottom w:val="nil"/>
              <w:right w:val="nil"/>
            </w:tcBorders>
          </w:tcPr>
          <w:p w14:paraId="51F58ADE"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53DD4FC6" w14:textId="77777777" w:rsidR="009E674A" w:rsidRDefault="009E674A" w:rsidP="006F668F">
            <w:pPr>
              <w:spacing w:after="0" w:line="240" w:lineRule="auto"/>
              <w:rPr>
                <w:rFonts w:cs="Arial"/>
                <w:color w:val="0D0D0D" w:themeColor="text1" w:themeTint="F2"/>
                <w:spacing w:val="-4"/>
              </w:rPr>
            </w:pPr>
            <w:r>
              <w:rPr>
                <w:noProof/>
              </w:rPr>
              <w:drawing>
                <wp:inline distT="0" distB="0" distL="0" distR="0" wp14:anchorId="722873B9" wp14:editId="14EC6C1B">
                  <wp:extent cx="4538813" cy="3470805"/>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E674A" w14:paraId="2E490F7B" w14:textId="77777777" w:rsidTr="006F668F">
        <w:trPr>
          <w:trHeight w:val="145"/>
        </w:trPr>
        <w:tc>
          <w:tcPr>
            <w:tcW w:w="1976" w:type="dxa"/>
            <w:tcBorders>
              <w:top w:val="nil"/>
              <w:left w:val="nil"/>
              <w:bottom w:val="nil"/>
              <w:right w:val="nil"/>
            </w:tcBorders>
          </w:tcPr>
          <w:p w14:paraId="7587D9B6" w14:textId="77777777" w:rsidR="009E674A" w:rsidRDefault="009E674A" w:rsidP="006F668F">
            <w:pPr>
              <w:pStyle w:val="Marginlie"/>
            </w:pPr>
          </w:p>
        </w:tc>
        <w:tc>
          <w:tcPr>
            <w:tcW w:w="277" w:type="dxa"/>
            <w:tcBorders>
              <w:top w:val="nil"/>
              <w:left w:val="nil"/>
              <w:bottom w:val="nil"/>
              <w:right w:val="nil"/>
            </w:tcBorders>
          </w:tcPr>
          <w:p w14:paraId="77B80F7A"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B36BEF8" w14:textId="77777777" w:rsidR="009E674A" w:rsidRDefault="009E674A" w:rsidP="006F668F">
            <w:pPr>
              <w:rPr>
                <w:rFonts w:cs="Arial"/>
                <w:color w:val="0D0D0D" w:themeColor="text1" w:themeTint="F2"/>
                <w:spacing w:val="-4"/>
              </w:rPr>
            </w:pPr>
            <w:r w:rsidRPr="00444E6D">
              <w:rPr>
                <w:rFonts w:cs="Arial"/>
                <w:sz w:val="14"/>
                <w:szCs w:val="14"/>
              </w:rPr>
              <w:t xml:space="preserve">Zdroj: </w:t>
            </w:r>
            <w:r>
              <w:rPr>
                <w:rFonts w:cs="Arial"/>
                <w:sz w:val="14"/>
                <w:szCs w:val="14"/>
              </w:rPr>
              <w:t>ČSÚ (národní účty)</w:t>
            </w:r>
          </w:p>
        </w:tc>
      </w:tr>
      <w:tr w:rsidR="009E674A" w14:paraId="581F2554" w14:textId="77777777" w:rsidTr="006F668F">
        <w:trPr>
          <w:trHeight w:val="145"/>
        </w:trPr>
        <w:tc>
          <w:tcPr>
            <w:tcW w:w="1976" w:type="dxa"/>
            <w:tcBorders>
              <w:top w:val="nil"/>
              <w:left w:val="nil"/>
              <w:bottom w:val="nil"/>
              <w:right w:val="nil"/>
            </w:tcBorders>
          </w:tcPr>
          <w:p w14:paraId="43E39E00" w14:textId="77777777" w:rsidR="009E674A" w:rsidRPr="000B3163" w:rsidRDefault="009E674A" w:rsidP="006F668F">
            <w:pPr>
              <w:pStyle w:val="Marginlie"/>
              <w:rPr>
                <w:spacing w:val="0"/>
              </w:rPr>
            </w:pPr>
            <w:r>
              <w:rPr>
                <w:spacing w:val="0"/>
              </w:rPr>
              <w:t>Růst počtu zaměstnanců v průmyslu již třetím rokem slábl,…</w:t>
            </w:r>
          </w:p>
        </w:tc>
        <w:tc>
          <w:tcPr>
            <w:tcW w:w="277" w:type="dxa"/>
            <w:tcBorders>
              <w:top w:val="nil"/>
              <w:left w:val="nil"/>
              <w:bottom w:val="nil"/>
              <w:right w:val="nil"/>
            </w:tcBorders>
          </w:tcPr>
          <w:p w14:paraId="0E31484F"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13AFBE2B" w14:textId="3041D972" w:rsidR="009E674A" w:rsidRDefault="009E674A" w:rsidP="006F668F">
            <w:pPr>
              <w:spacing w:after="220"/>
              <w:rPr>
                <w:rFonts w:cs="Arial"/>
                <w:color w:val="0D0D0D" w:themeColor="text1" w:themeTint="F2"/>
                <w:spacing w:val="-4"/>
              </w:rPr>
            </w:pPr>
            <w:r>
              <w:rPr>
                <w:rFonts w:cs="Arial"/>
                <w:color w:val="0D0D0D" w:themeColor="text1" w:themeTint="F2"/>
                <w:spacing w:val="-4"/>
              </w:rPr>
              <w:t>Ve všech odvětvích průmyslu působilo loni 1 53</w:t>
            </w:r>
            <w:r w:rsidR="00D82A1E">
              <w:rPr>
                <w:rFonts w:cs="Arial"/>
                <w:color w:val="0D0D0D" w:themeColor="text1" w:themeTint="F2"/>
                <w:spacing w:val="-4"/>
              </w:rPr>
              <w:t>1 </w:t>
            </w:r>
            <w:r>
              <w:rPr>
                <w:rFonts w:cs="Arial"/>
                <w:color w:val="0D0D0D" w:themeColor="text1" w:themeTint="F2"/>
                <w:spacing w:val="-4"/>
              </w:rPr>
              <w:t>tis. pracovníků</w:t>
            </w:r>
            <w:r>
              <w:rPr>
                <w:rStyle w:val="Znakapoznpodarou"/>
                <w:rFonts w:cs="Arial"/>
                <w:color w:val="0D0D0D" w:themeColor="text1" w:themeTint="F2"/>
                <w:spacing w:val="-4"/>
              </w:rPr>
              <w:footnoteReference w:id="11"/>
            </w:r>
            <w:r>
              <w:rPr>
                <w:rFonts w:cs="Arial"/>
                <w:color w:val="0D0D0D" w:themeColor="text1" w:themeTint="F2"/>
                <w:spacing w:val="-4"/>
              </w:rPr>
              <w:t xml:space="preserve">, meziročně se jejich počet navýšil </w:t>
            </w:r>
            <w:r w:rsidR="00BC7833">
              <w:rPr>
                <w:rFonts w:cs="Arial"/>
                <w:color w:val="0D0D0D" w:themeColor="text1" w:themeTint="F2"/>
                <w:spacing w:val="-4"/>
              </w:rPr>
              <w:t>o </w:t>
            </w:r>
            <w:r>
              <w:rPr>
                <w:rFonts w:cs="Arial"/>
                <w:color w:val="0D0D0D" w:themeColor="text1" w:themeTint="F2"/>
                <w:spacing w:val="-4"/>
              </w:rPr>
              <w:t>rovné 1</w:t>
            </w:r>
            <w:r w:rsidR="006454CC">
              <w:rPr>
                <w:rFonts w:cs="Arial"/>
                <w:color w:val="0D0D0D" w:themeColor="text1" w:themeTint="F2"/>
                <w:spacing w:val="-4"/>
              </w:rPr>
              <w:t> %</w:t>
            </w:r>
            <w:r>
              <w:rPr>
                <w:rFonts w:cs="Arial"/>
                <w:color w:val="0D0D0D" w:themeColor="text1" w:themeTint="F2"/>
                <w:spacing w:val="-4"/>
              </w:rPr>
              <w:t xml:space="preserve">. Růst podpořili nejen zaměstnanci (kde ovšem tempo již potřetí v řadě sláblo), ale </w:t>
            </w:r>
            <w:r w:rsidR="00BC7833">
              <w:rPr>
                <w:rFonts w:cs="Arial"/>
                <w:color w:val="0D0D0D" w:themeColor="text1" w:themeTint="F2"/>
                <w:spacing w:val="-4"/>
              </w:rPr>
              <w:t>i </w:t>
            </w:r>
            <w:r>
              <w:rPr>
                <w:rFonts w:cs="Arial"/>
                <w:color w:val="0D0D0D" w:themeColor="text1" w:themeTint="F2"/>
                <w:spacing w:val="-4"/>
              </w:rPr>
              <w:t xml:space="preserve">drobní podnikatelé, </w:t>
            </w:r>
            <w:r w:rsidR="00BC7833">
              <w:rPr>
                <w:rFonts w:cs="Arial"/>
                <w:color w:val="0D0D0D" w:themeColor="text1" w:themeTint="F2"/>
                <w:spacing w:val="-4"/>
              </w:rPr>
              <w:t>u </w:t>
            </w:r>
            <w:r>
              <w:rPr>
                <w:rFonts w:cs="Arial"/>
                <w:color w:val="0D0D0D" w:themeColor="text1" w:themeTint="F2"/>
                <w:spacing w:val="-4"/>
              </w:rPr>
              <w:t>nichž byl jejich mírný pokles z období 2016 až 2017 zastaven. Dynamiku celkové zaměstnanosti v průmyslu vzhledem ke své váze i cyklickému charakteru výrazně ovlivňuje situace v automobilovém průmyslu</w:t>
            </w:r>
            <w:r>
              <w:rPr>
                <w:rStyle w:val="Znakapoznpodarou"/>
                <w:rFonts w:cs="Arial"/>
                <w:color w:val="0D0D0D" w:themeColor="text1" w:themeTint="F2"/>
                <w:spacing w:val="-4"/>
              </w:rPr>
              <w:footnoteReference w:id="12"/>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 xml:space="preserve">jeho nejbližších návazných </w:t>
            </w:r>
            <w:r w:rsidR="006B5F4A">
              <w:rPr>
                <w:rFonts w:cs="Arial"/>
                <w:color w:val="0D0D0D" w:themeColor="text1" w:themeTint="F2"/>
                <w:spacing w:val="-4"/>
              </w:rPr>
              <w:t>oborech</w:t>
            </w:r>
            <w:r>
              <w:rPr>
                <w:rFonts w:cs="Arial"/>
                <w:color w:val="0D0D0D" w:themeColor="text1" w:themeTint="F2"/>
                <w:spacing w:val="-4"/>
              </w:rPr>
              <w:t>.</w:t>
            </w:r>
          </w:p>
        </w:tc>
      </w:tr>
      <w:tr w:rsidR="009E674A" w14:paraId="1E85FDA3" w14:textId="77777777" w:rsidTr="006F668F">
        <w:trPr>
          <w:trHeight w:val="145"/>
        </w:trPr>
        <w:tc>
          <w:tcPr>
            <w:tcW w:w="1976" w:type="dxa"/>
            <w:tcBorders>
              <w:top w:val="nil"/>
              <w:left w:val="nil"/>
              <w:bottom w:val="nil"/>
              <w:right w:val="nil"/>
            </w:tcBorders>
          </w:tcPr>
          <w:p w14:paraId="3DE7D9B6" w14:textId="15D21327" w:rsidR="009E674A" w:rsidRDefault="009E674A" w:rsidP="006F668F">
            <w:pPr>
              <w:pStyle w:val="Marginlie"/>
              <w:rPr>
                <w:spacing w:val="0"/>
              </w:rPr>
            </w:pPr>
            <w:r>
              <w:rPr>
                <w:spacing w:val="0"/>
              </w:rPr>
              <w:t>…</w:t>
            </w:r>
            <w:r w:rsidR="006B5F4A">
              <w:rPr>
                <w:spacing w:val="0"/>
              </w:rPr>
              <w:t> </w:t>
            </w:r>
            <w:r>
              <w:rPr>
                <w:spacing w:val="0"/>
              </w:rPr>
              <w:t xml:space="preserve">především vlivem vývoje v automobilovém průmyslu </w:t>
            </w:r>
            <w:r w:rsidR="00BC7833">
              <w:rPr>
                <w:spacing w:val="0"/>
              </w:rPr>
              <w:t>a </w:t>
            </w:r>
            <w:r>
              <w:rPr>
                <w:spacing w:val="0"/>
              </w:rPr>
              <w:t>návazných oborech.</w:t>
            </w:r>
          </w:p>
          <w:p w14:paraId="0297FEED" w14:textId="77777777" w:rsidR="009E674A" w:rsidRDefault="009E674A" w:rsidP="006F668F">
            <w:pPr>
              <w:pStyle w:val="Marginlie"/>
              <w:rPr>
                <w:spacing w:val="0"/>
              </w:rPr>
            </w:pPr>
          </w:p>
          <w:p w14:paraId="1C1B7B7A" w14:textId="77777777" w:rsidR="009E674A" w:rsidRDefault="009E674A" w:rsidP="006F668F">
            <w:pPr>
              <w:pStyle w:val="Marginlie"/>
              <w:rPr>
                <w:spacing w:val="0"/>
              </w:rPr>
            </w:pPr>
          </w:p>
          <w:p w14:paraId="655CC5B2" w14:textId="77777777" w:rsidR="009E674A" w:rsidRDefault="009E674A" w:rsidP="006F668F">
            <w:pPr>
              <w:pStyle w:val="Marginlie"/>
              <w:rPr>
                <w:spacing w:val="0"/>
              </w:rPr>
            </w:pPr>
          </w:p>
          <w:p w14:paraId="33192E5B" w14:textId="77777777" w:rsidR="009E674A" w:rsidRDefault="009E674A" w:rsidP="006F668F">
            <w:pPr>
              <w:pStyle w:val="Marginlie"/>
              <w:rPr>
                <w:spacing w:val="0"/>
              </w:rPr>
            </w:pPr>
          </w:p>
          <w:p w14:paraId="68143A17" w14:textId="77777777" w:rsidR="009E674A" w:rsidRPr="000B3163" w:rsidRDefault="009E674A" w:rsidP="006F668F">
            <w:pPr>
              <w:pStyle w:val="Marginlie"/>
              <w:rPr>
                <w:spacing w:val="0"/>
              </w:rPr>
            </w:pPr>
            <w:r>
              <w:rPr>
                <w:spacing w:val="0"/>
              </w:rPr>
              <w:t>Zaměstnanost v celém průmyslu táhla loni nejvíce kovovýroba.</w:t>
            </w:r>
          </w:p>
        </w:tc>
        <w:tc>
          <w:tcPr>
            <w:tcW w:w="277" w:type="dxa"/>
            <w:tcBorders>
              <w:top w:val="nil"/>
              <w:left w:val="nil"/>
              <w:bottom w:val="nil"/>
              <w:right w:val="nil"/>
            </w:tcBorders>
          </w:tcPr>
          <w:p w14:paraId="6B0566CF"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94606F7" w14:textId="60B43BC8" w:rsidR="009E674A" w:rsidRDefault="009E674A" w:rsidP="006F668F">
            <w:pPr>
              <w:spacing w:after="220"/>
              <w:rPr>
                <w:rFonts w:cs="Arial"/>
                <w:color w:val="0D0D0D" w:themeColor="text1" w:themeTint="F2"/>
                <w:spacing w:val="-4"/>
              </w:rPr>
            </w:pPr>
            <w:r>
              <w:rPr>
                <w:rFonts w:cs="Arial"/>
                <w:color w:val="0D0D0D" w:themeColor="text1" w:themeTint="F2"/>
                <w:spacing w:val="-4"/>
              </w:rPr>
              <w:t xml:space="preserve">Zhoršení ekonomického vývoje v klíčových exportních teritoriích, riziko nárůstu regulací v mezinárodním obchodu či nutnost implementace přísnějších emisních norem vozidel si loni vybraly daň na výkonových ukazatelích odvětví </w:t>
            </w:r>
            <w:r w:rsidR="00BC7833">
              <w:rPr>
                <w:rFonts w:cs="Arial"/>
                <w:color w:val="0D0D0D" w:themeColor="text1" w:themeTint="F2"/>
                <w:spacing w:val="-4"/>
              </w:rPr>
              <w:t>a </w:t>
            </w:r>
            <w:r>
              <w:rPr>
                <w:rFonts w:cs="Arial"/>
                <w:color w:val="0D0D0D" w:themeColor="text1" w:themeTint="F2"/>
                <w:spacing w:val="-4"/>
              </w:rPr>
              <w:t xml:space="preserve">postupně ovlivnily rovněž vyhlídky </w:t>
            </w:r>
            <w:r w:rsidR="00947BA9">
              <w:rPr>
                <w:rFonts w:cs="Arial"/>
                <w:color w:val="0D0D0D" w:themeColor="text1" w:themeTint="F2"/>
                <w:spacing w:val="-4"/>
              </w:rPr>
              <w:t>i skutečnou výši</w:t>
            </w:r>
            <w:r>
              <w:rPr>
                <w:rFonts w:cs="Arial"/>
                <w:color w:val="0D0D0D" w:themeColor="text1" w:themeTint="F2"/>
                <w:spacing w:val="-4"/>
              </w:rPr>
              <w:t xml:space="preserve"> zaměstnanosti. Počet pracovníků ve výrobě motorových vozidel tak loni fakticky pouze stagnoval (předloni přitom rostl </w:t>
            </w:r>
            <w:r w:rsidR="00BC7833">
              <w:rPr>
                <w:rFonts w:cs="Arial"/>
                <w:color w:val="0D0D0D" w:themeColor="text1" w:themeTint="F2"/>
                <w:spacing w:val="-4"/>
              </w:rPr>
              <w:t>o </w:t>
            </w:r>
            <w:r>
              <w:rPr>
                <w:rFonts w:cs="Arial"/>
                <w:color w:val="0D0D0D" w:themeColor="text1" w:themeTint="F2"/>
                <w:spacing w:val="-4"/>
              </w:rPr>
              <w:t>2,8</w:t>
            </w:r>
            <w:r w:rsidR="006454CC">
              <w:rPr>
                <w:rFonts w:cs="Arial"/>
                <w:color w:val="0D0D0D" w:themeColor="text1" w:themeTint="F2"/>
                <w:spacing w:val="-4"/>
              </w:rPr>
              <w:t> %</w:t>
            </w:r>
            <w:r>
              <w:rPr>
                <w:rFonts w:cs="Arial"/>
                <w:color w:val="0D0D0D" w:themeColor="text1" w:themeTint="F2"/>
                <w:spacing w:val="-4"/>
              </w:rPr>
              <w:t xml:space="preserve">, v roce 2015 dokonce </w:t>
            </w:r>
            <w:r w:rsidR="00BC7833">
              <w:rPr>
                <w:rFonts w:cs="Arial"/>
                <w:color w:val="0D0D0D" w:themeColor="text1" w:themeTint="F2"/>
                <w:spacing w:val="-4"/>
              </w:rPr>
              <w:t>o </w:t>
            </w:r>
            <w:r>
              <w:rPr>
                <w:rFonts w:cs="Arial"/>
                <w:color w:val="0D0D0D" w:themeColor="text1" w:themeTint="F2"/>
                <w:spacing w:val="-4"/>
              </w:rPr>
              <w:t>10,8</w:t>
            </w:r>
            <w:r w:rsidR="006454CC">
              <w:rPr>
                <w:rFonts w:cs="Arial"/>
                <w:color w:val="0D0D0D" w:themeColor="text1" w:themeTint="F2"/>
                <w:spacing w:val="-4"/>
              </w:rPr>
              <w:t> %</w:t>
            </w:r>
            <w:r>
              <w:rPr>
                <w:rFonts w:cs="Arial"/>
                <w:color w:val="0D0D0D" w:themeColor="text1" w:themeTint="F2"/>
                <w:spacing w:val="-4"/>
              </w:rPr>
              <w:t xml:space="preserve">). Dřívější svižný růst byl </w:t>
            </w:r>
            <w:r w:rsidR="00826E60">
              <w:rPr>
                <w:rFonts w:cs="Arial"/>
                <w:color w:val="0D0D0D" w:themeColor="text1" w:themeTint="F2"/>
                <w:spacing w:val="-4"/>
              </w:rPr>
              <w:t>rovněž</w:t>
            </w:r>
            <w:r>
              <w:rPr>
                <w:rFonts w:cs="Arial"/>
                <w:color w:val="0D0D0D" w:themeColor="text1" w:themeTint="F2"/>
                <w:spacing w:val="-4"/>
              </w:rPr>
              <w:t xml:space="preserve"> utlumen zejména v gumárenství </w:t>
            </w:r>
            <w:r w:rsidR="00BC7833">
              <w:rPr>
                <w:rFonts w:cs="Arial"/>
                <w:color w:val="0D0D0D" w:themeColor="text1" w:themeTint="F2"/>
                <w:spacing w:val="-4"/>
              </w:rPr>
              <w:t>a </w:t>
            </w:r>
            <w:r>
              <w:rPr>
                <w:rFonts w:cs="Arial"/>
                <w:color w:val="0D0D0D" w:themeColor="text1" w:themeTint="F2"/>
                <w:spacing w:val="-4"/>
              </w:rPr>
              <w:t>také v elektrotechnickém průmyslu. Ke zrychlení došlo naopak v kovovýrobě (+2,8</w:t>
            </w:r>
            <w:r w:rsidR="006454CC">
              <w:rPr>
                <w:rFonts w:cs="Arial"/>
                <w:color w:val="0D0D0D" w:themeColor="text1" w:themeTint="F2"/>
                <w:spacing w:val="-4"/>
              </w:rPr>
              <w:t> %</w:t>
            </w:r>
            <w:r>
              <w:rPr>
                <w:rFonts w:cs="Arial"/>
                <w:color w:val="0D0D0D" w:themeColor="text1" w:themeTint="F2"/>
                <w:spacing w:val="-4"/>
              </w:rPr>
              <w:t>). Tento váhově nejvýznamnější průmyslový obor tak soustřeďoval více než 20</w:t>
            </w:r>
            <w:r w:rsidR="00D82A1E">
              <w:rPr>
                <w:rFonts w:cs="Arial"/>
                <w:color w:val="0D0D0D" w:themeColor="text1" w:themeTint="F2"/>
                <w:spacing w:val="-4"/>
              </w:rPr>
              <w:t>0 </w:t>
            </w:r>
            <w:r>
              <w:rPr>
                <w:rFonts w:cs="Arial"/>
                <w:color w:val="0D0D0D" w:themeColor="text1" w:themeTint="F2"/>
                <w:spacing w:val="-4"/>
              </w:rPr>
              <w:t>tis. pracovníků. Vysokou dynamiku tvorby nových pracovních míst dlouhodobě udržují i některé menší obory –</w:t>
            </w:r>
            <w:r w:rsidR="00826E60">
              <w:rPr>
                <w:rFonts w:cs="Arial"/>
                <w:color w:val="0D0D0D" w:themeColor="text1" w:themeTint="F2"/>
                <w:spacing w:val="-4"/>
              </w:rPr>
              <w:t> </w:t>
            </w:r>
            <w:r>
              <w:rPr>
                <w:rFonts w:cs="Arial"/>
                <w:color w:val="0D0D0D" w:themeColor="text1" w:themeTint="F2"/>
                <w:spacing w:val="-4"/>
              </w:rPr>
              <w:t>farmaceutický průmysl, ostatní zpracovatelský průmysl</w:t>
            </w:r>
            <w:r>
              <w:rPr>
                <w:rStyle w:val="Znakapoznpodarou"/>
                <w:rFonts w:cs="Arial"/>
                <w:color w:val="0D0D0D" w:themeColor="text1" w:themeTint="F2"/>
                <w:spacing w:val="-4"/>
              </w:rPr>
              <w:footnoteReference w:id="13"/>
            </w:r>
            <w:r>
              <w:rPr>
                <w:rFonts w:cs="Arial"/>
                <w:color w:val="0D0D0D" w:themeColor="text1" w:themeTint="F2"/>
                <w:spacing w:val="-4"/>
              </w:rPr>
              <w:t xml:space="preserve"> či aktivity související s odpadovým hospodářstvím.</w:t>
            </w:r>
          </w:p>
        </w:tc>
      </w:tr>
      <w:tr w:rsidR="009E674A" w14:paraId="14CF0443" w14:textId="77777777" w:rsidTr="006F668F">
        <w:trPr>
          <w:trHeight w:val="145"/>
        </w:trPr>
        <w:tc>
          <w:tcPr>
            <w:tcW w:w="1976" w:type="dxa"/>
            <w:tcBorders>
              <w:top w:val="nil"/>
              <w:left w:val="nil"/>
              <w:bottom w:val="nil"/>
              <w:right w:val="nil"/>
            </w:tcBorders>
          </w:tcPr>
          <w:p w14:paraId="156009C5" w14:textId="77777777" w:rsidR="009E674A" w:rsidRDefault="009E674A" w:rsidP="006F668F">
            <w:pPr>
              <w:pStyle w:val="Marginlie"/>
            </w:pPr>
            <w:r>
              <w:t xml:space="preserve">Dlouhodobý útlum těžebního </w:t>
            </w:r>
            <w:r w:rsidR="00BC7833">
              <w:t>i </w:t>
            </w:r>
            <w:r>
              <w:t>kožedělného průmyslu pokračoval.</w:t>
            </w:r>
          </w:p>
        </w:tc>
        <w:tc>
          <w:tcPr>
            <w:tcW w:w="277" w:type="dxa"/>
            <w:tcBorders>
              <w:top w:val="nil"/>
              <w:left w:val="nil"/>
              <w:bottom w:val="nil"/>
              <w:right w:val="nil"/>
            </w:tcBorders>
          </w:tcPr>
          <w:p w14:paraId="20637CD8"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23B93FBD" w14:textId="4C9071C5" w:rsidR="009E674A" w:rsidRPr="00610895" w:rsidRDefault="009E674A" w:rsidP="006F668F">
            <w:pPr>
              <w:spacing w:after="220"/>
              <w:rPr>
                <w:rFonts w:cs="Arial"/>
                <w:color w:val="0D0D0D" w:themeColor="text1" w:themeTint="F2"/>
                <w:spacing w:val="-4"/>
              </w:rPr>
            </w:pPr>
            <w:r>
              <w:rPr>
                <w:rFonts w:cs="Arial"/>
                <w:color w:val="0D0D0D" w:themeColor="text1" w:themeTint="F2"/>
                <w:spacing w:val="-4"/>
              </w:rPr>
              <w:t xml:space="preserve">Přestože růst zaměstnanosti v průmyslu byl v letech 2017 </w:t>
            </w:r>
            <w:r w:rsidR="00BC7833">
              <w:rPr>
                <w:rFonts w:cs="Arial"/>
                <w:color w:val="0D0D0D" w:themeColor="text1" w:themeTint="F2"/>
                <w:spacing w:val="-4"/>
              </w:rPr>
              <w:t>i </w:t>
            </w:r>
            <w:r>
              <w:rPr>
                <w:rFonts w:cs="Arial"/>
                <w:color w:val="0D0D0D" w:themeColor="text1" w:themeTint="F2"/>
                <w:spacing w:val="-4"/>
              </w:rPr>
              <w:t>2018 utlumený, existovalo jen málo oborů, které pracovní místa výrazněji ztrácely</w:t>
            </w:r>
            <w:r>
              <w:rPr>
                <w:rStyle w:val="Znakapoznpodarou"/>
                <w:rFonts w:cs="Arial"/>
                <w:color w:val="0D0D0D" w:themeColor="text1" w:themeTint="F2"/>
                <w:spacing w:val="-4"/>
              </w:rPr>
              <w:footnoteReference w:id="14"/>
            </w:r>
            <w:r>
              <w:rPr>
                <w:rFonts w:cs="Arial"/>
                <w:color w:val="0D0D0D" w:themeColor="text1" w:themeTint="F2"/>
                <w:spacing w:val="-4"/>
              </w:rPr>
              <w:t xml:space="preserve">. Šlo zejména </w:t>
            </w:r>
            <w:r w:rsidR="00BC7833">
              <w:rPr>
                <w:rFonts w:cs="Arial"/>
                <w:color w:val="0D0D0D" w:themeColor="text1" w:themeTint="F2"/>
                <w:spacing w:val="-4"/>
              </w:rPr>
              <w:t>o </w:t>
            </w:r>
            <w:r>
              <w:rPr>
                <w:rFonts w:cs="Arial"/>
                <w:color w:val="0D0D0D" w:themeColor="text1" w:themeTint="F2"/>
                <w:spacing w:val="-4"/>
              </w:rPr>
              <w:t xml:space="preserve">dlouhodobě </w:t>
            </w:r>
            <w:r>
              <w:rPr>
                <w:rFonts w:cs="Arial"/>
                <w:color w:val="0D0D0D" w:themeColor="text1" w:themeTint="F2"/>
                <w:spacing w:val="-4"/>
              </w:rPr>
              <w:lastRenderedPageBreak/>
              <w:t>útlumová odvětví –</w:t>
            </w:r>
            <w:r w:rsidR="001C04EF">
              <w:rPr>
                <w:rFonts w:cs="Arial"/>
                <w:color w:val="0D0D0D" w:themeColor="text1" w:themeTint="F2"/>
                <w:spacing w:val="-4"/>
              </w:rPr>
              <w:t> </w:t>
            </w:r>
            <w:r>
              <w:rPr>
                <w:rFonts w:cs="Arial"/>
                <w:color w:val="0D0D0D" w:themeColor="text1" w:themeTint="F2"/>
                <w:spacing w:val="-4"/>
              </w:rPr>
              <w:t xml:space="preserve">těžbu </w:t>
            </w:r>
            <w:r w:rsidR="00BC7833">
              <w:rPr>
                <w:rFonts w:cs="Arial"/>
                <w:color w:val="0D0D0D" w:themeColor="text1" w:themeTint="F2"/>
                <w:spacing w:val="-4"/>
              </w:rPr>
              <w:t>a </w:t>
            </w:r>
            <w:r>
              <w:rPr>
                <w:rFonts w:cs="Arial"/>
                <w:color w:val="0D0D0D" w:themeColor="text1" w:themeTint="F2"/>
                <w:spacing w:val="-4"/>
              </w:rPr>
              <w:t>dobývání (–5,9</w:t>
            </w:r>
            <w:r w:rsidR="006454CC">
              <w:rPr>
                <w:rFonts w:cs="Arial"/>
                <w:color w:val="0D0D0D" w:themeColor="text1" w:themeTint="F2"/>
                <w:spacing w:val="-4"/>
              </w:rPr>
              <w:t> %</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kožedělný průmysl (–13,2</w:t>
            </w:r>
            <w:r w:rsidR="006454CC">
              <w:rPr>
                <w:rFonts w:cs="Arial"/>
                <w:color w:val="0D0D0D" w:themeColor="text1" w:themeTint="F2"/>
                <w:spacing w:val="-4"/>
              </w:rPr>
              <w:t> %</w:t>
            </w:r>
            <w:r>
              <w:rPr>
                <w:rFonts w:cs="Arial"/>
                <w:color w:val="0D0D0D" w:themeColor="text1" w:themeTint="F2"/>
                <w:spacing w:val="-4"/>
              </w:rPr>
              <w:t xml:space="preserve">). Proti roku 2007 ztratila odvětví více než třetinu pracovních míst. Mírně se loni snížila zaměstnanost </w:t>
            </w:r>
            <w:r w:rsidR="00BC7833">
              <w:rPr>
                <w:rFonts w:cs="Arial"/>
                <w:color w:val="0D0D0D" w:themeColor="text1" w:themeTint="F2"/>
                <w:spacing w:val="-4"/>
              </w:rPr>
              <w:t>i v </w:t>
            </w:r>
            <w:r>
              <w:rPr>
                <w:rFonts w:cs="Arial"/>
                <w:color w:val="0D0D0D" w:themeColor="text1" w:themeTint="F2"/>
                <w:spacing w:val="-4"/>
              </w:rPr>
              <w:t xml:space="preserve">chemickém průmyslu či energetice. Jde ale </w:t>
            </w:r>
            <w:r w:rsidR="001C04EF">
              <w:rPr>
                <w:rFonts w:cs="Arial"/>
                <w:color w:val="0D0D0D" w:themeColor="text1" w:themeTint="F2"/>
                <w:spacing w:val="-4"/>
              </w:rPr>
              <w:t>o </w:t>
            </w:r>
            <w:r>
              <w:rPr>
                <w:rFonts w:cs="Arial"/>
                <w:color w:val="0D0D0D" w:themeColor="text1" w:themeTint="F2"/>
                <w:spacing w:val="-4"/>
              </w:rPr>
              <w:t>odvětví, kde zůstává zaměstnanost dlouhodobě stabilizovaná</w:t>
            </w:r>
            <w:r w:rsidR="001C04EF">
              <w:rPr>
                <w:rFonts w:cs="Arial"/>
                <w:color w:val="0D0D0D" w:themeColor="text1" w:themeTint="F2"/>
                <w:spacing w:val="-4"/>
              </w:rPr>
              <w:t>,</w:t>
            </w:r>
            <w:r>
              <w:rPr>
                <w:rFonts w:cs="Arial"/>
                <w:color w:val="0D0D0D" w:themeColor="text1" w:themeTint="F2"/>
                <w:spacing w:val="-4"/>
              </w:rPr>
              <w:t xml:space="preserve"> </w:t>
            </w:r>
            <w:r w:rsidR="00BC7833">
              <w:rPr>
                <w:rFonts w:cs="Arial"/>
                <w:color w:val="0D0D0D" w:themeColor="text1" w:themeTint="F2"/>
                <w:spacing w:val="-4"/>
              </w:rPr>
              <w:t>a </w:t>
            </w:r>
            <w:r>
              <w:rPr>
                <w:rFonts w:cs="Arial"/>
                <w:color w:val="0D0D0D" w:themeColor="text1" w:themeTint="F2"/>
                <w:spacing w:val="-4"/>
              </w:rPr>
              <w:t>v období od konce poslední recese dokonce narůstala.</w:t>
            </w:r>
          </w:p>
        </w:tc>
      </w:tr>
      <w:tr w:rsidR="009E674A" w:rsidRPr="005A2E40" w14:paraId="4D89DA48" w14:textId="77777777" w:rsidTr="006F668F">
        <w:trPr>
          <w:trHeight w:val="429"/>
        </w:trPr>
        <w:tc>
          <w:tcPr>
            <w:tcW w:w="1976" w:type="dxa"/>
            <w:tcBorders>
              <w:top w:val="nil"/>
              <w:left w:val="nil"/>
              <w:bottom w:val="nil"/>
              <w:right w:val="nil"/>
            </w:tcBorders>
          </w:tcPr>
          <w:p w14:paraId="64E34692" w14:textId="77777777" w:rsidR="009E674A" w:rsidRPr="00106639" w:rsidRDefault="009E674A" w:rsidP="006F668F">
            <w:pPr>
              <w:pStyle w:val="Marginlie"/>
            </w:pPr>
          </w:p>
        </w:tc>
        <w:tc>
          <w:tcPr>
            <w:tcW w:w="277" w:type="dxa"/>
            <w:tcBorders>
              <w:top w:val="nil"/>
              <w:left w:val="nil"/>
              <w:bottom w:val="nil"/>
              <w:right w:val="nil"/>
            </w:tcBorders>
          </w:tcPr>
          <w:p w14:paraId="7E172CC5"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5A1D8AAF" w14:textId="2110EED1" w:rsidR="009E674A" w:rsidRDefault="009E674A" w:rsidP="006F668F">
            <w:pPr>
              <w:spacing w:after="0"/>
              <w:rPr>
                <w:b/>
                <w:spacing w:val="-5"/>
              </w:rPr>
            </w:pPr>
            <w:r>
              <w:rPr>
                <w:b/>
                <w:spacing w:val="-5"/>
              </w:rPr>
              <w:t xml:space="preserve">Graf </w:t>
            </w:r>
            <w:r w:rsidR="00BA35F3">
              <w:rPr>
                <w:b/>
                <w:spacing w:val="-5"/>
              </w:rPr>
              <w:t>č. </w:t>
            </w:r>
            <w:r w:rsidR="00BC7833">
              <w:rPr>
                <w:b/>
                <w:spacing w:val="-5"/>
              </w:rPr>
              <w:t>5</w:t>
            </w:r>
            <w:r w:rsidR="009F47E7">
              <w:rPr>
                <w:b/>
                <w:spacing w:val="-5"/>
              </w:rPr>
              <w:t xml:space="preserve">  </w:t>
            </w:r>
            <w:r>
              <w:rPr>
                <w:b/>
                <w:spacing w:val="-5"/>
              </w:rPr>
              <w:t xml:space="preserve">Celková zaměstnanost v průmyslu </w:t>
            </w:r>
            <w:r w:rsidR="00BC7833">
              <w:rPr>
                <w:b/>
                <w:spacing w:val="-5"/>
              </w:rPr>
              <w:t>a </w:t>
            </w:r>
            <w:r>
              <w:rPr>
                <w:b/>
                <w:spacing w:val="-5"/>
              </w:rPr>
              <w:t xml:space="preserve">jeho dílčích </w:t>
            </w:r>
            <w:r w:rsidR="00CE760D">
              <w:rPr>
                <w:b/>
                <w:spacing w:val="-5"/>
              </w:rPr>
              <w:t>odvětvích</w:t>
            </w:r>
          </w:p>
          <w:p w14:paraId="3A5E4500" w14:textId="55DA4FCF" w:rsidR="009E674A" w:rsidRPr="00257FB1" w:rsidRDefault="009E674A" w:rsidP="006F668F">
            <w:pPr>
              <w:spacing w:after="0"/>
              <w:rPr>
                <w:spacing w:val="-5"/>
              </w:rPr>
            </w:pPr>
            <w:r w:rsidRPr="00977140">
              <w:rPr>
                <w:spacing w:val="-5"/>
              </w:rPr>
              <w:t>(</w:t>
            </w:r>
            <w:r>
              <w:rPr>
                <w:spacing w:val="-5"/>
              </w:rPr>
              <w:t>příspěvky k meziročnímu růstu v p. b.)</w:t>
            </w:r>
          </w:p>
        </w:tc>
      </w:tr>
      <w:tr w:rsidR="009E674A" w14:paraId="20EF9CAE" w14:textId="77777777" w:rsidTr="006F668F">
        <w:tblPrEx>
          <w:tblCellMar>
            <w:left w:w="70" w:type="dxa"/>
            <w:right w:w="70" w:type="dxa"/>
          </w:tblCellMar>
        </w:tblPrEx>
        <w:trPr>
          <w:trHeight w:val="429"/>
        </w:trPr>
        <w:tc>
          <w:tcPr>
            <w:tcW w:w="1976" w:type="dxa"/>
            <w:tcBorders>
              <w:top w:val="nil"/>
              <w:left w:val="nil"/>
              <w:bottom w:val="nil"/>
              <w:right w:val="nil"/>
            </w:tcBorders>
          </w:tcPr>
          <w:p w14:paraId="3C87C85C" w14:textId="77777777" w:rsidR="009E674A" w:rsidRPr="00106639" w:rsidRDefault="009E674A" w:rsidP="006F668F">
            <w:pPr>
              <w:pStyle w:val="Marginlie"/>
            </w:pPr>
          </w:p>
        </w:tc>
        <w:tc>
          <w:tcPr>
            <w:tcW w:w="277" w:type="dxa"/>
            <w:tcBorders>
              <w:top w:val="nil"/>
              <w:left w:val="nil"/>
              <w:bottom w:val="nil"/>
              <w:right w:val="nil"/>
            </w:tcBorders>
          </w:tcPr>
          <w:p w14:paraId="401E40D9"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3AA8CFC" w14:textId="77777777" w:rsidR="009E674A" w:rsidRDefault="009E674A" w:rsidP="006F668F">
            <w:pPr>
              <w:spacing w:after="0"/>
            </w:pPr>
            <w:r w:rsidRPr="00273569">
              <w:rPr>
                <w:noProof/>
              </w:rPr>
              <w:drawing>
                <wp:inline distT="0" distB="0" distL="0" distR="0" wp14:anchorId="4CFC10DD" wp14:editId="7D1FCBF1">
                  <wp:extent cx="4621219" cy="3412493"/>
                  <wp:effectExtent l="0" t="0" r="0" b="0"/>
                  <wp:docPr id="2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9E674A" w:rsidRPr="005A2E40" w14:paraId="5D72DBA9" w14:textId="77777777" w:rsidTr="006F668F">
        <w:trPr>
          <w:trHeight w:val="429"/>
        </w:trPr>
        <w:tc>
          <w:tcPr>
            <w:tcW w:w="1976" w:type="dxa"/>
            <w:tcBorders>
              <w:top w:val="nil"/>
              <w:left w:val="nil"/>
              <w:bottom w:val="nil"/>
              <w:right w:val="nil"/>
            </w:tcBorders>
          </w:tcPr>
          <w:p w14:paraId="235A7FBA" w14:textId="77777777" w:rsidR="009E674A" w:rsidRPr="00106639" w:rsidRDefault="009E674A" w:rsidP="006F668F">
            <w:pPr>
              <w:pStyle w:val="Marginlie"/>
            </w:pPr>
          </w:p>
        </w:tc>
        <w:tc>
          <w:tcPr>
            <w:tcW w:w="277" w:type="dxa"/>
            <w:tcBorders>
              <w:top w:val="nil"/>
              <w:left w:val="nil"/>
              <w:bottom w:val="nil"/>
              <w:right w:val="nil"/>
            </w:tcBorders>
          </w:tcPr>
          <w:p w14:paraId="61E2C51B"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53B08209" w14:textId="77777777" w:rsidR="009E674A" w:rsidRDefault="009E674A" w:rsidP="006F668F">
            <w:pPr>
              <w:spacing w:after="0"/>
              <w:rPr>
                <w:rFonts w:cs="Arial"/>
                <w:sz w:val="14"/>
                <w:szCs w:val="14"/>
              </w:rPr>
            </w:pPr>
            <w:r>
              <w:rPr>
                <w:rFonts w:cs="Arial"/>
                <w:sz w:val="14"/>
                <w:szCs w:val="14"/>
              </w:rPr>
              <w:t xml:space="preserve">Poznámka: počet zaměstnaných je uveden </w:t>
            </w:r>
            <w:r w:rsidR="00BC7833">
              <w:rPr>
                <w:rFonts w:cs="Arial"/>
                <w:sz w:val="14"/>
                <w:szCs w:val="14"/>
              </w:rPr>
              <w:t>v </w:t>
            </w:r>
            <w:r>
              <w:rPr>
                <w:rFonts w:cs="Arial"/>
                <w:sz w:val="14"/>
                <w:szCs w:val="14"/>
              </w:rPr>
              <w:t>přepočtu na plnou pracovní dobu.</w:t>
            </w:r>
          </w:p>
          <w:p w14:paraId="35797C52" w14:textId="05277051" w:rsidR="009E674A" w:rsidRDefault="009E674A" w:rsidP="006F668F">
            <w:pPr>
              <w:spacing w:after="0"/>
              <w:rPr>
                <w:rFonts w:cs="Arial"/>
                <w:sz w:val="14"/>
                <w:szCs w:val="14"/>
              </w:rPr>
            </w:pPr>
            <w:r>
              <w:rPr>
                <w:rFonts w:cs="Arial"/>
                <w:sz w:val="14"/>
                <w:szCs w:val="14"/>
              </w:rPr>
              <w:t xml:space="preserve">*Ostatní průmyslové obory zahrnují: </w:t>
            </w:r>
            <w:r w:rsidRPr="00090679">
              <w:rPr>
                <w:rFonts w:cs="Arial"/>
                <w:sz w:val="14"/>
                <w:szCs w:val="14"/>
              </w:rPr>
              <w:t xml:space="preserve">Tisk </w:t>
            </w:r>
            <w:r w:rsidR="00BC7833" w:rsidRPr="00090679">
              <w:rPr>
                <w:rFonts w:cs="Arial"/>
                <w:sz w:val="14"/>
                <w:szCs w:val="14"/>
              </w:rPr>
              <w:t>a</w:t>
            </w:r>
            <w:r w:rsidR="00BC7833">
              <w:rPr>
                <w:rFonts w:cs="Arial"/>
                <w:sz w:val="14"/>
                <w:szCs w:val="14"/>
              </w:rPr>
              <w:t> </w:t>
            </w:r>
            <w:r w:rsidRPr="00090679">
              <w:rPr>
                <w:rFonts w:cs="Arial"/>
                <w:sz w:val="14"/>
                <w:szCs w:val="14"/>
              </w:rPr>
              <w:t>rozmnožování nahraných nosičů</w:t>
            </w:r>
            <w:r>
              <w:rPr>
                <w:rFonts w:cs="Arial"/>
                <w:sz w:val="14"/>
                <w:szCs w:val="14"/>
              </w:rPr>
              <w:t xml:space="preserve"> (CZ </w:t>
            </w:r>
            <w:r w:rsidR="00CE760D">
              <w:rPr>
                <w:rFonts w:cs="Arial"/>
                <w:sz w:val="14"/>
                <w:szCs w:val="14"/>
              </w:rPr>
              <w:t xml:space="preserve">NACE </w:t>
            </w:r>
            <w:r>
              <w:rPr>
                <w:rFonts w:cs="Arial"/>
                <w:sz w:val="14"/>
                <w:szCs w:val="14"/>
              </w:rPr>
              <w:t xml:space="preserve">18), </w:t>
            </w:r>
            <w:r w:rsidRPr="00090679">
              <w:rPr>
                <w:rFonts w:cs="Arial"/>
                <w:sz w:val="14"/>
                <w:szCs w:val="14"/>
              </w:rPr>
              <w:t>Výroba ostatních nekovových minerálních výrobků</w:t>
            </w:r>
            <w:r>
              <w:rPr>
                <w:rFonts w:cs="Arial"/>
                <w:sz w:val="14"/>
                <w:szCs w:val="14"/>
              </w:rPr>
              <w:t xml:space="preserve"> (23), </w:t>
            </w:r>
            <w:r w:rsidRPr="00090679">
              <w:rPr>
                <w:rFonts w:cs="Arial"/>
                <w:sz w:val="14"/>
                <w:szCs w:val="14"/>
              </w:rPr>
              <w:t>Výroba základních kovů, hutní zpracování kovů; slévárenství</w:t>
            </w:r>
            <w:r>
              <w:rPr>
                <w:rFonts w:cs="Arial"/>
                <w:sz w:val="14"/>
                <w:szCs w:val="14"/>
              </w:rPr>
              <w:t xml:space="preserve"> (24), </w:t>
            </w:r>
            <w:r w:rsidRPr="00EF1A6F">
              <w:rPr>
                <w:rFonts w:cs="Arial"/>
                <w:sz w:val="14"/>
                <w:szCs w:val="14"/>
              </w:rPr>
              <w:t>Ostatní zpracovatelský průmysl</w:t>
            </w:r>
            <w:r>
              <w:rPr>
                <w:rFonts w:cs="Arial"/>
                <w:sz w:val="14"/>
                <w:szCs w:val="14"/>
              </w:rPr>
              <w:t xml:space="preserve"> (32), </w:t>
            </w:r>
            <w:r w:rsidRPr="00EF1A6F">
              <w:rPr>
                <w:rFonts w:cs="Arial"/>
                <w:sz w:val="14"/>
                <w:szCs w:val="14"/>
              </w:rPr>
              <w:t xml:space="preserve">Opravy </w:t>
            </w:r>
            <w:r w:rsidR="00BC7833" w:rsidRPr="00EF1A6F">
              <w:rPr>
                <w:rFonts w:cs="Arial"/>
                <w:sz w:val="14"/>
                <w:szCs w:val="14"/>
              </w:rPr>
              <w:t>a</w:t>
            </w:r>
            <w:r w:rsidR="00BC7833">
              <w:rPr>
                <w:rFonts w:cs="Arial"/>
                <w:sz w:val="14"/>
                <w:szCs w:val="14"/>
              </w:rPr>
              <w:t> </w:t>
            </w:r>
            <w:r w:rsidRPr="00EF1A6F">
              <w:rPr>
                <w:rFonts w:cs="Arial"/>
                <w:sz w:val="14"/>
                <w:szCs w:val="14"/>
              </w:rPr>
              <w:t xml:space="preserve">instalace strojů </w:t>
            </w:r>
            <w:r w:rsidR="00BC7833" w:rsidRPr="00EF1A6F">
              <w:rPr>
                <w:rFonts w:cs="Arial"/>
                <w:sz w:val="14"/>
                <w:szCs w:val="14"/>
              </w:rPr>
              <w:t>a</w:t>
            </w:r>
            <w:r w:rsidR="00BC7833">
              <w:rPr>
                <w:rFonts w:cs="Arial"/>
                <w:sz w:val="14"/>
                <w:szCs w:val="14"/>
              </w:rPr>
              <w:t> </w:t>
            </w:r>
            <w:r w:rsidRPr="00EF1A6F">
              <w:rPr>
                <w:rFonts w:cs="Arial"/>
                <w:sz w:val="14"/>
                <w:szCs w:val="14"/>
              </w:rPr>
              <w:t>zařízení</w:t>
            </w:r>
            <w:r>
              <w:rPr>
                <w:rFonts w:cs="Arial"/>
                <w:sz w:val="14"/>
                <w:szCs w:val="14"/>
              </w:rPr>
              <w:t xml:space="preserve"> (33).</w:t>
            </w:r>
          </w:p>
          <w:p w14:paraId="10A32298" w14:textId="77777777" w:rsidR="009E674A" w:rsidRPr="00711FC2" w:rsidRDefault="009E674A" w:rsidP="006F668F">
            <w:pPr>
              <w:spacing w:after="220"/>
            </w:pPr>
            <w:r w:rsidRPr="00444E6D">
              <w:rPr>
                <w:rFonts w:cs="Arial"/>
                <w:sz w:val="14"/>
                <w:szCs w:val="14"/>
              </w:rPr>
              <w:t xml:space="preserve">Zdroj: </w:t>
            </w:r>
            <w:r>
              <w:rPr>
                <w:rFonts w:cs="Arial"/>
                <w:sz w:val="14"/>
                <w:szCs w:val="14"/>
              </w:rPr>
              <w:t>ČSÚ (národní účty)</w:t>
            </w:r>
          </w:p>
        </w:tc>
      </w:tr>
      <w:tr w:rsidR="009E674A" w14:paraId="2655CF56" w14:textId="77777777" w:rsidTr="006F668F">
        <w:trPr>
          <w:trHeight w:val="145"/>
        </w:trPr>
        <w:tc>
          <w:tcPr>
            <w:tcW w:w="1976" w:type="dxa"/>
            <w:tcBorders>
              <w:top w:val="nil"/>
              <w:left w:val="nil"/>
              <w:bottom w:val="nil"/>
              <w:right w:val="nil"/>
            </w:tcBorders>
          </w:tcPr>
          <w:p w14:paraId="1A61D650" w14:textId="64D9B247" w:rsidR="009E674A" w:rsidRDefault="009E674A" w:rsidP="006F668F">
            <w:pPr>
              <w:pStyle w:val="Marginlie"/>
            </w:pPr>
            <w:r>
              <w:t xml:space="preserve">Pracovníků ve stavebnictví poprvé </w:t>
            </w:r>
            <w:r w:rsidR="008018FD">
              <w:t>od</w:t>
            </w:r>
            <w:r>
              <w:t xml:space="preserve"> roku 2010 přibylo, především zásluhou rozvoje specializovaných stavebních činností.</w:t>
            </w:r>
          </w:p>
        </w:tc>
        <w:tc>
          <w:tcPr>
            <w:tcW w:w="277" w:type="dxa"/>
            <w:tcBorders>
              <w:top w:val="nil"/>
              <w:left w:val="nil"/>
              <w:bottom w:val="nil"/>
              <w:right w:val="nil"/>
            </w:tcBorders>
          </w:tcPr>
          <w:p w14:paraId="36676E77"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390595EF" w14:textId="57D64CE4" w:rsidR="009E674A" w:rsidRPr="00257FB1" w:rsidRDefault="00BC7833" w:rsidP="006F668F">
            <w:pPr>
              <w:spacing w:after="220"/>
              <w:rPr>
                <w:spacing w:val="-3"/>
              </w:rPr>
            </w:pPr>
            <w:r>
              <w:rPr>
                <w:spacing w:val="-3"/>
              </w:rPr>
              <w:t>K </w:t>
            </w:r>
            <w:r w:rsidR="009E674A">
              <w:rPr>
                <w:spacing w:val="-3"/>
              </w:rPr>
              <w:t>výraznému obratu došlo loni ve stavebnictví, kde byl přerušen osm let trvající úbytek zaměstnaných. Na rostoucí poptávku po stavebních pracích, signalizovanou v konjunkturálních šetřeních již v roce 2017, reagovali nejprve navýšením svých stavů drobní podnikatelé. Zaměstnanců pak přibylo až v loňském roce (+1,7</w:t>
            </w:r>
            <w:r w:rsidR="006454CC">
              <w:rPr>
                <w:spacing w:val="-3"/>
              </w:rPr>
              <w:t> %</w:t>
            </w:r>
            <w:r w:rsidR="009E674A">
              <w:rPr>
                <w:spacing w:val="-3"/>
              </w:rPr>
              <w:t xml:space="preserve">). K růstu v celém odvětví </w:t>
            </w:r>
            <w:r w:rsidR="008018FD">
              <w:rPr>
                <w:spacing w:val="-3"/>
              </w:rPr>
              <w:t xml:space="preserve">přispěly </w:t>
            </w:r>
            <w:r w:rsidR="009E674A">
              <w:rPr>
                <w:spacing w:val="-3"/>
              </w:rPr>
              <w:t xml:space="preserve">nejvíce specializované stavební činnosti, kde skoro polovinu pracovníků tvoří drobní podnikatelé. Poprvé od roku 2009 přibylo pozic </w:t>
            </w:r>
            <w:r>
              <w:rPr>
                <w:spacing w:val="-3"/>
              </w:rPr>
              <w:t>i </w:t>
            </w:r>
            <w:r w:rsidR="009E674A">
              <w:rPr>
                <w:spacing w:val="-3"/>
              </w:rPr>
              <w:t xml:space="preserve">ve výstavbě budov, naopak redukce pokračovaly v celé dekádě v inženýrském stavitelství (výjimkou byl rok 2015, kdy došlo ke krátkodobému nárůstu zaměstnanosti vlivem intenzivního dočerpávání evropských dotací </w:t>
            </w:r>
            <w:r>
              <w:rPr>
                <w:spacing w:val="-3"/>
              </w:rPr>
              <w:t>v </w:t>
            </w:r>
            <w:r w:rsidR="009E674A">
              <w:rPr>
                <w:spacing w:val="-3"/>
              </w:rPr>
              <w:t>oblasti dopravních staveb).</w:t>
            </w:r>
          </w:p>
        </w:tc>
      </w:tr>
      <w:tr w:rsidR="009E674A" w14:paraId="705A3391" w14:textId="77777777" w:rsidTr="006F668F">
        <w:trPr>
          <w:trHeight w:val="145"/>
        </w:trPr>
        <w:tc>
          <w:tcPr>
            <w:tcW w:w="1976" w:type="dxa"/>
            <w:tcBorders>
              <w:top w:val="nil"/>
              <w:left w:val="nil"/>
              <w:bottom w:val="nil"/>
              <w:right w:val="nil"/>
            </w:tcBorders>
          </w:tcPr>
          <w:p w14:paraId="44FFE418" w14:textId="286A4CB0" w:rsidR="009E674A" w:rsidRDefault="009E674A" w:rsidP="006F668F">
            <w:pPr>
              <w:pStyle w:val="Marginlie"/>
            </w:pPr>
            <w:r>
              <w:t>Růst zaměstnanosti v sektoru služeb dále mírně sílil. Loni výrazně zrychlila dynamika v tržních službách.</w:t>
            </w:r>
          </w:p>
        </w:tc>
        <w:tc>
          <w:tcPr>
            <w:tcW w:w="277" w:type="dxa"/>
            <w:tcBorders>
              <w:top w:val="nil"/>
              <w:left w:val="nil"/>
              <w:bottom w:val="nil"/>
              <w:right w:val="nil"/>
            </w:tcBorders>
          </w:tcPr>
          <w:p w14:paraId="27DE3BFF"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13B05FDC" w14:textId="498A385C" w:rsidR="009E674A" w:rsidRPr="00257FB1" w:rsidRDefault="00BC7833" w:rsidP="006F668F">
            <w:pPr>
              <w:spacing w:after="220"/>
              <w:rPr>
                <w:spacing w:val="-3"/>
              </w:rPr>
            </w:pPr>
            <w:r>
              <w:rPr>
                <w:spacing w:val="-3"/>
              </w:rPr>
              <w:t>V </w:t>
            </w:r>
            <w:r w:rsidR="009E674A">
              <w:rPr>
                <w:spacing w:val="-3"/>
              </w:rPr>
              <w:t>terciárním sektoru ekonomiky loni pracovalo 3 22</w:t>
            </w:r>
            <w:r w:rsidR="00D82A1E">
              <w:rPr>
                <w:spacing w:val="-3"/>
              </w:rPr>
              <w:t>9 </w:t>
            </w:r>
            <w:r w:rsidR="009E674A">
              <w:rPr>
                <w:spacing w:val="-3"/>
              </w:rPr>
              <w:t xml:space="preserve">tis. osob, dvě třetiny připadaly na tržní služby, zbývající část na odvětví s převahou veřejného sektoru. Zaměstnanost v celém sektoru služeb se zvyšovala již sedmým rokem v řadě </w:t>
            </w:r>
            <w:r>
              <w:rPr>
                <w:spacing w:val="-3"/>
              </w:rPr>
              <w:t>a </w:t>
            </w:r>
            <w:r w:rsidR="009E674A">
              <w:rPr>
                <w:spacing w:val="-3"/>
              </w:rPr>
              <w:t>vyjma roku 2015 tempo stále mírně sílilo (až na +1,7</w:t>
            </w:r>
            <w:r w:rsidR="006454CC">
              <w:rPr>
                <w:spacing w:val="-3"/>
              </w:rPr>
              <w:t> %</w:t>
            </w:r>
            <w:r w:rsidR="009E674A">
              <w:rPr>
                <w:spacing w:val="-3"/>
              </w:rPr>
              <w:t xml:space="preserve">). Jestliže zejména v letech 2016 </w:t>
            </w:r>
            <w:r>
              <w:rPr>
                <w:spacing w:val="-3"/>
              </w:rPr>
              <w:t>a </w:t>
            </w:r>
            <w:r w:rsidR="009E674A">
              <w:rPr>
                <w:spacing w:val="-3"/>
              </w:rPr>
              <w:t xml:space="preserve">2017 byl celý sektor poháněn svižným růstem v oblasti veřejných služeb, loni tuto roli </w:t>
            </w:r>
            <w:r w:rsidR="008018FD">
              <w:rPr>
                <w:spacing w:val="-3"/>
              </w:rPr>
              <w:t xml:space="preserve">převzala </w:t>
            </w:r>
            <w:r w:rsidR="009E674A">
              <w:rPr>
                <w:spacing w:val="-3"/>
              </w:rPr>
              <w:t xml:space="preserve">tržní odvětví, kde </w:t>
            </w:r>
            <w:r w:rsidR="008018FD">
              <w:rPr>
                <w:spacing w:val="-3"/>
              </w:rPr>
              <w:t xml:space="preserve">se </w:t>
            </w:r>
            <w:r w:rsidR="009E674A">
              <w:rPr>
                <w:spacing w:val="-3"/>
              </w:rPr>
              <w:t>meziročně tempo zaměstnanosti více než zdvojnásobilo na +2,1</w:t>
            </w:r>
            <w:r w:rsidR="006454CC">
              <w:rPr>
                <w:spacing w:val="-3"/>
              </w:rPr>
              <w:t> %</w:t>
            </w:r>
            <w:r w:rsidR="009E674A">
              <w:rPr>
                <w:spacing w:val="-3"/>
              </w:rPr>
              <w:t>, což bylo nejsilnější tempo od vrcholu konjunktury minulé dekády.</w:t>
            </w:r>
          </w:p>
        </w:tc>
      </w:tr>
      <w:tr w:rsidR="009E674A" w14:paraId="42BE6184" w14:textId="77777777" w:rsidTr="006F668F">
        <w:trPr>
          <w:trHeight w:val="145"/>
        </w:trPr>
        <w:tc>
          <w:tcPr>
            <w:tcW w:w="1976" w:type="dxa"/>
            <w:tcBorders>
              <w:top w:val="nil"/>
              <w:left w:val="nil"/>
              <w:bottom w:val="nil"/>
              <w:right w:val="nil"/>
            </w:tcBorders>
          </w:tcPr>
          <w:p w14:paraId="1121E9ED" w14:textId="06480A27" w:rsidR="009E674A" w:rsidRDefault="009E674A" w:rsidP="008018FD">
            <w:pPr>
              <w:pStyle w:val="Marginlie"/>
            </w:pPr>
            <w:r>
              <w:lastRenderedPageBreak/>
              <w:t xml:space="preserve">Mezi tržními odvětvími loni </w:t>
            </w:r>
            <w:r w:rsidR="008018FD">
              <w:t xml:space="preserve">rostla </w:t>
            </w:r>
            <w:r>
              <w:t xml:space="preserve">zejména </w:t>
            </w:r>
            <w:r w:rsidR="008018FD">
              <w:t xml:space="preserve">ta </w:t>
            </w:r>
            <w:r>
              <w:t>s vysokým podílem specialistů –</w:t>
            </w:r>
            <w:r w:rsidR="008018FD">
              <w:t> </w:t>
            </w:r>
            <w:r>
              <w:t xml:space="preserve">informační </w:t>
            </w:r>
            <w:r w:rsidR="00BC7833">
              <w:t>a </w:t>
            </w:r>
            <w:r>
              <w:t xml:space="preserve">komunikační činnosti či profesní, vědecké </w:t>
            </w:r>
            <w:r w:rsidR="00BC7833">
              <w:t>a </w:t>
            </w:r>
            <w:r>
              <w:t>technické činnosti.</w:t>
            </w:r>
          </w:p>
        </w:tc>
        <w:tc>
          <w:tcPr>
            <w:tcW w:w="277" w:type="dxa"/>
            <w:tcBorders>
              <w:top w:val="nil"/>
              <w:left w:val="nil"/>
              <w:bottom w:val="nil"/>
              <w:right w:val="nil"/>
            </w:tcBorders>
          </w:tcPr>
          <w:p w14:paraId="5D17E603"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78DFF4C7" w14:textId="165ACBCC" w:rsidR="009E674A" w:rsidRPr="00257FB1" w:rsidRDefault="00BC7833" w:rsidP="006F668F">
            <w:pPr>
              <w:spacing w:after="220"/>
              <w:rPr>
                <w:spacing w:val="-3"/>
              </w:rPr>
            </w:pPr>
            <w:r>
              <w:rPr>
                <w:spacing w:val="-3"/>
              </w:rPr>
              <w:t>Z </w:t>
            </w:r>
            <w:r w:rsidR="009E674A">
              <w:rPr>
                <w:spacing w:val="-3"/>
              </w:rPr>
              <w:t xml:space="preserve">tržních odvětví </w:t>
            </w:r>
            <w:r w:rsidR="008018FD">
              <w:rPr>
                <w:spacing w:val="-3"/>
              </w:rPr>
              <w:t xml:space="preserve">nabírala </w:t>
            </w:r>
            <w:r w:rsidR="009E674A">
              <w:rPr>
                <w:spacing w:val="-3"/>
              </w:rPr>
              <w:t xml:space="preserve">loni pracovníky zejména odvětví s vysokým podílem kvalifikovaného personálu (zejména specialistů). Šlo v prvé řadě </w:t>
            </w:r>
            <w:r>
              <w:rPr>
                <w:spacing w:val="-3"/>
              </w:rPr>
              <w:t>o </w:t>
            </w:r>
            <w:r w:rsidR="009E674A">
              <w:rPr>
                <w:spacing w:val="-3"/>
              </w:rPr>
              <w:t>profesní, vědecké a technické činnosti (+4,2</w:t>
            </w:r>
            <w:r w:rsidR="006454CC">
              <w:rPr>
                <w:spacing w:val="-3"/>
              </w:rPr>
              <w:t> %</w:t>
            </w:r>
            <w:r w:rsidR="00F37A7D">
              <w:rPr>
                <w:spacing w:val="-3"/>
              </w:rPr>
              <w:t>). Ta</w:t>
            </w:r>
            <w:r w:rsidR="009E674A">
              <w:rPr>
                <w:spacing w:val="-3"/>
              </w:rPr>
              <w:t xml:space="preserve"> k růstu zaměstnanos</w:t>
            </w:r>
            <w:r w:rsidR="00F37A7D">
              <w:rPr>
                <w:spacing w:val="-3"/>
              </w:rPr>
              <w:t>ti celého sektoru služeb přispěla</w:t>
            </w:r>
            <w:r w:rsidR="009E674A">
              <w:rPr>
                <w:spacing w:val="-3"/>
              </w:rPr>
              <w:t xml:space="preserve"> celou čtvrtinou. Nová pracovní místa vytváří toto odvětví dlouhodobě (za posledních deset </w:t>
            </w:r>
            <w:r w:rsidR="00120BC1">
              <w:rPr>
                <w:spacing w:val="-3"/>
              </w:rPr>
              <w:t xml:space="preserve">let </w:t>
            </w:r>
            <w:r w:rsidR="009E674A">
              <w:rPr>
                <w:spacing w:val="-3"/>
              </w:rPr>
              <w:t xml:space="preserve">se zaměstnanost zvýšila </w:t>
            </w:r>
            <w:r>
              <w:rPr>
                <w:spacing w:val="-3"/>
              </w:rPr>
              <w:t>o </w:t>
            </w:r>
            <w:r w:rsidR="009E674A">
              <w:rPr>
                <w:spacing w:val="-3"/>
              </w:rPr>
              <w:t xml:space="preserve">šestinu). To ještě více platilo </w:t>
            </w:r>
            <w:r>
              <w:rPr>
                <w:spacing w:val="-3"/>
              </w:rPr>
              <w:t>v </w:t>
            </w:r>
            <w:r w:rsidR="009E674A">
              <w:rPr>
                <w:spacing w:val="-3"/>
              </w:rPr>
              <w:t xml:space="preserve">případě informačních </w:t>
            </w:r>
            <w:r>
              <w:rPr>
                <w:spacing w:val="-3"/>
              </w:rPr>
              <w:t>a </w:t>
            </w:r>
            <w:r w:rsidR="009E674A">
              <w:rPr>
                <w:spacing w:val="-3"/>
              </w:rPr>
              <w:t>komunikačních činností, v nichž přetrvávala silná poptávka po programování, p</w:t>
            </w:r>
            <w:r w:rsidR="009E674A" w:rsidRPr="008A5596">
              <w:rPr>
                <w:spacing w:val="-3"/>
              </w:rPr>
              <w:t>oradenství v</w:t>
            </w:r>
            <w:r w:rsidR="00120BC1">
              <w:rPr>
                <w:spacing w:val="-3"/>
              </w:rPr>
              <w:t> </w:t>
            </w:r>
            <w:r w:rsidR="009E674A" w:rsidRPr="008A5596">
              <w:rPr>
                <w:spacing w:val="-3"/>
              </w:rPr>
              <w:t>oblasti</w:t>
            </w:r>
            <w:r w:rsidR="00120BC1">
              <w:rPr>
                <w:spacing w:val="-3"/>
              </w:rPr>
              <w:t> </w:t>
            </w:r>
            <w:r w:rsidR="009E674A">
              <w:rPr>
                <w:spacing w:val="-3"/>
              </w:rPr>
              <w:t xml:space="preserve">IT </w:t>
            </w:r>
            <w:r>
              <w:rPr>
                <w:spacing w:val="-3"/>
              </w:rPr>
              <w:t>i </w:t>
            </w:r>
            <w:r w:rsidR="009E674A">
              <w:rPr>
                <w:spacing w:val="-3"/>
              </w:rPr>
              <w:t>činnostech</w:t>
            </w:r>
            <w:r w:rsidR="009E674A" w:rsidRPr="008A5596">
              <w:rPr>
                <w:spacing w:val="-3"/>
              </w:rPr>
              <w:t xml:space="preserve"> </w:t>
            </w:r>
            <w:r w:rsidR="009E674A">
              <w:rPr>
                <w:spacing w:val="-3"/>
              </w:rPr>
              <w:t>souvisejících se zpracováním dat,</w:t>
            </w:r>
            <w:r w:rsidR="009E674A" w:rsidRPr="008A5596">
              <w:rPr>
                <w:spacing w:val="-3"/>
              </w:rPr>
              <w:t xml:space="preserve"> h</w:t>
            </w:r>
            <w:r w:rsidR="009E674A">
              <w:rPr>
                <w:spacing w:val="-3"/>
              </w:rPr>
              <w:t>ostingem a </w:t>
            </w:r>
            <w:r w:rsidR="009E674A" w:rsidRPr="008A5596">
              <w:rPr>
                <w:spacing w:val="-3"/>
              </w:rPr>
              <w:t>webovými portály</w:t>
            </w:r>
            <w:r w:rsidR="009E674A">
              <w:rPr>
                <w:spacing w:val="-3"/>
              </w:rPr>
              <w:t>. V posledních třech letech rostla svižně zaměstnanost i v telekomunikacích, opačn</w:t>
            </w:r>
            <w:r w:rsidR="00120BC1">
              <w:rPr>
                <w:spacing w:val="-3"/>
              </w:rPr>
              <w:t>ě</w:t>
            </w:r>
            <w:r w:rsidR="009E674A">
              <w:rPr>
                <w:spacing w:val="-3"/>
              </w:rPr>
              <w:t xml:space="preserve"> na tom byla tvorba programů </w:t>
            </w:r>
            <w:r>
              <w:rPr>
                <w:spacing w:val="-3"/>
              </w:rPr>
              <w:t>a </w:t>
            </w:r>
            <w:r w:rsidR="009E674A">
              <w:rPr>
                <w:spacing w:val="-3"/>
              </w:rPr>
              <w:t>vysílání.</w:t>
            </w:r>
          </w:p>
        </w:tc>
      </w:tr>
      <w:tr w:rsidR="009E674A" w14:paraId="7A40E643" w14:textId="77777777" w:rsidTr="006F668F">
        <w:trPr>
          <w:trHeight w:val="145"/>
        </w:trPr>
        <w:tc>
          <w:tcPr>
            <w:tcW w:w="1976" w:type="dxa"/>
            <w:tcBorders>
              <w:top w:val="nil"/>
              <w:left w:val="nil"/>
              <w:bottom w:val="nil"/>
              <w:right w:val="nil"/>
            </w:tcBorders>
          </w:tcPr>
          <w:p w14:paraId="1CAFDC19" w14:textId="77777777" w:rsidR="009E674A" w:rsidRDefault="009E674A" w:rsidP="006F668F">
            <w:pPr>
              <w:pStyle w:val="Marginlie"/>
            </w:pPr>
            <w:r>
              <w:t>Zaměstnanost v obchodu rostla nejvíce za poslední dekádu. Pokračoval dynamický růst ve skladování.</w:t>
            </w:r>
          </w:p>
        </w:tc>
        <w:tc>
          <w:tcPr>
            <w:tcW w:w="277" w:type="dxa"/>
            <w:tcBorders>
              <w:top w:val="nil"/>
              <w:left w:val="nil"/>
              <w:bottom w:val="nil"/>
              <w:right w:val="nil"/>
            </w:tcBorders>
          </w:tcPr>
          <w:p w14:paraId="219B6813"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1F47532" w14:textId="3B86A343" w:rsidR="009E674A" w:rsidRDefault="009E674A" w:rsidP="006F668F">
            <w:pPr>
              <w:spacing w:after="220"/>
              <w:rPr>
                <w:spacing w:val="-3"/>
              </w:rPr>
            </w:pPr>
            <w:r>
              <w:rPr>
                <w:spacing w:val="-3"/>
              </w:rPr>
              <w:t xml:space="preserve">Přestože </w:t>
            </w:r>
            <w:r w:rsidR="00BC7833">
              <w:rPr>
                <w:spacing w:val="-3"/>
              </w:rPr>
              <w:t>v </w:t>
            </w:r>
            <w:r>
              <w:rPr>
                <w:spacing w:val="-3"/>
              </w:rPr>
              <w:t>klíčovém odvětví obchodu (soustřeďujícím skoro třetinu zaměstnaných v oblasti tržních služeb) přibylo jen 1,2</w:t>
            </w:r>
            <w:r w:rsidR="006454CC">
              <w:rPr>
                <w:spacing w:val="-3"/>
              </w:rPr>
              <w:t> %</w:t>
            </w:r>
            <w:r>
              <w:rPr>
                <w:spacing w:val="-3"/>
              </w:rPr>
              <w:t xml:space="preserve"> pracovníků, šlo </w:t>
            </w:r>
            <w:r w:rsidR="00BC7833">
              <w:rPr>
                <w:spacing w:val="-3"/>
              </w:rPr>
              <w:t>o </w:t>
            </w:r>
            <w:r>
              <w:rPr>
                <w:spacing w:val="-3"/>
              </w:rPr>
              <w:t xml:space="preserve">nejsilnější meziroční růst od roku 2010. Významně k tomu </w:t>
            </w:r>
            <w:r w:rsidR="00120BC1">
              <w:rPr>
                <w:spacing w:val="-3"/>
              </w:rPr>
              <w:t xml:space="preserve">přispěli </w:t>
            </w:r>
            <w:r w:rsidR="00BC7833">
              <w:rPr>
                <w:spacing w:val="-3"/>
              </w:rPr>
              <w:t>i </w:t>
            </w:r>
            <w:r w:rsidR="00120BC1">
              <w:rPr>
                <w:spacing w:val="-3"/>
              </w:rPr>
              <w:t>sebezaměstnaní</w:t>
            </w:r>
            <w:r>
              <w:rPr>
                <w:spacing w:val="-3"/>
              </w:rPr>
              <w:t xml:space="preserve">, jejichž stavy po šesti předešlých nepříznivých letech přestaly klesat. V dopravě </w:t>
            </w:r>
            <w:r w:rsidR="00BC7833">
              <w:rPr>
                <w:spacing w:val="-3"/>
              </w:rPr>
              <w:t>a </w:t>
            </w:r>
            <w:r>
              <w:rPr>
                <w:spacing w:val="-3"/>
              </w:rPr>
              <w:t xml:space="preserve">skladování se zaměstnanost zvyšovala již sedmým rokem </w:t>
            </w:r>
            <w:r w:rsidR="00120BC1">
              <w:rPr>
                <w:spacing w:val="-3"/>
              </w:rPr>
              <w:t>v </w:t>
            </w:r>
            <w:r>
              <w:rPr>
                <w:spacing w:val="-3"/>
              </w:rPr>
              <w:t>řadě (loni +2,6</w:t>
            </w:r>
            <w:r w:rsidR="006454CC">
              <w:rPr>
                <w:spacing w:val="-3"/>
              </w:rPr>
              <w:t> %</w:t>
            </w:r>
            <w:r>
              <w:rPr>
                <w:spacing w:val="-3"/>
              </w:rPr>
              <w:t>). Růst zde tradičně táhne dynamicky se rozvíjející segment skladování (od vstupu ČR do</w:t>
            </w:r>
            <w:r w:rsidR="00120BC1">
              <w:rPr>
                <w:spacing w:val="-3"/>
              </w:rPr>
              <w:t> </w:t>
            </w:r>
            <w:r>
              <w:rPr>
                <w:spacing w:val="-3"/>
              </w:rPr>
              <w:t>EU se počet pracovníků zvýšil dvaapůlkrát –</w:t>
            </w:r>
            <w:r w:rsidR="00120BC1">
              <w:rPr>
                <w:spacing w:val="-3"/>
              </w:rPr>
              <w:t> </w:t>
            </w:r>
            <w:r>
              <w:rPr>
                <w:spacing w:val="-3"/>
              </w:rPr>
              <w:t>až na 8</w:t>
            </w:r>
            <w:r w:rsidR="00D82A1E">
              <w:rPr>
                <w:spacing w:val="-3"/>
              </w:rPr>
              <w:t>6 </w:t>
            </w:r>
            <w:r>
              <w:rPr>
                <w:spacing w:val="-3"/>
              </w:rPr>
              <w:t xml:space="preserve">tis.). Od konce poslední recese přetrvává </w:t>
            </w:r>
            <w:r w:rsidR="00BC7833">
              <w:rPr>
                <w:spacing w:val="-3"/>
              </w:rPr>
              <w:t>i </w:t>
            </w:r>
            <w:r>
              <w:rPr>
                <w:spacing w:val="-3"/>
              </w:rPr>
              <w:t>mírný růst v klíčovém segmentu pozemní dopravy.</w:t>
            </w:r>
          </w:p>
        </w:tc>
      </w:tr>
      <w:tr w:rsidR="009E674A" w14:paraId="7C702992" w14:textId="77777777" w:rsidTr="006F668F">
        <w:trPr>
          <w:trHeight w:val="145"/>
        </w:trPr>
        <w:tc>
          <w:tcPr>
            <w:tcW w:w="1976" w:type="dxa"/>
            <w:tcBorders>
              <w:top w:val="nil"/>
              <w:left w:val="nil"/>
              <w:bottom w:val="nil"/>
              <w:right w:val="nil"/>
            </w:tcBorders>
          </w:tcPr>
          <w:p w14:paraId="26CE9625" w14:textId="77777777" w:rsidR="009E674A" w:rsidRDefault="009E674A" w:rsidP="006F668F">
            <w:pPr>
              <w:pStyle w:val="Marginlie"/>
            </w:pPr>
          </w:p>
        </w:tc>
        <w:tc>
          <w:tcPr>
            <w:tcW w:w="277" w:type="dxa"/>
            <w:tcBorders>
              <w:top w:val="nil"/>
              <w:left w:val="nil"/>
              <w:bottom w:val="nil"/>
              <w:right w:val="nil"/>
            </w:tcBorders>
          </w:tcPr>
          <w:p w14:paraId="5E62E261"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12939462" w14:textId="77777777" w:rsidR="009E674A" w:rsidRDefault="009E674A" w:rsidP="006F668F">
            <w:pPr>
              <w:spacing w:after="0"/>
              <w:rPr>
                <w:b/>
                <w:spacing w:val="-5"/>
              </w:rPr>
            </w:pPr>
            <w:r>
              <w:rPr>
                <w:b/>
                <w:spacing w:val="-5"/>
              </w:rPr>
              <w:t xml:space="preserve">Graf </w:t>
            </w:r>
            <w:r w:rsidR="00BA35F3">
              <w:rPr>
                <w:b/>
                <w:spacing w:val="-5"/>
              </w:rPr>
              <w:t>č. </w:t>
            </w:r>
            <w:r w:rsidR="00BC7833">
              <w:rPr>
                <w:b/>
                <w:spacing w:val="-5"/>
              </w:rPr>
              <w:t>6</w:t>
            </w:r>
            <w:r w:rsidR="009F47E7">
              <w:rPr>
                <w:b/>
                <w:spacing w:val="-5"/>
              </w:rPr>
              <w:t xml:space="preserve">  </w:t>
            </w:r>
            <w:r>
              <w:rPr>
                <w:b/>
                <w:spacing w:val="-5"/>
              </w:rPr>
              <w:t xml:space="preserve">Celková zaměstnanost ve službách </w:t>
            </w:r>
            <w:r w:rsidR="00BC7833">
              <w:rPr>
                <w:b/>
                <w:spacing w:val="-5"/>
              </w:rPr>
              <w:t>a </w:t>
            </w:r>
            <w:r>
              <w:rPr>
                <w:b/>
                <w:spacing w:val="-5"/>
              </w:rPr>
              <w:t>jejich dílčích odvětvích</w:t>
            </w:r>
          </w:p>
          <w:p w14:paraId="42B031B8" w14:textId="4D37B7E1" w:rsidR="009E674A" w:rsidRPr="00257FB1" w:rsidRDefault="009E674A" w:rsidP="006F668F">
            <w:pPr>
              <w:spacing w:after="0"/>
              <w:rPr>
                <w:spacing w:val="-5"/>
              </w:rPr>
            </w:pPr>
            <w:r w:rsidRPr="00977140">
              <w:rPr>
                <w:spacing w:val="-5"/>
              </w:rPr>
              <w:t>(</w:t>
            </w:r>
            <w:r>
              <w:rPr>
                <w:spacing w:val="-5"/>
              </w:rPr>
              <w:t>příspěvky k meziročnímu růstu v p.</w:t>
            </w:r>
            <w:r w:rsidR="00CE760D">
              <w:rPr>
                <w:spacing w:val="-5"/>
              </w:rPr>
              <w:t> </w:t>
            </w:r>
            <w:r>
              <w:rPr>
                <w:spacing w:val="-5"/>
              </w:rPr>
              <w:t>b.)</w:t>
            </w:r>
          </w:p>
        </w:tc>
      </w:tr>
      <w:tr w:rsidR="009E674A" w14:paraId="31BD38FF" w14:textId="77777777" w:rsidTr="00F37A7D">
        <w:tblPrEx>
          <w:tblCellMar>
            <w:left w:w="70" w:type="dxa"/>
            <w:right w:w="70" w:type="dxa"/>
          </w:tblCellMar>
        </w:tblPrEx>
        <w:trPr>
          <w:trHeight w:val="145"/>
        </w:trPr>
        <w:tc>
          <w:tcPr>
            <w:tcW w:w="1976" w:type="dxa"/>
            <w:tcBorders>
              <w:top w:val="nil"/>
              <w:left w:val="nil"/>
              <w:bottom w:val="nil"/>
              <w:right w:val="nil"/>
            </w:tcBorders>
          </w:tcPr>
          <w:p w14:paraId="75F7BC0C" w14:textId="77777777" w:rsidR="009E674A" w:rsidRDefault="009E674A" w:rsidP="006F668F">
            <w:pPr>
              <w:pStyle w:val="Marginlie"/>
            </w:pPr>
          </w:p>
        </w:tc>
        <w:tc>
          <w:tcPr>
            <w:tcW w:w="277" w:type="dxa"/>
            <w:tcBorders>
              <w:top w:val="nil"/>
              <w:left w:val="nil"/>
              <w:bottom w:val="nil"/>
              <w:right w:val="nil"/>
            </w:tcBorders>
          </w:tcPr>
          <w:p w14:paraId="3BF61BDC"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6B97985E" w14:textId="60DB9781" w:rsidR="009E674A" w:rsidRDefault="00F37A7D" w:rsidP="006F668F">
            <w:pPr>
              <w:spacing w:after="0"/>
            </w:pPr>
            <w:r>
              <w:rPr>
                <w:noProof/>
              </w:rPr>
              <w:drawing>
                <wp:inline distT="0" distB="0" distL="0" distR="0" wp14:anchorId="63501C82" wp14:editId="6FCD635A">
                  <wp:extent cx="4600531" cy="3503002"/>
                  <wp:effectExtent l="0" t="0" r="0" b="254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9E674A" w14:paraId="4E6D68E7" w14:textId="77777777" w:rsidTr="006F668F">
        <w:trPr>
          <w:trHeight w:val="145"/>
        </w:trPr>
        <w:tc>
          <w:tcPr>
            <w:tcW w:w="1976" w:type="dxa"/>
            <w:tcBorders>
              <w:top w:val="nil"/>
              <w:left w:val="nil"/>
              <w:bottom w:val="nil"/>
              <w:right w:val="nil"/>
            </w:tcBorders>
          </w:tcPr>
          <w:p w14:paraId="43406960" w14:textId="77777777" w:rsidR="009E674A" w:rsidRDefault="009E674A" w:rsidP="006F668F">
            <w:pPr>
              <w:pStyle w:val="Marginlie"/>
            </w:pPr>
          </w:p>
        </w:tc>
        <w:tc>
          <w:tcPr>
            <w:tcW w:w="277" w:type="dxa"/>
            <w:tcBorders>
              <w:top w:val="nil"/>
              <w:left w:val="nil"/>
              <w:bottom w:val="nil"/>
              <w:right w:val="nil"/>
            </w:tcBorders>
          </w:tcPr>
          <w:p w14:paraId="19176071"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30DB9D5A" w14:textId="77777777" w:rsidR="009E674A" w:rsidRDefault="009E674A" w:rsidP="006F668F">
            <w:pPr>
              <w:spacing w:after="0"/>
              <w:rPr>
                <w:rFonts w:cs="Arial"/>
                <w:sz w:val="14"/>
                <w:szCs w:val="14"/>
              </w:rPr>
            </w:pPr>
            <w:r>
              <w:rPr>
                <w:rFonts w:cs="Arial"/>
                <w:sz w:val="14"/>
                <w:szCs w:val="14"/>
              </w:rPr>
              <w:t xml:space="preserve">Poznámka: počet zaměstnaných je uveden </w:t>
            </w:r>
            <w:r w:rsidR="00BC7833">
              <w:rPr>
                <w:rFonts w:cs="Arial"/>
                <w:sz w:val="14"/>
                <w:szCs w:val="14"/>
              </w:rPr>
              <w:t>v </w:t>
            </w:r>
            <w:r>
              <w:rPr>
                <w:rFonts w:cs="Arial"/>
                <w:sz w:val="14"/>
                <w:szCs w:val="14"/>
              </w:rPr>
              <w:t>přepočtu na plnou pracovní dobu.</w:t>
            </w:r>
          </w:p>
          <w:p w14:paraId="7430586A" w14:textId="77777777" w:rsidR="009E674A" w:rsidRDefault="009E674A" w:rsidP="006F668F">
            <w:pPr>
              <w:spacing w:after="0"/>
              <w:rPr>
                <w:rFonts w:cs="Arial"/>
                <w:sz w:val="14"/>
                <w:szCs w:val="14"/>
              </w:rPr>
            </w:pPr>
            <w:r>
              <w:rPr>
                <w:rFonts w:cs="Arial"/>
                <w:sz w:val="14"/>
                <w:szCs w:val="14"/>
              </w:rPr>
              <w:t xml:space="preserve">* Ostatní odvětví služeb zahrnují: Činnosti v oblasti nemovitostí (CZ NACE L), Ostatní služby (S) </w:t>
            </w:r>
            <w:r w:rsidR="00BC7833">
              <w:rPr>
                <w:rFonts w:cs="Arial"/>
                <w:sz w:val="14"/>
                <w:szCs w:val="14"/>
              </w:rPr>
              <w:t>a </w:t>
            </w:r>
            <w:r>
              <w:rPr>
                <w:rFonts w:cs="Arial"/>
                <w:sz w:val="14"/>
                <w:szCs w:val="14"/>
              </w:rPr>
              <w:t>Činnost domácností jako zaměstnavatelů (T)</w:t>
            </w:r>
          </w:p>
          <w:p w14:paraId="7DBCC8B9" w14:textId="77777777" w:rsidR="009E674A" w:rsidRPr="00711FC2" w:rsidRDefault="009E674A" w:rsidP="006F668F">
            <w:pPr>
              <w:spacing w:after="220"/>
            </w:pPr>
            <w:r w:rsidRPr="00444E6D">
              <w:rPr>
                <w:rFonts w:cs="Arial"/>
                <w:sz w:val="14"/>
                <w:szCs w:val="14"/>
              </w:rPr>
              <w:t xml:space="preserve">Zdroj: </w:t>
            </w:r>
            <w:r>
              <w:rPr>
                <w:rFonts w:cs="Arial"/>
                <w:sz w:val="14"/>
                <w:szCs w:val="14"/>
              </w:rPr>
              <w:t>ČSÚ (národní účty)</w:t>
            </w:r>
          </w:p>
        </w:tc>
      </w:tr>
      <w:tr w:rsidR="009E674A" w14:paraId="7D928598" w14:textId="77777777" w:rsidTr="006F668F">
        <w:trPr>
          <w:trHeight w:val="145"/>
        </w:trPr>
        <w:tc>
          <w:tcPr>
            <w:tcW w:w="1976" w:type="dxa"/>
            <w:tcBorders>
              <w:top w:val="nil"/>
              <w:left w:val="nil"/>
              <w:bottom w:val="nil"/>
              <w:right w:val="nil"/>
            </w:tcBorders>
          </w:tcPr>
          <w:p w14:paraId="565E3DF5" w14:textId="77777777" w:rsidR="009E674A" w:rsidRDefault="009E674A" w:rsidP="006F668F">
            <w:pPr>
              <w:pStyle w:val="Marginlie"/>
            </w:pPr>
            <w:r>
              <w:t>Proti vyšší zaměstnanosti v ubytování, stravování a pohostinství působily sílící mzdové náklady spojené s navyšováním minimální mzdy.</w:t>
            </w:r>
          </w:p>
        </w:tc>
        <w:tc>
          <w:tcPr>
            <w:tcW w:w="277" w:type="dxa"/>
            <w:tcBorders>
              <w:top w:val="nil"/>
              <w:left w:val="nil"/>
              <w:bottom w:val="nil"/>
              <w:right w:val="nil"/>
            </w:tcBorders>
          </w:tcPr>
          <w:p w14:paraId="787BCA40"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400AE8D2" w14:textId="762C8BFA" w:rsidR="009E674A" w:rsidRDefault="009E674A" w:rsidP="006F668F">
            <w:pPr>
              <w:spacing w:after="220"/>
              <w:rPr>
                <w:spacing w:val="-3"/>
              </w:rPr>
            </w:pPr>
            <w:r>
              <w:rPr>
                <w:spacing w:val="-3"/>
              </w:rPr>
              <w:t xml:space="preserve">V ubytování, stravování </w:t>
            </w:r>
            <w:r w:rsidR="00BC7833">
              <w:rPr>
                <w:spacing w:val="-3"/>
              </w:rPr>
              <w:t>a </w:t>
            </w:r>
            <w:r>
              <w:rPr>
                <w:spacing w:val="-3"/>
              </w:rPr>
              <w:t xml:space="preserve">pohostinství zaměstnanost stagnovala a nenavázala tak na příznivější vývoj z období 2015 až 2017 (kdy rostla v průměru o 2 % ročně). Stalo se tak navzdory pokračujícím příznivým faktorům (růst kupní síly domácností, solidní dynamika příjezdového cestovního ruchu). V opačném směru působily rostoucí mzdové náklady, jejichž vliv byl v tomto „nízkovýdělkovém“ odvětví umocněn silnějším dopadem navyšování minimální mzdy. Roli hraje také tradičně vyšší fluktuace pracovníků v odvětví, která se projevila </w:t>
            </w:r>
            <w:r w:rsidR="00BC7833">
              <w:rPr>
                <w:spacing w:val="-3"/>
              </w:rPr>
              <w:t>i </w:t>
            </w:r>
            <w:r>
              <w:rPr>
                <w:spacing w:val="-3"/>
              </w:rPr>
              <w:t>ve větší oscilaci počtu sebezaměstnaných</w:t>
            </w:r>
            <w:r w:rsidR="0037734D">
              <w:rPr>
                <w:spacing w:val="-3"/>
              </w:rPr>
              <w:t xml:space="preserve"> – </w:t>
            </w:r>
            <w:r>
              <w:rPr>
                <w:spacing w:val="-3"/>
              </w:rPr>
              <w:t xml:space="preserve">zejména ve stravování </w:t>
            </w:r>
            <w:r w:rsidR="00BC7833">
              <w:rPr>
                <w:spacing w:val="-3"/>
              </w:rPr>
              <w:t>a </w:t>
            </w:r>
            <w:r>
              <w:rPr>
                <w:spacing w:val="-3"/>
              </w:rPr>
              <w:t xml:space="preserve">pohostinství. Rozkolísaný vývoj charakterizuje v posledních </w:t>
            </w:r>
            <w:r>
              <w:rPr>
                <w:spacing w:val="-3"/>
              </w:rPr>
              <w:lastRenderedPageBreak/>
              <w:t xml:space="preserve">letech rovněž zaměstnanost v peněžnictví </w:t>
            </w:r>
            <w:r w:rsidR="00BC7833">
              <w:rPr>
                <w:spacing w:val="-3"/>
              </w:rPr>
              <w:t>a </w:t>
            </w:r>
            <w:r>
              <w:rPr>
                <w:spacing w:val="-3"/>
              </w:rPr>
              <w:t>pojišťovnictví. Navzdory příznivým hospodářským výsledkům se počet pracovníků v tomto odvětví dlouhodobě příliš nezvyšoval</w:t>
            </w:r>
            <w:r w:rsidR="0037734D">
              <w:rPr>
                <w:spacing w:val="-3"/>
              </w:rPr>
              <w:t xml:space="preserve"> – </w:t>
            </w:r>
            <w:r>
              <w:rPr>
                <w:spacing w:val="-3"/>
              </w:rPr>
              <w:t xml:space="preserve">za posledních deset let narostl </w:t>
            </w:r>
            <w:r w:rsidR="00BC7833">
              <w:rPr>
                <w:spacing w:val="-3"/>
              </w:rPr>
              <w:t>o </w:t>
            </w:r>
            <w:r>
              <w:rPr>
                <w:spacing w:val="-3"/>
              </w:rPr>
              <w:t>3,9</w:t>
            </w:r>
            <w:r w:rsidR="006454CC">
              <w:rPr>
                <w:spacing w:val="-3"/>
              </w:rPr>
              <w:t> %</w:t>
            </w:r>
            <w:r>
              <w:rPr>
                <w:spacing w:val="-3"/>
              </w:rPr>
              <w:t>. Oproti konci poslední recese jako jediné z hlavních odvětví služeb dokonce svou zaměstnanost snížil</w:t>
            </w:r>
            <w:r w:rsidR="00E76AC9">
              <w:rPr>
                <w:spacing w:val="-3"/>
              </w:rPr>
              <w:t>o</w:t>
            </w:r>
            <w:r>
              <w:rPr>
                <w:spacing w:val="-3"/>
              </w:rPr>
              <w:t xml:space="preserve"> (</w:t>
            </w:r>
            <w:r w:rsidR="00BC7833">
              <w:rPr>
                <w:spacing w:val="-3"/>
              </w:rPr>
              <w:t>o </w:t>
            </w:r>
            <w:r>
              <w:rPr>
                <w:spacing w:val="-3"/>
              </w:rPr>
              <w:t>2</w:t>
            </w:r>
            <w:r w:rsidR="006454CC">
              <w:rPr>
                <w:spacing w:val="-3"/>
              </w:rPr>
              <w:t> %</w:t>
            </w:r>
            <w:r>
              <w:rPr>
                <w:spacing w:val="-3"/>
              </w:rPr>
              <w:t xml:space="preserve">). To mohlo souviset s tím, že </w:t>
            </w:r>
            <w:r>
              <w:t xml:space="preserve">v letech 2016 </w:t>
            </w:r>
            <w:r w:rsidR="00BC7833">
              <w:t>a </w:t>
            </w:r>
            <w:r>
              <w:t>2017 došlo v tomto odvětví k prudkému navýšení investic</w:t>
            </w:r>
            <w:r w:rsidR="00E76AC9">
              <w:t xml:space="preserve"> spojených</w:t>
            </w:r>
            <w:r>
              <w:t xml:space="preserve"> s technologickými změnami v oblasti finančních služeb.</w:t>
            </w:r>
          </w:p>
        </w:tc>
      </w:tr>
      <w:tr w:rsidR="009E674A" w14:paraId="7583C767" w14:textId="77777777" w:rsidTr="006F668F">
        <w:trPr>
          <w:trHeight w:val="145"/>
        </w:trPr>
        <w:tc>
          <w:tcPr>
            <w:tcW w:w="1976" w:type="dxa"/>
            <w:tcBorders>
              <w:top w:val="nil"/>
              <w:left w:val="nil"/>
              <w:bottom w:val="nil"/>
              <w:right w:val="nil"/>
            </w:tcBorders>
          </w:tcPr>
          <w:p w14:paraId="791C1918" w14:textId="77777777" w:rsidR="009E674A" w:rsidRDefault="009E674A" w:rsidP="006F668F">
            <w:pPr>
              <w:pStyle w:val="Marginlie"/>
            </w:pPr>
            <w:r>
              <w:lastRenderedPageBreak/>
              <w:t>Růst zaměstnanosti v odvětvích s převahou veřejného sektoru loni výrazně zvolnil.</w:t>
            </w:r>
          </w:p>
        </w:tc>
        <w:tc>
          <w:tcPr>
            <w:tcW w:w="277" w:type="dxa"/>
            <w:tcBorders>
              <w:top w:val="nil"/>
              <w:left w:val="nil"/>
              <w:bottom w:val="nil"/>
              <w:right w:val="nil"/>
            </w:tcBorders>
          </w:tcPr>
          <w:p w14:paraId="45FB97BE" w14:textId="77777777" w:rsidR="009E674A" w:rsidRPr="005E4483" w:rsidRDefault="009E674A" w:rsidP="006F668F">
            <w:pPr>
              <w:pStyle w:val="Textpoznpodarou"/>
              <w:jc w:val="both"/>
              <w:rPr>
                <w:spacing w:val="-4"/>
              </w:rPr>
            </w:pPr>
          </w:p>
        </w:tc>
        <w:tc>
          <w:tcPr>
            <w:tcW w:w="7391" w:type="dxa"/>
            <w:tcBorders>
              <w:top w:val="nil"/>
              <w:left w:val="nil"/>
              <w:bottom w:val="nil"/>
              <w:right w:val="nil"/>
            </w:tcBorders>
          </w:tcPr>
          <w:p w14:paraId="5FF92EC3" w14:textId="3F657DBA" w:rsidR="009E674A" w:rsidRDefault="009E674A" w:rsidP="006F668F">
            <w:pPr>
              <w:spacing w:after="0"/>
            </w:pPr>
            <w:r>
              <w:t>Zaměstnanost v odvětvích s převahou veřejného sektoru se po roce 2012 neustále zvyšovala. Loni růst výrazně oslabil (+0,7</w:t>
            </w:r>
            <w:r w:rsidR="006454CC">
              <w:t> %</w:t>
            </w:r>
            <w:r>
              <w:t>), zejména vlivem vysoké srovnávací základny (</w:t>
            </w:r>
            <w:r w:rsidR="00BC7833">
              <w:t>v </w:t>
            </w:r>
            <w:r>
              <w:t>roce 2017 přesáhl meziroční růst 3</w:t>
            </w:r>
            <w:r w:rsidR="006454CC">
              <w:t> %</w:t>
            </w:r>
            <w:r>
              <w:t xml:space="preserve"> </w:t>
            </w:r>
            <w:r w:rsidR="00BC7833">
              <w:t>a </w:t>
            </w:r>
            <w:r>
              <w:t>patřil v éře samostatné ČR vůbec k nejvyšším)</w:t>
            </w:r>
            <w:r>
              <w:rPr>
                <w:rStyle w:val="Znakapoznpodarou"/>
                <w:rFonts w:cs="Arial"/>
                <w:color w:val="0D0D0D" w:themeColor="text1" w:themeTint="F2"/>
                <w:spacing w:val="-4"/>
              </w:rPr>
              <w:footnoteReference w:id="15"/>
            </w:r>
            <w:r>
              <w:t>. Jestliže v roce 2017 přispívalo k vyšší zaměstnanosti ve veřejných službách nejvíce odvětví vzdělávání (kde přibylo 12,2 tis</w:t>
            </w:r>
            <w:r w:rsidR="00E76AC9">
              <w:t>.</w:t>
            </w:r>
            <w:r>
              <w:t xml:space="preserve"> pracovníků v přepočtu na plné úvazky), loni tuto roli převzala zdravotní a</w:t>
            </w:r>
            <w:r>
              <w:rPr>
                <w:spacing w:val="-3"/>
              </w:rPr>
              <w:t> </w:t>
            </w:r>
            <w:r>
              <w:t xml:space="preserve">sociální péče (+6,4 tis.). Za posledních deset let narostl počet pracovníků ve veřejných službách </w:t>
            </w:r>
            <w:r w:rsidR="00BC7833">
              <w:t>o </w:t>
            </w:r>
            <w:r>
              <w:t>8,0</w:t>
            </w:r>
            <w:r w:rsidR="006454CC">
              <w:t> %</w:t>
            </w:r>
            <w:r>
              <w:t xml:space="preserve">, </w:t>
            </w:r>
            <w:r w:rsidR="00BC7833">
              <w:t>v </w:t>
            </w:r>
            <w:r>
              <w:t xml:space="preserve">ostatních odvětvích služeb </w:t>
            </w:r>
            <w:r w:rsidR="00BC7833">
              <w:t>o </w:t>
            </w:r>
            <w:r>
              <w:t>5,8</w:t>
            </w:r>
            <w:r w:rsidR="006454CC">
              <w:t> %</w:t>
            </w:r>
            <w:r>
              <w:t xml:space="preserve"> </w:t>
            </w:r>
            <w:r w:rsidR="00BC7833">
              <w:t>a </w:t>
            </w:r>
            <w:r>
              <w:t xml:space="preserve">v celé ekonomice </w:t>
            </w:r>
            <w:r w:rsidR="00BC7833">
              <w:t>o </w:t>
            </w:r>
            <w:r>
              <w:t>3,1</w:t>
            </w:r>
            <w:r w:rsidR="006454CC">
              <w:t> %</w:t>
            </w:r>
            <w:r>
              <w:t>.</w:t>
            </w:r>
          </w:p>
        </w:tc>
      </w:tr>
    </w:tbl>
    <w:p w14:paraId="5B85AF14" w14:textId="77777777" w:rsidR="009E674A" w:rsidRPr="00EA394F" w:rsidRDefault="009E674A" w:rsidP="009E674A">
      <w:pPr>
        <w:rPr>
          <w:sz w:val="2"/>
          <w:szCs w:val="2"/>
        </w:rPr>
      </w:pPr>
    </w:p>
    <w:p w14:paraId="329A8B6D" w14:textId="77777777" w:rsidR="009E674A" w:rsidRPr="002A5986" w:rsidRDefault="009E674A" w:rsidP="009E674A">
      <w:pPr>
        <w:spacing w:after="0"/>
        <w:rPr>
          <w:rFonts w:eastAsia="MS Gothic"/>
          <w:b/>
          <w:bCs/>
          <w:color w:val="71818C"/>
          <w:sz w:val="28"/>
          <w:szCs w:val="28"/>
        </w:rPr>
      </w:pPr>
      <w:r>
        <w:rPr>
          <w:rFonts w:eastAsia="MS Gothic"/>
          <w:b/>
          <w:bCs/>
          <w:color w:val="71818C"/>
          <w:sz w:val="28"/>
          <w:szCs w:val="28"/>
        </w:rPr>
        <w:t>1.3. Produktivita práce</w:t>
      </w:r>
    </w:p>
    <w:tbl>
      <w:tblPr>
        <w:tblW w:w="9644" w:type="dxa"/>
        <w:tblInd w:w="-15" w:type="dxa"/>
        <w:tblLayout w:type="fixed"/>
        <w:tblCellMar>
          <w:left w:w="0" w:type="dxa"/>
          <w:right w:w="0" w:type="dxa"/>
        </w:tblCellMar>
        <w:tblLook w:val="00A0" w:firstRow="1" w:lastRow="0" w:firstColumn="1" w:lastColumn="0" w:noHBand="0" w:noVBand="0"/>
      </w:tblPr>
      <w:tblGrid>
        <w:gridCol w:w="1976"/>
        <w:gridCol w:w="277"/>
        <w:gridCol w:w="7391"/>
      </w:tblGrid>
      <w:tr w:rsidR="009E674A" w:rsidRPr="00257FB1" w14:paraId="7D67F5D9" w14:textId="77777777" w:rsidTr="006F668F">
        <w:trPr>
          <w:trHeight w:val="145"/>
        </w:trPr>
        <w:tc>
          <w:tcPr>
            <w:tcW w:w="1976" w:type="dxa"/>
          </w:tcPr>
          <w:p w14:paraId="6DE3A36B" w14:textId="77777777" w:rsidR="009E674A" w:rsidRDefault="009E674A" w:rsidP="006F668F">
            <w:pPr>
              <w:pStyle w:val="Marginlie"/>
            </w:pPr>
            <w:r>
              <w:t>Produktivita práce vyjádřená na pracovníka rostla loni druhým nejslabším tempem za posledních pět let.</w:t>
            </w:r>
          </w:p>
        </w:tc>
        <w:tc>
          <w:tcPr>
            <w:tcW w:w="277" w:type="dxa"/>
          </w:tcPr>
          <w:p w14:paraId="5101435F" w14:textId="77777777" w:rsidR="009E674A" w:rsidRPr="005E4483" w:rsidRDefault="009E674A" w:rsidP="006F668F">
            <w:pPr>
              <w:pStyle w:val="Textpoznpodarou"/>
              <w:jc w:val="both"/>
              <w:rPr>
                <w:spacing w:val="-4"/>
              </w:rPr>
            </w:pPr>
          </w:p>
        </w:tc>
        <w:tc>
          <w:tcPr>
            <w:tcW w:w="7391" w:type="dxa"/>
          </w:tcPr>
          <w:p w14:paraId="388264F6" w14:textId="2C50B894" w:rsidR="009E674A" w:rsidRPr="00257FB1" w:rsidRDefault="009E674A" w:rsidP="00744D09">
            <w:pPr>
              <w:spacing w:after="220"/>
              <w:rPr>
                <w:spacing w:val="-3"/>
              </w:rPr>
            </w:pPr>
            <w:r>
              <w:rPr>
                <w:spacing w:val="-3"/>
              </w:rPr>
              <w:t>Produktivita práce v tuzemské ekonomice nadále rostla. V reálném vyjádření, tj.</w:t>
            </w:r>
            <w:r w:rsidR="00A3694E">
              <w:rPr>
                <w:spacing w:val="-3"/>
              </w:rPr>
              <w:t> </w:t>
            </w:r>
            <w:r>
              <w:rPr>
                <w:spacing w:val="-3"/>
              </w:rPr>
              <w:t xml:space="preserve">po očištění </w:t>
            </w:r>
            <w:r w:rsidR="00BC7833">
              <w:rPr>
                <w:spacing w:val="-3"/>
              </w:rPr>
              <w:t>o </w:t>
            </w:r>
            <w:r>
              <w:rPr>
                <w:spacing w:val="-3"/>
              </w:rPr>
              <w:t xml:space="preserve">vliv cenových pohybů, se meziročně zvýšila </w:t>
            </w:r>
            <w:r w:rsidR="00BC7833">
              <w:rPr>
                <w:spacing w:val="-3"/>
              </w:rPr>
              <w:t>o </w:t>
            </w:r>
            <w:r>
              <w:rPr>
                <w:spacing w:val="-3"/>
              </w:rPr>
              <w:t>1,6</w:t>
            </w:r>
            <w:r w:rsidR="006454CC">
              <w:rPr>
                <w:spacing w:val="-3"/>
              </w:rPr>
              <w:t> %</w:t>
            </w:r>
            <w:r>
              <w:rPr>
                <w:rStyle w:val="Znakapoznpodarou"/>
                <w:rFonts w:cs="Arial"/>
                <w:color w:val="0D0D0D" w:themeColor="text1" w:themeTint="F2"/>
                <w:spacing w:val="-4"/>
              </w:rPr>
              <w:footnoteReference w:id="16"/>
            </w:r>
            <w:r>
              <w:rPr>
                <w:spacing w:val="-3"/>
              </w:rPr>
              <w:t>, druhým nejslabším tempem za posledních pět let. Zpomalení růstu oproti tempu z roku 2017 (</w:t>
            </w:r>
            <w:r w:rsidR="00BC7833">
              <w:rPr>
                <w:spacing w:val="-3"/>
              </w:rPr>
              <w:t>o </w:t>
            </w:r>
            <w:r>
              <w:rPr>
                <w:spacing w:val="-3"/>
              </w:rPr>
              <w:t>0,8</w:t>
            </w:r>
            <w:r w:rsidR="006454CC">
              <w:rPr>
                <w:spacing w:val="-3"/>
              </w:rPr>
              <w:t> p. b.</w:t>
            </w:r>
            <w:r>
              <w:rPr>
                <w:spacing w:val="-3"/>
              </w:rPr>
              <w:t xml:space="preserve">) šlo z drtivé části na vrub slabšího výkonu celé ekonomiky, neboť dynamika fyzického počtu pracovníků se fakticky nezměnila. </w:t>
            </w:r>
          </w:p>
        </w:tc>
      </w:tr>
      <w:tr w:rsidR="009E674A" w14:paraId="651E6DB1" w14:textId="77777777" w:rsidTr="006F668F">
        <w:trPr>
          <w:trHeight w:val="145"/>
        </w:trPr>
        <w:tc>
          <w:tcPr>
            <w:tcW w:w="1976" w:type="dxa"/>
          </w:tcPr>
          <w:p w14:paraId="184F86C9" w14:textId="77777777" w:rsidR="009E674A" w:rsidRDefault="009E674A" w:rsidP="006F668F">
            <w:pPr>
              <w:pStyle w:val="Marginlie"/>
            </w:pPr>
          </w:p>
        </w:tc>
        <w:tc>
          <w:tcPr>
            <w:tcW w:w="277" w:type="dxa"/>
          </w:tcPr>
          <w:p w14:paraId="3DF297B9" w14:textId="77777777" w:rsidR="009E674A" w:rsidRPr="005E4483" w:rsidRDefault="009E674A" w:rsidP="006F668F">
            <w:pPr>
              <w:pStyle w:val="Textpoznpodarou"/>
              <w:jc w:val="both"/>
              <w:rPr>
                <w:spacing w:val="-4"/>
              </w:rPr>
            </w:pPr>
          </w:p>
        </w:tc>
        <w:tc>
          <w:tcPr>
            <w:tcW w:w="7391" w:type="dxa"/>
          </w:tcPr>
          <w:p w14:paraId="1EB371B8" w14:textId="0D84C26A" w:rsidR="009E674A" w:rsidRDefault="009E674A" w:rsidP="006F668F">
            <w:pPr>
              <w:spacing w:after="0"/>
              <w:jc w:val="left"/>
            </w:pPr>
            <w:r>
              <w:rPr>
                <w:b/>
                <w:spacing w:val="-4"/>
              </w:rPr>
              <w:t xml:space="preserve">Graf </w:t>
            </w:r>
            <w:r w:rsidR="00BA35F3">
              <w:rPr>
                <w:b/>
                <w:spacing w:val="-4"/>
              </w:rPr>
              <w:t>č. </w:t>
            </w:r>
            <w:r w:rsidR="00BC7833">
              <w:rPr>
                <w:b/>
                <w:spacing w:val="-4"/>
              </w:rPr>
              <w:t>7</w:t>
            </w:r>
            <w:r w:rsidR="009F47E7">
              <w:rPr>
                <w:b/>
                <w:spacing w:val="-4"/>
              </w:rPr>
              <w:t xml:space="preserve">  </w:t>
            </w:r>
            <w:r>
              <w:rPr>
                <w:b/>
                <w:spacing w:val="-4"/>
              </w:rPr>
              <w:t>Reálná p</w:t>
            </w:r>
            <w:r>
              <w:rPr>
                <w:b/>
              </w:rPr>
              <w:t xml:space="preserve">roduktivita práce v národním hospodářství </w:t>
            </w:r>
            <w:r w:rsidRPr="006C1F6D">
              <w:t>(</w:t>
            </w:r>
            <w:r>
              <w:t>meziročně v</w:t>
            </w:r>
            <w:r w:rsidR="006454CC">
              <w:t> %</w:t>
            </w:r>
            <w:r>
              <w:t>)</w:t>
            </w:r>
            <w:r>
              <w:rPr>
                <w:b/>
              </w:rPr>
              <w:t xml:space="preserve"> a v průmyslu a tržních službách* </w:t>
            </w:r>
            <w:r w:rsidRPr="006C1F6D">
              <w:t>(</w:t>
            </w:r>
            <w:r>
              <w:t>úroveň roku 2010</w:t>
            </w:r>
            <w:r w:rsidR="00E141B6">
              <w:t xml:space="preserve"> </w:t>
            </w:r>
            <w:r>
              <w:t>=</w:t>
            </w:r>
            <w:r w:rsidR="00E141B6">
              <w:t xml:space="preserve"> </w:t>
            </w:r>
            <w:r>
              <w:t>100, pravá osa)</w:t>
            </w:r>
          </w:p>
        </w:tc>
      </w:tr>
      <w:tr w:rsidR="009E674A" w14:paraId="42047488" w14:textId="77777777" w:rsidTr="00137548">
        <w:tblPrEx>
          <w:tblCellMar>
            <w:left w:w="70" w:type="dxa"/>
            <w:right w:w="70" w:type="dxa"/>
          </w:tblCellMar>
        </w:tblPrEx>
        <w:trPr>
          <w:trHeight w:val="145"/>
        </w:trPr>
        <w:tc>
          <w:tcPr>
            <w:tcW w:w="1976" w:type="dxa"/>
          </w:tcPr>
          <w:p w14:paraId="5B6314F0" w14:textId="77777777" w:rsidR="009E674A" w:rsidRDefault="009E674A" w:rsidP="006F668F">
            <w:pPr>
              <w:pStyle w:val="Marginlie"/>
            </w:pPr>
          </w:p>
        </w:tc>
        <w:tc>
          <w:tcPr>
            <w:tcW w:w="277" w:type="dxa"/>
          </w:tcPr>
          <w:p w14:paraId="03271BC6" w14:textId="77777777" w:rsidR="009E674A" w:rsidRPr="005E4483" w:rsidRDefault="009E674A" w:rsidP="006F668F">
            <w:pPr>
              <w:pStyle w:val="Textpoznpodarou"/>
              <w:jc w:val="both"/>
              <w:rPr>
                <w:spacing w:val="-4"/>
              </w:rPr>
            </w:pPr>
          </w:p>
        </w:tc>
        <w:tc>
          <w:tcPr>
            <w:tcW w:w="7391" w:type="dxa"/>
          </w:tcPr>
          <w:p w14:paraId="0E613394" w14:textId="5B0965FD" w:rsidR="009E674A" w:rsidRDefault="00137548" w:rsidP="006F668F">
            <w:pPr>
              <w:spacing w:after="0"/>
            </w:pPr>
            <w:r>
              <w:rPr>
                <w:noProof/>
              </w:rPr>
              <w:drawing>
                <wp:inline distT="0" distB="0" distL="0" distR="0" wp14:anchorId="129A804B" wp14:editId="25227711">
                  <wp:extent cx="4562004" cy="3557358"/>
                  <wp:effectExtent l="0" t="0" r="0" b="508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9E674A" w:rsidRPr="00711FC2" w14:paraId="24872158" w14:textId="77777777" w:rsidTr="006F668F">
        <w:trPr>
          <w:trHeight w:val="145"/>
        </w:trPr>
        <w:tc>
          <w:tcPr>
            <w:tcW w:w="1976" w:type="dxa"/>
          </w:tcPr>
          <w:p w14:paraId="3FF765FD" w14:textId="77777777" w:rsidR="009E674A" w:rsidRDefault="009E674A" w:rsidP="006F668F">
            <w:pPr>
              <w:pStyle w:val="Marginlie"/>
            </w:pPr>
          </w:p>
        </w:tc>
        <w:tc>
          <w:tcPr>
            <w:tcW w:w="277" w:type="dxa"/>
          </w:tcPr>
          <w:p w14:paraId="111079EC" w14:textId="77777777" w:rsidR="009E674A" w:rsidRPr="005E4483" w:rsidRDefault="009E674A" w:rsidP="006F668F">
            <w:pPr>
              <w:pStyle w:val="Textpoznpodarou"/>
              <w:jc w:val="both"/>
              <w:rPr>
                <w:spacing w:val="-4"/>
              </w:rPr>
            </w:pPr>
          </w:p>
        </w:tc>
        <w:tc>
          <w:tcPr>
            <w:tcW w:w="7391" w:type="dxa"/>
          </w:tcPr>
          <w:p w14:paraId="40221280" w14:textId="77777777" w:rsidR="009E674A" w:rsidRPr="00BF6C37" w:rsidRDefault="009E674A" w:rsidP="006F668F">
            <w:pPr>
              <w:spacing w:after="0"/>
              <w:rPr>
                <w:rFonts w:cs="Arial"/>
                <w:sz w:val="14"/>
                <w:szCs w:val="14"/>
              </w:rPr>
            </w:pPr>
            <w:r>
              <w:rPr>
                <w:rFonts w:cs="Arial"/>
                <w:sz w:val="14"/>
                <w:szCs w:val="14"/>
              </w:rPr>
              <w:t xml:space="preserve">*Zahrnuje všechna odvětví služeb vyjma sekcí: </w:t>
            </w:r>
            <w:r w:rsidRPr="00BF6C37">
              <w:rPr>
                <w:rFonts w:cs="Arial"/>
                <w:sz w:val="14"/>
                <w:szCs w:val="14"/>
              </w:rPr>
              <w:t xml:space="preserve">Veřejná správa </w:t>
            </w:r>
            <w:r w:rsidR="00BC7833" w:rsidRPr="00BF6C37">
              <w:rPr>
                <w:rFonts w:cs="Arial"/>
                <w:sz w:val="14"/>
                <w:szCs w:val="14"/>
              </w:rPr>
              <w:t>a</w:t>
            </w:r>
            <w:r w:rsidR="00BC7833">
              <w:rPr>
                <w:rFonts w:cs="Arial"/>
                <w:sz w:val="14"/>
                <w:szCs w:val="14"/>
              </w:rPr>
              <w:t> </w:t>
            </w:r>
            <w:r w:rsidRPr="00BF6C37">
              <w:rPr>
                <w:rFonts w:cs="Arial"/>
                <w:sz w:val="14"/>
                <w:szCs w:val="14"/>
              </w:rPr>
              <w:t>obrana; povinné sociální zabezpečení</w:t>
            </w:r>
            <w:r>
              <w:rPr>
                <w:rFonts w:cs="Arial"/>
                <w:sz w:val="14"/>
                <w:szCs w:val="14"/>
                <w:lang w:val="en-US"/>
              </w:rPr>
              <w:t>;</w:t>
            </w:r>
            <w:r>
              <w:rPr>
                <w:rFonts w:cs="Arial"/>
                <w:sz w:val="14"/>
                <w:szCs w:val="14"/>
              </w:rPr>
              <w:t xml:space="preserve"> </w:t>
            </w:r>
            <w:r w:rsidRPr="00BF6C37">
              <w:rPr>
                <w:rFonts w:cs="Arial"/>
                <w:sz w:val="14"/>
                <w:szCs w:val="14"/>
              </w:rPr>
              <w:t>Vzdělávání</w:t>
            </w:r>
            <w:r>
              <w:rPr>
                <w:rFonts w:cs="Arial"/>
                <w:sz w:val="14"/>
                <w:szCs w:val="14"/>
                <w:lang w:val="en-US"/>
              </w:rPr>
              <w:t xml:space="preserve">; </w:t>
            </w:r>
            <w:r w:rsidRPr="00BF6C37">
              <w:rPr>
                <w:rFonts w:cs="Arial"/>
                <w:sz w:val="14"/>
                <w:szCs w:val="14"/>
              </w:rPr>
              <w:t xml:space="preserve">Zdravotní </w:t>
            </w:r>
            <w:r w:rsidR="00BC7833" w:rsidRPr="00BF6C37">
              <w:rPr>
                <w:rFonts w:cs="Arial"/>
                <w:sz w:val="14"/>
                <w:szCs w:val="14"/>
              </w:rPr>
              <w:t>a</w:t>
            </w:r>
            <w:r w:rsidR="00BC7833">
              <w:rPr>
                <w:rFonts w:cs="Arial"/>
                <w:sz w:val="14"/>
                <w:szCs w:val="14"/>
              </w:rPr>
              <w:t> </w:t>
            </w:r>
            <w:r w:rsidRPr="00BF6C37">
              <w:rPr>
                <w:rFonts w:cs="Arial"/>
                <w:sz w:val="14"/>
                <w:szCs w:val="14"/>
              </w:rPr>
              <w:t>sociální péče</w:t>
            </w:r>
            <w:r>
              <w:rPr>
                <w:rFonts w:cs="Arial"/>
                <w:sz w:val="14"/>
                <w:szCs w:val="14"/>
                <w:lang w:val="en-US"/>
              </w:rPr>
              <w:t xml:space="preserve">; </w:t>
            </w:r>
            <w:r w:rsidRPr="00BF6C37">
              <w:rPr>
                <w:rFonts w:cs="Arial"/>
                <w:sz w:val="14"/>
                <w:szCs w:val="14"/>
              </w:rPr>
              <w:t xml:space="preserve">Kulturní, zábavní </w:t>
            </w:r>
            <w:r w:rsidR="00BC7833" w:rsidRPr="00BF6C37">
              <w:rPr>
                <w:rFonts w:cs="Arial"/>
                <w:sz w:val="14"/>
                <w:szCs w:val="14"/>
              </w:rPr>
              <w:t>a</w:t>
            </w:r>
            <w:r w:rsidR="00BC7833">
              <w:rPr>
                <w:rFonts w:cs="Arial"/>
                <w:sz w:val="14"/>
                <w:szCs w:val="14"/>
              </w:rPr>
              <w:t> </w:t>
            </w:r>
            <w:r w:rsidRPr="00BF6C37">
              <w:rPr>
                <w:rFonts w:cs="Arial"/>
                <w:sz w:val="14"/>
                <w:szCs w:val="14"/>
              </w:rPr>
              <w:t>r</w:t>
            </w:r>
            <w:r>
              <w:rPr>
                <w:rFonts w:cs="Arial"/>
                <w:sz w:val="14"/>
                <w:szCs w:val="14"/>
              </w:rPr>
              <w:t xml:space="preserve">ekreační </w:t>
            </w:r>
            <w:r w:rsidRPr="00BF6C37">
              <w:rPr>
                <w:rFonts w:cs="Arial"/>
                <w:sz w:val="14"/>
                <w:szCs w:val="14"/>
              </w:rPr>
              <w:t>činnosti.</w:t>
            </w:r>
          </w:p>
          <w:p w14:paraId="762C8214" w14:textId="77777777" w:rsidR="009E674A" w:rsidRPr="00711FC2" w:rsidRDefault="009E674A" w:rsidP="00744D09">
            <w:pPr>
              <w:spacing w:after="200"/>
            </w:pPr>
            <w:r w:rsidRPr="00444E6D">
              <w:rPr>
                <w:rFonts w:cs="Arial"/>
                <w:sz w:val="14"/>
                <w:szCs w:val="14"/>
              </w:rPr>
              <w:t xml:space="preserve">Zdroj: </w:t>
            </w:r>
            <w:r>
              <w:rPr>
                <w:rFonts w:cs="Arial"/>
                <w:sz w:val="14"/>
                <w:szCs w:val="14"/>
              </w:rPr>
              <w:t>ČSÚ (národní účty)</w:t>
            </w:r>
          </w:p>
        </w:tc>
      </w:tr>
      <w:tr w:rsidR="00744D09" w:rsidRPr="00711FC2" w14:paraId="1CCC6CC0" w14:textId="77777777" w:rsidTr="006F668F">
        <w:trPr>
          <w:trHeight w:val="145"/>
        </w:trPr>
        <w:tc>
          <w:tcPr>
            <w:tcW w:w="1976" w:type="dxa"/>
          </w:tcPr>
          <w:p w14:paraId="1057A6A7" w14:textId="77777777" w:rsidR="00744D09" w:rsidRDefault="00744D09" w:rsidP="006F668F">
            <w:pPr>
              <w:pStyle w:val="Marginlie"/>
            </w:pPr>
          </w:p>
        </w:tc>
        <w:tc>
          <w:tcPr>
            <w:tcW w:w="277" w:type="dxa"/>
          </w:tcPr>
          <w:p w14:paraId="0DA11CD4" w14:textId="77777777" w:rsidR="00744D09" w:rsidRPr="005E4483" w:rsidRDefault="00744D09" w:rsidP="006F668F">
            <w:pPr>
              <w:pStyle w:val="Textpoznpodarou"/>
              <w:jc w:val="both"/>
              <w:rPr>
                <w:spacing w:val="-4"/>
              </w:rPr>
            </w:pPr>
          </w:p>
        </w:tc>
        <w:tc>
          <w:tcPr>
            <w:tcW w:w="7391" w:type="dxa"/>
          </w:tcPr>
          <w:p w14:paraId="78DBA16B" w14:textId="6256E88D" w:rsidR="00744D09" w:rsidRDefault="00744D09" w:rsidP="006F668F">
            <w:pPr>
              <w:spacing w:after="220"/>
              <w:rPr>
                <w:rFonts w:cs="Arial"/>
                <w:szCs w:val="20"/>
              </w:rPr>
            </w:pPr>
            <w:r>
              <w:rPr>
                <w:spacing w:val="-3"/>
              </w:rPr>
              <w:t>Méně příznivě se v posledních letech vyvíjela hodinová produktivita práce. Ta se v roce 2016 dokonce mírně snížila (o 0,4 %) a zaznamenala tak jediný meziroční pokles při současném hospodářském růstu v celé dostupné časové řadě (od roku 1995)</w:t>
            </w:r>
            <w:r>
              <w:rPr>
                <w:rStyle w:val="Znakapoznpodarou"/>
                <w:rFonts w:cs="Arial"/>
                <w:color w:val="0D0D0D" w:themeColor="text1" w:themeTint="F2"/>
                <w:spacing w:val="-4"/>
              </w:rPr>
              <w:footnoteReference w:id="17"/>
            </w:r>
            <w:r>
              <w:rPr>
                <w:spacing w:val="-3"/>
              </w:rPr>
              <w:t>.</w:t>
            </w:r>
          </w:p>
        </w:tc>
      </w:tr>
      <w:tr w:rsidR="009E674A" w:rsidRPr="00711FC2" w14:paraId="32D6ED0E" w14:textId="77777777" w:rsidTr="006F668F">
        <w:trPr>
          <w:trHeight w:val="145"/>
        </w:trPr>
        <w:tc>
          <w:tcPr>
            <w:tcW w:w="1976" w:type="dxa"/>
          </w:tcPr>
          <w:p w14:paraId="6F16EBFB" w14:textId="77777777" w:rsidR="009E674A" w:rsidRDefault="009E674A" w:rsidP="006F668F">
            <w:pPr>
              <w:pStyle w:val="Marginlie"/>
            </w:pPr>
            <w:r>
              <w:t>Růstové tempo hodinové produktivity práce v období 2014 až 2018 bylo oproti konjunkturnímu pětiletí minulé dekády poloviční.</w:t>
            </w:r>
          </w:p>
        </w:tc>
        <w:tc>
          <w:tcPr>
            <w:tcW w:w="277" w:type="dxa"/>
          </w:tcPr>
          <w:p w14:paraId="5D67F32B" w14:textId="77777777" w:rsidR="009E674A" w:rsidRPr="005E4483" w:rsidRDefault="009E674A" w:rsidP="006F668F">
            <w:pPr>
              <w:pStyle w:val="Textpoznpodarou"/>
              <w:jc w:val="both"/>
              <w:rPr>
                <w:spacing w:val="-4"/>
              </w:rPr>
            </w:pPr>
          </w:p>
        </w:tc>
        <w:tc>
          <w:tcPr>
            <w:tcW w:w="7391" w:type="dxa"/>
          </w:tcPr>
          <w:p w14:paraId="77E8A38A" w14:textId="0DC5C194" w:rsidR="009E674A" w:rsidRPr="00CD2AB9" w:rsidRDefault="00BC7833" w:rsidP="006F668F">
            <w:pPr>
              <w:spacing w:after="220"/>
              <w:rPr>
                <w:rFonts w:cs="Arial"/>
                <w:szCs w:val="20"/>
              </w:rPr>
            </w:pPr>
            <w:r>
              <w:rPr>
                <w:rFonts w:cs="Arial"/>
                <w:szCs w:val="20"/>
              </w:rPr>
              <w:t>V </w:t>
            </w:r>
            <w:r w:rsidR="009E674A" w:rsidRPr="00CD2AB9">
              <w:rPr>
                <w:spacing w:val="-3"/>
              </w:rPr>
              <w:t>současném ob</w:t>
            </w:r>
            <w:r w:rsidR="009E674A">
              <w:rPr>
                <w:spacing w:val="-3"/>
              </w:rPr>
              <w:t xml:space="preserve">dobí růstu ekonomiky orámovaném roky 2014 </w:t>
            </w:r>
            <w:r>
              <w:rPr>
                <w:spacing w:val="-3"/>
              </w:rPr>
              <w:t>a </w:t>
            </w:r>
            <w:r w:rsidR="009E674A">
              <w:rPr>
                <w:spacing w:val="-3"/>
              </w:rPr>
              <w:t>2018 se souhrnná</w:t>
            </w:r>
            <w:r w:rsidR="009E674A" w:rsidRPr="00CD2AB9">
              <w:rPr>
                <w:spacing w:val="-3"/>
              </w:rPr>
              <w:t xml:space="preserve"> hodinová produktivita práce</w:t>
            </w:r>
            <w:r w:rsidR="009E674A">
              <w:rPr>
                <w:rStyle w:val="Znakapoznpodarou"/>
                <w:rFonts w:cs="Arial"/>
                <w:color w:val="0D0D0D" w:themeColor="text1" w:themeTint="F2"/>
                <w:spacing w:val="-4"/>
              </w:rPr>
              <w:footnoteReference w:id="18"/>
            </w:r>
            <w:r w:rsidR="009E674A" w:rsidRPr="00CD2AB9">
              <w:rPr>
                <w:spacing w:val="-3"/>
              </w:rPr>
              <w:t xml:space="preserve"> zvyšovala průměrným ročním tempem 2,0</w:t>
            </w:r>
            <w:r w:rsidR="006454CC">
              <w:rPr>
                <w:spacing w:val="-3"/>
              </w:rPr>
              <w:t> %</w:t>
            </w:r>
            <w:r w:rsidR="009E674A" w:rsidRPr="00CD2AB9">
              <w:rPr>
                <w:spacing w:val="-3"/>
              </w:rPr>
              <w:t>. V konjunkturním období 2004</w:t>
            </w:r>
            <w:r w:rsidR="009E674A">
              <w:rPr>
                <w:spacing w:val="-3"/>
              </w:rPr>
              <w:t>–2008 bylo ale</w:t>
            </w:r>
            <w:r w:rsidR="009E674A" w:rsidRPr="00CD2AB9">
              <w:rPr>
                <w:spacing w:val="-3"/>
              </w:rPr>
              <w:t xml:space="preserve"> d</w:t>
            </w:r>
            <w:r w:rsidR="009E674A">
              <w:rPr>
                <w:spacing w:val="-3"/>
              </w:rPr>
              <w:t>osaženo dvojnásobné dynamiky, o</w:t>
            </w:r>
            <w:r w:rsidR="009E674A" w:rsidRPr="00CD2AB9">
              <w:rPr>
                <w:spacing w:val="-3"/>
              </w:rPr>
              <w:t> což se zasloužil</w:t>
            </w:r>
            <w:r w:rsidR="009E674A">
              <w:rPr>
                <w:spacing w:val="-3"/>
              </w:rPr>
              <w:t>y</w:t>
            </w:r>
            <w:r w:rsidR="009E674A" w:rsidRPr="00CD2AB9">
              <w:rPr>
                <w:spacing w:val="-3"/>
              </w:rPr>
              <w:t xml:space="preserve"> hlavně zpracovatelský průmy</w:t>
            </w:r>
            <w:r w:rsidR="009E674A">
              <w:rPr>
                <w:spacing w:val="-3"/>
              </w:rPr>
              <w:t xml:space="preserve">sl </w:t>
            </w:r>
            <w:r>
              <w:rPr>
                <w:spacing w:val="-3"/>
              </w:rPr>
              <w:t>a </w:t>
            </w:r>
            <w:r w:rsidR="009E674A">
              <w:rPr>
                <w:spacing w:val="-3"/>
              </w:rPr>
              <w:t>finanční sektor. V</w:t>
            </w:r>
            <w:r w:rsidR="009E674A" w:rsidRPr="00CD2AB9">
              <w:rPr>
                <w:spacing w:val="-3"/>
              </w:rPr>
              <w:t> následujícím pětiletí</w:t>
            </w:r>
            <w:r w:rsidR="009E674A">
              <w:rPr>
                <w:spacing w:val="-3"/>
              </w:rPr>
              <w:t>,</w:t>
            </w:r>
            <w:r w:rsidR="009E674A" w:rsidRPr="00CD2AB9">
              <w:rPr>
                <w:spacing w:val="-3"/>
              </w:rPr>
              <w:t xml:space="preserve"> vyplněném dvěma obdobími recese</w:t>
            </w:r>
            <w:r w:rsidR="009E674A">
              <w:rPr>
                <w:spacing w:val="-3"/>
              </w:rPr>
              <w:t>,</w:t>
            </w:r>
            <w:r w:rsidR="009E674A" w:rsidRPr="00CD2AB9">
              <w:rPr>
                <w:spacing w:val="-3"/>
              </w:rPr>
              <w:t xml:space="preserve"> došlo </w:t>
            </w:r>
            <w:r w:rsidRPr="00CD2AB9">
              <w:rPr>
                <w:spacing w:val="-3"/>
              </w:rPr>
              <w:t>u</w:t>
            </w:r>
            <w:r>
              <w:rPr>
                <w:spacing w:val="-3"/>
              </w:rPr>
              <w:t> </w:t>
            </w:r>
            <w:r w:rsidR="009E674A" w:rsidRPr="00CD2AB9">
              <w:rPr>
                <w:spacing w:val="-3"/>
              </w:rPr>
              <w:t>produktivity práce v celé ekonomice jen k minimálním posunům (+0,3</w:t>
            </w:r>
            <w:r w:rsidR="006454CC">
              <w:rPr>
                <w:spacing w:val="-3"/>
              </w:rPr>
              <w:t> %</w:t>
            </w:r>
            <w:r w:rsidR="009E674A" w:rsidRPr="00CD2AB9">
              <w:rPr>
                <w:spacing w:val="-3"/>
              </w:rPr>
              <w:t>). Jestliže v reálném vyjádření znamenala jedna</w:t>
            </w:r>
            <w:r w:rsidR="00A3694E">
              <w:rPr>
                <w:spacing w:val="-3"/>
              </w:rPr>
              <w:t xml:space="preserve"> </w:t>
            </w:r>
            <w:r w:rsidR="009E674A" w:rsidRPr="00CD2AB9">
              <w:rPr>
                <w:spacing w:val="-3"/>
              </w:rPr>
              <w:t>odpracovaná hodina v ekonomice v roce 2005 vytvořenou hodnotu ve výši 39</w:t>
            </w:r>
            <w:r w:rsidR="00D82A1E" w:rsidRPr="00CD2AB9">
              <w:rPr>
                <w:spacing w:val="-3"/>
              </w:rPr>
              <w:t>3</w:t>
            </w:r>
            <w:r w:rsidR="00D82A1E">
              <w:rPr>
                <w:spacing w:val="-3"/>
              </w:rPr>
              <w:t> </w:t>
            </w:r>
            <w:r w:rsidR="009E674A" w:rsidRPr="00CD2AB9">
              <w:rPr>
                <w:spacing w:val="-3"/>
              </w:rPr>
              <w:t>korun, v roce 2018 již</w:t>
            </w:r>
            <w:r w:rsidR="00A3694E">
              <w:rPr>
                <w:spacing w:val="-3"/>
              </w:rPr>
              <w:t xml:space="preserve"> </w:t>
            </w:r>
            <w:r w:rsidR="009E674A" w:rsidRPr="00CD2AB9">
              <w:rPr>
                <w:spacing w:val="-3"/>
              </w:rPr>
              <w:t xml:space="preserve">490 korun. Jednalo se tak </w:t>
            </w:r>
            <w:r w:rsidRPr="00CD2AB9">
              <w:rPr>
                <w:spacing w:val="-3"/>
              </w:rPr>
              <w:t>o</w:t>
            </w:r>
            <w:r>
              <w:rPr>
                <w:spacing w:val="-3"/>
              </w:rPr>
              <w:t> </w:t>
            </w:r>
            <w:r w:rsidR="009E674A" w:rsidRPr="00CD2AB9">
              <w:rPr>
                <w:spacing w:val="-3"/>
              </w:rPr>
              <w:t xml:space="preserve">souhrnný nárůst </w:t>
            </w:r>
            <w:r w:rsidR="009E674A">
              <w:rPr>
                <w:spacing w:val="-3"/>
              </w:rPr>
              <w:t>o</w:t>
            </w:r>
            <w:r w:rsidR="009E674A" w:rsidRPr="00CD2AB9">
              <w:rPr>
                <w:spacing w:val="-3"/>
              </w:rPr>
              <w:t> necelou čtvrtinu.</w:t>
            </w:r>
          </w:p>
        </w:tc>
      </w:tr>
      <w:tr w:rsidR="009E674A" w:rsidRPr="00711FC2" w14:paraId="32D9CF2C" w14:textId="77777777" w:rsidTr="006F668F">
        <w:trPr>
          <w:trHeight w:val="145"/>
        </w:trPr>
        <w:tc>
          <w:tcPr>
            <w:tcW w:w="1976" w:type="dxa"/>
          </w:tcPr>
          <w:p w14:paraId="5A9D1D5E" w14:textId="0C132A0C" w:rsidR="009E674A" w:rsidRDefault="009E674A" w:rsidP="006F668F">
            <w:pPr>
              <w:pStyle w:val="Marginlie"/>
            </w:pPr>
            <w:r>
              <w:t xml:space="preserve">Hodinová produktivita práce se v roce 2018 zvýšila nejvíce v odvětví dopravy a skladování </w:t>
            </w:r>
            <w:r w:rsidR="00BC7833">
              <w:t>a </w:t>
            </w:r>
            <w:r>
              <w:t xml:space="preserve">také v informačních </w:t>
            </w:r>
            <w:r w:rsidR="00A3694E">
              <w:t>a</w:t>
            </w:r>
            <w:r>
              <w:t> komunikačních činnostech,…</w:t>
            </w:r>
          </w:p>
        </w:tc>
        <w:tc>
          <w:tcPr>
            <w:tcW w:w="277" w:type="dxa"/>
          </w:tcPr>
          <w:p w14:paraId="587C9320" w14:textId="77777777" w:rsidR="009E674A" w:rsidRPr="005E4483" w:rsidRDefault="009E674A" w:rsidP="006F668F">
            <w:pPr>
              <w:pStyle w:val="Textpoznpodarou"/>
              <w:jc w:val="both"/>
              <w:rPr>
                <w:spacing w:val="-4"/>
              </w:rPr>
            </w:pPr>
          </w:p>
        </w:tc>
        <w:tc>
          <w:tcPr>
            <w:tcW w:w="7391" w:type="dxa"/>
          </w:tcPr>
          <w:p w14:paraId="3E252A70" w14:textId="2275DE48" w:rsidR="009E674A" w:rsidRPr="00CD2AB9" w:rsidRDefault="00BC7833" w:rsidP="00744D09">
            <w:pPr>
              <w:spacing w:after="220"/>
              <w:rPr>
                <w:rFonts w:cs="Arial"/>
                <w:szCs w:val="20"/>
              </w:rPr>
            </w:pPr>
            <w:r>
              <w:rPr>
                <w:rFonts w:cs="Arial"/>
                <w:szCs w:val="20"/>
              </w:rPr>
              <w:t>O </w:t>
            </w:r>
            <w:r w:rsidR="009E674A">
              <w:rPr>
                <w:rFonts w:cs="Arial"/>
                <w:szCs w:val="20"/>
              </w:rPr>
              <w:t xml:space="preserve">růst hodinové </w:t>
            </w:r>
            <w:r w:rsidR="009E674A">
              <w:t xml:space="preserve">produktivity práce v ekonomice se </w:t>
            </w:r>
            <w:r>
              <w:t>v </w:t>
            </w:r>
            <w:r w:rsidR="009E674A">
              <w:t>roce 2018 přičinila především odvětví tržních služeb</w:t>
            </w:r>
            <w:r w:rsidR="0037734D">
              <w:t xml:space="preserve"> – </w:t>
            </w:r>
            <w:r>
              <w:t>o </w:t>
            </w:r>
            <w:r w:rsidR="009E674A">
              <w:t>bezmála 6</w:t>
            </w:r>
            <w:r w:rsidR="006454CC">
              <w:t> %</w:t>
            </w:r>
            <w:r w:rsidR="009E674A">
              <w:t xml:space="preserve"> se zvýšila v informačních </w:t>
            </w:r>
            <w:r>
              <w:t>a </w:t>
            </w:r>
            <w:r w:rsidR="009E674A">
              <w:t xml:space="preserve">komunikačních činnostech </w:t>
            </w:r>
            <w:r>
              <w:t>a </w:t>
            </w:r>
            <w:r w:rsidR="009E674A">
              <w:t xml:space="preserve">také v dopravě </w:t>
            </w:r>
            <w:r>
              <w:t>a </w:t>
            </w:r>
            <w:r w:rsidR="009E674A">
              <w:t xml:space="preserve">skladování (kde šlo </w:t>
            </w:r>
            <w:r>
              <w:t>o </w:t>
            </w:r>
            <w:r w:rsidR="009E674A">
              <w:t>dílčí kompenzaci nepříznivého vývoje v předchozích letech). Loni</w:t>
            </w:r>
            <w:r w:rsidR="006454CC">
              <w:t xml:space="preserve"> </w:t>
            </w:r>
            <w:r w:rsidR="009E674A">
              <w:t xml:space="preserve">se dařilo také peněžnictví a pojišťovnictví (+3,2 %). </w:t>
            </w:r>
            <w:r>
              <w:t>V </w:t>
            </w:r>
            <w:r w:rsidR="009E674A">
              <w:t>posledních čtyřech letech zde dokonce produktivita rostla průměrným ročním tempem 7,4</w:t>
            </w:r>
            <w:r w:rsidR="006454CC">
              <w:t> %</w:t>
            </w:r>
            <w:r w:rsidR="009E674A">
              <w:t xml:space="preserve">, což bylo nejvíce ze všech dvaceti hlavních odvětví. Projevil se zde vliv velmi dobrých hospodářských výsledků finančního sektoru, jenž byl umocněn silnými tlaky na optimalizaci počtu pracovních míst. Více než dvojnásobným tempem oproti celé ekonomice rostla loni produktivita také v obchodu </w:t>
            </w:r>
            <w:r>
              <w:t>a </w:t>
            </w:r>
            <w:r w:rsidR="009E674A">
              <w:t xml:space="preserve">ve stavebnictví. </w:t>
            </w:r>
          </w:p>
        </w:tc>
      </w:tr>
      <w:tr w:rsidR="009E674A" w:rsidRPr="00257FB1" w14:paraId="6A7A6DD2" w14:textId="77777777" w:rsidTr="006F668F">
        <w:trPr>
          <w:trHeight w:val="145"/>
        </w:trPr>
        <w:tc>
          <w:tcPr>
            <w:tcW w:w="1976" w:type="dxa"/>
          </w:tcPr>
          <w:p w14:paraId="68EDA592" w14:textId="77777777" w:rsidR="009E674A" w:rsidRDefault="009E674A" w:rsidP="006F668F">
            <w:pPr>
              <w:pStyle w:val="Marginlie"/>
            </w:pPr>
          </w:p>
        </w:tc>
        <w:tc>
          <w:tcPr>
            <w:tcW w:w="277" w:type="dxa"/>
          </w:tcPr>
          <w:p w14:paraId="7FF5C307" w14:textId="77777777" w:rsidR="009E674A" w:rsidRPr="005E4483" w:rsidRDefault="009E674A" w:rsidP="006F668F">
            <w:pPr>
              <w:pStyle w:val="Textpoznpodarou"/>
              <w:jc w:val="both"/>
              <w:rPr>
                <w:spacing w:val="-4"/>
              </w:rPr>
            </w:pPr>
          </w:p>
        </w:tc>
        <w:tc>
          <w:tcPr>
            <w:tcW w:w="7391" w:type="dxa"/>
          </w:tcPr>
          <w:p w14:paraId="1247E074" w14:textId="447E28D8" w:rsidR="009E674A" w:rsidRPr="009A4F91" w:rsidRDefault="009E674A" w:rsidP="009A4F91">
            <w:pPr>
              <w:spacing w:after="0"/>
              <w:jc w:val="left"/>
            </w:pPr>
            <w:r>
              <w:rPr>
                <w:b/>
                <w:spacing w:val="-4"/>
              </w:rPr>
              <w:t xml:space="preserve">Graf </w:t>
            </w:r>
            <w:r w:rsidR="00BA35F3">
              <w:rPr>
                <w:b/>
                <w:spacing w:val="-4"/>
              </w:rPr>
              <w:t>č. </w:t>
            </w:r>
            <w:r w:rsidR="00BC7833">
              <w:rPr>
                <w:b/>
                <w:spacing w:val="-4"/>
              </w:rPr>
              <w:t>8</w:t>
            </w:r>
            <w:r w:rsidR="009F47E7">
              <w:rPr>
                <w:b/>
                <w:spacing w:val="-4"/>
              </w:rPr>
              <w:t xml:space="preserve">  </w:t>
            </w:r>
            <w:r>
              <w:rPr>
                <w:b/>
                <w:spacing w:val="-4"/>
              </w:rPr>
              <w:t xml:space="preserve">Reálná hodinová </w:t>
            </w:r>
            <w:r>
              <w:rPr>
                <w:b/>
              </w:rPr>
              <w:t xml:space="preserve">produktivita práce </w:t>
            </w:r>
            <w:r w:rsidRPr="00F410C3">
              <w:rPr>
                <w:b/>
              </w:rPr>
              <w:t xml:space="preserve">celkem </w:t>
            </w:r>
            <w:r w:rsidR="00BC7833" w:rsidRPr="00F410C3">
              <w:rPr>
                <w:b/>
              </w:rPr>
              <w:t>a</w:t>
            </w:r>
            <w:r w:rsidR="00BC7833">
              <w:rPr>
                <w:b/>
              </w:rPr>
              <w:t> </w:t>
            </w:r>
            <w:r w:rsidRPr="00F410C3">
              <w:rPr>
                <w:b/>
              </w:rPr>
              <w:t>ve vybraných odvětvích</w:t>
            </w:r>
            <w:r w:rsidR="009A4F91">
              <w:t xml:space="preserve"> </w:t>
            </w:r>
            <w:r w:rsidR="00137548">
              <w:t>(úroveň roku 2005</w:t>
            </w:r>
            <w:r w:rsidR="009D78F8">
              <w:t xml:space="preserve"> </w:t>
            </w:r>
            <w:r w:rsidRPr="006C1F6D">
              <w:t>=</w:t>
            </w:r>
            <w:r w:rsidR="009D78F8">
              <w:t xml:space="preserve"> </w:t>
            </w:r>
            <w:r w:rsidRPr="006C1F6D">
              <w:t>100)</w:t>
            </w:r>
          </w:p>
        </w:tc>
      </w:tr>
      <w:tr w:rsidR="009E674A" w:rsidRPr="00257FB1" w14:paraId="750C482F" w14:textId="77777777" w:rsidTr="006F668F">
        <w:tblPrEx>
          <w:tblCellMar>
            <w:left w:w="70" w:type="dxa"/>
            <w:right w:w="70" w:type="dxa"/>
          </w:tblCellMar>
        </w:tblPrEx>
        <w:trPr>
          <w:trHeight w:val="145"/>
        </w:trPr>
        <w:tc>
          <w:tcPr>
            <w:tcW w:w="1976" w:type="dxa"/>
          </w:tcPr>
          <w:p w14:paraId="75D40D84" w14:textId="77777777" w:rsidR="009E674A" w:rsidRDefault="009E674A" w:rsidP="006F668F">
            <w:pPr>
              <w:pStyle w:val="Marginlie"/>
            </w:pPr>
          </w:p>
        </w:tc>
        <w:tc>
          <w:tcPr>
            <w:tcW w:w="277" w:type="dxa"/>
          </w:tcPr>
          <w:p w14:paraId="6317874C" w14:textId="77777777" w:rsidR="009E674A" w:rsidRPr="005E4483" w:rsidRDefault="009E674A" w:rsidP="006F668F">
            <w:pPr>
              <w:pStyle w:val="Textpoznpodarou"/>
              <w:jc w:val="both"/>
              <w:rPr>
                <w:spacing w:val="-4"/>
              </w:rPr>
            </w:pPr>
          </w:p>
        </w:tc>
        <w:tc>
          <w:tcPr>
            <w:tcW w:w="7391" w:type="dxa"/>
          </w:tcPr>
          <w:p w14:paraId="18AE62AD" w14:textId="77777777" w:rsidR="009E674A" w:rsidRPr="00257FB1" w:rsidRDefault="009E674A" w:rsidP="006F668F">
            <w:pPr>
              <w:spacing w:after="0"/>
              <w:rPr>
                <w:spacing w:val="-2"/>
              </w:rPr>
            </w:pPr>
            <w:r>
              <w:rPr>
                <w:noProof/>
              </w:rPr>
              <w:drawing>
                <wp:inline distT="0" distB="0" distL="0" distR="0" wp14:anchorId="202B5F10" wp14:editId="3AEAB29E">
                  <wp:extent cx="4585335" cy="3507475"/>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9E674A" w:rsidRPr="00257FB1" w14:paraId="2F65FBA1" w14:textId="77777777" w:rsidTr="006F668F">
        <w:trPr>
          <w:trHeight w:val="145"/>
        </w:trPr>
        <w:tc>
          <w:tcPr>
            <w:tcW w:w="1976" w:type="dxa"/>
          </w:tcPr>
          <w:p w14:paraId="733A1BE5" w14:textId="77777777" w:rsidR="009E674A" w:rsidRDefault="009E674A" w:rsidP="006F668F">
            <w:pPr>
              <w:pStyle w:val="Marginlie"/>
            </w:pPr>
          </w:p>
        </w:tc>
        <w:tc>
          <w:tcPr>
            <w:tcW w:w="277" w:type="dxa"/>
          </w:tcPr>
          <w:p w14:paraId="174D24E4" w14:textId="77777777" w:rsidR="009E674A" w:rsidRPr="005E4483" w:rsidRDefault="009E674A" w:rsidP="006F668F">
            <w:pPr>
              <w:pStyle w:val="Textpoznpodarou"/>
              <w:jc w:val="both"/>
              <w:rPr>
                <w:spacing w:val="-4"/>
              </w:rPr>
            </w:pPr>
          </w:p>
        </w:tc>
        <w:tc>
          <w:tcPr>
            <w:tcW w:w="7391" w:type="dxa"/>
          </w:tcPr>
          <w:p w14:paraId="058D0CAF" w14:textId="594425EF" w:rsidR="009E674A" w:rsidRPr="00AB5C0C" w:rsidRDefault="009E674A" w:rsidP="006F668F">
            <w:pPr>
              <w:spacing w:after="0"/>
              <w:rPr>
                <w:rFonts w:cs="Arial"/>
                <w:spacing w:val="-3"/>
                <w:sz w:val="14"/>
                <w:szCs w:val="14"/>
              </w:rPr>
            </w:pPr>
            <w:r w:rsidRPr="00AB5C0C">
              <w:rPr>
                <w:spacing w:val="-3"/>
              </w:rPr>
              <w:t>*</w:t>
            </w:r>
            <w:r w:rsidRPr="00AB5C0C">
              <w:rPr>
                <w:rFonts w:cs="Arial"/>
                <w:spacing w:val="-3"/>
                <w:sz w:val="14"/>
                <w:szCs w:val="14"/>
              </w:rPr>
              <w:t>Zahrnuje odvětví: Veř. správa</w:t>
            </w:r>
            <w:r w:rsidR="002677BC">
              <w:rPr>
                <w:rFonts w:cs="Arial"/>
                <w:spacing w:val="-3"/>
                <w:sz w:val="14"/>
                <w:szCs w:val="14"/>
              </w:rPr>
              <w:t xml:space="preserve"> a </w:t>
            </w:r>
            <w:r w:rsidRPr="00AB5C0C">
              <w:rPr>
                <w:rFonts w:cs="Arial"/>
                <w:spacing w:val="-3"/>
                <w:sz w:val="14"/>
                <w:szCs w:val="14"/>
              </w:rPr>
              <w:t>obrana</w:t>
            </w:r>
            <w:r w:rsidR="009D78F8">
              <w:rPr>
                <w:rFonts w:cs="Arial"/>
                <w:spacing w:val="-3"/>
                <w:sz w:val="14"/>
                <w:szCs w:val="14"/>
              </w:rPr>
              <w:t>;</w:t>
            </w:r>
            <w:r w:rsidRPr="00AB5C0C">
              <w:rPr>
                <w:rFonts w:cs="Arial"/>
                <w:spacing w:val="-3"/>
                <w:sz w:val="14"/>
                <w:szCs w:val="14"/>
              </w:rPr>
              <w:t xml:space="preserve"> soc. zabezpečení; Vzdělávání; Zdravotní </w:t>
            </w:r>
            <w:r w:rsidR="00BC7833" w:rsidRPr="00AB5C0C">
              <w:rPr>
                <w:rFonts w:cs="Arial"/>
                <w:spacing w:val="-3"/>
                <w:sz w:val="14"/>
                <w:szCs w:val="14"/>
              </w:rPr>
              <w:t>a</w:t>
            </w:r>
            <w:r w:rsidR="00BC7833">
              <w:rPr>
                <w:rFonts w:cs="Arial"/>
                <w:spacing w:val="-3"/>
                <w:sz w:val="14"/>
                <w:szCs w:val="14"/>
              </w:rPr>
              <w:t> </w:t>
            </w:r>
            <w:r w:rsidRPr="00AB5C0C">
              <w:rPr>
                <w:rFonts w:cs="Arial"/>
                <w:spacing w:val="-3"/>
                <w:sz w:val="14"/>
                <w:szCs w:val="14"/>
              </w:rPr>
              <w:t>soc.</w:t>
            </w:r>
            <w:r>
              <w:rPr>
                <w:rFonts w:cs="Arial"/>
                <w:spacing w:val="-3"/>
                <w:sz w:val="14"/>
                <w:szCs w:val="14"/>
              </w:rPr>
              <w:t xml:space="preserve"> péče; Kulturní, zábav.</w:t>
            </w:r>
            <w:r w:rsidRPr="00AB5C0C">
              <w:rPr>
                <w:rFonts w:cs="Arial"/>
                <w:spacing w:val="-3"/>
                <w:sz w:val="14"/>
                <w:szCs w:val="14"/>
              </w:rPr>
              <w:t xml:space="preserve"> </w:t>
            </w:r>
            <w:r w:rsidR="00BC7833" w:rsidRPr="00AB5C0C">
              <w:rPr>
                <w:rFonts w:cs="Arial"/>
                <w:spacing w:val="-3"/>
                <w:sz w:val="14"/>
                <w:szCs w:val="14"/>
              </w:rPr>
              <w:t>a</w:t>
            </w:r>
            <w:r w:rsidR="00BC7833">
              <w:rPr>
                <w:rFonts w:cs="Arial"/>
                <w:spacing w:val="-3"/>
                <w:sz w:val="14"/>
                <w:szCs w:val="14"/>
              </w:rPr>
              <w:t> </w:t>
            </w:r>
            <w:r w:rsidRPr="00AB5C0C">
              <w:rPr>
                <w:rFonts w:cs="Arial"/>
                <w:spacing w:val="-3"/>
                <w:sz w:val="14"/>
                <w:szCs w:val="14"/>
              </w:rPr>
              <w:t>r</w:t>
            </w:r>
            <w:r>
              <w:rPr>
                <w:rFonts w:cs="Arial"/>
                <w:spacing w:val="-3"/>
                <w:sz w:val="14"/>
                <w:szCs w:val="14"/>
              </w:rPr>
              <w:t>ekreač.</w:t>
            </w:r>
            <w:r w:rsidRPr="00AB5C0C">
              <w:rPr>
                <w:rFonts w:cs="Arial"/>
                <w:spacing w:val="-3"/>
                <w:sz w:val="14"/>
                <w:szCs w:val="14"/>
              </w:rPr>
              <w:t xml:space="preserve"> čin.</w:t>
            </w:r>
          </w:p>
          <w:p w14:paraId="0F2C3E7D" w14:textId="77777777" w:rsidR="009E674A" w:rsidRPr="00F31745" w:rsidRDefault="009E674A" w:rsidP="00744D09">
            <w:pPr>
              <w:spacing w:after="200"/>
              <w:rPr>
                <w:spacing w:val="-2"/>
              </w:rPr>
            </w:pPr>
            <w:r w:rsidRPr="00F31745">
              <w:rPr>
                <w:rFonts w:cs="Arial"/>
                <w:spacing w:val="-2"/>
                <w:sz w:val="14"/>
                <w:szCs w:val="14"/>
              </w:rPr>
              <w:t>Zdroj: ČSÚ (národní účty)</w:t>
            </w:r>
          </w:p>
        </w:tc>
      </w:tr>
      <w:tr w:rsidR="00744D09" w14:paraId="04EAF743" w14:textId="77777777" w:rsidTr="006F668F">
        <w:trPr>
          <w:trHeight w:val="145"/>
        </w:trPr>
        <w:tc>
          <w:tcPr>
            <w:tcW w:w="1976" w:type="dxa"/>
          </w:tcPr>
          <w:p w14:paraId="023A9C52" w14:textId="1B897CF0" w:rsidR="00744D09" w:rsidRDefault="00744D09" w:rsidP="00744D09">
            <w:pPr>
              <w:pStyle w:val="Marginlie"/>
            </w:pPr>
            <w:r>
              <w:lastRenderedPageBreak/>
              <w:t>… od konce poslední recese pak posílila nejvíce ve finančnictví a obchodu, a klesla ve veřejných službách a nezpracovatelských oborech průmyslu.</w:t>
            </w:r>
          </w:p>
        </w:tc>
        <w:tc>
          <w:tcPr>
            <w:tcW w:w="277" w:type="dxa"/>
          </w:tcPr>
          <w:p w14:paraId="1D8BB22F" w14:textId="77777777" w:rsidR="00744D09" w:rsidRPr="005E4483" w:rsidRDefault="00744D09" w:rsidP="006F668F">
            <w:pPr>
              <w:pStyle w:val="Textpoznpodarou"/>
              <w:jc w:val="both"/>
              <w:rPr>
                <w:spacing w:val="-4"/>
              </w:rPr>
            </w:pPr>
          </w:p>
        </w:tc>
        <w:tc>
          <w:tcPr>
            <w:tcW w:w="7391" w:type="dxa"/>
          </w:tcPr>
          <w:p w14:paraId="133F77FE" w14:textId="2D202B5A" w:rsidR="00744D09" w:rsidRDefault="00744D09" w:rsidP="006F668F">
            <w:pPr>
              <w:spacing w:after="220"/>
            </w:pPr>
            <w:r>
              <w:t>Naopak hlavně vinou zpomalení výkonu v klíčových exportních oborech si loni zpracovatelský průmysl připsal pouze 0,3% navýšení produktivity práce a zaznamenal tak nejmenší meziroční posun za poslední pětiletí. V nezpracovatelských oborech průmyslu došlo dokonce ke 2% snížení, což odráželo nepříznivý vývoj jak v těžbě a dobývání, tak v energetice. Tento vývoj se zde nikterak výrazně nevymykal z trendů v celém období od konce poslední recese. Mírnějším tempem se za posledních pět let snížila produktivita práce také v odvětvích s převahou veřejného sektoru.</w:t>
            </w:r>
          </w:p>
        </w:tc>
      </w:tr>
      <w:tr w:rsidR="009E674A" w14:paraId="0287281B" w14:textId="77777777" w:rsidTr="006F668F">
        <w:trPr>
          <w:trHeight w:val="145"/>
        </w:trPr>
        <w:tc>
          <w:tcPr>
            <w:tcW w:w="1976" w:type="dxa"/>
          </w:tcPr>
          <w:p w14:paraId="76732E7F" w14:textId="77777777" w:rsidR="009E674A" w:rsidRDefault="009E674A" w:rsidP="006F668F">
            <w:pPr>
              <w:pStyle w:val="Marginlie"/>
            </w:pPr>
            <w:r>
              <w:t>Za značnými rozdíly v úrovni produktivity práce mezi odvětvími stojí rozličná kapitálová náročnost i kvalifikační úroveň pracovníků.</w:t>
            </w:r>
          </w:p>
        </w:tc>
        <w:tc>
          <w:tcPr>
            <w:tcW w:w="277" w:type="dxa"/>
          </w:tcPr>
          <w:p w14:paraId="3BCBA444" w14:textId="77777777" w:rsidR="009E674A" w:rsidRPr="005E4483" w:rsidRDefault="009E674A" w:rsidP="006F668F">
            <w:pPr>
              <w:pStyle w:val="Textpoznpodarou"/>
              <w:jc w:val="both"/>
              <w:rPr>
                <w:spacing w:val="-4"/>
              </w:rPr>
            </w:pPr>
          </w:p>
        </w:tc>
        <w:tc>
          <w:tcPr>
            <w:tcW w:w="7391" w:type="dxa"/>
          </w:tcPr>
          <w:p w14:paraId="0E698E5C" w14:textId="6B7A2576" w:rsidR="009E674A" w:rsidRPr="00550F8B" w:rsidRDefault="009E674A" w:rsidP="006F668F">
            <w:pPr>
              <w:spacing w:after="220"/>
            </w:pPr>
            <w:r>
              <w:t>Dosažená nominální úroveň produktivity práce se mezi jednotlivými</w:t>
            </w:r>
            <w:r w:rsidRPr="00B75F31">
              <w:t xml:space="preserve"> odvětvími, vzhledem k jejich odlišné struktuře, </w:t>
            </w:r>
            <w:r>
              <w:t xml:space="preserve">citelně odlišuje. K nejproduktivnějším patří </w:t>
            </w:r>
            <w:r w:rsidR="00E61EEF">
              <w:t xml:space="preserve">ta </w:t>
            </w:r>
            <w:r>
              <w:t>s vysokým podílem kapitálově náročné produkce, jež vyžadují relativně nízký objem lidské</w:t>
            </w:r>
            <w:r w:rsidRPr="00B75F31">
              <w:t xml:space="preserve"> práce. </w:t>
            </w:r>
            <w:r>
              <w:t xml:space="preserve">Další skupinu pak tvoří </w:t>
            </w:r>
            <w:r w:rsidR="00E61EEF">
              <w:t xml:space="preserve">obory </w:t>
            </w:r>
            <w:r>
              <w:t>high</w:t>
            </w:r>
            <w:r w:rsidR="00E61EEF">
              <w:noBreakHyphen/>
            </w:r>
            <w:r>
              <w:t>tech služeb s významným podílem vysoce kvalifikované práce specialistů.</w:t>
            </w:r>
          </w:p>
        </w:tc>
      </w:tr>
      <w:tr w:rsidR="009E674A" w14:paraId="4035D432" w14:textId="77777777" w:rsidTr="006F668F">
        <w:trPr>
          <w:trHeight w:val="145"/>
        </w:trPr>
        <w:tc>
          <w:tcPr>
            <w:tcW w:w="1976" w:type="dxa"/>
          </w:tcPr>
          <w:p w14:paraId="161A4EA1" w14:textId="77777777" w:rsidR="009E674A" w:rsidRDefault="009E674A" w:rsidP="006F668F">
            <w:pPr>
              <w:pStyle w:val="Marginlie"/>
            </w:pPr>
            <w:r>
              <w:t xml:space="preserve">Nejvyšší produktivitou se vyznačovaly činnosti v oblasti nemovitostí, energetika, finančnictví a informační </w:t>
            </w:r>
            <w:r w:rsidR="00BC7833">
              <w:t>a </w:t>
            </w:r>
            <w:r>
              <w:t>komunikační činnosti.</w:t>
            </w:r>
          </w:p>
        </w:tc>
        <w:tc>
          <w:tcPr>
            <w:tcW w:w="277" w:type="dxa"/>
          </w:tcPr>
          <w:p w14:paraId="0A474086" w14:textId="77777777" w:rsidR="009E674A" w:rsidRPr="005E4483" w:rsidRDefault="009E674A" w:rsidP="006F668F">
            <w:pPr>
              <w:pStyle w:val="Textpoznpodarou"/>
              <w:jc w:val="both"/>
              <w:rPr>
                <w:spacing w:val="-4"/>
              </w:rPr>
            </w:pPr>
          </w:p>
        </w:tc>
        <w:tc>
          <w:tcPr>
            <w:tcW w:w="7391" w:type="dxa"/>
          </w:tcPr>
          <w:p w14:paraId="6A830A7A" w14:textId="5C3A8080" w:rsidR="009E674A" w:rsidRDefault="009E674A" w:rsidP="006F668F">
            <w:pPr>
              <w:spacing w:after="220"/>
            </w:pPr>
            <w:r>
              <w:t xml:space="preserve">Pořadí odvětví vévodily v roce 2018 </w:t>
            </w:r>
            <w:r w:rsidRPr="00B75F31">
              <w:t>činnosti v oblasti nemovitostí, což</w:t>
            </w:r>
            <w:r>
              <w:t xml:space="preserve"> jsou služby související hlavně s pronájmem, nákupem,</w:t>
            </w:r>
            <w:r w:rsidRPr="00B75F31">
              <w:t xml:space="preserve"> prodejem </w:t>
            </w:r>
            <w:r>
              <w:t xml:space="preserve">či správou </w:t>
            </w:r>
            <w:r w:rsidRPr="00B75F31">
              <w:t>nemovitostí.</w:t>
            </w:r>
            <w:r>
              <w:t xml:space="preserve"> </w:t>
            </w:r>
            <w:r w:rsidRPr="00B75F31">
              <w:t>Jedna odpracovaná hodina v těchto službách znamenala vytvořenou hodnotu v</w:t>
            </w:r>
            <w:r>
              <w:t>e výši 2</w:t>
            </w:r>
            <w:r w:rsidRPr="00B75F31">
              <w:t> </w:t>
            </w:r>
            <w:r>
              <w:t>229</w:t>
            </w:r>
            <w:r w:rsidRPr="00B75F31">
              <w:t> korun.</w:t>
            </w:r>
            <w:r>
              <w:t xml:space="preserve"> To bylo 4,5krát více</w:t>
            </w:r>
            <w:r w:rsidR="00E61EEF">
              <w:t>,</w:t>
            </w:r>
            <w:r>
              <w:t xml:space="preserve"> než by odpovídalo úrovni celé ekonomiky. Následovala energetika (4,39) </w:t>
            </w:r>
            <w:r w:rsidR="00BC7833">
              <w:t>a s </w:t>
            </w:r>
            <w:r>
              <w:t>výraznějším odstupem rovněž peněžnictví a</w:t>
            </w:r>
            <w:r w:rsidRPr="00B75F31">
              <w:t> </w:t>
            </w:r>
            <w:r>
              <w:t xml:space="preserve">pojišťovnictví (2,47). Zatímco předstih energetiky před ostatními odvětvími zůstává dlouhodobě téměř neměnný, </w:t>
            </w:r>
            <w:r w:rsidR="00BC7833">
              <w:t>u </w:t>
            </w:r>
            <w:r>
              <w:t>obou zbývajících odvětví se navyšoval (v</w:t>
            </w:r>
            <w:r w:rsidRPr="00B75F31">
              <w:t> </w:t>
            </w:r>
            <w:r>
              <w:t xml:space="preserve">peněžnictví </w:t>
            </w:r>
            <w:r w:rsidR="00BC7833">
              <w:t>a </w:t>
            </w:r>
            <w:r>
              <w:t xml:space="preserve">pojišťovnictví byla v roce 2005 produktivita „pouze“ dvakrát vyšší než v celé ekonomice). Mírně naopak ve stejném období relativně oslabovala těžba </w:t>
            </w:r>
            <w:r w:rsidR="00BC7833">
              <w:t>a </w:t>
            </w:r>
            <w:r>
              <w:t>dobývání, resp.</w:t>
            </w:r>
            <w:r w:rsidR="00E61EEF">
              <w:t> </w:t>
            </w:r>
            <w:r>
              <w:t xml:space="preserve">informační </w:t>
            </w:r>
            <w:r w:rsidR="00BC7833">
              <w:t>a </w:t>
            </w:r>
            <w:r>
              <w:t xml:space="preserve">komunikační činnosti. </w:t>
            </w:r>
            <w:r w:rsidR="00BC7833">
              <w:t>I </w:t>
            </w:r>
            <w:r>
              <w:t xml:space="preserve">přesto patřila úroveň produktivity práce v těchto odvětvích dále </w:t>
            </w:r>
            <w:r w:rsidR="00BC7833">
              <w:t>k </w:t>
            </w:r>
            <w:r>
              <w:t>výrazně nadprůměrným (1,41, resp.</w:t>
            </w:r>
            <w:r w:rsidR="00E61EEF">
              <w:t> </w:t>
            </w:r>
            <w:r>
              <w:t xml:space="preserve">1,96). </w:t>
            </w:r>
            <w:r w:rsidR="00E61EEF">
              <w:t>Z </w:t>
            </w:r>
            <w:r>
              <w:t xml:space="preserve">podrobnějšího odvětvového pohledu </w:t>
            </w:r>
            <w:r w:rsidR="00E61EEF">
              <w:t>vyplývá</w:t>
            </w:r>
            <w:r>
              <w:t>, že vysokou produktivitu vykazovaly také č</w:t>
            </w:r>
            <w:r w:rsidRPr="00CF7F74">
              <w:t xml:space="preserve">innosti v oblasti pronájmu </w:t>
            </w:r>
            <w:r w:rsidR="00BC7833" w:rsidRPr="00CF7F74">
              <w:t>a</w:t>
            </w:r>
            <w:r w:rsidR="00BC7833">
              <w:t> </w:t>
            </w:r>
            <w:r w:rsidRPr="00CF7F74">
              <w:t>operativního leasingu</w:t>
            </w:r>
            <w:r>
              <w:t>, l</w:t>
            </w:r>
            <w:r w:rsidRPr="00CF7F74">
              <w:t>etecká doprava</w:t>
            </w:r>
            <w:r>
              <w:t xml:space="preserve">, skladování, výzkum </w:t>
            </w:r>
            <w:r w:rsidR="00E61EEF">
              <w:t>a</w:t>
            </w:r>
            <w:r w:rsidR="00BC7833">
              <w:t> </w:t>
            </w:r>
            <w:r>
              <w:t xml:space="preserve">vývoj </w:t>
            </w:r>
            <w:r w:rsidR="00BC7833">
              <w:t>a </w:t>
            </w:r>
            <w:r>
              <w:t xml:space="preserve">také některé obory zpracovatelského průmyslu (chemie </w:t>
            </w:r>
            <w:r w:rsidR="00BC7833">
              <w:t>a </w:t>
            </w:r>
            <w:r>
              <w:t xml:space="preserve">petrochemie, farmacie, výroba nápojů </w:t>
            </w:r>
            <w:r w:rsidR="00BC7833">
              <w:t>a </w:t>
            </w:r>
            <w:r>
              <w:t>tabákových výrobků, v</w:t>
            </w:r>
            <w:r w:rsidRPr="00CF7F74">
              <w:t xml:space="preserve">ýroba počítačů, elektronických </w:t>
            </w:r>
            <w:r w:rsidR="00BC7833">
              <w:t>a </w:t>
            </w:r>
            <w:r>
              <w:t xml:space="preserve">optických přístrojů </w:t>
            </w:r>
            <w:r w:rsidR="00BC7833">
              <w:t>a </w:t>
            </w:r>
            <w:r>
              <w:t>také automobilový průmysl).</w:t>
            </w:r>
          </w:p>
        </w:tc>
      </w:tr>
      <w:tr w:rsidR="009E674A" w14:paraId="2A3CDC02" w14:textId="77777777" w:rsidTr="006F668F">
        <w:trPr>
          <w:trHeight w:val="145"/>
        </w:trPr>
        <w:tc>
          <w:tcPr>
            <w:tcW w:w="1976" w:type="dxa"/>
          </w:tcPr>
          <w:p w14:paraId="6C1A4EE3" w14:textId="3650492A" w:rsidR="009E674A" w:rsidRDefault="009E674A" w:rsidP="006F668F">
            <w:pPr>
              <w:pStyle w:val="Marginlie"/>
            </w:pPr>
            <w:r>
              <w:t>Produktivita práce v pohostinství, stravování a ubytování dosahovala dlouhodobě zhruba jen polovin</w:t>
            </w:r>
            <w:r w:rsidR="00F77285">
              <w:t>y</w:t>
            </w:r>
            <w:r>
              <w:t xml:space="preserve"> úrovně národního hospodářství.</w:t>
            </w:r>
          </w:p>
        </w:tc>
        <w:tc>
          <w:tcPr>
            <w:tcW w:w="277" w:type="dxa"/>
          </w:tcPr>
          <w:p w14:paraId="48515AAB" w14:textId="77777777" w:rsidR="009E674A" w:rsidRPr="005E4483" w:rsidRDefault="009E674A" w:rsidP="006F668F">
            <w:pPr>
              <w:pStyle w:val="Textpoznpodarou"/>
              <w:jc w:val="both"/>
              <w:rPr>
                <w:spacing w:val="-4"/>
              </w:rPr>
            </w:pPr>
          </w:p>
        </w:tc>
        <w:tc>
          <w:tcPr>
            <w:tcW w:w="7391" w:type="dxa"/>
          </w:tcPr>
          <w:p w14:paraId="741023DD" w14:textId="6B973D2B" w:rsidR="009E674A" w:rsidRDefault="009E674A" w:rsidP="006F668F">
            <w:pPr>
              <w:spacing w:after="220"/>
              <w:rPr>
                <w:spacing w:val="-2"/>
              </w:rPr>
            </w:pPr>
            <w:r w:rsidRPr="00B75F31">
              <w:rPr>
                <w:spacing w:val="-4"/>
              </w:rPr>
              <w:t>Mezi nejméně produkt</w:t>
            </w:r>
            <w:r>
              <w:rPr>
                <w:spacing w:val="-4"/>
              </w:rPr>
              <w:t xml:space="preserve">ivní odvětví se řadí </w:t>
            </w:r>
            <w:r w:rsidR="00F77285">
              <w:rPr>
                <w:spacing w:val="-4"/>
              </w:rPr>
              <w:t xml:space="preserve">ta </w:t>
            </w:r>
            <w:r>
              <w:rPr>
                <w:spacing w:val="-4"/>
              </w:rPr>
              <w:t>s vysokými požadavky na lidskou</w:t>
            </w:r>
            <w:r w:rsidRPr="00B75F31">
              <w:rPr>
                <w:spacing w:val="-4"/>
              </w:rPr>
              <w:t xml:space="preserve"> práci</w:t>
            </w:r>
            <w:r>
              <w:rPr>
                <w:spacing w:val="-4"/>
              </w:rPr>
              <w:t xml:space="preserve"> i délku odpracované doby v kombinaci s proměnlivou úrovní kvalifikace pracovníků. Patří sem rovněž některé obory s vysokým podílem netržní produkce. V uskupení ubytování, stravování </w:t>
            </w:r>
            <w:r w:rsidR="00BC7833">
              <w:rPr>
                <w:spacing w:val="-4"/>
              </w:rPr>
              <w:t>a </w:t>
            </w:r>
            <w:r>
              <w:rPr>
                <w:spacing w:val="-4"/>
              </w:rPr>
              <w:t>pohostinství dosahovala v roce 2018 hodinová produktivita práce 53</w:t>
            </w:r>
            <w:r w:rsidR="006454CC">
              <w:rPr>
                <w:spacing w:val="-4"/>
              </w:rPr>
              <w:t> %</w:t>
            </w:r>
            <w:r>
              <w:rPr>
                <w:spacing w:val="-4"/>
              </w:rPr>
              <w:t xml:space="preserve"> úrovně národního hospodářství. Nejhorší postavení mezi dvaceti hlavními odvětvími</w:t>
            </w:r>
            <w:r w:rsidR="00F77285">
              <w:rPr>
                <w:spacing w:val="-4"/>
              </w:rPr>
              <w:t xml:space="preserve"> drželo toto uskupení</w:t>
            </w:r>
            <w:r>
              <w:rPr>
                <w:spacing w:val="-4"/>
              </w:rPr>
              <w:t xml:space="preserve"> nepřetržitě od roku 2005. </w:t>
            </w:r>
            <w:r w:rsidR="00BC7833">
              <w:rPr>
                <w:spacing w:val="-4"/>
              </w:rPr>
              <w:t>O </w:t>
            </w:r>
            <w:r>
              <w:rPr>
                <w:spacing w:val="-4"/>
              </w:rPr>
              <w:t xml:space="preserve">mnoho lepší pozici </w:t>
            </w:r>
            <w:r w:rsidR="00F77285">
              <w:rPr>
                <w:spacing w:val="-4"/>
              </w:rPr>
              <w:t xml:space="preserve">neměla </w:t>
            </w:r>
            <w:r>
              <w:rPr>
                <w:spacing w:val="-4"/>
              </w:rPr>
              <w:t>loni ani odvětví ostatních činností služeb</w:t>
            </w:r>
            <w:r>
              <w:rPr>
                <w:rStyle w:val="Znakapoznpodarou"/>
                <w:rFonts w:cs="Arial"/>
                <w:color w:val="0D0D0D" w:themeColor="text1" w:themeTint="F2"/>
                <w:spacing w:val="-4"/>
              </w:rPr>
              <w:footnoteReference w:id="19"/>
            </w:r>
            <w:r>
              <w:rPr>
                <w:spacing w:val="-4"/>
              </w:rPr>
              <w:t xml:space="preserve"> (55</w:t>
            </w:r>
            <w:r w:rsidR="006454CC">
              <w:rPr>
                <w:spacing w:val="-4"/>
              </w:rPr>
              <w:t> %</w:t>
            </w:r>
            <w:r>
              <w:rPr>
                <w:spacing w:val="-4"/>
              </w:rPr>
              <w:t xml:space="preserve">) </w:t>
            </w:r>
            <w:r w:rsidR="00A34FB5">
              <w:rPr>
                <w:spacing w:val="-4"/>
              </w:rPr>
              <w:t xml:space="preserve">či </w:t>
            </w:r>
            <w:r>
              <w:rPr>
                <w:spacing w:val="-4"/>
              </w:rPr>
              <w:t>zaměstnávání</w:t>
            </w:r>
            <w:r w:rsidRPr="00FE358C">
              <w:rPr>
                <w:spacing w:val="-4"/>
              </w:rPr>
              <w:t xml:space="preserve"> domácího personálu</w:t>
            </w:r>
            <w:r>
              <w:rPr>
                <w:spacing w:val="-4"/>
              </w:rPr>
              <w:t xml:space="preserve"> (57</w:t>
            </w:r>
            <w:r w:rsidR="006454CC">
              <w:rPr>
                <w:spacing w:val="-4"/>
              </w:rPr>
              <w:t> %</w:t>
            </w:r>
            <w:r>
              <w:rPr>
                <w:spacing w:val="-4"/>
              </w:rPr>
              <w:t xml:space="preserve">). </w:t>
            </w:r>
            <w:r w:rsidR="00BC7833">
              <w:rPr>
                <w:spacing w:val="-4"/>
              </w:rPr>
              <w:t>O </w:t>
            </w:r>
            <w:r>
              <w:rPr>
                <w:spacing w:val="-4"/>
              </w:rPr>
              <w:t xml:space="preserve">třetinu slabší produktivitu měly </w:t>
            </w:r>
            <w:r w:rsidR="00BC7833">
              <w:rPr>
                <w:spacing w:val="-4"/>
              </w:rPr>
              <w:t>i </w:t>
            </w:r>
            <w:r>
              <w:rPr>
                <w:spacing w:val="-4"/>
              </w:rPr>
              <w:t xml:space="preserve">administrativní </w:t>
            </w:r>
            <w:r w:rsidR="00BC7833">
              <w:rPr>
                <w:spacing w:val="-4"/>
              </w:rPr>
              <w:t>a </w:t>
            </w:r>
            <w:r>
              <w:rPr>
                <w:spacing w:val="-4"/>
              </w:rPr>
              <w:t>podpůrn</w:t>
            </w:r>
            <w:r w:rsidR="00A34FB5">
              <w:rPr>
                <w:spacing w:val="-4"/>
              </w:rPr>
              <w:t>é</w:t>
            </w:r>
            <w:r>
              <w:rPr>
                <w:spacing w:val="-4"/>
              </w:rPr>
              <w:t xml:space="preserve"> činnosti či uskupení zemědělství, lesnictví </w:t>
            </w:r>
            <w:r w:rsidR="00BC7833">
              <w:rPr>
                <w:spacing w:val="-4"/>
              </w:rPr>
              <w:t>a </w:t>
            </w:r>
            <w:r>
              <w:rPr>
                <w:spacing w:val="-4"/>
              </w:rPr>
              <w:t xml:space="preserve">rybářství, podobně jako odvětví kulturní, zábavní a rekreační činnosti, jehož relativní pozice se navíc stále zhoršovala. Naopak další odvětví s nižší produktivitou </w:t>
            </w:r>
            <w:r w:rsidR="00A34FB5">
              <w:rPr>
                <w:spacing w:val="-4"/>
              </w:rPr>
              <w:t xml:space="preserve">zaznamenala </w:t>
            </w:r>
            <w:r>
              <w:rPr>
                <w:spacing w:val="-4"/>
              </w:rPr>
              <w:t>v posledních letech mírné zlepšení</w:t>
            </w:r>
            <w:r w:rsidR="0037734D">
              <w:rPr>
                <w:spacing w:val="-4"/>
              </w:rPr>
              <w:t xml:space="preserve"> – </w:t>
            </w:r>
            <w:r>
              <w:rPr>
                <w:spacing w:val="-4"/>
              </w:rPr>
              <w:t xml:space="preserve">zdravotní </w:t>
            </w:r>
            <w:r w:rsidR="00BC7833">
              <w:rPr>
                <w:spacing w:val="-4"/>
              </w:rPr>
              <w:t>a </w:t>
            </w:r>
            <w:r>
              <w:rPr>
                <w:spacing w:val="-4"/>
              </w:rPr>
              <w:t>sociální péče (na loňských 75</w:t>
            </w:r>
            <w:r w:rsidR="006454CC">
              <w:rPr>
                <w:spacing w:val="-4"/>
              </w:rPr>
              <w:t> %</w:t>
            </w:r>
            <w:r>
              <w:rPr>
                <w:spacing w:val="-4"/>
              </w:rPr>
              <w:t>), stavebnictví (70</w:t>
            </w:r>
            <w:r w:rsidR="006454CC">
              <w:rPr>
                <w:spacing w:val="-4"/>
              </w:rPr>
              <w:t> %</w:t>
            </w:r>
            <w:r>
              <w:rPr>
                <w:spacing w:val="-4"/>
              </w:rPr>
              <w:t xml:space="preserve">) </w:t>
            </w:r>
            <w:r w:rsidR="00BC7833">
              <w:rPr>
                <w:spacing w:val="-4"/>
              </w:rPr>
              <w:t>a </w:t>
            </w:r>
            <w:r>
              <w:rPr>
                <w:spacing w:val="-4"/>
              </w:rPr>
              <w:t>obchod (80</w:t>
            </w:r>
            <w:r w:rsidR="006454CC">
              <w:rPr>
                <w:spacing w:val="-4"/>
              </w:rPr>
              <w:t> %</w:t>
            </w:r>
            <w:r>
              <w:rPr>
                <w:spacing w:val="-4"/>
              </w:rPr>
              <w:t>).</w:t>
            </w:r>
          </w:p>
        </w:tc>
      </w:tr>
      <w:tr w:rsidR="009E674A" w14:paraId="22537A96" w14:textId="77777777" w:rsidTr="006F668F">
        <w:trPr>
          <w:trHeight w:val="145"/>
        </w:trPr>
        <w:tc>
          <w:tcPr>
            <w:tcW w:w="1976" w:type="dxa"/>
          </w:tcPr>
          <w:p w14:paraId="7BD102FA" w14:textId="77777777" w:rsidR="009E674A" w:rsidRDefault="00BC7833" w:rsidP="006F668F">
            <w:pPr>
              <w:pStyle w:val="Marginlie"/>
            </w:pPr>
            <w:r>
              <w:t>V </w:t>
            </w:r>
            <w:r w:rsidR="009E674A">
              <w:t xml:space="preserve">období let 2016 až 2018 rostly reálné hodinové výdělky zaměstnanců </w:t>
            </w:r>
            <w:r w:rsidR="009E674A">
              <w:lastRenderedPageBreak/>
              <w:t>vyšším tempem než reálná hodinová produktivita práce v celé ekonomice.</w:t>
            </w:r>
          </w:p>
          <w:p w14:paraId="1C6C3140" w14:textId="77777777" w:rsidR="009E674A" w:rsidRDefault="009E674A" w:rsidP="006F668F">
            <w:pPr>
              <w:pStyle w:val="Marginlie"/>
            </w:pPr>
          </w:p>
          <w:p w14:paraId="7DAA249C" w14:textId="77777777" w:rsidR="009E674A" w:rsidRDefault="009E674A" w:rsidP="006F668F">
            <w:pPr>
              <w:pStyle w:val="Marginlie"/>
            </w:pPr>
          </w:p>
          <w:p w14:paraId="034B7601" w14:textId="77777777" w:rsidR="009E674A" w:rsidRDefault="009E674A" w:rsidP="006F668F">
            <w:pPr>
              <w:pStyle w:val="Marginlie"/>
            </w:pPr>
          </w:p>
          <w:p w14:paraId="00FAA543" w14:textId="77777777" w:rsidR="009E674A" w:rsidRDefault="009E674A" w:rsidP="006F668F">
            <w:pPr>
              <w:pStyle w:val="Marginlie"/>
            </w:pPr>
          </w:p>
          <w:p w14:paraId="2AA2A4DB" w14:textId="77777777" w:rsidR="009E674A" w:rsidRDefault="009E674A" w:rsidP="006F668F">
            <w:pPr>
              <w:pStyle w:val="Marginlie"/>
            </w:pPr>
          </w:p>
          <w:p w14:paraId="3C9B21CC" w14:textId="77777777" w:rsidR="009E674A" w:rsidRDefault="009E674A" w:rsidP="006F668F">
            <w:pPr>
              <w:pStyle w:val="Marginlie"/>
            </w:pPr>
          </w:p>
          <w:p w14:paraId="266C574E" w14:textId="77777777" w:rsidR="009E674A" w:rsidRDefault="009E674A" w:rsidP="006F668F">
            <w:pPr>
              <w:pStyle w:val="Marginlie"/>
            </w:pPr>
          </w:p>
          <w:p w14:paraId="255E125F" w14:textId="7F6AE5F2" w:rsidR="009E674A" w:rsidRDefault="00BC7833" w:rsidP="006F668F">
            <w:pPr>
              <w:pStyle w:val="Marginlie"/>
            </w:pPr>
            <w:r>
              <w:t>I </w:t>
            </w:r>
            <w:r w:rsidR="009E674A">
              <w:t>přes krátkodobé disproporce zůstává v dlouhodobém pohledu vývoj produktivity práce a zaměstnaneckých výdělků vyvážený.</w:t>
            </w:r>
          </w:p>
        </w:tc>
        <w:tc>
          <w:tcPr>
            <w:tcW w:w="277" w:type="dxa"/>
          </w:tcPr>
          <w:p w14:paraId="24F3817B" w14:textId="77777777" w:rsidR="009E674A" w:rsidRPr="005E4483" w:rsidRDefault="009E674A" w:rsidP="006F668F">
            <w:pPr>
              <w:pStyle w:val="Textpoznpodarou"/>
              <w:jc w:val="both"/>
              <w:rPr>
                <w:spacing w:val="-4"/>
              </w:rPr>
            </w:pPr>
          </w:p>
        </w:tc>
        <w:tc>
          <w:tcPr>
            <w:tcW w:w="7391" w:type="dxa"/>
          </w:tcPr>
          <w:p w14:paraId="2CBB23A7" w14:textId="506758DB" w:rsidR="009E674A" w:rsidRPr="00B75F31" w:rsidRDefault="009E674A" w:rsidP="006F668F">
            <w:pPr>
              <w:spacing w:after="220"/>
              <w:rPr>
                <w:spacing w:val="-4"/>
              </w:rPr>
            </w:pPr>
            <w:r>
              <w:rPr>
                <w:spacing w:val="-4"/>
              </w:rPr>
              <w:t xml:space="preserve">Přestože reálná hodinová produktivita práce v celé ekonomice od konce poslední recese rostla (výjimkou byl rok 2016, kdy spíše stagnovala), nedosahovala strmé dynamiky průměrných výdělků. Reálný </w:t>
            </w:r>
            <w:r w:rsidRPr="00B473E5">
              <w:rPr>
                <w:spacing w:val="-2"/>
              </w:rPr>
              <w:t xml:space="preserve">objem vyplacených mezd </w:t>
            </w:r>
            <w:r w:rsidR="00BC7833" w:rsidRPr="00B473E5">
              <w:rPr>
                <w:spacing w:val="-2"/>
              </w:rPr>
              <w:t>a</w:t>
            </w:r>
            <w:r w:rsidR="00BC7833">
              <w:rPr>
                <w:spacing w:val="-2"/>
              </w:rPr>
              <w:t> </w:t>
            </w:r>
            <w:r w:rsidRPr="00B473E5">
              <w:rPr>
                <w:spacing w:val="-2"/>
              </w:rPr>
              <w:t>platů</w:t>
            </w:r>
            <w:r>
              <w:rPr>
                <w:rStyle w:val="Znakapoznpodarou"/>
                <w:rFonts w:cs="Arial"/>
                <w:color w:val="0D0D0D" w:themeColor="text1" w:themeTint="F2"/>
                <w:spacing w:val="-4"/>
              </w:rPr>
              <w:footnoteReference w:id="20"/>
            </w:r>
            <w:r w:rsidRPr="00B473E5">
              <w:rPr>
                <w:spacing w:val="-2"/>
              </w:rPr>
              <w:t xml:space="preserve"> v národním </w:t>
            </w:r>
            <w:r w:rsidRPr="00B473E5">
              <w:rPr>
                <w:spacing w:val="-2"/>
              </w:rPr>
              <w:lastRenderedPageBreak/>
              <w:t>hospodářství</w:t>
            </w:r>
            <w:r>
              <w:rPr>
                <w:spacing w:val="-2"/>
              </w:rPr>
              <w:t xml:space="preserve"> připadající na jednu odpracovanou hodinu po roce 2015 akceleroval. V roce 2018 vzrostl meziročně </w:t>
            </w:r>
            <w:r w:rsidR="00BC7833">
              <w:rPr>
                <w:spacing w:val="-2"/>
              </w:rPr>
              <w:t>o </w:t>
            </w:r>
            <w:r>
              <w:rPr>
                <w:spacing w:val="-2"/>
              </w:rPr>
              <w:t>silných 5,4</w:t>
            </w:r>
            <w:r w:rsidR="006454CC">
              <w:rPr>
                <w:spacing w:val="-2"/>
              </w:rPr>
              <w:t> %</w:t>
            </w:r>
            <w:r>
              <w:rPr>
                <w:spacing w:val="-2"/>
              </w:rPr>
              <w:t xml:space="preserve">, vyššího tempa docílil v dostupné časové řadě (od roku 1995) jen v letech 1996 </w:t>
            </w:r>
            <w:r w:rsidR="00BC7833">
              <w:rPr>
                <w:spacing w:val="-2"/>
              </w:rPr>
              <w:t>a </w:t>
            </w:r>
            <w:r>
              <w:rPr>
                <w:spacing w:val="-2"/>
              </w:rPr>
              <w:t xml:space="preserve">2003. V období 2016 až 2018 tak dynamika reálných zaměstnaneckých výdělků citelně předčila tempo růstu produktivity práce, což platilo nejvíce v roce 2018 (kdy hodinová produktivita v ekonomice posílila „jen“ </w:t>
            </w:r>
            <w:r w:rsidR="00BC7833">
              <w:rPr>
                <w:spacing w:val="-2"/>
              </w:rPr>
              <w:t>o </w:t>
            </w:r>
            <w:r>
              <w:rPr>
                <w:spacing w:val="-2"/>
              </w:rPr>
              <w:t>1,5</w:t>
            </w:r>
            <w:r w:rsidR="006454CC">
              <w:rPr>
                <w:spacing w:val="-2"/>
              </w:rPr>
              <w:t> %</w:t>
            </w:r>
            <w:r>
              <w:rPr>
                <w:spacing w:val="-2"/>
              </w:rPr>
              <w:t xml:space="preserve">). Loňský rok byl ale na trhu práce v řadě ohledů výjimečný. Velmi nízká míra nezaměstnanosti spolu s rekordním počtem i intenzitou zaměstnanosti byly dále umocněny bezprecedentním nárůstem </w:t>
            </w:r>
            <w:r w:rsidR="00BC7833">
              <w:rPr>
                <w:spacing w:val="-2"/>
              </w:rPr>
              <w:t>i </w:t>
            </w:r>
            <w:r>
              <w:rPr>
                <w:spacing w:val="-2"/>
              </w:rPr>
              <w:t>dosaženým počtem neobsazených pracovních míst. Z dlouhodobějšího pohledu bylo navíc patrné, že v období 2010 až 2013, kdy tuzemský trh práce nejvíce zasáhly dopady dvojité recese, byl růst reálných hodinových výdělků zastaven. Produktivita práce však v tomto období mírně rostla, mj.</w:t>
            </w:r>
            <w:r w:rsidR="008173F8">
              <w:rPr>
                <w:spacing w:val="-2"/>
              </w:rPr>
              <w:t> </w:t>
            </w:r>
            <w:r w:rsidR="00BC7833">
              <w:rPr>
                <w:spacing w:val="-2"/>
              </w:rPr>
              <w:t>i </w:t>
            </w:r>
            <w:r>
              <w:rPr>
                <w:spacing w:val="-2"/>
              </w:rPr>
              <w:t xml:space="preserve">vlivem pokračujícího propouštění pracovníků či jejich nižším využitím (poklesem odpracované doby). Disproporce mezi produktivitou práce </w:t>
            </w:r>
            <w:r w:rsidR="00BC7833">
              <w:rPr>
                <w:spacing w:val="-2"/>
              </w:rPr>
              <w:t>a </w:t>
            </w:r>
            <w:r>
              <w:rPr>
                <w:spacing w:val="-2"/>
              </w:rPr>
              <w:t xml:space="preserve">výdělky vzniklá v tomto období tak byla vývojem po roce 2015 fakticky pouze odstraněna. Proti roku 2005 byla loni hodinová produktivita reálně vyšší </w:t>
            </w:r>
            <w:r w:rsidR="00BC7833">
              <w:rPr>
                <w:spacing w:val="-2"/>
              </w:rPr>
              <w:t>o </w:t>
            </w:r>
            <w:r>
              <w:rPr>
                <w:spacing w:val="-2"/>
              </w:rPr>
              <w:t>24,7</w:t>
            </w:r>
            <w:r w:rsidR="006454CC">
              <w:rPr>
                <w:spacing w:val="-2"/>
              </w:rPr>
              <w:t> %</w:t>
            </w:r>
            <w:r>
              <w:rPr>
                <w:spacing w:val="-2"/>
              </w:rPr>
              <w:t xml:space="preserve">, reálné hodinové výdělky zaměstnanců stouply za stejné období </w:t>
            </w:r>
            <w:r w:rsidR="00BC7833">
              <w:rPr>
                <w:spacing w:val="-2"/>
              </w:rPr>
              <w:t>o </w:t>
            </w:r>
            <w:r>
              <w:rPr>
                <w:spacing w:val="-2"/>
              </w:rPr>
              <w:t>26,3</w:t>
            </w:r>
            <w:r w:rsidR="006454CC">
              <w:rPr>
                <w:spacing w:val="-2"/>
              </w:rPr>
              <w:t> %</w:t>
            </w:r>
            <w:r>
              <w:rPr>
                <w:spacing w:val="-2"/>
              </w:rPr>
              <w:t>.</w:t>
            </w:r>
          </w:p>
        </w:tc>
      </w:tr>
      <w:tr w:rsidR="009E674A" w14:paraId="2B467145" w14:textId="77777777" w:rsidTr="006F668F">
        <w:trPr>
          <w:trHeight w:val="145"/>
        </w:trPr>
        <w:tc>
          <w:tcPr>
            <w:tcW w:w="1976" w:type="dxa"/>
          </w:tcPr>
          <w:p w14:paraId="779299D1" w14:textId="77777777" w:rsidR="009E674A" w:rsidRDefault="009E674A" w:rsidP="006F668F">
            <w:pPr>
              <w:pStyle w:val="Marginlie"/>
            </w:pPr>
          </w:p>
        </w:tc>
        <w:tc>
          <w:tcPr>
            <w:tcW w:w="277" w:type="dxa"/>
          </w:tcPr>
          <w:p w14:paraId="4E23D226" w14:textId="77777777" w:rsidR="009E674A" w:rsidRPr="005E4483" w:rsidRDefault="009E674A" w:rsidP="006F668F">
            <w:pPr>
              <w:pStyle w:val="Textpoznpodarou"/>
              <w:jc w:val="both"/>
              <w:rPr>
                <w:spacing w:val="-4"/>
              </w:rPr>
            </w:pPr>
          </w:p>
        </w:tc>
        <w:tc>
          <w:tcPr>
            <w:tcW w:w="7391" w:type="dxa"/>
          </w:tcPr>
          <w:p w14:paraId="4F41D2F2" w14:textId="77777777" w:rsidR="009E674A" w:rsidRPr="004901CA" w:rsidRDefault="009E674A" w:rsidP="006F668F">
            <w:pPr>
              <w:spacing w:after="0"/>
              <w:jc w:val="left"/>
              <w:rPr>
                <w:spacing w:val="-2"/>
              </w:rPr>
            </w:pPr>
            <w:r>
              <w:rPr>
                <w:b/>
                <w:spacing w:val="-4"/>
              </w:rPr>
              <w:t xml:space="preserve">Graf </w:t>
            </w:r>
            <w:r w:rsidR="00BA35F3">
              <w:rPr>
                <w:b/>
                <w:spacing w:val="-4"/>
              </w:rPr>
              <w:t>č. </w:t>
            </w:r>
            <w:r w:rsidR="00BC7833">
              <w:rPr>
                <w:b/>
                <w:spacing w:val="-4"/>
              </w:rPr>
              <w:t>9</w:t>
            </w:r>
            <w:r w:rsidR="009F47E7">
              <w:rPr>
                <w:b/>
                <w:spacing w:val="-4"/>
              </w:rPr>
              <w:t xml:space="preserve">  </w:t>
            </w:r>
            <w:r>
              <w:rPr>
                <w:b/>
                <w:spacing w:val="-4"/>
              </w:rPr>
              <w:t xml:space="preserve">Vztah objemu vyplacených mezd* </w:t>
            </w:r>
            <w:r w:rsidR="00BC7833">
              <w:rPr>
                <w:b/>
                <w:spacing w:val="-4"/>
              </w:rPr>
              <w:t>k </w:t>
            </w:r>
            <w:r>
              <w:rPr>
                <w:b/>
                <w:spacing w:val="-4"/>
              </w:rPr>
              <w:t xml:space="preserve">produktivitě práce </w:t>
            </w:r>
            <w:r w:rsidR="00BC7833">
              <w:rPr>
                <w:b/>
                <w:spacing w:val="-4"/>
              </w:rPr>
              <w:t>a </w:t>
            </w:r>
            <w:r>
              <w:rPr>
                <w:b/>
                <w:spacing w:val="-4"/>
              </w:rPr>
              <w:t>zisku nefinančních podniků</w:t>
            </w:r>
            <w:r w:rsidR="009A4F91">
              <w:rPr>
                <w:b/>
                <w:spacing w:val="-4"/>
              </w:rPr>
              <w:t xml:space="preserve"> </w:t>
            </w:r>
            <w:r w:rsidR="009A4F91">
              <w:rPr>
                <w:spacing w:val="-4"/>
              </w:rPr>
              <w:t>(v</w:t>
            </w:r>
            <w:r w:rsidR="006454CC">
              <w:rPr>
                <w:spacing w:val="-4"/>
              </w:rPr>
              <w:t> %</w:t>
            </w:r>
            <w:r w:rsidR="009A4F91" w:rsidRPr="009A4F91">
              <w:rPr>
                <w:spacing w:val="-4"/>
              </w:rPr>
              <w:t>)</w:t>
            </w:r>
          </w:p>
        </w:tc>
      </w:tr>
      <w:tr w:rsidR="009E674A" w14:paraId="02F88221" w14:textId="77777777" w:rsidTr="003F366D">
        <w:tblPrEx>
          <w:tblCellMar>
            <w:left w:w="70" w:type="dxa"/>
            <w:right w:w="70" w:type="dxa"/>
          </w:tblCellMar>
        </w:tblPrEx>
        <w:trPr>
          <w:trHeight w:val="145"/>
        </w:trPr>
        <w:tc>
          <w:tcPr>
            <w:tcW w:w="1976" w:type="dxa"/>
          </w:tcPr>
          <w:p w14:paraId="4874385C" w14:textId="77777777" w:rsidR="009E674A" w:rsidRDefault="009E674A" w:rsidP="006F668F">
            <w:pPr>
              <w:pStyle w:val="Marginlie"/>
            </w:pPr>
          </w:p>
        </w:tc>
        <w:tc>
          <w:tcPr>
            <w:tcW w:w="277" w:type="dxa"/>
          </w:tcPr>
          <w:p w14:paraId="2DA30886" w14:textId="77777777" w:rsidR="009E674A" w:rsidRPr="005E4483" w:rsidRDefault="009E674A" w:rsidP="006F668F">
            <w:pPr>
              <w:pStyle w:val="Textpoznpodarou"/>
              <w:jc w:val="both"/>
              <w:rPr>
                <w:spacing w:val="-4"/>
              </w:rPr>
            </w:pPr>
          </w:p>
        </w:tc>
        <w:tc>
          <w:tcPr>
            <w:tcW w:w="7391" w:type="dxa"/>
          </w:tcPr>
          <w:p w14:paraId="628AD41F" w14:textId="1CCBBD16" w:rsidR="009E674A" w:rsidRPr="004901CA" w:rsidRDefault="003F366D" w:rsidP="006F668F">
            <w:pPr>
              <w:spacing w:after="0"/>
              <w:rPr>
                <w:spacing w:val="-2"/>
              </w:rPr>
            </w:pPr>
            <w:r>
              <w:rPr>
                <w:noProof/>
              </w:rPr>
              <w:drawing>
                <wp:inline distT="0" distB="0" distL="0" distR="0" wp14:anchorId="4F21AA6A" wp14:editId="3A4F3DF6">
                  <wp:extent cx="4585921" cy="3521294"/>
                  <wp:effectExtent l="0" t="0" r="5715" b="317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9E674A" w14:paraId="69956206" w14:textId="77777777" w:rsidTr="006F668F">
        <w:trPr>
          <w:trHeight w:val="145"/>
        </w:trPr>
        <w:tc>
          <w:tcPr>
            <w:tcW w:w="1976" w:type="dxa"/>
          </w:tcPr>
          <w:p w14:paraId="12A4EFCD" w14:textId="77777777" w:rsidR="009E674A" w:rsidRDefault="009E674A" w:rsidP="006F668F">
            <w:pPr>
              <w:pStyle w:val="Marginlie"/>
            </w:pPr>
          </w:p>
        </w:tc>
        <w:tc>
          <w:tcPr>
            <w:tcW w:w="277" w:type="dxa"/>
          </w:tcPr>
          <w:p w14:paraId="5C904DB6" w14:textId="77777777" w:rsidR="009E674A" w:rsidRPr="005E4483" w:rsidRDefault="009E674A" w:rsidP="006F668F">
            <w:pPr>
              <w:pStyle w:val="Textpoznpodarou"/>
              <w:jc w:val="both"/>
              <w:rPr>
                <w:spacing w:val="-4"/>
              </w:rPr>
            </w:pPr>
          </w:p>
        </w:tc>
        <w:tc>
          <w:tcPr>
            <w:tcW w:w="7391" w:type="dxa"/>
          </w:tcPr>
          <w:p w14:paraId="27021F7A" w14:textId="01B48BE5" w:rsidR="009E674A" w:rsidRDefault="009E674A" w:rsidP="006F668F">
            <w:pPr>
              <w:spacing w:after="0"/>
              <w:rPr>
                <w:rFonts w:cs="Arial"/>
                <w:sz w:val="14"/>
                <w:szCs w:val="14"/>
              </w:rPr>
            </w:pPr>
            <w:r>
              <w:rPr>
                <w:rFonts w:cs="Arial"/>
                <w:sz w:val="14"/>
                <w:szCs w:val="14"/>
              </w:rPr>
              <w:t xml:space="preserve">*Jde </w:t>
            </w:r>
            <w:r w:rsidR="00BC7833">
              <w:rPr>
                <w:rFonts w:cs="Arial"/>
                <w:sz w:val="14"/>
                <w:szCs w:val="14"/>
              </w:rPr>
              <w:t>o </w:t>
            </w:r>
            <w:r>
              <w:rPr>
                <w:rFonts w:cs="Arial"/>
                <w:sz w:val="14"/>
                <w:szCs w:val="14"/>
              </w:rPr>
              <w:t xml:space="preserve">mzdy </w:t>
            </w:r>
            <w:r w:rsidR="00BC7833">
              <w:rPr>
                <w:rFonts w:cs="Arial"/>
                <w:sz w:val="14"/>
                <w:szCs w:val="14"/>
              </w:rPr>
              <w:t>a </w:t>
            </w:r>
            <w:r>
              <w:rPr>
                <w:rFonts w:cs="Arial"/>
                <w:sz w:val="14"/>
                <w:szCs w:val="14"/>
              </w:rPr>
              <w:t xml:space="preserve">platy v pojetí národních účtů. </w:t>
            </w:r>
            <w:r w:rsidRPr="00DE2572">
              <w:rPr>
                <w:rFonts w:cs="Arial"/>
                <w:sz w:val="14"/>
                <w:szCs w:val="14"/>
              </w:rPr>
              <w:t xml:space="preserve">Obsahují </w:t>
            </w:r>
            <w:r w:rsidR="00BC7833" w:rsidRPr="00DE2572">
              <w:rPr>
                <w:rFonts w:cs="Arial"/>
                <w:sz w:val="14"/>
                <w:szCs w:val="14"/>
              </w:rPr>
              <w:t>i</w:t>
            </w:r>
            <w:r w:rsidR="00BC7833">
              <w:rPr>
                <w:rFonts w:cs="Arial"/>
                <w:sz w:val="14"/>
                <w:szCs w:val="14"/>
              </w:rPr>
              <w:t> </w:t>
            </w:r>
            <w:r w:rsidRPr="00DE2572">
              <w:rPr>
                <w:rFonts w:cs="Arial"/>
                <w:sz w:val="14"/>
                <w:szCs w:val="14"/>
              </w:rPr>
              <w:t xml:space="preserve">daň z příjmu </w:t>
            </w:r>
            <w:r w:rsidR="00BC7833" w:rsidRPr="00DE2572">
              <w:rPr>
                <w:rFonts w:cs="Arial"/>
                <w:sz w:val="14"/>
                <w:szCs w:val="14"/>
              </w:rPr>
              <w:t>a</w:t>
            </w:r>
            <w:r w:rsidR="00BC7833">
              <w:rPr>
                <w:rFonts w:cs="Arial"/>
                <w:sz w:val="14"/>
                <w:szCs w:val="14"/>
              </w:rPr>
              <w:t> </w:t>
            </w:r>
            <w:r w:rsidRPr="00DE2572">
              <w:rPr>
                <w:rFonts w:cs="Arial"/>
                <w:sz w:val="14"/>
                <w:szCs w:val="14"/>
              </w:rPr>
              <w:t>sociální příspěvky placené zaměstnancem. Zahrnují také nepeněžní, resp.</w:t>
            </w:r>
            <w:r w:rsidR="009D78F8">
              <w:rPr>
                <w:rFonts w:cs="Arial"/>
                <w:sz w:val="14"/>
                <w:szCs w:val="14"/>
              </w:rPr>
              <w:t> </w:t>
            </w:r>
            <w:r w:rsidRPr="00DE2572">
              <w:rPr>
                <w:rFonts w:cs="Arial"/>
                <w:sz w:val="14"/>
                <w:szCs w:val="14"/>
              </w:rPr>
              <w:t xml:space="preserve">naturální důchody </w:t>
            </w:r>
            <w:r w:rsidR="00BC7833" w:rsidRPr="00DE2572">
              <w:rPr>
                <w:rFonts w:cs="Arial"/>
                <w:sz w:val="14"/>
                <w:szCs w:val="14"/>
              </w:rPr>
              <w:t>i</w:t>
            </w:r>
            <w:r w:rsidR="00BC7833">
              <w:rPr>
                <w:rFonts w:cs="Arial"/>
                <w:sz w:val="14"/>
                <w:szCs w:val="14"/>
              </w:rPr>
              <w:t> </w:t>
            </w:r>
            <w:r w:rsidRPr="00DE2572">
              <w:rPr>
                <w:rFonts w:cs="Arial"/>
                <w:sz w:val="14"/>
                <w:szCs w:val="14"/>
              </w:rPr>
              <w:t>odhad za nezjištěnou (šedou) ekonomiku.</w:t>
            </w:r>
          </w:p>
          <w:p w14:paraId="177E556D" w14:textId="4DB71756" w:rsidR="009E674A" w:rsidRDefault="009E674A" w:rsidP="006F668F">
            <w:pPr>
              <w:spacing w:after="0"/>
              <w:rPr>
                <w:rFonts w:cs="Arial"/>
                <w:sz w:val="14"/>
                <w:szCs w:val="14"/>
              </w:rPr>
            </w:pPr>
            <w:r>
              <w:rPr>
                <w:rFonts w:cs="Arial"/>
                <w:sz w:val="14"/>
                <w:szCs w:val="14"/>
              </w:rPr>
              <w:t>**</w:t>
            </w:r>
            <w:r w:rsidRPr="00B75F31">
              <w:rPr>
                <w:spacing w:val="-2"/>
              </w:rPr>
              <w:t xml:space="preserve"> </w:t>
            </w:r>
            <w:r w:rsidRPr="008F0798">
              <w:rPr>
                <w:rFonts w:cs="Arial"/>
                <w:sz w:val="14"/>
                <w:szCs w:val="14"/>
              </w:rPr>
              <w:t>Do</w:t>
            </w:r>
            <w:r w:rsidR="009D78F8">
              <w:rPr>
                <w:rFonts w:cs="Arial"/>
                <w:sz w:val="14"/>
                <w:szCs w:val="14"/>
              </w:rPr>
              <w:t xml:space="preserve"> </w:t>
            </w:r>
            <w:r w:rsidRPr="008F0798">
              <w:rPr>
                <w:rFonts w:cs="Arial"/>
                <w:sz w:val="14"/>
                <w:szCs w:val="14"/>
              </w:rPr>
              <w:t>reálného vyjádření převedeno s využitím deflátoru výdajů na konečnou spotřebu domácností</w:t>
            </w:r>
            <w:r>
              <w:rPr>
                <w:rFonts w:cs="Arial"/>
                <w:sz w:val="14"/>
                <w:szCs w:val="14"/>
              </w:rPr>
              <w:t>.</w:t>
            </w:r>
          </w:p>
          <w:p w14:paraId="64A002B9" w14:textId="77777777" w:rsidR="009E674A" w:rsidRPr="004901CA" w:rsidRDefault="009E674A" w:rsidP="006F668F">
            <w:pPr>
              <w:spacing w:after="220"/>
              <w:rPr>
                <w:spacing w:val="-2"/>
              </w:rPr>
            </w:pPr>
            <w:r w:rsidRPr="00444E6D">
              <w:rPr>
                <w:rFonts w:cs="Arial"/>
                <w:sz w:val="14"/>
                <w:szCs w:val="14"/>
              </w:rPr>
              <w:t xml:space="preserve">Zdroj: </w:t>
            </w:r>
            <w:r>
              <w:rPr>
                <w:rFonts w:cs="Arial"/>
                <w:sz w:val="14"/>
                <w:szCs w:val="14"/>
              </w:rPr>
              <w:t>ČSÚ (národní účty)</w:t>
            </w:r>
          </w:p>
        </w:tc>
      </w:tr>
      <w:tr w:rsidR="009E674A" w14:paraId="0D46844C" w14:textId="77777777" w:rsidTr="006F668F">
        <w:trPr>
          <w:trHeight w:val="145"/>
        </w:trPr>
        <w:tc>
          <w:tcPr>
            <w:tcW w:w="1976" w:type="dxa"/>
          </w:tcPr>
          <w:p w14:paraId="22DE72D2" w14:textId="77777777" w:rsidR="009E674A" w:rsidRDefault="009E674A" w:rsidP="006F668F">
            <w:pPr>
              <w:pStyle w:val="Marginlie"/>
            </w:pPr>
            <w:r>
              <w:t xml:space="preserve">Poměr mezd </w:t>
            </w:r>
            <w:r w:rsidR="00BC7833">
              <w:t>a </w:t>
            </w:r>
            <w:r>
              <w:t xml:space="preserve">platů k HDP dosáhl loni rekordních 32,6 %. Na jeho mírném dlouhodobém růstu se podílela </w:t>
            </w:r>
            <w:r w:rsidR="00BC7833">
              <w:t>i </w:t>
            </w:r>
            <w:r>
              <w:t>rostoucí váha zaměstnanců na výkonu celé ekonomiky.</w:t>
            </w:r>
          </w:p>
          <w:p w14:paraId="4AE7B8AE" w14:textId="77777777" w:rsidR="009E674A" w:rsidRDefault="009E674A" w:rsidP="006F668F">
            <w:pPr>
              <w:pStyle w:val="Marginlie"/>
            </w:pPr>
          </w:p>
          <w:p w14:paraId="36A4D59C" w14:textId="77777777" w:rsidR="009E674A" w:rsidRDefault="009E674A" w:rsidP="006F668F">
            <w:pPr>
              <w:pStyle w:val="Marginlie"/>
            </w:pPr>
          </w:p>
          <w:p w14:paraId="6CA398D0" w14:textId="77777777" w:rsidR="009E674A" w:rsidRDefault="009E674A" w:rsidP="006F668F">
            <w:pPr>
              <w:pStyle w:val="Marginlie"/>
            </w:pPr>
          </w:p>
          <w:p w14:paraId="5B2A46EB" w14:textId="77777777" w:rsidR="009E674A" w:rsidRDefault="009E674A" w:rsidP="006F668F">
            <w:pPr>
              <w:pStyle w:val="Marginlie"/>
            </w:pPr>
            <w:r>
              <w:lastRenderedPageBreak/>
              <w:t>Mzdová akcelerace se loni citelně projevila v ziskovosti nefinančních podniků.</w:t>
            </w:r>
          </w:p>
        </w:tc>
        <w:tc>
          <w:tcPr>
            <w:tcW w:w="277" w:type="dxa"/>
          </w:tcPr>
          <w:p w14:paraId="7FEF79D0" w14:textId="77777777" w:rsidR="009E674A" w:rsidRPr="005E4483" w:rsidRDefault="009E674A" w:rsidP="006F668F">
            <w:pPr>
              <w:pStyle w:val="Textpoznpodarou"/>
              <w:jc w:val="both"/>
              <w:rPr>
                <w:spacing w:val="-4"/>
              </w:rPr>
            </w:pPr>
          </w:p>
        </w:tc>
        <w:tc>
          <w:tcPr>
            <w:tcW w:w="7391" w:type="dxa"/>
          </w:tcPr>
          <w:p w14:paraId="2121159A" w14:textId="1FBD89F8" w:rsidR="009E674A" w:rsidRPr="004901CA" w:rsidRDefault="009E674A" w:rsidP="006F668F">
            <w:pPr>
              <w:spacing w:after="0"/>
              <w:rPr>
                <w:spacing w:val="-2"/>
              </w:rPr>
            </w:pPr>
            <w:r>
              <w:rPr>
                <w:spacing w:val="-2"/>
              </w:rPr>
              <w:t xml:space="preserve">Poměr objemu vyplacených mezd </w:t>
            </w:r>
            <w:r w:rsidR="00BC7833">
              <w:rPr>
                <w:spacing w:val="-2"/>
              </w:rPr>
              <w:t>a </w:t>
            </w:r>
            <w:r>
              <w:rPr>
                <w:spacing w:val="-2"/>
              </w:rPr>
              <w:t>platů v ekonomice na HDP v Česku dlouhodobě osciloval těsně nad 30</w:t>
            </w:r>
            <w:r w:rsidR="006454CC">
              <w:rPr>
                <w:spacing w:val="-2"/>
              </w:rPr>
              <w:t> %</w:t>
            </w:r>
            <w:r>
              <w:rPr>
                <w:spacing w:val="-2"/>
              </w:rPr>
              <w:t xml:space="preserve">. V posledních třech letech ale zaměstnanci profitovali ze své velmi výhodné pozice na pracovním trhu </w:t>
            </w:r>
            <w:r w:rsidR="00BC7833">
              <w:rPr>
                <w:spacing w:val="-2"/>
              </w:rPr>
              <w:t>a </w:t>
            </w:r>
            <w:r>
              <w:rPr>
                <w:spacing w:val="-2"/>
              </w:rPr>
              <w:t>poměr výdělků dosáhl loni 32,6</w:t>
            </w:r>
            <w:r w:rsidR="006454CC">
              <w:rPr>
                <w:spacing w:val="-2"/>
              </w:rPr>
              <w:t> %</w:t>
            </w:r>
            <w:r>
              <w:rPr>
                <w:spacing w:val="-2"/>
              </w:rPr>
              <w:t>, nejvíce v historii samostatné ČR. Nelze ale opomenout, že za tímto růstem stojí zčásti (zejména po roce 2000) rostoucí váha zaměstnanců na výkonu celé ekonomiky. Zatímco ti se v roce 2018 podíleli na celkové odpracované době v ekonomice 83,6</w:t>
            </w:r>
            <w:r w:rsidR="006454CC">
              <w:rPr>
                <w:spacing w:val="-2"/>
              </w:rPr>
              <w:t> %</w:t>
            </w:r>
            <w:r>
              <w:rPr>
                <w:spacing w:val="-2"/>
              </w:rPr>
              <w:t xml:space="preserve">, </w:t>
            </w:r>
            <w:r w:rsidR="00BC7833">
              <w:rPr>
                <w:spacing w:val="-2"/>
              </w:rPr>
              <w:t>o </w:t>
            </w:r>
            <w:r>
              <w:rPr>
                <w:spacing w:val="-2"/>
              </w:rPr>
              <w:t xml:space="preserve">patnáct let dříve byla jejich váha </w:t>
            </w:r>
            <w:r w:rsidR="00BC7833">
              <w:rPr>
                <w:spacing w:val="-2"/>
              </w:rPr>
              <w:t>o </w:t>
            </w:r>
            <w:r>
              <w:rPr>
                <w:spacing w:val="-2"/>
              </w:rPr>
              <w:t>5</w:t>
            </w:r>
            <w:r w:rsidR="006454CC">
              <w:rPr>
                <w:spacing w:val="-2"/>
              </w:rPr>
              <w:t> p. b.</w:t>
            </w:r>
            <w:r>
              <w:rPr>
                <w:spacing w:val="-2"/>
              </w:rPr>
              <w:t xml:space="preserve"> slabší. Situace na pracovním trhu v loňském roce ale měla méně příznivé dopady na hospodaření nejvýznamnějšího </w:t>
            </w:r>
            <w:r>
              <w:rPr>
                <w:spacing w:val="-2"/>
              </w:rPr>
              <w:lastRenderedPageBreak/>
              <w:t>institucionálního sektoru v ekonomice</w:t>
            </w:r>
            <w:r w:rsidR="0037734D">
              <w:rPr>
                <w:spacing w:val="-2"/>
              </w:rPr>
              <w:t xml:space="preserve"> – </w:t>
            </w:r>
            <w:r>
              <w:rPr>
                <w:spacing w:val="-2"/>
              </w:rPr>
              <w:t>nefinančních podniků</w:t>
            </w:r>
            <w:r>
              <w:rPr>
                <w:rStyle w:val="Znakapoznpodarou"/>
                <w:rFonts w:cs="Arial"/>
                <w:color w:val="0D0D0D" w:themeColor="text1" w:themeTint="F2"/>
                <w:spacing w:val="-4"/>
              </w:rPr>
              <w:footnoteReference w:id="21"/>
            </w:r>
            <w:r>
              <w:rPr>
                <w:spacing w:val="-2"/>
              </w:rPr>
              <w:t>. Jejich hrubý provozní přebytek se poprvé po roce 2010 meziročně snížil (</w:t>
            </w:r>
            <w:r w:rsidR="00BC7833">
              <w:rPr>
                <w:spacing w:val="-2"/>
              </w:rPr>
              <w:t>o </w:t>
            </w:r>
            <w:r>
              <w:rPr>
                <w:spacing w:val="-2"/>
              </w:rPr>
              <w:t>1,5</w:t>
            </w:r>
            <w:r w:rsidR="006454CC">
              <w:rPr>
                <w:spacing w:val="-2"/>
              </w:rPr>
              <w:t> %</w:t>
            </w:r>
            <w:r>
              <w:rPr>
                <w:spacing w:val="-2"/>
              </w:rPr>
              <w:t>) a míra hrubého zisku klesla na 46,7</w:t>
            </w:r>
            <w:r w:rsidR="006454CC">
              <w:rPr>
                <w:spacing w:val="-2"/>
              </w:rPr>
              <w:t> %</w:t>
            </w:r>
            <w:r>
              <w:rPr>
                <w:spacing w:val="-2"/>
              </w:rPr>
              <w:t xml:space="preserve"> (nejnižší hodnotu v historii samostatné ČR). Poměr objemu vyplacených mezd v podnicích k jimi vytvořenému hrubému zisku po roce 2015 stoupal </w:t>
            </w:r>
            <w:r w:rsidR="00BC7833">
              <w:rPr>
                <w:spacing w:val="-2"/>
              </w:rPr>
              <w:t>a </w:t>
            </w:r>
            <w:r>
              <w:rPr>
                <w:spacing w:val="-2"/>
              </w:rPr>
              <w:t>loni dosáhl rekordních 87,6</w:t>
            </w:r>
            <w:r w:rsidR="006454CC">
              <w:rPr>
                <w:spacing w:val="-2"/>
              </w:rPr>
              <w:t> %</w:t>
            </w:r>
            <w:r>
              <w:rPr>
                <w:spacing w:val="-2"/>
              </w:rPr>
              <w:t>.</w:t>
            </w:r>
          </w:p>
        </w:tc>
      </w:tr>
    </w:tbl>
    <w:p w14:paraId="654E18CC" w14:textId="77777777" w:rsidR="009E674A" w:rsidRPr="00EA394F" w:rsidRDefault="009E674A" w:rsidP="009E674A">
      <w:pPr>
        <w:rPr>
          <w:sz w:val="2"/>
          <w:szCs w:val="2"/>
        </w:rPr>
      </w:pPr>
    </w:p>
    <w:p w14:paraId="001A2500" w14:textId="77777777" w:rsidR="009E674A" w:rsidRPr="002A5986" w:rsidRDefault="009E674A" w:rsidP="009E674A">
      <w:pPr>
        <w:spacing w:after="0"/>
        <w:rPr>
          <w:rFonts w:eastAsia="MS Gothic"/>
          <w:b/>
          <w:bCs/>
          <w:color w:val="71818C"/>
          <w:sz w:val="28"/>
          <w:szCs w:val="28"/>
        </w:rPr>
      </w:pPr>
      <w:r>
        <w:rPr>
          <w:rFonts w:eastAsia="MS Gothic"/>
          <w:b/>
          <w:bCs/>
          <w:color w:val="71818C"/>
          <w:sz w:val="28"/>
          <w:szCs w:val="28"/>
        </w:rPr>
        <w:t>1.4. Zaměstnanost cizinců</w:t>
      </w:r>
    </w:p>
    <w:tbl>
      <w:tblPr>
        <w:tblW w:w="9644" w:type="dxa"/>
        <w:tblInd w:w="-15" w:type="dxa"/>
        <w:tblLayout w:type="fixed"/>
        <w:tblCellMar>
          <w:left w:w="0" w:type="dxa"/>
          <w:right w:w="0" w:type="dxa"/>
        </w:tblCellMar>
        <w:tblLook w:val="00A0" w:firstRow="1" w:lastRow="0" w:firstColumn="1" w:lastColumn="0" w:noHBand="0" w:noVBand="0"/>
      </w:tblPr>
      <w:tblGrid>
        <w:gridCol w:w="1976"/>
        <w:gridCol w:w="277"/>
        <w:gridCol w:w="7391"/>
      </w:tblGrid>
      <w:tr w:rsidR="009E674A" w:rsidRPr="00257FB1" w14:paraId="58F5917A" w14:textId="77777777" w:rsidTr="006F668F">
        <w:trPr>
          <w:trHeight w:val="145"/>
        </w:trPr>
        <w:tc>
          <w:tcPr>
            <w:tcW w:w="1976" w:type="dxa"/>
          </w:tcPr>
          <w:p w14:paraId="060A3124" w14:textId="726E5182" w:rsidR="009E674A" w:rsidRDefault="009E674A" w:rsidP="00744D09">
            <w:pPr>
              <w:pStyle w:val="Marginlie"/>
            </w:pPr>
            <w:r>
              <w:t xml:space="preserve">Problém nedostatku volné pracovní síly na tuzemském pracovním trhu se dále vyostřoval. </w:t>
            </w:r>
          </w:p>
        </w:tc>
        <w:tc>
          <w:tcPr>
            <w:tcW w:w="277" w:type="dxa"/>
          </w:tcPr>
          <w:p w14:paraId="500BF823" w14:textId="77777777" w:rsidR="009E674A" w:rsidRPr="005E4483" w:rsidRDefault="009E674A" w:rsidP="006F668F">
            <w:pPr>
              <w:pStyle w:val="Textpoznpodarou"/>
              <w:jc w:val="both"/>
              <w:rPr>
                <w:spacing w:val="-4"/>
              </w:rPr>
            </w:pPr>
          </w:p>
        </w:tc>
        <w:tc>
          <w:tcPr>
            <w:tcW w:w="7391" w:type="dxa"/>
          </w:tcPr>
          <w:p w14:paraId="763B388E" w14:textId="0E45F3FF" w:rsidR="009E674A" w:rsidRPr="00257FB1" w:rsidRDefault="00BC7833" w:rsidP="00744D09">
            <w:pPr>
              <w:spacing w:after="220"/>
              <w:rPr>
                <w:spacing w:val="-2"/>
              </w:rPr>
            </w:pPr>
            <w:r>
              <w:rPr>
                <w:spacing w:val="-2"/>
              </w:rPr>
              <w:t>V </w:t>
            </w:r>
            <w:r w:rsidR="009E674A">
              <w:rPr>
                <w:spacing w:val="-2"/>
              </w:rPr>
              <w:t>době pokračující hospodářské expanze narážely</w:t>
            </w:r>
            <w:r w:rsidR="00992F70">
              <w:rPr>
                <w:spacing w:val="-2"/>
              </w:rPr>
              <w:t xml:space="preserve"> podniky stále více na limity plynoucí </w:t>
            </w:r>
            <w:r>
              <w:rPr>
                <w:spacing w:val="-2"/>
              </w:rPr>
              <w:t>z </w:t>
            </w:r>
            <w:r w:rsidR="00992F70">
              <w:rPr>
                <w:spacing w:val="-2"/>
              </w:rPr>
              <w:t>tuzemského pracovního</w:t>
            </w:r>
            <w:r w:rsidR="009E674A">
              <w:rPr>
                <w:spacing w:val="-2"/>
              </w:rPr>
              <w:t xml:space="preserve"> trhu. </w:t>
            </w:r>
            <w:r w:rsidR="00C3031A">
              <w:rPr>
                <w:spacing w:val="-2"/>
              </w:rPr>
              <w:t>Podle</w:t>
            </w:r>
            <w:r w:rsidR="009E674A">
              <w:rPr>
                <w:spacing w:val="-2"/>
              </w:rPr>
              <w:t xml:space="preserve"> výpovědí podnikových manažerů v rámci konjunkturálních průzkumů se stal nedostatek zaměstnanců hlavní růstovou bariérou v průmyslu již v polovině roku 2017, </w:t>
            </w:r>
            <w:r>
              <w:rPr>
                <w:spacing w:val="-2"/>
              </w:rPr>
              <w:t>o </w:t>
            </w:r>
            <w:r w:rsidR="009E674A">
              <w:rPr>
                <w:spacing w:val="-2"/>
              </w:rPr>
              <w:t xml:space="preserve">rok později </w:t>
            </w:r>
            <w:r>
              <w:rPr>
                <w:spacing w:val="-2"/>
              </w:rPr>
              <w:t>i </w:t>
            </w:r>
            <w:r w:rsidR="009E674A">
              <w:rPr>
                <w:spacing w:val="-2"/>
              </w:rPr>
              <w:t>ve staveb</w:t>
            </w:r>
            <w:r w:rsidR="00E32880">
              <w:rPr>
                <w:spacing w:val="-2"/>
              </w:rPr>
              <w:t xml:space="preserve">nictví, </w:t>
            </w:r>
            <w:r>
              <w:rPr>
                <w:spacing w:val="-2"/>
              </w:rPr>
              <w:t>a </w:t>
            </w:r>
            <w:r w:rsidR="00E32880">
              <w:rPr>
                <w:spacing w:val="-2"/>
              </w:rPr>
              <w:t xml:space="preserve">tomuto stavu se blížila </w:t>
            </w:r>
            <w:r>
              <w:rPr>
                <w:spacing w:val="-2"/>
              </w:rPr>
              <w:t>i </w:t>
            </w:r>
            <w:r w:rsidR="00E32880">
              <w:rPr>
                <w:spacing w:val="-2"/>
              </w:rPr>
              <w:t>situace</w:t>
            </w:r>
            <w:r w:rsidR="009E674A">
              <w:rPr>
                <w:spacing w:val="-2"/>
              </w:rPr>
              <w:t xml:space="preserve"> ve většině odvětví tržních služeb. Přestože zprvu optimistická očekávání dalšího růstu zaměstnanosti v průběhu loňského roku zčásti ochabla (především v průmyslu), poptávka po pracovnících zůstala v tuzemské ekonomice nadále silná. </w:t>
            </w:r>
          </w:p>
        </w:tc>
      </w:tr>
      <w:tr w:rsidR="009E674A" w14:paraId="70655922" w14:textId="77777777" w:rsidTr="006F668F">
        <w:trPr>
          <w:trHeight w:val="145"/>
        </w:trPr>
        <w:tc>
          <w:tcPr>
            <w:tcW w:w="1976" w:type="dxa"/>
          </w:tcPr>
          <w:p w14:paraId="5FDAD2C1" w14:textId="77777777" w:rsidR="009E674A" w:rsidRDefault="009E674A" w:rsidP="006F668F">
            <w:pPr>
              <w:pStyle w:val="Marginlie"/>
            </w:pPr>
            <w:r>
              <w:t>,</w:t>
            </w:r>
          </w:p>
        </w:tc>
        <w:tc>
          <w:tcPr>
            <w:tcW w:w="277" w:type="dxa"/>
          </w:tcPr>
          <w:p w14:paraId="68D4235B" w14:textId="77777777" w:rsidR="009E674A" w:rsidRPr="005E4483" w:rsidRDefault="009E674A" w:rsidP="006F668F">
            <w:pPr>
              <w:pStyle w:val="Textpoznpodarou"/>
              <w:jc w:val="both"/>
              <w:rPr>
                <w:spacing w:val="-4"/>
              </w:rPr>
            </w:pPr>
          </w:p>
        </w:tc>
        <w:tc>
          <w:tcPr>
            <w:tcW w:w="7391" w:type="dxa"/>
          </w:tcPr>
          <w:p w14:paraId="2D5D53D2" w14:textId="04479E1A" w:rsidR="009E674A" w:rsidRPr="008F0798" w:rsidRDefault="009E674A" w:rsidP="006F668F">
            <w:pPr>
              <w:spacing w:after="0"/>
              <w:jc w:val="left"/>
              <w:rPr>
                <w:spacing w:val="-2"/>
              </w:rPr>
            </w:pPr>
            <w:r w:rsidRPr="008F0798">
              <w:rPr>
                <w:b/>
                <w:spacing w:val="-2"/>
              </w:rPr>
              <w:t xml:space="preserve">Graf </w:t>
            </w:r>
            <w:r w:rsidR="00BA35F3">
              <w:rPr>
                <w:b/>
                <w:spacing w:val="-2"/>
              </w:rPr>
              <w:t>č. </w:t>
            </w:r>
            <w:r w:rsidRPr="008F0798">
              <w:rPr>
                <w:b/>
                <w:spacing w:val="-2"/>
              </w:rPr>
              <w:t xml:space="preserve">10  Cizinci evidovaní na úřadech práce </w:t>
            </w:r>
            <w:r w:rsidR="00BC7833" w:rsidRPr="008F0798">
              <w:rPr>
                <w:b/>
                <w:spacing w:val="-2"/>
              </w:rPr>
              <w:t>a</w:t>
            </w:r>
            <w:r w:rsidR="00BC7833">
              <w:rPr>
                <w:b/>
                <w:spacing w:val="-2"/>
              </w:rPr>
              <w:t> </w:t>
            </w:r>
            <w:r w:rsidRPr="008F0798">
              <w:rPr>
                <w:b/>
                <w:spacing w:val="-2"/>
              </w:rPr>
              <w:t xml:space="preserve">cizinci s platným živnostenským oprávněním </w:t>
            </w:r>
            <w:r w:rsidR="00BC7833" w:rsidRPr="008F0798">
              <w:rPr>
                <w:b/>
                <w:spacing w:val="-2"/>
              </w:rPr>
              <w:t>v</w:t>
            </w:r>
            <w:r w:rsidR="00BC7833">
              <w:rPr>
                <w:b/>
                <w:spacing w:val="-2"/>
              </w:rPr>
              <w:t> </w:t>
            </w:r>
            <w:r w:rsidRPr="008F0798">
              <w:rPr>
                <w:b/>
                <w:spacing w:val="-2"/>
              </w:rPr>
              <w:t xml:space="preserve">ČR </w:t>
            </w:r>
            <w:r w:rsidRPr="008F0798">
              <w:rPr>
                <w:spacing w:val="-2"/>
              </w:rPr>
              <w:t>(</w:t>
            </w:r>
            <w:r w:rsidR="00BC7833" w:rsidRPr="008F0798">
              <w:rPr>
                <w:spacing w:val="-2"/>
              </w:rPr>
              <w:t>k</w:t>
            </w:r>
            <w:r w:rsidR="00BC7833">
              <w:rPr>
                <w:spacing w:val="-2"/>
              </w:rPr>
              <w:t> </w:t>
            </w:r>
            <w:r w:rsidRPr="008F0798">
              <w:rPr>
                <w:spacing w:val="-2"/>
              </w:rPr>
              <w:t>31.</w:t>
            </w:r>
            <w:r w:rsidR="00A365AC">
              <w:rPr>
                <w:spacing w:val="-2"/>
              </w:rPr>
              <w:t> </w:t>
            </w:r>
            <w:r w:rsidRPr="008F0798">
              <w:rPr>
                <w:spacing w:val="-2"/>
              </w:rPr>
              <w:t xml:space="preserve">12., </w:t>
            </w:r>
            <w:r w:rsidR="00BC7833" w:rsidRPr="008F0798">
              <w:rPr>
                <w:spacing w:val="-2"/>
              </w:rPr>
              <w:t>v</w:t>
            </w:r>
            <w:r w:rsidR="00BC7833">
              <w:rPr>
                <w:spacing w:val="-2"/>
              </w:rPr>
              <w:t> </w:t>
            </w:r>
            <w:r w:rsidRPr="008F0798">
              <w:rPr>
                <w:spacing w:val="-2"/>
              </w:rPr>
              <w:t>osobách)</w:t>
            </w:r>
          </w:p>
        </w:tc>
      </w:tr>
      <w:tr w:rsidR="009E674A" w14:paraId="638A88D6" w14:textId="77777777" w:rsidTr="006F668F">
        <w:tblPrEx>
          <w:tblCellMar>
            <w:left w:w="70" w:type="dxa"/>
            <w:right w:w="70" w:type="dxa"/>
          </w:tblCellMar>
        </w:tblPrEx>
        <w:trPr>
          <w:trHeight w:val="145"/>
        </w:trPr>
        <w:tc>
          <w:tcPr>
            <w:tcW w:w="1976" w:type="dxa"/>
          </w:tcPr>
          <w:p w14:paraId="7B194FE1" w14:textId="77777777" w:rsidR="009E674A" w:rsidRDefault="009E674A" w:rsidP="006F668F">
            <w:pPr>
              <w:pStyle w:val="Marginlie"/>
            </w:pPr>
          </w:p>
        </w:tc>
        <w:tc>
          <w:tcPr>
            <w:tcW w:w="277" w:type="dxa"/>
          </w:tcPr>
          <w:p w14:paraId="151A658C" w14:textId="77777777" w:rsidR="009E674A" w:rsidRPr="005E4483" w:rsidRDefault="009E674A" w:rsidP="006F668F">
            <w:pPr>
              <w:pStyle w:val="Textpoznpodarou"/>
              <w:jc w:val="both"/>
              <w:rPr>
                <w:spacing w:val="-4"/>
              </w:rPr>
            </w:pPr>
          </w:p>
        </w:tc>
        <w:tc>
          <w:tcPr>
            <w:tcW w:w="7391" w:type="dxa"/>
          </w:tcPr>
          <w:p w14:paraId="30B67A9C" w14:textId="77777777" w:rsidR="009E674A" w:rsidRDefault="009E674A" w:rsidP="006F668F">
            <w:pPr>
              <w:spacing w:after="0"/>
            </w:pPr>
            <w:r w:rsidRPr="00374C4D">
              <w:rPr>
                <w:noProof/>
              </w:rPr>
              <w:drawing>
                <wp:inline distT="0" distB="0" distL="0" distR="0" wp14:anchorId="66AF7578" wp14:editId="743A6112">
                  <wp:extent cx="4574198" cy="3508863"/>
                  <wp:effectExtent l="19050" t="0" r="0" b="0"/>
                  <wp:docPr id="3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9E674A" w14:paraId="2C476FDE" w14:textId="77777777" w:rsidTr="006F668F">
        <w:trPr>
          <w:trHeight w:val="145"/>
        </w:trPr>
        <w:tc>
          <w:tcPr>
            <w:tcW w:w="1976" w:type="dxa"/>
          </w:tcPr>
          <w:p w14:paraId="54B07599" w14:textId="77777777" w:rsidR="009E674A" w:rsidRDefault="009E674A" w:rsidP="006F668F">
            <w:pPr>
              <w:pStyle w:val="Marginlie"/>
            </w:pPr>
          </w:p>
        </w:tc>
        <w:tc>
          <w:tcPr>
            <w:tcW w:w="277" w:type="dxa"/>
          </w:tcPr>
          <w:p w14:paraId="109C5217" w14:textId="77777777" w:rsidR="009E674A" w:rsidRPr="005E4483" w:rsidRDefault="009E674A" w:rsidP="006F668F">
            <w:pPr>
              <w:pStyle w:val="Textpoznpodarou"/>
              <w:jc w:val="both"/>
              <w:rPr>
                <w:spacing w:val="-4"/>
              </w:rPr>
            </w:pPr>
          </w:p>
        </w:tc>
        <w:tc>
          <w:tcPr>
            <w:tcW w:w="7391" w:type="dxa"/>
          </w:tcPr>
          <w:p w14:paraId="5805F839" w14:textId="459CDB1C" w:rsidR="009E674A" w:rsidRDefault="009E674A" w:rsidP="006F668F">
            <w:pPr>
              <w:spacing w:after="0"/>
              <w:rPr>
                <w:rFonts w:cs="Arial"/>
                <w:sz w:val="14"/>
                <w:szCs w:val="14"/>
              </w:rPr>
            </w:pPr>
            <w:r>
              <w:rPr>
                <w:rFonts w:cs="Arial"/>
                <w:sz w:val="14"/>
                <w:szCs w:val="14"/>
              </w:rPr>
              <w:t xml:space="preserve">Poznámka. Údaje </w:t>
            </w:r>
            <w:r w:rsidR="00BC7833">
              <w:rPr>
                <w:rFonts w:cs="Arial"/>
                <w:sz w:val="14"/>
                <w:szCs w:val="14"/>
              </w:rPr>
              <w:t>o </w:t>
            </w:r>
            <w:r>
              <w:rPr>
                <w:rFonts w:cs="Arial"/>
                <w:sz w:val="14"/>
                <w:szCs w:val="14"/>
              </w:rPr>
              <w:t>počtech cizinců evidovaných na úřadech práce</w:t>
            </w:r>
            <w:r w:rsidR="0019361E">
              <w:rPr>
                <w:rFonts w:cs="Arial"/>
                <w:sz w:val="14"/>
                <w:szCs w:val="14"/>
              </w:rPr>
              <w:t xml:space="preserve"> v ČR (ÚP) v letech 2014 až 2017</w:t>
            </w:r>
            <w:r>
              <w:rPr>
                <w:rFonts w:cs="Arial"/>
                <w:sz w:val="14"/>
                <w:szCs w:val="14"/>
              </w:rPr>
              <w:t xml:space="preserve"> jsou kvalifikovaným odhadem MPSV. Obdobné údaje za roky 2012 </w:t>
            </w:r>
            <w:r w:rsidR="00BC7833">
              <w:rPr>
                <w:rFonts w:cs="Arial"/>
                <w:sz w:val="14"/>
                <w:szCs w:val="14"/>
              </w:rPr>
              <w:t>a </w:t>
            </w:r>
            <w:r>
              <w:rPr>
                <w:rFonts w:cs="Arial"/>
                <w:sz w:val="14"/>
                <w:szCs w:val="14"/>
              </w:rPr>
              <w:t>2013 nejsou k dispozici, údaj za rok 2014 pak není dostupný v členění podle státních občanství.</w:t>
            </w:r>
          </w:p>
          <w:p w14:paraId="78108190" w14:textId="77777777" w:rsidR="009E674A" w:rsidRDefault="009E674A" w:rsidP="006F668F">
            <w:pPr>
              <w:spacing w:after="220"/>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MPO (údaje z registrací)</w:t>
            </w:r>
          </w:p>
        </w:tc>
      </w:tr>
      <w:tr w:rsidR="00744D09" w:rsidRPr="00E316A0" w14:paraId="7D6980B7" w14:textId="77777777" w:rsidTr="006F668F">
        <w:trPr>
          <w:trHeight w:val="145"/>
        </w:trPr>
        <w:tc>
          <w:tcPr>
            <w:tcW w:w="1976" w:type="dxa"/>
          </w:tcPr>
          <w:p w14:paraId="60C23AE5" w14:textId="0E19205C" w:rsidR="00744D09" w:rsidRDefault="00744D09" w:rsidP="006F668F">
            <w:pPr>
              <w:pStyle w:val="Marginlie"/>
            </w:pPr>
            <w:r>
              <w:t>Podniky tak stále častěji využívaly při náboru pracovníky ze zahraničí.</w:t>
            </w:r>
          </w:p>
        </w:tc>
        <w:tc>
          <w:tcPr>
            <w:tcW w:w="277" w:type="dxa"/>
          </w:tcPr>
          <w:p w14:paraId="165A4221" w14:textId="77777777" w:rsidR="00744D09" w:rsidRPr="005E4483" w:rsidRDefault="00744D09" w:rsidP="006F668F">
            <w:pPr>
              <w:pStyle w:val="Textpoznpodarou"/>
              <w:jc w:val="both"/>
              <w:rPr>
                <w:spacing w:val="-4"/>
              </w:rPr>
            </w:pPr>
          </w:p>
        </w:tc>
        <w:tc>
          <w:tcPr>
            <w:tcW w:w="7391" w:type="dxa"/>
          </w:tcPr>
          <w:p w14:paraId="1FA7A4C9" w14:textId="725E5E1E" w:rsidR="00744D09" w:rsidRDefault="00744D09" w:rsidP="006F668F">
            <w:pPr>
              <w:spacing w:after="220"/>
              <w:rPr>
                <w:spacing w:val="-4"/>
              </w:rPr>
            </w:pPr>
            <w:r>
              <w:rPr>
                <w:spacing w:val="-2"/>
              </w:rPr>
              <w:t>S ohledem na skutečnost, že snadno dosažitelné rezervy volných pracovních sil z tuzemska byly již fakticky vyčerpány</w:t>
            </w:r>
            <w:r>
              <w:rPr>
                <w:rStyle w:val="Znakapoznpodarou"/>
                <w:rFonts w:cs="Arial"/>
                <w:color w:val="0D0D0D" w:themeColor="text1" w:themeTint="F2"/>
                <w:spacing w:val="-4"/>
              </w:rPr>
              <w:footnoteReference w:id="22"/>
            </w:r>
            <w:r>
              <w:rPr>
                <w:spacing w:val="-2"/>
              </w:rPr>
              <w:t xml:space="preserve">, obraceli zaměstnavatelé stále více pozornost k zahraničním pracovníkům. Podnikům v tomto ohledu pomáhaly i aktivity státu, který pokračoval v cílených projektech i režimech ekonomické migrace, jež u vybraných skupin cizinců z tzv. „třetích zemí“ zjednodušovaly administrativní procedury </w:t>
            </w:r>
            <w:r>
              <w:rPr>
                <w:spacing w:val="-2"/>
              </w:rPr>
              <w:lastRenderedPageBreak/>
              <w:t>související s pobytovými oprávněními</w:t>
            </w:r>
            <w:r>
              <w:rPr>
                <w:rStyle w:val="Znakapoznpodarou"/>
                <w:rFonts w:cs="Arial"/>
                <w:color w:val="0D0D0D" w:themeColor="text1" w:themeTint="F2"/>
                <w:spacing w:val="-4"/>
              </w:rPr>
              <w:footnoteReference w:id="23"/>
            </w:r>
            <w:r>
              <w:rPr>
                <w:spacing w:val="-2"/>
              </w:rPr>
              <w:t>. Česko bylo také stále atraktivní destinací i pro pracovníky z nejchudších států EU, kteří mohou využívat režim volného pohybu osob v rámci Unie</w:t>
            </w:r>
            <w:r>
              <w:rPr>
                <w:rStyle w:val="Znakapoznpodarou"/>
                <w:rFonts w:cs="Arial"/>
                <w:color w:val="0D0D0D" w:themeColor="text1" w:themeTint="F2"/>
                <w:spacing w:val="-4"/>
              </w:rPr>
              <w:footnoteReference w:id="24"/>
            </w:r>
            <w:r>
              <w:rPr>
                <w:spacing w:val="-2"/>
              </w:rPr>
              <w:t>.</w:t>
            </w:r>
          </w:p>
        </w:tc>
      </w:tr>
      <w:tr w:rsidR="009E674A" w:rsidRPr="00E316A0" w14:paraId="4C6C13A2" w14:textId="77777777" w:rsidTr="006F668F">
        <w:trPr>
          <w:trHeight w:val="145"/>
        </w:trPr>
        <w:tc>
          <w:tcPr>
            <w:tcW w:w="1976" w:type="dxa"/>
          </w:tcPr>
          <w:p w14:paraId="4B9B698B" w14:textId="77777777" w:rsidR="009E674A" w:rsidRDefault="009E674A" w:rsidP="006F668F">
            <w:pPr>
              <w:pStyle w:val="Marginlie"/>
            </w:pPr>
            <w:r>
              <w:lastRenderedPageBreak/>
              <w:t>Počet všech pracujících cizinců v Česku od konce poslední recese strmě roste. Na konci roku 2018 tvořili již osminu pracovní síly v ČR.</w:t>
            </w:r>
          </w:p>
          <w:p w14:paraId="242CE7CB" w14:textId="77777777" w:rsidR="009E674A" w:rsidRDefault="009E674A" w:rsidP="006F668F">
            <w:pPr>
              <w:pStyle w:val="Marginlie"/>
            </w:pPr>
            <w:r>
              <w:t xml:space="preserve">V letech 2016 </w:t>
            </w:r>
            <w:r w:rsidR="00BC7833">
              <w:t>i </w:t>
            </w:r>
            <w:r>
              <w:t>2017 přispívali k rostoucímu počtu pracujících cizinců nejvíce občané EU, loni cizinci z třetích zemí.</w:t>
            </w:r>
          </w:p>
        </w:tc>
        <w:tc>
          <w:tcPr>
            <w:tcW w:w="277" w:type="dxa"/>
          </w:tcPr>
          <w:p w14:paraId="69C5189B" w14:textId="77777777" w:rsidR="009E674A" w:rsidRPr="005E4483" w:rsidRDefault="009E674A" w:rsidP="006F668F">
            <w:pPr>
              <w:pStyle w:val="Textpoznpodarou"/>
              <w:jc w:val="both"/>
              <w:rPr>
                <w:spacing w:val="-4"/>
              </w:rPr>
            </w:pPr>
          </w:p>
        </w:tc>
        <w:tc>
          <w:tcPr>
            <w:tcW w:w="7391" w:type="dxa"/>
          </w:tcPr>
          <w:p w14:paraId="494DE58C" w14:textId="1BE1301B" w:rsidR="009E674A" w:rsidRPr="00E316A0" w:rsidRDefault="009E674A" w:rsidP="006F668F">
            <w:pPr>
              <w:spacing w:after="220"/>
              <w:rPr>
                <w:spacing w:val="-4"/>
              </w:rPr>
            </w:pPr>
            <w:r>
              <w:rPr>
                <w:spacing w:val="-4"/>
              </w:rPr>
              <w:t xml:space="preserve">Podle kvalifikovaných odhadů Ministerstva práce </w:t>
            </w:r>
            <w:r w:rsidR="00BC7833">
              <w:rPr>
                <w:spacing w:val="-4"/>
              </w:rPr>
              <w:t>a </w:t>
            </w:r>
            <w:r>
              <w:rPr>
                <w:spacing w:val="-4"/>
              </w:rPr>
              <w:t>sociálních věcí (pokrývající</w:t>
            </w:r>
            <w:r w:rsidR="00E85E6D">
              <w:rPr>
                <w:spacing w:val="-4"/>
              </w:rPr>
              <w:t>ch</w:t>
            </w:r>
            <w:r>
              <w:rPr>
                <w:spacing w:val="-4"/>
              </w:rPr>
              <w:t xml:space="preserve"> cizince v zaměstnaneckém postavení) </w:t>
            </w:r>
            <w:r w:rsidR="00BC7833">
              <w:rPr>
                <w:spacing w:val="-4"/>
              </w:rPr>
              <w:t>a </w:t>
            </w:r>
            <w:r>
              <w:rPr>
                <w:spacing w:val="-4"/>
              </w:rPr>
              <w:t xml:space="preserve">registračních údajů Ministerstva průmyslu </w:t>
            </w:r>
            <w:r w:rsidR="00BC7833">
              <w:rPr>
                <w:spacing w:val="-4"/>
              </w:rPr>
              <w:t>a </w:t>
            </w:r>
            <w:r>
              <w:rPr>
                <w:spacing w:val="-4"/>
              </w:rPr>
              <w:t>obchodu (</w:t>
            </w:r>
            <w:r w:rsidR="00BC7833">
              <w:rPr>
                <w:spacing w:val="-4"/>
              </w:rPr>
              <w:t>o </w:t>
            </w:r>
            <w:r>
              <w:rPr>
                <w:spacing w:val="-4"/>
              </w:rPr>
              <w:t>cizincích s</w:t>
            </w:r>
            <w:r w:rsidR="00E85E6D">
              <w:rPr>
                <w:spacing w:val="-4"/>
              </w:rPr>
              <w:t xml:space="preserve">e </w:t>
            </w:r>
            <w:r>
              <w:rPr>
                <w:spacing w:val="-4"/>
              </w:rPr>
              <w:t>živnostenským oprávněním) pracovalo na konci roku 2018 v Česku legálně 658,5 tis. cizinců. Proti konci předešlého roku jich přibylo 98,</w:t>
            </w:r>
            <w:r w:rsidR="00D82A1E">
              <w:rPr>
                <w:spacing w:val="-4"/>
              </w:rPr>
              <w:t>9 </w:t>
            </w:r>
            <w:r>
              <w:rPr>
                <w:spacing w:val="-4"/>
              </w:rPr>
              <w:t>tis</w:t>
            </w:r>
            <w:r>
              <w:rPr>
                <w:rStyle w:val="Znakapoznpodarou"/>
                <w:rFonts w:cs="Arial"/>
                <w:color w:val="0D0D0D" w:themeColor="text1" w:themeTint="F2"/>
                <w:spacing w:val="-4"/>
              </w:rPr>
              <w:footnoteReference w:id="25"/>
            </w:r>
            <w:r>
              <w:rPr>
                <w:spacing w:val="-4"/>
              </w:rPr>
              <w:t>, meziroční přírůstek sílil již druhým rokem v řadě. Cizinci tak tvořili již osminu pracovní síly v Česku, bezmála dvojnásobek toho co v roce 2014 či za konjunkturní éry minulé dekády. Počty všech pracujících cizinců od konce poslední recese strmě rostou, téměř výhradně vlivem zaměstnanců</w:t>
            </w:r>
            <w:r>
              <w:rPr>
                <w:rStyle w:val="Znakapoznpodarou"/>
                <w:rFonts w:cs="Arial"/>
                <w:color w:val="0D0D0D" w:themeColor="text1" w:themeTint="F2"/>
                <w:spacing w:val="-4"/>
              </w:rPr>
              <w:footnoteReference w:id="26"/>
            </w:r>
            <w:r>
              <w:rPr>
                <w:spacing w:val="-4"/>
              </w:rPr>
              <w:t xml:space="preserve">. </w:t>
            </w:r>
            <w:r w:rsidR="0022069C">
              <w:rPr>
                <w:spacing w:val="-4"/>
              </w:rPr>
              <w:t xml:space="preserve">Počty </w:t>
            </w:r>
            <w:r>
              <w:rPr>
                <w:spacing w:val="-4"/>
              </w:rPr>
              <w:t xml:space="preserve">cizinců s platným živnostenským oprávněním se sice v posledních čtyřech letech </w:t>
            </w:r>
            <w:r w:rsidR="0022069C">
              <w:rPr>
                <w:spacing w:val="-4"/>
              </w:rPr>
              <w:t xml:space="preserve">navyšovaly </w:t>
            </w:r>
            <w:r>
              <w:rPr>
                <w:spacing w:val="-4"/>
              </w:rPr>
              <w:t xml:space="preserve">též, ale </w:t>
            </w:r>
            <w:r w:rsidR="00BC7833">
              <w:rPr>
                <w:spacing w:val="-4"/>
              </w:rPr>
              <w:t>o </w:t>
            </w:r>
            <w:r>
              <w:rPr>
                <w:spacing w:val="-4"/>
              </w:rPr>
              <w:t>řád nižším tempem. V pozici zaměstnanců pracovalo na konci loňského roku 568,</w:t>
            </w:r>
            <w:r w:rsidR="00D82A1E">
              <w:rPr>
                <w:spacing w:val="-4"/>
              </w:rPr>
              <w:t>7 </w:t>
            </w:r>
            <w:r>
              <w:rPr>
                <w:spacing w:val="-4"/>
              </w:rPr>
              <w:t xml:space="preserve">tis. osob. Zatímco v letech 2016 </w:t>
            </w:r>
            <w:r w:rsidR="0022069C">
              <w:rPr>
                <w:spacing w:val="-4"/>
              </w:rPr>
              <w:t>a</w:t>
            </w:r>
            <w:r>
              <w:rPr>
                <w:spacing w:val="-4"/>
              </w:rPr>
              <w:t> 2017 přispívali k jejich meziročnímu růstu nejvíce pracovníci ze států</w:t>
            </w:r>
            <w:r w:rsidR="0022069C">
              <w:rPr>
                <w:spacing w:val="-4"/>
              </w:rPr>
              <w:t> </w:t>
            </w:r>
            <w:r>
              <w:rPr>
                <w:spacing w:val="-4"/>
              </w:rPr>
              <w:t xml:space="preserve">EU, loni to byli cizinci </w:t>
            </w:r>
            <w:r w:rsidR="00BC7833">
              <w:rPr>
                <w:spacing w:val="-4"/>
              </w:rPr>
              <w:t>z </w:t>
            </w:r>
            <w:r>
              <w:rPr>
                <w:spacing w:val="-4"/>
              </w:rPr>
              <w:t>„třetích zemí“, jejichž kontingent se během roku rozrostl o 60 tis.</w:t>
            </w:r>
            <w:r w:rsidR="0022069C">
              <w:rPr>
                <w:spacing w:val="-4"/>
              </w:rPr>
              <w:t> </w:t>
            </w:r>
            <w:r>
              <w:rPr>
                <w:spacing w:val="-4"/>
              </w:rPr>
              <w:t>osob.</w:t>
            </w:r>
          </w:p>
        </w:tc>
      </w:tr>
      <w:tr w:rsidR="009E674A" w:rsidRPr="00E316A0" w14:paraId="238C759F" w14:textId="77777777" w:rsidTr="006F668F">
        <w:trPr>
          <w:trHeight w:val="145"/>
        </w:trPr>
        <w:tc>
          <w:tcPr>
            <w:tcW w:w="1976" w:type="dxa"/>
          </w:tcPr>
          <w:p w14:paraId="693A1DA4" w14:textId="313FEEBB" w:rsidR="009E674A" w:rsidRDefault="009E674A" w:rsidP="006F668F">
            <w:pPr>
              <w:pStyle w:val="Marginlie"/>
            </w:pPr>
            <w:r>
              <w:t>Cizinci s volným přístupem na unijní pracovní trh tvořili v Česku bezmála dvě třetin</w:t>
            </w:r>
            <w:r w:rsidR="00E32880">
              <w:t>y cizinců v pozici zaměstnanců.</w:t>
            </w:r>
          </w:p>
        </w:tc>
        <w:tc>
          <w:tcPr>
            <w:tcW w:w="277" w:type="dxa"/>
          </w:tcPr>
          <w:p w14:paraId="75901D14" w14:textId="77777777" w:rsidR="009E674A" w:rsidRPr="005E4483" w:rsidRDefault="009E674A" w:rsidP="006F668F">
            <w:pPr>
              <w:pStyle w:val="Textpoznpodarou"/>
              <w:jc w:val="both"/>
              <w:rPr>
                <w:spacing w:val="-4"/>
              </w:rPr>
            </w:pPr>
          </w:p>
        </w:tc>
        <w:tc>
          <w:tcPr>
            <w:tcW w:w="7391" w:type="dxa"/>
          </w:tcPr>
          <w:p w14:paraId="34B875D0" w14:textId="5DAB1B5C" w:rsidR="009E674A" w:rsidRPr="00E316A0" w:rsidRDefault="009E674A" w:rsidP="006F668F">
            <w:pPr>
              <w:spacing w:after="220"/>
              <w:rPr>
                <w:spacing w:val="-4"/>
              </w:rPr>
            </w:pPr>
            <w:r>
              <w:rPr>
                <w:spacing w:val="-4"/>
              </w:rPr>
              <w:t>Cizinci, kteří jsou občany států</w:t>
            </w:r>
            <w:r w:rsidR="00601AFA">
              <w:rPr>
                <w:spacing w:val="-4"/>
              </w:rPr>
              <w:t> </w:t>
            </w:r>
            <w:r>
              <w:rPr>
                <w:spacing w:val="-4"/>
              </w:rPr>
              <w:t xml:space="preserve">EU </w:t>
            </w:r>
            <w:r w:rsidR="00BC7833">
              <w:rPr>
                <w:spacing w:val="-4"/>
              </w:rPr>
              <w:t>a </w:t>
            </w:r>
            <w:r>
              <w:rPr>
                <w:spacing w:val="-4"/>
              </w:rPr>
              <w:t xml:space="preserve">mohou těžit z výhody volného pohybu na </w:t>
            </w:r>
            <w:r w:rsidR="00002FED">
              <w:rPr>
                <w:spacing w:val="-4"/>
              </w:rPr>
              <w:t xml:space="preserve">unijním </w:t>
            </w:r>
            <w:r>
              <w:rPr>
                <w:spacing w:val="-4"/>
              </w:rPr>
              <w:t>pracovním trhu</w:t>
            </w:r>
            <w:r>
              <w:rPr>
                <w:rStyle w:val="Znakapoznpodarou"/>
                <w:rFonts w:cs="Arial"/>
                <w:color w:val="0D0D0D" w:themeColor="text1" w:themeTint="F2"/>
                <w:spacing w:val="-4"/>
              </w:rPr>
              <w:footnoteReference w:id="27"/>
            </w:r>
            <w:r>
              <w:rPr>
                <w:spacing w:val="-4"/>
              </w:rPr>
              <w:t>, tvořili v tuzemsku na konci loňského roku 64,5</w:t>
            </w:r>
            <w:r w:rsidR="006454CC">
              <w:rPr>
                <w:spacing w:val="-4"/>
              </w:rPr>
              <w:t> %</w:t>
            </w:r>
            <w:r>
              <w:rPr>
                <w:spacing w:val="-4"/>
              </w:rPr>
              <w:t xml:space="preserve"> všech cizinců v zaměstnaneckém postavení. Mimo občany „třetích zemí“ mírně převažovali ti, kteří nepotřebují speciální povolení k zaměstnání (124,</w:t>
            </w:r>
            <w:r w:rsidR="00D82A1E">
              <w:rPr>
                <w:spacing w:val="-4"/>
              </w:rPr>
              <w:t>6 </w:t>
            </w:r>
            <w:r>
              <w:rPr>
                <w:spacing w:val="-4"/>
              </w:rPr>
              <w:t>tis.)</w:t>
            </w:r>
            <w:r>
              <w:rPr>
                <w:rStyle w:val="Znakapoznpodarou"/>
                <w:rFonts w:cs="Arial"/>
                <w:color w:val="0D0D0D" w:themeColor="text1" w:themeTint="F2"/>
                <w:spacing w:val="-4"/>
              </w:rPr>
              <w:footnoteReference w:id="28"/>
            </w:r>
            <w:r>
              <w:rPr>
                <w:spacing w:val="-4"/>
              </w:rPr>
              <w:t>. Díky nárůstu v posledních letech tvořily ale skoro dvě pětiny „mimounijních“ zaměstnanců osoby, které vstupovaly na trh práce v ČR na základě pracovního oprávnění</w:t>
            </w:r>
            <w:r>
              <w:rPr>
                <w:rStyle w:val="Znakapoznpodarou"/>
                <w:rFonts w:cs="Arial"/>
                <w:color w:val="0D0D0D" w:themeColor="text1" w:themeTint="F2"/>
                <w:spacing w:val="-4"/>
              </w:rPr>
              <w:footnoteReference w:id="29"/>
            </w:r>
            <w:r>
              <w:rPr>
                <w:spacing w:val="-4"/>
              </w:rPr>
              <w:t>. Jejich podíl byl vyšší mezi muži (45</w:t>
            </w:r>
            <w:r w:rsidR="006454CC">
              <w:rPr>
                <w:spacing w:val="-4"/>
              </w:rPr>
              <w:t> %</w:t>
            </w:r>
            <w:r>
              <w:rPr>
                <w:spacing w:val="-4"/>
              </w:rPr>
              <w:t>)</w:t>
            </w:r>
            <w:r w:rsidR="007A4761">
              <w:rPr>
                <w:spacing w:val="-4"/>
              </w:rPr>
              <w:t>,</w:t>
            </w:r>
            <w:r>
              <w:rPr>
                <w:spacing w:val="-4"/>
              </w:rPr>
              <w:t xml:space="preserve"> v rámci početněji zastoupených skupin cizinců </w:t>
            </w:r>
            <w:r w:rsidR="00BC7833">
              <w:rPr>
                <w:spacing w:val="-4"/>
              </w:rPr>
              <w:t>u </w:t>
            </w:r>
            <w:r>
              <w:rPr>
                <w:spacing w:val="-4"/>
              </w:rPr>
              <w:t xml:space="preserve">občanů Ukrajiny, Běloruska, Srbska, Bosny </w:t>
            </w:r>
            <w:r w:rsidR="00BC7833">
              <w:rPr>
                <w:spacing w:val="-4"/>
              </w:rPr>
              <w:t>a </w:t>
            </w:r>
            <w:r>
              <w:rPr>
                <w:spacing w:val="-4"/>
              </w:rPr>
              <w:t>Hercegoviny, Indie, Nepálu, Filipín, Kore</w:t>
            </w:r>
            <w:r w:rsidR="0046496B">
              <w:rPr>
                <w:spacing w:val="-4"/>
              </w:rPr>
              <w:t>je</w:t>
            </w:r>
            <w:r>
              <w:rPr>
                <w:spacing w:val="-4"/>
              </w:rPr>
              <w:t xml:space="preserve">, Thajska </w:t>
            </w:r>
            <w:r w:rsidR="00BC7833">
              <w:rPr>
                <w:spacing w:val="-4"/>
              </w:rPr>
              <w:t>a </w:t>
            </w:r>
            <w:r>
              <w:rPr>
                <w:spacing w:val="-4"/>
              </w:rPr>
              <w:t>Japonska.</w:t>
            </w:r>
          </w:p>
        </w:tc>
      </w:tr>
      <w:tr w:rsidR="009E674A" w:rsidRPr="00E316A0" w14:paraId="0BC50723" w14:textId="77777777" w:rsidTr="006F668F">
        <w:trPr>
          <w:trHeight w:val="145"/>
        </w:trPr>
        <w:tc>
          <w:tcPr>
            <w:tcW w:w="1976" w:type="dxa"/>
          </w:tcPr>
          <w:p w14:paraId="5E890C0F" w14:textId="77777777" w:rsidR="009E674A" w:rsidRDefault="009E674A" w:rsidP="006F668F">
            <w:pPr>
              <w:pStyle w:val="Marginlie"/>
            </w:pPr>
            <w:r>
              <w:t xml:space="preserve">Mezi zahraničními pracovníky v Česku dlouhodobě dominují Slováci </w:t>
            </w:r>
            <w:r w:rsidR="00BC7833">
              <w:t>a </w:t>
            </w:r>
            <w:r>
              <w:t>Ukrajinci. Ti loni tvořili 53</w:t>
            </w:r>
            <w:r w:rsidR="006454CC">
              <w:t> %</w:t>
            </w:r>
            <w:r>
              <w:t xml:space="preserve"> z nich.</w:t>
            </w:r>
          </w:p>
        </w:tc>
        <w:tc>
          <w:tcPr>
            <w:tcW w:w="277" w:type="dxa"/>
          </w:tcPr>
          <w:p w14:paraId="4AA0773C" w14:textId="77777777" w:rsidR="009E674A" w:rsidRPr="005E4483" w:rsidRDefault="009E674A" w:rsidP="006F668F">
            <w:pPr>
              <w:pStyle w:val="Textpoznpodarou"/>
              <w:jc w:val="both"/>
              <w:rPr>
                <w:spacing w:val="-4"/>
              </w:rPr>
            </w:pPr>
          </w:p>
        </w:tc>
        <w:tc>
          <w:tcPr>
            <w:tcW w:w="7391" w:type="dxa"/>
          </w:tcPr>
          <w:p w14:paraId="090B2632" w14:textId="6ACA4B2F" w:rsidR="009E674A" w:rsidRDefault="009E674A" w:rsidP="006F668F">
            <w:pPr>
              <w:spacing w:after="220"/>
              <w:rPr>
                <w:spacing w:val="-4"/>
              </w:rPr>
            </w:pPr>
            <w:r>
              <w:rPr>
                <w:spacing w:val="-4"/>
              </w:rPr>
              <w:t>Nejpočetněji zastoupenou skupinou všech pracujících cizinců v ČR jsou dlouhodobě občané novějších členských států</w:t>
            </w:r>
            <w:r w:rsidR="0040200B">
              <w:rPr>
                <w:spacing w:val="-4"/>
              </w:rPr>
              <w:t> </w:t>
            </w:r>
            <w:r>
              <w:rPr>
                <w:spacing w:val="-4"/>
              </w:rPr>
              <w:t>EU (</w:t>
            </w:r>
            <w:r w:rsidR="0040200B">
              <w:rPr>
                <w:spacing w:val="-4"/>
              </w:rPr>
              <w:t>které vstupovaly</w:t>
            </w:r>
            <w:r>
              <w:rPr>
                <w:spacing w:val="-4"/>
              </w:rPr>
              <w:t xml:space="preserve"> do Unie po roce 2000). Neplatilo to pouze v konjunkturním období minulé dekády (2006 až 2008), kdy převládali občané „třetích zemí“. Občané starých členských států Unie tvořili loni jen 5,5</w:t>
            </w:r>
            <w:r w:rsidR="006454CC">
              <w:rPr>
                <w:spacing w:val="-4"/>
              </w:rPr>
              <w:t> %</w:t>
            </w:r>
            <w:r>
              <w:rPr>
                <w:spacing w:val="-4"/>
              </w:rPr>
              <w:t xml:space="preserve"> pracujících cizinců (čtvrtinu představovali Němci, následov</w:t>
            </w:r>
            <w:r w:rsidR="0040200B">
              <w:rPr>
                <w:spacing w:val="-4"/>
              </w:rPr>
              <w:t>a</w:t>
            </w:r>
            <w:r>
              <w:rPr>
                <w:spacing w:val="-4"/>
              </w:rPr>
              <w:t>ní občany dalších nejlidnatějších zemí Unie)</w:t>
            </w:r>
            <w:r w:rsidR="00E32880">
              <w:rPr>
                <w:spacing w:val="-4"/>
              </w:rPr>
              <w:t>.</w:t>
            </w:r>
            <w:r>
              <w:rPr>
                <w:spacing w:val="-4"/>
              </w:rPr>
              <w:t xml:space="preserve"> Občané novějších členských států se pak podíleli 55,2</w:t>
            </w:r>
            <w:r w:rsidR="006454CC">
              <w:rPr>
                <w:spacing w:val="-4"/>
              </w:rPr>
              <w:t> %</w:t>
            </w:r>
            <w:r>
              <w:rPr>
                <w:spacing w:val="-4"/>
              </w:rPr>
              <w:t>. V rámci nich tvořili skoro tři pětiny Slováci (21</w:t>
            </w:r>
            <w:r w:rsidR="00D82A1E">
              <w:rPr>
                <w:spacing w:val="-4"/>
              </w:rPr>
              <w:t>0 </w:t>
            </w:r>
            <w:r>
              <w:rPr>
                <w:spacing w:val="-4"/>
              </w:rPr>
              <w:t>tis.), s velkým odstupem pak figurovali Poláci (4</w:t>
            </w:r>
            <w:r w:rsidR="00D82A1E">
              <w:rPr>
                <w:spacing w:val="-4"/>
              </w:rPr>
              <w:t>7 </w:t>
            </w:r>
            <w:r>
              <w:rPr>
                <w:spacing w:val="-4"/>
              </w:rPr>
              <w:t xml:space="preserve">tis.), Rumuni (46 tis.), Bulhaři (36 tis.) </w:t>
            </w:r>
            <w:r w:rsidR="00BC7833">
              <w:rPr>
                <w:spacing w:val="-4"/>
              </w:rPr>
              <w:t>a </w:t>
            </w:r>
            <w:r>
              <w:rPr>
                <w:spacing w:val="-4"/>
              </w:rPr>
              <w:t>Maďaři (1</w:t>
            </w:r>
            <w:r w:rsidR="00D82A1E">
              <w:rPr>
                <w:spacing w:val="-4"/>
              </w:rPr>
              <w:t>9 </w:t>
            </w:r>
            <w:r>
              <w:rPr>
                <w:spacing w:val="-4"/>
              </w:rPr>
              <w:t>tis.). Mezi občany „třetích zemí“ tradičně výrazně dominovali Ukrajinci (55</w:t>
            </w:r>
            <w:r w:rsidR="006454CC">
              <w:rPr>
                <w:spacing w:val="-4"/>
              </w:rPr>
              <w:t> %</w:t>
            </w:r>
            <w:r>
              <w:rPr>
                <w:spacing w:val="-4"/>
              </w:rPr>
              <w:t>, 14</w:t>
            </w:r>
            <w:r w:rsidR="00D82A1E">
              <w:rPr>
                <w:spacing w:val="-4"/>
              </w:rPr>
              <w:t>3 </w:t>
            </w:r>
            <w:r>
              <w:rPr>
                <w:spacing w:val="-4"/>
              </w:rPr>
              <w:t>tis.), k početně významným se řadili také Vietnamci (34 tis.), Rusové (1</w:t>
            </w:r>
            <w:r w:rsidR="00D82A1E">
              <w:rPr>
                <w:spacing w:val="-4"/>
              </w:rPr>
              <w:t>8 </w:t>
            </w:r>
            <w:r>
              <w:rPr>
                <w:spacing w:val="-4"/>
              </w:rPr>
              <w:t>tis.), Mongolové (</w:t>
            </w:r>
            <w:r w:rsidR="00D82A1E">
              <w:rPr>
                <w:spacing w:val="-4"/>
              </w:rPr>
              <w:t>6 </w:t>
            </w:r>
            <w:r>
              <w:rPr>
                <w:spacing w:val="-4"/>
              </w:rPr>
              <w:t xml:space="preserve">tis.), Moldavané </w:t>
            </w:r>
            <w:r w:rsidR="00BC7833">
              <w:rPr>
                <w:spacing w:val="-4"/>
              </w:rPr>
              <w:t>a </w:t>
            </w:r>
            <w:r>
              <w:rPr>
                <w:spacing w:val="-4"/>
              </w:rPr>
              <w:t xml:space="preserve">Bělorusové (po </w:t>
            </w:r>
            <w:r w:rsidR="00D82A1E">
              <w:rPr>
                <w:spacing w:val="-4"/>
              </w:rPr>
              <w:t>5 </w:t>
            </w:r>
            <w:r>
              <w:rPr>
                <w:spacing w:val="-4"/>
              </w:rPr>
              <w:t xml:space="preserve">tis.). Podíl </w:t>
            </w:r>
            <w:r>
              <w:rPr>
                <w:spacing w:val="-4"/>
              </w:rPr>
              <w:lastRenderedPageBreak/>
              <w:t xml:space="preserve">občanů mimounijních států na všech pracujících cizincích v Česku se v období 2016 až 2018 zvýšil </w:t>
            </w:r>
            <w:r w:rsidR="00BC7833">
              <w:rPr>
                <w:spacing w:val="-4"/>
              </w:rPr>
              <w:t>o </w:t>
            </w:r>
            <w:r>
              <w:rPr>
                <w:spacing w:val="-4"/>
              </w:rPr>
              <w:t>6,2</w:t>
            </w:r>
            <w:r w:rsidR="006454CC">
              <w:rPr>
                <w:spacing w:val="-4"/>
              </w:rPr>
              <w:t> p. b.</w:t>
            </w:r>
            <w:r>
              <w:rPr>
                <w:spacing w:val="-4"/>
              </w:rPr>
              <w:t xml:space="preserve"> (na loňských 39,2</w:t>
            </w:r>
            <w:r w:rsidR="006454CC">
              <w:rPr>
                <w:spacing w:val="-4"/>
              </w:rPr>
              <w:t> %</w:t>
            </w:r>
            <w:r>
              <w:rPr>
                <w:spacing w:val="-4"/>
              </w:rPr>
              <w:t>).</w:t>
            </w:r>
          </w:p>
        </w:tc>
      </w:tr>
      <w:tr w:rsidR="009E674A" w:rsidRPr="00E316A0" w14:paraId="048795B8" w14:textId="77777777" w:rsidTr="006F668F">
        <w:trPr>
          <w:trHeight w:val="145"/>
        </w:trPr>
        <w:tc>
          <w:tcPr>
            <w:tcW w:w="1976" w:type="dxa"/>
          </w:tcPr>
          <w:p w14:paraId="20AF7B52" w14:textId="3B9B741F" w:rsidR="009E674A" w:rsidRDefault="00E32880" w:rsidP="006F668F">
            <w:pPr>
              <w:pStyle w:val="Marginlie"/>
            </w:pPr>
            <w:r>
              <w:lastRenderedPageBreak/>
              <w:t>Absolutně ne</w:t>
            </w:r>
            <w:r w:rsidR="0046496B">
              <w:t>j</w:t>
            </w:r>
            <w:r>
              <w:t>více se loni zvyšoval počet občanů Ukrajiny. Nejvyšší procentní růst si ale připsali občané</w:t>
            </w:r>
            <w:r w:rsidR="009E674A">
              <w:t xml:space="preserve"> Srbska.</w:t>
            </w:r>
          </w:p>
          <w:p w14:paraId="071AB5B6" w14:textId="77777777" w:rsidR="009E674A" w:rsidRDefault="009E674A" w:rsidP="006F668F">
            <w:pPr>
              <w:pStyle w:val="Marginlie"/>
            </w:pPr>
          </w:p>
          <w:p w14:paraId="26B9AE15" w14:textId="77777777" w:rsidR="009E674A" w:rsidRDefault="009E674A" w:rsidP="006F668F">
            <w:pPr>
              <w:pStyle w:val="Marginlie"/>
            </w:pPr>
          </w:p>
          <w:p w14:paraId="3C58207D" w14:textId="77777777" w:rsidR="00E32880" w:rsidRDefault="00E32880" w:rsidP="006F668F">
            <w:pPr>
              <w:pStyle w:val="Marginlie"/>
            </w:pPr>
          </w:p>
          <w:p w14:paraId="1BE3327B" w14:textId="77777777" w:rsidR="00E32880" w:rsidRDefault="00E32880" w:rsidP="006F668F">
            <w:pPr>
              <w:pStyle w:val="Marginlie"/>
            </w:pPr>
          </w:p>
          <w:p w14:paraId="76144EB4" w14:textId="77777777" w:rsidR="00E32880" w:rsidRDefault="00E32880" w:rsidP="006F668F">
            <w:pPr>
              <w:pStyle w:val="Marginlie"/>
            </w:pPr>
          </w:p>
          <w:p w14:paraId="041C4E2C" w14:textId="77777777" w:rsidR="009E674A" w:rsidRDefault="009E674A" w:rsidP="006F668F">
            <w:pPr>
              <w:pStyle w:val="Marginlie"/>
            </w:pPr>
            <w:r>
              <w:t>Počet podnikajících občanů Vietnamu klesl již devátým rokem v řadě.</w:t>
            </w:r>
          </w:p>
        </w:tc>
        <w:tc>
          <w:tcPr>
            <w:tcW w:w="277" w:type="dxa"/>
          </w:tcPr>
          <w:p w14:paraId="4CEFAE59" w14:textId="77777777" w:rsidR="009E674A" w:rsidRPr="005E4483" w:rsidRDefault="009E674A" w:rsidP="006F668F">
            <w:pPr>
              <w:pStyle w:val="Textpoznpodarou"/>
              <w:jc w:val="both"/>
              <w:rPr>
                <w:spacing w:val="-4"/>
              </w:rPr>
            </w:pPr>
          </w:p>
        </w:tc>
        <w:tc>
          <w:tcPr>
            <w:tcW w:w="7391" w:type="dxa"/>
          </w:tcPr>
          <w:p w14:paraId="2200674C" w14:textId="6DB32EDA" w:rsidR="009E674A" w:rsidRDefault="009E674A" w:rsidP="006F668F">
            <w:pPr>
              <w:spacing w:after="220"/>
              <w:rPr>
                <w:spacing w:val="-4"/>
              </w:rPr>
            </w:pPr>
            <w:r>
              <w:rPr>
                <w:spacing w:val="-4"/>
              </w:rPr>
              <w:t>Nejrychleji rostoucí skupinou všech pracujících cizinců byli v posledních dvou letech občané Ukrajiny. Jen během roku 2018 jich přibylo téměř 4</w:t>
            </w:r>
            <w:r w:rsidR="00D82A1E">
              <w:rPr>
                <w:spacing w:val="-4"/>
              </w:rPr>
              <w:t>0 </w:t>
            </w:r>
            <w:r>
              <w:rPr>
                <w:spacing w:val="-4"/>
              </w:rPr>
              <w:t>tis. V roce 2016 ale k růstu přispěli nejvíce Slováci (+12,</w:t>
            </w:r>
            <w:r w:rsidR="00D82A1E">
              <w:rPr>
                <w:spacing w:val="-4"/>
              </w:rPr>
              <w:t>3 </w:t>
            </w:r>
            <w:r>
              <w:rPr>
                <w:spacing w:val="-4"/>
              </w:rPr>
              <w:t>tis.). Relativně nejvíce</w:t>
            </w:r>
            <w:r>
              <w:rPr>
                <w:rStyle w:val="Znakapoznpodarou"/>
                <w:rFonts w:cs="Arial"/>
                <w:color w:val="0D0D0D" w:themeColor="text1" w:themeTint="F2"/>
                <w:spacing w:val="-4"/>
              </w:rPr>
              <w:footnoteReference w:id="30"/>
            </w:r>
            <w:r>
              <w:rPr>
                <w:spacing w:val="-4"/>
              </w:rPr>
              <w:t xml:space="preserve"> se pak v tomto roce navyšovaly počty Maďarů, Rumunů </w:t>
            </w:r>
            <w:r w:rsidR="0046496B">
              <w:rPr>
                <w:spacing w:val="-4"/>
              </w:rPr>
              <w:t>a </w:t>
            </w:r>
            <w:r>
              <w:rPr>
                <w:spacing w:val="-4"/>
              </w:rPr>
              <w:t>Bulharů, z nichž velká část mířila do v té době silně rostoucího zpracovatelského průmyslu. Za loňský rok se to týkalo občanů Srbska, jejichž počet se téměř zdvojnásobil (na 3,</w:t>
            </w:r>
            <w:r w:rsidR="00D82A1E">
              <w:rPr>
                <w:spacing w:val="-4"/>
              </w:rPr>
              <w:t>4 </w:t>
            </w:r>
            <w:r>
              <w:rPr>
                <w:spacing w:val="-4"/>
              </w:rPr>
              <w:t xml:space="preserve">tis.). To nepochybně souviselo se zjednodušením přijímacích procedur, které byly pro pracovníky z této země loni </w:t>
            </w:r>
            <w:r w:rsidR="0046496B">
              <w:rPr>
                <w:spacing w:val="-4"/>
              </w:rPr>
              <w:t xml:space="preserve">nově </w:t>
            </w:r>
            <w:r>
              <w:rPr>
                <w:spacing w:val="-4"/>
              </w:rPr>
              <w:t>zavedeny. Nejslabší tempo loni vykázali občané Vietnamu (+7</w:t>
            </w:r>
            <w:r w:rsidR="006454CC">
              <w:rPr>
                <w:spacing w:val="-4"/>
              </w:rPr>
              <w:t> %</w:t>
            </w:r>
            <w:r>
              <w:rPr>
                <w:spacing w:val="-4"/>
              </w:rPr>
              <w:t xml:space="preserve">), což bylo způsobeno </w:t>
            </w:r>
            <w:r w:rsidR="00BC7833">
              <w:rPr>
                <w:spacing w:val="-4"/>
              </w:rPr>
              <w:t>i </w:t>
            </w:r>
            <w:r>
              <w:rPr>
                <w:spacing w:val="-4"/>
              </w:rPr>
              <w:t>tím, že počty podnikajících (</w:t>
            </w:r>
            <w:r w:rsidR="00B37A30">
              <w:rPr>
                <w:spacing w:val="-4"/>
              </w:rPr>
              <w:t xml:space="preserve">kteří </w:t>
            </w:r>
            <w:r>
              <w:rPr>
                <w:spacing w:val="-4"/>
              </w:rPr>
              <w:t>tvoří téměř dvě třetiny pracujících Vietnamců) klesaly již devátým rokem v řadě</w:t>
            </w:r>
            <w:r>
              <w:rPr>
                <w:rStyle w:val="Znakapoznpodarou"/>
                <w:rFonts w:cs="Arial"/>
                <w:color w:val="0D0D0D" w:themeColor="text1" w:themeTint="F2"/>
                <w:spacing w:val="-4"/>
              </w:rPr>
              <w:footnoteReference w:id="31"/>
            </w:r>
            <w:r>
              <w:rPr>
                <w:spacing w:val="-4"/>
              </w:rPr>
              <w:t>. Jestliže na konci roku 2015 byli Vietnamci třetí nejpočetněji zastoupenou skupin</w:t>
            </w:r>
            <w:r w:rsidR="0046496B">
              <w:rPr>
                <w:spacing w:val="-4"/>
              </w:rPr>
              <w:t>o</w:t>
            </w:r>
            <w:r>
              <w:rPr>
                <w:spacing w:val="-4"/>
              </w:rPr>
              <w:t xml:space="preserve">u pracujících cizinců v Česku, </w:t>
            </w:r>
            <w:r w:rsidR="00BC7833">
              <w:rPr>
                <w:spacing w:val="-4"/>
              </w:rPr>
              <w:t>o </w:t>
            </w:r>
            <w:r>
              <w:rPr>
                <w:spacing w:val="-4"/>
              </w:rPr>
              <w:t>tři roky později až šestou.</w:t>
            </w:r>
          </w:p>
        </w:tc>
      </w:tr>
      <w:tr w:rsidR="009E674A" w:rsidRPr="00E316A0" w14:paraId="7EA8C755" w14:textId="77777777" w:rsidTr="006F668F">
        <w:trPr>
          <w:trHeight w:val="145"/>
        </w:trPr>
        <w:tc>
          <w:tcPr>
            <w:tcW w:w="1976" w:type="dxa"/>
          </w:tcPr>
          <w:p w14:paraId="608775C7" w14:textId="77777777" w:rsidR="009E674A" w:rsidRDefault="009E674A" w:rsidP="006F668F">
            <w:pPr>
              <w:pStyle w:val="Marginlie"/>
            </w:pPr>
            <w:r>
              <w:t>Zastoupení žen mezi pracujícími cizinci v ČR mírně rostlo. Ženy ale převažo</w:t>
            </w:r>
            <w:r w:rsidR="00D45615">
              <w:t>valy nad muži jen u pěti států.</w:t>
            </w:r>
          </w:p>
        </w:tc>
        <w:tc>
          <w:tcPr>
            <w:tcW w:w="277" w:type="dxa"/>
          </w:tcPr>
          <w:p w14:paraId="47BE4D80" w14:textId="77777777" w:rsidR="009E674A" w:rsidRPr="005E4483" w:rsidRDefault="009E674A" w:rsidP="006F668F">
            <w:pPr>
              <w:pStyle w:val="Textpoznpodarou"/>
              <w:jc w:val="both"/>
              <w:rPr>
                <w:spacing w:val="-4"/>
              </w:rPr>
            </w:pPr>
          </w:p>
        </w:tc>
        <w:tc>
          <w:tcPr>
            <w:tcW w:w="7391" w:type="dxa"/>
          </w:tcPr>
          <w:p w14:paraId="6AB00B27" w14:textId="478D60D2" w:rsidR="009E674A" w:rsidRDefault="009E674A" w:rsidP="006F668F">
            <w:pPr>
              <w:spacing w:after="220"/>
              <w:rPr>
                <w:spacing w:val="-4"/>
              </w:rPr>
            </w:pPr>
            <w:r>
              <w:rPr>
                <w:spacing w:val="-4"/>
              </w:rPr>
              <w:t>Mezi cizinci v Česku, zejména těmi v zaměstnaneckém postavení, dlouhodobě mírně roste zastoupení žen. Jestliže na konci roku 2011 tvořily ženy 33,9</w:t>
            </w:r>
            <w:r w:rsidR="006454CC">
              <w:rPr>
                <w:spacing w:val="-4"/>
              </w:rPr>
              <w:t> %</w:t>
            </w:r>
            <w:r>
              <w:rPr>
                <w:spacing w:val="-4"/>
              </w:rPr>
              <w:t xml:space="preserve"> všech cizinců, o sedm let později 36,1</w:t>
            </w:r>
            <w:r w:rsidR="006454CC">
              <w:rPr>
                <w:spacing w:val="-4"/>
              </w:rPr>
              <w:t> %</w:t>
            </w:r>
            <w:r>
              <w:rPr>
                <w:spacing w:val="-4"/>
              </w:rPr>
              <w:t xml:space="preserve">. Převaha žen nad muži byla patrná </w:t>
            </w:r>
            <w:r w:rsidR="00BC7833">
              <w:rPr>
                <w:spacing w:val="-4"/>
              </w:rPr>
              <w:t>u </w:t>
            </w:r>
            <w:r>
              <w:rPr>
                <w:spacing w:val="-4"/>
              </w:rPr>
              <w:t>občanů Thajska, Filipín, Mongolska, Kaza</w:t>
            </w:r>
            <w:r w:rsidR="00D45615">
              <w:rPr>
                <w:spacing w:val="-4"/>
              </w:rPr>
              <w:t xml:space="preserve">chstánu </w:t>
            </w:r>
            <w:r w:rsidR="0046496B">
              <w:rPr>
                <w:spacing w:val="-4"/>
              </w:rPr>
              <w:t>a </w:t>
            </w:r>
            <w:r w:rsidR="00D45615">
              <w:rPr>
                <w:spacing w:val="-4"/>
              </w:rPr>
              <w:t>Ruska, vyšší podíl měly</w:t>
            </w:r>
            <w:r>
              <w:rPr>
                <w:spacing w:val="-4"/>
              </w:rPr>
              <w:t xml:space="preserve"> ta</w:t>
            </w:r>
            <w:r w:rsidR="00D45615">
              <w:rPr>
                <w:spacing w:val="-4"/>
              </w:rPr>
              <w:t>ké např.</w:t>
            </w:r>
            <w:r w:rsidR="0046496B">
              <w:rPr>
                <w:spacing w:val="-4"/>
              </w:rPr>
              <w:t> </w:t>
            </w:r>
            <w:r w:rsidR="00D45615">
              <w:rPr>
                <w:spacing w:val="-4"/>
              </w:rPr>
              <w:t>mezi Bělorusy (47 %) a </w:t>
            </w:r>
            <w:r>
              <w:rPr>
                <w:spacing w:val="-4"/>
              </w:rPr>
              <w:t>Ukrajinci (42</w:t>
            </w:r>
            <w:r w:rsidR="006454CC">
              <w:rPr>
                <w:spacing w:val="-4"/>
              </w:rPr>
              <w:t> %</w:t>
            </w:r>
            <w:r>
              <w:rPr>
                <w:spacing w:val="-4"/>
              </w:rPr>
              <w:t xml:space="preserve">). Tři čtvrtiny pracovníků z Rumunska tvořili naopak muži, více než dvoutřetinový podíl měli </w:t>
            </w:r>
            <w:r w:rsidR="00BC7833">
              <w:rPr>
                <w:spacing w:val="-4"/>
              </w:rPr>
              <w:t>i </w:t>
            </w:r>
            <w:r>
              <w:rPr>
                <w:spacing w:val="-4"/>
              </w:rPr>
              <w:t xml:space="preserve">mezi Poláky či Bulhary </w:t>
            </w:r>
            <w:r w:rsidR="00BC7833">
              <w:rPr>
                <w:spacing w:val="-4"/>
              </w:rPr>
              <w:t>a </w:t>
            </w:r>
            <w:r>
              <w:rPr>
                <w:spacing w:val="-4"/>
              </w:rPr>
              <w:t>většinou občanů ze starších členských států</w:t>
            </w:r>
            <w:r w:rsidR="0046496B">
              <w:rPr>
                <w:spacing w:val="-4"/>
              </w:rPr>
              <w:t> </w:t>
            </w:r>
            <w:r>
              <w:rPr>
                <w:spacing w:val="-4"/>
              </w:rPr>
              <w:t xml:space="preserve">EU, z mimounijních balkánských zemí </w:t>
            </w:r>
            <w:r w:rsidR="00BC7833">
              <w:rPr>
                <w:spacing w:val="-4"/>
              </w:rPr>
              <w:t>a </w:t>
            </w:r>
            <w:r>
              <w:rPr>
                <w:spacing w:val="-4"/>
              </w:rPr>
              <w:t xml:space="preserve">také </w:t>
            </w:r>
            <w:r w:rsidR="00BC7833">
              <w:rPr>
                <w:spacing w:val="-4"/>
              </w:rPr>
              <w:t>z </w:t>
            </w:r>
            <w:r>
              <w:rPr>
                <w:spacing w:val="-4"/>
              </w:rPr>
              <w:t>Indie, Uzbekistánu, Nepálu či Kore</w:t>
            </w:r>
            <w:r w:rsidR="0046496B">
              <w:rPr>
                <w:spacing w:val="-4"/>
              </w:rPr>
              <w:t>je</w:t>
            </w:r>
            <w:r>
              <w:rPr>
                <w:spacing w:val="-4"/>
              </w:rPr>
              <w:t>.</w:t>
            </w:r>
          </w:p>
        </w:tc>
      </w:tr>
      <w:tr w:rsidR="009E674A" w:rsidRPr="00CD2028" w14:paraId="00E40088" w14:textId="77777777" w:rsidTr="006F668F">
        <w:trPr>
          <w:trHeight w:val="145"/>
        </w:trPr>
        <w:tc>
          <w:tcPr>
            <w:tcW w:w="1976" w:type="dxa"/>
          </w:tcPr>
          <w:p w14:paraId="19EB2E0E" w14:textId="77777777" w:rsidR="009E674A" w:rsidRDefault="009E674A" w:rsidP="006F668F">
            <w:pPr>
              <w:pStyle w:val="Marginlie"/>
            </w:pPr>
          </w:p>
        </w:tc>
        <w:tc>
          <w:tcPr>
            <w:tcW w:w="277" w:type="dxa"/>
          </w:tcPr>
          <w:p w14:paraId="6E527F6A" w14:textId="77777777" w:rsidR="009E674A" w:rsidRPr="005E4483" w:rsidRDefault="009E674A" w:rsidP="006F668F">
            <w:pPr>
              <w:pStyle w:val="Textpoznpodarou"/>
              <w:jc w:val="both"/>
              <w:rPr>
                <w:spacing w:val="-4"/>
              </w:rPr>
            </w:pPr>
          </w:p>
        </w:tc>
        <w:tc>
          <w:tcPr>
            <w:tcW w:w="7391" w:type="dxa"/>
          </w:tcPr>
          <w:p w14:paraId="6DEEE56A" w14:textId="0BE86DD5" w:rsidR="009E674A" w:rsidRPr="00CD2028" w:rsidRDefault="009E674A" w:rsidP="006F668F">
            <w:pPr>
              <w:spacing w:after="0"/>
              <w:jc w:val="left"/>
              <w:rPr>
                <w:spacing w:val="-4"/>
              </w:rPr>
            </w:pPr>
            <w:r>
              <w:rPr>
                <w:b/>
              </w:rPr>
              <w:t xml:space="preserve">Graf </w:t>
            </w:r>
            <w:r w:rsidR="00BA35F3">
              <w:rPr>
                <w:b/>
              </w:rPr>
              <w:t>č. </w:t>
            </w:r>
            <w:r>
              <w:rPr>
                <w:b/>
              </w:rPr>
              <w:t>11</w:t>
            </w:r>
            <w:r w:rsidRPr="003601A5">
              <w:rPr>
                <w:b/>
              </w:rPr>
              <w:t xml:space="preserve">  </w:t>
            </w:r>
            <w:r>
              <w:rPr>
                <w:b/>
              </w:rPr>
              <w:t>Srovnání struktury zaměstnanců dle hlavních odvětví</w:t>
            </w:r>
            <w:r w:rsidR="0037734D">
              <w:rPr>
                <w:b/>
              </w:rPr>
              <w:t xml:space="preserve"> – </w:t>
            </w:r>
            <w:r>
              <w:rPr>
                <w:b/>
              </w:rPr>
              <w:t xml:space="preserve">cizinci a všichni zaměstnanci v ČR v roce 2018 </w:t>
            </w:r>
            <w:r w:rsidRPr="00037E40">
              <w:t>(</w:t>
            </w:r>
            <w:r w:rsidR="00BC7833">
              <w:t>k </w:t>
            </w:r>
            <w:r>
              <w:t>31.</w:t>
            </w:r>
            <w:r w:rsidR="003C3D7F">
              <w:t> </w:t>
            </w:r>
            <w:r>
              <w:t>12.</w:t>
            </w:r>
            <w:r w:rsidR="003C3D7F">
              <w:t> </w:t>
            </w:r>
            <w:r>
              <w:t>2018, v</w:t>
            </w:r>
            <w:r w:rsidRPr="00761DC0">
              <w:t>%</w:t>
            </w:r>
            <w:r w:rsidRPr="004A3E80">
              <w:t>)</w:t>
            </w:r>
          </w:p>
        </w:tc>
      </w:tr>
      <w:tr w:rsidR="00552CBA" w:rsidRPr="00CD2028" w14:paraId="5323152A" w14:textId="77777777" w:rsidTr="00AA4A77">
        <w:tblPrEx>
          <w:tblCellMar>
            <w:left w:w="70" w:type="dxa"/>
            <w:right w:w="70" w:type="dxa"/>
          </w:tblCellMar>
        </w:tblPrEx>
        <w:trPr>
          <w:trHeight w:val="145"/>
        </w:trPr>
        <w:tc>
          <w:tcPr>
            <w:tcW w:w="1976" w:type="dxa"/>
          </w:tcPr>
          <w:p w14:paraId="45F51FF9" w14:textId="77777777" w:rsidR="00552CBA" w:rsidRDefault="00552CBA" w:rsidP="006F668F">
            <w:pPr>
              <w:pStyle w:val="Marginlie"/>
            </w:pPr>
          </w:p>
        </w:tc>
        <w:tc>
          <w:tcPr>
            <w:tcW w:w="277" w:type="dxa"/>
          </w:tcPr>
          <w:p w14:paraId="67D860A2" w14:textId="77777777" w:rsidR="00552CBA" w:rsidRPr="005E4483" w:rsidRDefault="00552CBA" w:rsidP="006F668F">
            <w:pPr>
              <w:pStyle w:val="Textpoznpodarou"/>
              <w:jc w:val="both"/>
              <w:rPr>
                <w:spacing w:val="-4"/>
              </w:rPr>
            </w:pPr>
          </w:p>
        </w:tc>
        <w:tc>
          <w:tcPr>
            <w:tcW w:w="7391" w:type="dxa"/>
          </w:tcPr>
          <w:p w14:paraId="64635E3C" w14:textId="429DEF9B" w:rsidR="00552CBA" w:rsidRPr="00CD2028" w:rsidRDefault="00AA4A77" w:rsidP="006F668F">
            <w:pPr>
              <w:spacing w:after="0"/>
              <w:rPr>
                <w:spacing w:val="-4"/>
              </w:rPr>
            </w:pPr>
            <w:r>
              <w:rPr>
                <w:noProof/>
              </w:rPr>
              <w:drawing>
                <wp:inline distT="0" distB="0" distL="0" distR="0" wp14:anchorId="3FFDE19A" wp14:editId="7E970847">
                  <wp:extent cx="2271189" cy="3230861"/>
                  <wp:effectExtent l="0" t="0" r="15240" b="8255"/>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5AD57BCD" wp14:editId="0B33D27F">
                  <wp:extent cx="2258180" cy="3232458"/>
                  <wp:effectExtent l="0" t="0" r="8890" b="635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E674A" w:rsidRPr="00CD2028" w14:paraId="031A1FA4" w14:textId="77777777" w:rsidTr="006F668F">
        <w:trPr>
          <w:trHeight w:val="145"/>
        </w:trPr>
        <w:tc>
          <w:tcPr>
            <w:tcW w:w="1976" w:type="dxa"/>
          </w:tcPr>
          <w:p w14:paraId="03EFBF48" w14:textId="77777777" w:rsidR="009E674A" w:rsidRDefault="009E674A" w:rsidP="006F668F">
            <w:pPr>
              <w:pStyle w:val="Marginlie"/>
            </w:pPr>
          </w:p>
        </w:tc>
        <w:tc>
          <w:tcPr>
            <w:tcW w:w="277" w:type="dxa"/>
          </w:tcPr>
          <w:p w14:paraId="1F89EA86" w14:textId="77777777" w:rsidR="009E674A" w:rsidRPr="005E4483" w:rsidRDefault="009E674A" w:rsidP="006F668F">
            <w:pPr>
              <w:pStyle w:val="Textpoznpodarou"/>
              <w:jc w:val="both"/>
              <w:rPr>
                <w:spacing w:val="-4"/>
              </w:rPr>
            </w:pPr>
          </w:p>
        </w:tc>
        <w:tc>
          <w:tcPr>
            <w:tcW w:w="7391" w:type="dxa"/>
          </w:tcPr>
          <w:p w14:paraId="08F6E775" w14:textId="77777777" w:rsidR="009E674A" w:rsidRPr="00CD2028" w:rsidRDefault="009E674A" w:rsidP="006F668F">
            <w:pPr>
              <w:spacing w:after="220"/>
              <w:rPr>
                <w:spacing w:val="-2"/>
              </w:rPr>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(VŠPS)</w:t>
            </w:r>
          </w:p>
        </w:tc>
      </w:tr>
      <w:tr w:rsidR="00744D09" w:rsidRPr="003D7E4E" w14:paraId="64A45AED" w14:textId="77777777" w:rsidTr="006F668F">
        <w:trPr>
          <w:trHeight w:val="429"/>
        </w:trPr>
        <w:tc>
          <w:tcPr>
            <w:tcW w:w="1976" w:type="dxa"/>
          </w:tcPr>
          <w:p w14:paraId="15B007CD" w14:textId="54AC339F" w:rsidR="00744D09" w:rsidRDefault="00744D09" w:rsidP="00744D09">
            <w:pPr>
              <w:pStyle w:val="Marginlie"/>
            </w:pPr>
            <w:r>
              <w:t xml:space="preserve">Oproti všem zaměstnancům pracovali cizinci častěji v administrativních a podpůrných činnostech, průmyslu i stavebnictví. </w:t>
            </w:r>
            <w:r>
              <w:br/>
            </w:r>
            <w:r>
              <w:lastRenderedPageBreak/>
              <w:t>Jen minimální uplatnění nacházeli ve veřejných službách.</w:t>
            </w:r>
          </w:p>
        </w:tc>
        <w:tc>
          <w:tcPr>
            <w:tcW w:w="277" w:type="dxa"/>
          </w:tcPr>
          <w:p w14:paraId="1D280B55" w14:textId="77777777" w:rsidR="00744D09" w:rsidRPr="005E4483" w:rsidRDefault="00744D09" w:rsidP="00744D09">
            <w:pPr>
              <w:pStyle w:val="Textpoznpodarou"/>
              <w:jc w:val="both"/>
              <w:rPr>
                <w:spacing w:val="-4"/>
              </w:rPr>
            </w:pPr>
          </w:p>
        </w:tc>
        <w:tc>
          <w:tcPr>
            <w:tcW w:w="7391" w:type="dxa"/>
          </w:tcPr>
          <w:p w14:paraId="244776C6" w14:textId="6D45314D" w:rsidR="00744D09" w:rsidRPr="00506087" w:rsidRDefault="00744D09" w:rsidP="00744D09">
            <w:pPr>
              <w:spacing w:after="180"/>
              <w:rPr>
                <w:spacing w:val="-2"/>
              </w:rPr>
            </w:pPr>
            <w:r>
              <w:rPr>
                <w:spacing w:val="-4"/>
              </w:rPr>
              <w:t xml:space="preserve">Skladba cizinců (v pozici zaměstnanců) dle odvětví, ve kterém pracují, se značně liší od složení všech pracujících zaměstnanců v ČR. Citelné odlišnosti jsou ale patrné i mezi hlavními skupinami cizinců (dle pohlaví či státního občanství). Cizinci oproti všem zaměstnancům v celé ekonomice převažovali zejména v administrativních </w:t>
            </w:r>
            <w:r>
              <w:rPr>
                <w:spacing w:val="-4"/>
              </w:rPr>
              <w:lastRenderedPageBreak/>
              <w:t>a podpůrných činnostech, kde se z drtivé většiny jednalo o nízkokvalifikované agenturní pracovníky, kteří následně směřovali především do průmyslu, stavebnictví či obchodu</w:t>
            </w:r>
            <w:r>
              <w:rPr>
                <w:rStyle w:val="Znakapoznpodarou"/>
                <w:rFonts w:cs="Arial"/>
                <w:color w:val="0D0D0D" w:themeColor="text1" w:themeTint="F2"/>
                <w:spacing w:val="-4"/>
              </w:rPr>
              <w:footnoteReference w:id="32"/>
            </w:r>
            <w:r>
              <w:rPr>
                <w:spacing w:val="-4"/>
              </w:rPr>
              <w:t>. Vyšší podíl měli cizinci také ve stavebnictví. Naopak v odvětví veřejných služeb (sekce O až R) působilo jen 5 % cizinců (resp. osmina cizinců ze starých členských států EU), ale celá čtvrtina všech zaměstnanců v celé ekonomice. Tato citelná disproporce souvisí se skutečností, že pro práci ve veřejných službách jsou charakteristické vyšší kvalifikační nároky a obvykle potřeba velmi dobré znalosti českého jazyka. U mužů i žen lze nalézt i další dílčí odvětvové odlišnosti</w:t>
            </w:r>
            <w:r>
              <w:rPr>
                <w:rStyle w:val="Znakapoznpodarou"/>
                <w:rFonts w:cs="Arial"/>
                <w:color w:val="0D0D0D" w:themeColor="text1" w:themeTint="F2"/>
                <w:spacing w:val="-4"/>
              </w:rPr>
              <w:footnoteReference w:id="33"/>
            </w:r>
            <w:r>
              <w:rPr>
                <w:spacing w:val="-4"/>
              </w:rPr>
              <w:t>.</w:t>
            </w:r>
          </w:p>
        </w:tc>
      </w:tr>
      <w:tr w:rsidR="00744D09" w:rsidRPr="003D7E4E" w14:paraId="0D1D24C1" w14:textId="77777777" w:rsidTr="006F668F">
        <w:trPr>
          <w:trHeight w:val="429"/>
        </w:trPr>
        <w:tc>
          <w:tcPr>
            <w:tcW w:w="1976" w:type="dxa"/>
          </w:tcPr>
          <w:p w14:paraId="1C3C8988" w14:textId="25030352" w:rsidR="00744D09" w:rsidRPr="00106639" w:rsidRDefault="00744D09" w:rsidP="00744D09">
            <w:pPr>
              <w:pStyle w:val="Marginlie"/>
            </w:pPr>
            <w:r>
              <w:lastRenderedPageBreak/>
              <w:t>Průmysl lákal v ČR více</w:t>
            </w:r>
            <w:r w:rsidRPr="00506087">
              <w:t xml:space="preserve"> zaměstnance z ekonomicky slabších států</w:t>
            </w:r>
            <w:r>
              <w:t> </w:t>
            </w:r>
            <w:r w:rsidRPr="00506087">
              <w:t xml:space="preserve">EU, naopak stavebnictví, obchod </w:t>
            </w:r>
            <w:r>
              <w:t>i</w:t>
            </w:r>
            <w:r w:rsidRPr="00506087">
              <w:t> odvětví ubytování, stravování a</w:t>
            </w:r>
            <w:r>
              <w:t> </w:t>
            </w:r>
            <w:r w:rsidRPr="00506087">
              <w:t>pohostinství hlavně cizince z</w:t>
            </w:r>
            <w:r>
              <w:t> </w:t>
            </w:r>
            <w:r w:rsidRPr="00506087">
              <w:t>„třetích zemí“.</w:t>
            </w:r>
          </w:p>
        </w:tc>
        <w:tc>
          <w:tcPr>
            <w:tcW w:w="277" w:type="dxa"/>
          </w:tcPr>
          <w:p w14:paraId="5974EDAA" w14:textId="77777777" w:rsidR="00744D09" w:rsidRPr="005E4483" w:rsidRDefault="00744D09" w:rsidP="00744D09">
            <w:pPr>
              <w:pStyle w:val="Textpoznpodarou"/>
              <w:jc w:val="both"/>
              <w:rPr>
                <w:spacing w:val="-4"/>
              </w:rPr>
            </w:pPr>
          </w:p>
        </w:tc>
        <w:tc>
          <w:tcPr>
            <w:tcW w:w="7391" w:type="dxa"/>
          </w:tcPr>
          <w:p w14:paraId="75CE79A2" w14:textId="5068C689" w:rsidR="00744D09" w:rsidRPr="00506087" w:rsidRDefault="00744D09" w:rsidP="00744D09">
            <w:pPr>
              <w:spacing w:after="180"/>
              <w:rPr>
                <w:spacing w:val="-2"/>
              </w:rPr>
            </w:pPr>
            <w:r w:rsidRPr="00506087">
              <w:rPr>
                <w:spacing w:val="-2"/>
              </w:rPr>
              <w:t>Podíl zaměstnanců ve zpracovatelském průmyslu se u</w:t>
            </w:r>
            <w:r>
              <w:rPr>
                <w:spacing w:val="-2"/>
              </w:rPr>
              <w:t> </w:t>
            </w:r>
            <w:r w:rsidRPr="00506087">
              <w:rPr>
                <w:spacing w:val="-2"/>
              </w:rPr>
              <w:t>cizinců mezi muži (31</w:t>
            </w:r>
            <w:r>
              <w:rPr>
                <w:spacing w:val="-2"/>
              </w:rPr>
              <w:t> %</w:t>
            </w:r>
            <w:r w:rsidRPr="00506087">
              <w:rPr>
                <w:spacing w:val="-2"/>
              </w:rPr>
              <w:t>) a ženami (27</w:t>
            </w:r>
            <w:r>
              <w:rPr>
                <w:spacing w:val="-2"/>
              </w:rPr>
              <w:t> %</w:t>
            </w:r>
            <w:r w:rsidRPr="00506087">
              <w:rPr>
                <w:spacing w:val="-2"/>
              </w:rPr>
              <w:t>) příliš neodlišoval (na rozdíl od veškerých zaměstnanců na pracovním trhu), pro obě skupiny cizinců šlo o</w:t>
            </w:r>
            <w:r>
              <w:rPr>
                <w:spacing w:val="-2"/>
              </w:rPr>
              <w:t> </w:t>
            </w:r>
            <w:r w:rsidRPr="00506087">
              <w:rPr>
                <w:spacing w:val="-2"/>
              </w:rPr>
              <w:t>hlavní odvětví, ve kterém působily. Primární a sekundární sektor ekonomiky se loni u</w:t>
            </w:r>
            <w:r>
              <w:rPr>
                <w:spacing w:val="-2"/>
              </w:rPr>
              <w:t> </w:t>
            </w:r>
            <w:r w:rsidRPr="00506087">
              <w:rPr>
                <w:spacing w:val="-2"/>
              </w:rPr>
              <w:t>cizinců podílel na zaměstnanosti 48</w:t>
            </w:r>
            <w:r>
              <w:rPr>
                <w:spacing w:val="-2"/>
              </w:rPr>
              <w:t> %</w:t>
            </w:r>
            <w:r w:rsidRPr="00506087">
              <w:rPr>
                <w:spacing w:val="-2"/>
              </w:rPr>
              <w:t xml:space="preserve"> (u mužů), resp.</w:t>
            </w:r>
            <w:r>
              <w:rPr>
                <w:spacing w:val="-2"/>
              </w:rPr>
              <w:t> </w:t>
            </w:r>
            <w:r w:rsidRPr="00506087">
              <w:rPr>
                <w:spacing w:val="-2"/>
              </w:rPr>
              <w:t>33</w:t>
            </w:r>
            <w:r>
              <w:rPr>
                <w:spacing w:val="-2"/>
              </w:rPr>
              <w:t> %</w:t>
            </w:r>
            <w:r w:rsidRPr="00506087">
              <w:rPr>
                <w:spacing w:val="-2"/>
              </w:rPr>
              <w:t xml:space="preserve"> (v</w:t>
            </w:r>
            <w:r>
              <w:rPr>
                <w:spacing w:val="-2"/>
              </w:rPr>
              <w:t> </w:t>
            </w:r>
            <w:r w:rsidRPr="00506087">
              <w:rPr>
                <w:spacing w:val="-2"/>
              </w:rPr>
              <w:t>případě žen). Z</w:t>
            </w:r>
            <w:r>
              <w:rPr>
                <w:spacing w:val="-2"/>
              </w:rPr>
              <w:t>pracovatelský průmysl lákal v Česku</w:t>
            </w:r>
            <w:r w:rsidRPr="00506087">
              <w:rPr>
                <w:spacing w:val="-2"/>
              </w:rPr>
              <w:t xml:space="preserve"> především zaměstnance z ekonomicky slabších států</w:t>
            </w:r>
            <w:r>
              <w:rPr>
                <w:spacing w:val="-2"/>
              </w:rPr>
              <w:t> </w:t>
            </w:r>
            <w:r w:rsidRPr="00506087">
              <w:rPr>
                <w:spacing w:val="-2"/>
              </w:rPr>
              <w:t>EU, naopak stavebnictví, obchod i</w:t>
            </w:r>
            <w:r>
              <w:rPr>
                <w:spacing w:val="-2"/>
              </w:rPr>
              <w:t> </w:t>
            </w:r>
            <w:r w:rsidRPr="00506087">
              <w:rPr>
                <w:spacing w:val="-2"/>
              </w:rPr>
              <w:t>odvětví ubytování, stravování a</w:t>
            </w:r>
            <w:r>
              <w:rPr>
                <w:spacing w:val="-2"/>
              </w:rPr>
              <w:t> </w:t>
            </w:r>
            <w:r w:rsidRPr="00506087">
              <w:rPr>
                <w:spacing w:val="-2"/>
              </w:rPr>
              <w:t>pohostinství hlavně cizince z</w:t>
            </w:r>
            <w:r>
              <w:rPr>
                <w:spacing w:val="-2"/>
              </w:rPr>
              <w:t> </w:t>
            </w:r>
            <w:r w:rsidRPr="00506087">
              <w:rPr>
                <w:spacing w:val="-2"/>
              </w:rPr>
              <w:t>„třetích zemí“. Vyspělá odvětví služeb</w:t>
            </w:r>
            <w:r>
              <w:rPr>
                <w:spacing w:val="-2"/>
              </w:rPr>
              <w:t xml:space="preserve"> – </w:t>
            </w:r>
            <w:r w:rsidRPr="00506087">
              <w:rPr>
                <w:spacing w:val="-2"/>
              </w:rPr>
              <w:t>informační a</w:t>
            </w:r>
            <w:r>
              <w:rPr>
                <w:spacing w:val="-2"/>
              </w:rPr>
              <w:t> </w:t>
            </w:r>
            <w:r w:rsidRPr="00506087">
              <w:rPr>
                <w:spacing w:val="-2"/>
              </w:rPr>
              <w:t>komunikační činnosti, finančnictví, profesní, vědecké a technické činnosti a</w:t>
            </w:r>
            <w:r>
              <w:rPr>
                <w:spacing w:val="-2"/>
              </w:rPr>
              <w:t> </w:t>
            </w:r>
            <w:r w:rsidRPr="00506087">
              <w:rPr>
                <w:spacing w:val="-2"/>
              </w:rPr>
              <w:t xml:space="preserve">také vzdělávání </w:t>
            </w:r>
            <w:r>
              <w:rPr>
                <w:spacing w:val="-2"/>
              </w:rPr>
              <w:t>– </w:t>
            </w:r>
            <w:r w:rsidRPr="00506087">
              <w:rPr>
                <w:spacing w:val="-2"/>
              </w:rPr>
              <w:t>vykazoval</w:t>
            </w:r>
            <w:r>
              <w:rPr>
                <w:spacing w:val="-2"/>
              </w:rPr>
              <w:t>a</w:t>
            </w:r>
            <w:r w:rsidRPr="00506087">
              <w:rPr>
                <w:spacing w:val="-2"/>
              </w:rPr>
              <w:t xml:space="preserve"> vysokou atraktivitu pro cizince ze starých členských států</w:t>
            </w:r>
            <w:r>
              <w:rPr>
                <w:spacing w:val="-2"/>
              </w:rPr>
              <w:t> </w:t>
            </w:r>
            <w:r w:rsidRPr="00506087">
              <w:rPr>
                <w:spacing w:val="-2"/>
              </w:rPr>
              <w:t>EU. Ve struktuře jejich zaměstnanosti dosahovala tato odvětví vyšších podílů než u</w:t>
            </w:r>
            <w:r>
              <w:rPr>
                <w:spacing w:val="-2"/>
              </w:rPr>
              <w:t> </w:t>
            </w:r>
            <w:r w:rsidRPr="00506087">
              <w:rPr>
                <w:spacing w:val="-2"/>
              </w:rPr>
              <w:t>pracovníků z ČR. Detailněji to dokládají údaje o odvětvové specializaci nejčetněji zastoupených skupin cizinců na tuzemském pracovním trhu</w:t>
            </w:r>
            <w:r w:rsidRPr="00506087">
              <w:rPr>
                <w:rStyle w:val="Znakapoznpodarou"/>
                <w:rFonts w:cs="Arial"/>
                <w:color w:val="0D0D0D" w:themeColor="text1" w:themeTint="F2"/>
                <w:spacing w:val="-2"/>
              </w:rPr>
              <w:footnoteReference w:id="34"/>
            </w:r>
            <w:r w:rsidRPr="00506087">
              <w:rPr>
                <w:spacing w:val="-2"/>
              </w:rPr>
              <w:t>.</w:t>
            </w:r>
          </w:p>
        </w:tc>
      </w:tr>
      <w:tr w:rsidR="00F36104" w:rsidRPr="003D7E4E" w14:paraId="4DDE2F71" w14:textId="77777777" w:rsidTr="006F668F">
        <w:trPr>
          <w:trHeight w:val="429"/>
        </w:trPr>
        <w:tc>
          <w:tcPr>
            <w:tcW w:w="1976" w:type="dxa"/>
          </w:tcPr>
          <w:p w14:paraId="079E2DCA" w14:textId="603640C0" w:rsidR="00F36104" w:rsidRDefault="00F36104" w:rsidP="00F36104">
            <w:pPr>
              <w:pStyle w:val="Marginlie"/>
            </w:pPr>
            <w:r>
              <w:t>Cizinci pracující v Česku měli v průměru nižší kvalifikační úroveň než všichni zaměstnanci na trhu práce.</w:t>
            </w:r>
          </w:p>
        </w:tc>
        <w:tc>
          <w:tcPr>
            <w:tcW w:w="277" w:type="dxa"/>
          </w:tcPr>
          <w:p w14:paraId="5A4F5D9F" w14:textId="77777777" w:rsidR="00F36104" w:rsidRPr="005E4483" w:rsidRDefault="00F36104" w:rsidP="00F36104">
            <w:pPr>
              <w:pStyle w:val="Textpoznpodarou"/>
              <w:jc w:val="both"/>
              <w:rPr>
                <w:spacing w:val="-4"/>
              </w:rPr>
            </w:pPr>
          </w:p>
        </w:tc>
        <w:tc>
          <w:tcPr>
            <w:tcW w:w="7391" w:type="dxa"/>
          </w:tcPr>
          <w:p w14:paraId="6D037A48" w14:textId="77777777" w:rsidR="00F36104" w:rsidRDefault="00F36104" w:rsidP="00F36104">
            <w:pPr>
              <w:spacing w:after="180"/>
              <w:rPr>
                <w:spacing w:val="-3"/>
              </w:rPr>
            </w:pPr>
            <w:r>
              <w:rPr>
                <w:spacing w:val="-3"/>
              </w:rPr>
              <w:t>Rozdíly v zaměstnanosti cizinců dle odvětví souvisejí i s odlišnou kvalifikační úrovní. Ta je u cizinců jako celku ve srovnání se všemi zaměstnanci na pracovním trhu v ČR nižší. Pod tři nejvyšší kvalifikační třídy, pro něž je v Česku typický nadprůměrný podíl vysokoškolsky vzdělaných, v roce 2018 spadalo 20 % cizinců, ale 37 % veškerých zaměstnanců v ČR. Cizinci měli výrazně nižší zastoupení hlavně v kategorii techničtí a </w:t>
            </w:r>
            <w:r w:rsidRPr="00FB4F7A">
              <w:rPr>
                <w:spacing w:val="-3"/>
              </w:rPr>
              <w:t>odborní pracovníci</w:t>
            </w:r>
            <w:r>
              <w:rPr>
                <w:spacing w:val="-3"/>
              </w:rPr>
              <w:t xml:space="preserve"> a rovněž u specialistů a úředníků (zejména v kategorii žen) a u řemeslníků a opravářů (u mužů). Naopak do třídy pomocných a nekvalifikovaných pracovníků spadalo 30 % všech cizinců, ale jen 6,5 % veškerých zaměstnanců v ČR. U žen byla větší disproporce také ve třídě obsluha strojů a zařízení (mezi cizinci pětina žen, ale jen desetina u všech žen v ČR).</w:t>
            </w:r>
          </w:p>
          <w:p w14:paraId="1061CAE5" w14:textId="77777777" w:rsidR="00F36104" w:rsidRDefault="00F36104" w:rsidP="00F36104">
            <w:pPr>
              <w:spacing w:after="180"/>
              <w:rPr>
                <w:spacing w:val="-3"/>
              </w:rPr>
            </w:pPr>
          </w:p>
          <w:p w14:paraId="373899BC" w14:textId="77777777" w:rsidR="00F36104" w:rsidRDefault="00F36104" w:rsidP="00F36104">
            <w:pPr>
              <w:spacing w:after="180"/>
              <w:rPr>
                <w:spacing w:val="-3"/>
              </w:rPr>
            </w:pPr>
          </w:p>
          <w:p w14:paraId="31C7824A" w14:textId="2BBE1BAE" w:rsidR="00F36104" w:rsidRPr="00506087" w:rsidRDefault="00F36104" w:rsidP="00F36104">
            <w:pPr>
              <w:spacing w:after="180"/>
              <w:rPr>
                <w:spacing w:val="-2"/>
              </w:rPr>
            </w:pPr>
          </w:p>
        </w:tc>
      </w:tr>
    </w:tbl>
    <w:p w14:paraId="3217BEFB" w14:textId="77777777" w:rsidR="009E674A" w:rsidRPr="00141F95" w:rsidRDefault="009E674A" w:rsidP="009E674A">
      <w:pPr>
        <w:spacing w:after="0"/>
        <w:rPr>
          <w:sz w:val="4"/>
          <w:szCs w:val="4"/>
        </w:rPr>
      </w:pPr>
    </w:p>
    <w:p w14:paraId="540665DE" w14:textId="77777777" w:rsidR="009E674A" w:rsidRDefault="009A4F91" w:rsidP="009E674A">
      <w:pPr>
        <w:spacing w:after="0"/>
        <w:rPr>
          <w:b/>
        </w:rPr>
      </w:pPr>
      <w:r>
        <w:rPr>
          <w:b/>
        </w:rPr>
        <w:lastRenderedPageBreak/>
        <w:t>Tabulka</w:t>
      </w:r>
      <w:r w:rsidR="009E674A">
        <w:rPr>
          <w:b/>
        </w:rPr>
        <w:t xml:space="preserve"> </w:t>
      </w:r>
      <w:r w:rsidR="00BA35F3">
        <w:rPr>
          <w:b/>
        </w:rPr>
        <w:t>č. </w:t>
      </w:r>
      <w:r w:rsidR="00BC7833">
        <w:rPr>
          <w:b/>
        </w:rPr>
        <w:t>1</w:t>
      </w:r>
      <w:r w:rsidR="009F47E7">
        <w:rPr>
          <w:b/>
        </w:rPr>
        <w:t xml:space="preserve">  </w:t>
      </w:r>
      <w:r w:rsidR="009E674A">
        <w:rPr>
          <w:b/>
        </w:rPr>
        <w:t xml:space="preserve">Počet zaměstnanců </w:t>
      </w:r>
      <w:r w:rsidR="009E674A" w:rsidRPr="0022249B">
        <w:t>(</w:t>
      </w:r>
      <w:r w:rsidR="00BC7833" w:rsidRPr="0022249B">
        <w:t>v</w:t>
      </w:r>
      <w:r w:rsidR="00BC7833">
        <w:t> </w:t>
      </w:r>
      <w:r w:rsidR="009E674A" w:rsidRPr="0022249B">
        <w:t>tis.)</w:t>
      </w:r>
      <w:r w:rsidR="009E674A">
        <w:rPr>
          <w:b/>
        </w:rPr>
        <w:t xml:space="preserve"> </w:t>
      </w:r>
      <w:r w:rsidR="00BC7833">
        <w:rPr>
          <w:b/>
        </w:rPr>
        <w:t>a </w:t>
      </w:r>
      <w:r w:rsidR="009E674A">
        <w:rPr>
          <w:b/>
        </w:rPr>
        <w:t>jejich skladba dle hlavních tříd klasifikace zaměstnání</w:t>
      </w:r>
    </w:p>
    <w:p w14:paraId="147EE8D1" w14:textId="77777777" w:rsidR="009E674A" w:rsidRDefault="009E674A" w:rsidP="009E674A">
      <w:pPr>
        <w:spacing w:after="0"/>
        <w:rPr>
          <w:szCs w:val="20"/>
        </w:rPr>
      </w:pPr>
      <w:r w:rsidRPr="0022249B">
        <w:t>(v</w:t>
      </w:r>
      <w:r w:rsidR="006454CC">
        <w:t> %</w:t>
      </w:r>
      <w:r w:rsidRPr="0022249B">
        <w:t xml:space="preserve">, srovnání cizinců </w:t>
      </w:r>
      <w:r w:rsidR="00BC7833" w:rsidRPr="0022249B">
        <w:t>a</w:t>
      </w:r>
      <w:r w:rsidR="00BC7833">
        <w:t> </w:t>
      </w:r>
      <w:r w:rsidRPr="0022249B">
        <w:t>všech zaměstnanců na trhu práce v ČR)</w:t>
      </w:r>
    </w:p>
    <w:p w14:paraId="63B6545E" w14:textId="4379C205" w:rsidR="009E674A" w:rsidRDefault="00D37034" w:rsidP="009E674A">
      <w:pPr>
        <w:spacing w:after="0"/>
        <w:rPr>
          <w:szCs w:val="20"/>
        </w:rPr>
      </w:pPr>
      <w:r w:rsidRPr="00D37034">
        <w:rPr>
          <w:noProof/>
        </w:rPr>
        <w:drawing>
          <wp:inline distT="0" distB="0" distL="0" distR="0" wp14:anchorId="549C37D6" wp14:editId="46F86F48">
            <wp:extent cx="6120130" cy="2872443"/>
            <wp:effectExtent l="0" t="0" r="0" b="444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872443"/>
                    </a:xfrm>
                    <a:prstGeom prst="rect">
                      <a:avLst/>
                    </a:prstGeom>
                    <a:noFill/>
                    <a:ln>
                      <a:noFill/>
                    </a:ln>
                  </pic:spPr>
                </pic:pic>
              </a:graphicData>
            </a:graphic>
          </wp:inline>
        </w:drawing>
      </w:r>
    </w:p>
    <w:p w14:paraId="64CF8E10" w14:textId="5E9554B4" w:rsidR="009E674A" w:rsidRDefault="009E674A" w:rsidP="009E674A">
      <w:pPr>
        <w:spacing w:after="0"/>
        <w:rPr>
          <w:rFonts w:cs="Arial"/>
          <w:sz w:val="14"/>
          <w:szCs w:val="14"/>
        </w:rPr>
      </w:pPr>
      <w:r>
        <w:rPr>
          <w:rFonts w:cs="Arial"/>
          <w:sz w:val="14"/>
          <w:szCs w:val="14"/>
        </w:rPr>
        <w:t>Poznámka</w:t>
      </w:r>
      <w:r w:rsidR="00C37A78">
        <w:rPr>
          <w:rFonts w:cs="Arial"/>
          <w:sz w:val="14"/>
          <w:szCs w:val="14"/>
        </w:rPr>
        <w:t>:</w:t>
      </w:r>
      <w:r>
        <w:rPr>
          <w:rFonts w:cs="Arial"/>
          <w:sz w:val="14"/>
          <w:szCs w:val="14"/>
        </w:rPr>
        <w:t xml:space="preserve"> Údaje za všechny zaměstnance (bez ohledu na státní občanství) vycházejí z VŠPS </w:t>
      </w:r>
      <w:r w:rsidR="00BC7833">
        <w:rPr>
          <w:rFonts w:cs="Arial"/>
          <w:sz w:val="14"/>
          <w:szCs w:val="14"/>
        </w:rPr>
        <w:t>a </w:t>
      </w:r>
      <w:r>
        <w:rPr>
          <w:rFonts w:cs="Arial"/>
          <w:sz w:val="14"/>
          <w:szCs w:val="14"/>
        </w:rPr>
        <w:t xml:space="preserve">vztahují se </w:t>
      </w:r>
      <w:r w:rsidR="00BC7833">
        <w:rPr>
          <w:rFonts w:cs="Arial"/>
          <w:sz w:val="14"/>
          <w:szCs w:val="14"/>
        </w:rPr>
        <w:t>k</w:t>
      </w:r>
      <w:r w:rsidR="00C37A78">
        <w:rPr>
          <w:rFonts w:cs="Arial"/>
          <w:sz w:val="14"/>
          <w:szCs w:val="14"/>
        </w:rPr>
        <w:t xml:space="preserve">e </w:t>
      </w:r>
      <w:r w:rsidR="00BC7833">
        <w:rPr>
          <w:rFonts w:cs="Arial"/>
          <w:sz w:val="14"/>
          <w:szCs w:val="14"/>
        </w:rPr>
        <w:t>4. </w:t>
      </w:r>
      <w:r>
        <w:rPr>
          <w:rFonts w:cs="Arial"/>
          <w:sz w:val="14"/>
          <w:szCs w:val="14"/>
        </w:rPr>
        <w:t>čtvrtletí příslušného roku, údaje za cizince vycház</w:t>
      </w:r>
      <w:r w:rsidR="00C37A78">
        <w:rPr>
          <w:rFonts w:cs="Arial"/>
          <w:sz w:val="14"/>
          <w:szCs w:val="14"/>
        </w:rPr>
        <w:t>ej</w:t>
      </w:r>
      <w:r>
        <w:rPr>
          <w:rFonts w:cs="Arial"/>
          <w:sz w:val="14"/>
          <w:szCs w:val="14"/>
        </w:rPr>
        <w:t xml:space="preserve">í z počtu evidencí na krajských pobočkách úřadů práce </w:t>
      </w:r>
      <w:r w:rsidR="00BC7833">
        <w:rPr>
          <w:rFonts w:cs="Arial"/>
          <w:sz w:val="14"/>
          <w:szCs w:val="14"/>
        </w:rPr>
        <w:t>a </w:t>
      </w:r>
      <w:r>
        <w:rPr>
          <w:rFonts w:cs="Arial"/>
          <w:sz w:val="14"/>
          <w:szCs w:val="14"/>
        </w:rPr>
        <w:t>vztahují se k 31.</w:t>
      </w:r>
      <w:r w:rsidR="00C37A78">
        <w:rPr>
          <w:rFonts w:cs="Arial"/>
          <w:sz w:val="14"/>
          <w:szCs w:val="14"/>
        </w:rPr>
        <w:t> </w:t>
      </w:r>
      <w:r>
        <w:rPr>
          <w:rFonts w:cs="Arial"/>
          <w:sz w:val="14"/>
          <w:szCs w:val="14"/>
        </w:rPr>
        <w:t>12. příslušného roku.</w:t>
      </w:r>
    </w:p>
    <w:p w14:paraId="0989D595" w14:textId="77777777" w:rsidR="009E674A" w:rsidRDefault="009E674A" w:rsidP="009E674A">
      <w:pPr>
        <w:spacing w:after="0"/>
        <w:rPr>
          <w:szCs w:val="20"/>
        </w:rPr>
      </w:pPr>
      <w:r w:rsidRPr="00444E6D">
        <w:rPr>
          <w:rFonts w:cs="Arial"/>
          <w:sz w:val="14"/>
          <w:szCs w:val="14"/>
        </w:rPr>
        <w:t xml:space="preserve">Zdroj: </w:t>
      </w:r>
      <w:r>
        <w:rPr>
          <w:rFonts w:cs="Arial"/>
          <w:sz w:val="14"/>
          <w:szCs w:val="14"/>
        </w:rPr>
        <w:t xml:space="preserve">MPSV </w:t>
      </w:r>
      <w:r w:rsidR="00BC7833">
        <w:rPr>
          <w:rFonts w:cs="Arial"/>
          <w:sz w:val="14"/>
          <w:szCs w:val="14"/>
        </w:rPr>
        <w:t>a </w:t>
      </w:r>
      <w:r>
        <w:rPr>
          <w:rFonts w:cs="Arial"/>
          <w:sz w:val="14"/>
          <w:szCs w:val="14"/>
        </w:rPr>
        <w:t>ČSÚ (VŠPS)</w:t>
      </w:r>
    </w:p>
    <w:p w14:paraId="07D35979" w14:textId="77777777" w:rsidR="009E674A" w:rsidRDefault="009E674A" w:rsidP="009E674A">
      <w:pPr>
        <w:spacing w:after="0"/>
        <w:rPr>
          <w:sz w:val="14"/>
          <w:szCs w:val="14"/>
        </w:rPr>
      </w:pPr>
    </w:p>
    <w:tbl>
      <w:tblPr>
        <w:tblW w:w="9649" w:type="dxa"/>
        <w:tblInd w:w="-15" w:type="dxa"/>
        <w:tblLayout w:type="fixed"/>
        <w:tblCellMar>
          <w:left w:w="0" w:type="dxa"/>
          <w:right w:w="0" w:type="dxa"/>
        </w:tblCellMar>
        <w:tblLook w:val="00A0" w:firstRow="1" w:lastRow="0" w:firstColumn="1" w:lastColumn="0" w:noHBand="0" w:noVBand="0"/>
      </w:tblPr>
      <w:tblGrid>
        <w:gridCol w:w="1977"/>
        <w:gridCol w:w="277"/>
        <w:gridCol w:w="7395"/>
      </w:tblGrid>
      <w:tr w:rsidR="009E674A" w:rsidRPr="003D7E4E" w14:paraId="22E6F765" w14:textId="77777777" w:rsidTr="006F668F">
        <w:trPr>
          <w:trHeight w:val="429"/>
        </w:trPr>
        <w:tc>
          <w:tcPr>
            <w:tcW w:w="1977" w:type="dxa"/>
          </w:tcPr>
          <w:p w14:paraId="308ED567" w14:textId="48E7E3C1" w:rsidR="009E674A" w:rsidRDefault="009E674A" w:rsidP="006F668F">
            <w:pPr>
              <w:pStyle w:val="Marginlie"/>
            </w:pPr>
            <w:r>
              <w:t>Nejvyšší kvalifikační úroveň měli cizinci ze starých členských států</w:t>
            </w:r>
            <w:r w:rsidR="00136371">
              <w:t> </w:t>
            </w:r>
            <w:r>
              <w:t>EU a z mimoevropských členů OECD,...</w:t>
            </w:r>
          </w:p>
          <w:p w14:paraId="729D902E" w14:textId="77777777" w:rsidR="009E674A" w:rsidRDefault="009E674A" w:rsidP="006F668F">
            <w:pPr>
              <w:pStyle w:val="Marginlie"/>
            </w:pPr>
          </w:p>
          <w:p w14:paraId="21B124A8" w14:textId="77777777" w:rsidR="009E674A" w:rsidRDefault="009E674A" w:rsidP="006F668F">
            <w:pPr>
              <w:pStyle w:val="Marginlie"/>
            </w:pPr>
          </w:p>
          <w:p w14:paraId="23D802E5" w14:textId="77777777" w:rsidR="009E674A" w:rsidRDefault="009E674A" w:rsidP="006F668F">
            <w:pPr>
              <w:pStyle w:val="Marginlie"/>
            </w:pPr>
          </w:p>
          <w:p w14:paraId="30F3D812" w14:textId="7F9CD288" w:rsidR="009E674A" w:rsidRDefault="009E674A" w:rsidP="006F668F">
            <w:pPr>
              <w:pStyle w:val="Marginlie"/>
            </w:pPr>
            <w:r>
              <w:t>…</w:t>
            </w:r>
            <w:r w:rsidR="00136371">
              <w:t> </w:t>
            </w:r>
            <w:r>
              <w:t>opačně na tom byli občané ostatní</w:t>
            </w:r>
            <w:r w:rsidR="00136371">
              <w:t>ch</w:t>
            </w:r>
            <w:r>
              <w:t xml:space="preserve"> států mimo</w:t>
            </w:r>
            <w:r w:rsidR="00136371">
              <w:t> </w:t>
            </w:r>
            <w:r>
              <w:t>EU, zejména ženy.</w:t>
            </w:r>
          </w:p>
          <w:p w14:paraId="15B4EBF4" w14:textId="77777777" w:rsidR="009E674A" w:rsidRPr="00106639" w:rsidRDefault="009E674A" w:rsidP="006F668F">
            <w:pPr>
              <w:pStyle w:val="Marginlie"/>
            </w:pPr>
          </w:p>
        </w:tc>
        <w:tc>
          <w:tcPr>
            <w:tcW w:w="277" w:type="dxa"/>
          </w:tcPr>
          <w:p w14:paraId="58CCB912" w14:textId="77777777" w:rsidR="009E674A" w:rsidRPr="005E4483" w:rsidRDefault="009E674A" w:rsidP="006F668F">
            <w:pPr>
              <w:pStyle w:val="Textpoznpodarou"/>
              <w:jc w:val="both"/>
              <w:rPr>
                <w:spacing w:val="-4"/>
              </w:rPr>
            </w:pPr>
          </w:p>
        </w:tc>
        <w:tc>
          <w:tcPr>
            <w:tcW w:w="7395" w:type="dxa"/>
          </w:tcPr>
          <w:p w14:paraId="40E4C1AE" w14:textId="10EE5AED" w:rsidR="009E674A" w:rsidRPr="00F36104" w:rsidRDefault="009E674A" w:rsidP="006F668F">
            <w:pPr>
              <w:spacing w:after="220"/>
              <w:rPr>
                <w:spacing w:val="-4"/>
              </w:rPr>
            </w:pPr>
            <w:r w:rsidRPr="00F36104">
              <w:rPr>
                <w:spacing w:val="-4"/>
              </w:rPr>
              <w:t>Větší rozdíl v kvalifikační skladbě než na ose tuzemci</w:t>
            </w:r>
            <w:r w:rsidR="0037734D" w:rsidRPr="00F36104">
              <w:rPr>
                <w:spacing w:val="-4"/>
              </w:rPr>
              <w:t xml:space="preserve"> – </w:t>
            </w:r>
            <w:r w:rsidRPr="00F36104">
              <w:rPr>
                <w:spacing w:val="-4"/>
              </w:rPr>
              <w:t>cizinci je patrný mezi cizinci navzájem. Zde představuje tradičně hlavní děl</w:t>
            </w:r>
            <w:r w:rsidR="00136371" w:rsidRPr="00F36104">
              <w:rPr>
                <w:spacing w:val="-4"/>
              </w:rPr>
              <w:t>i</w:t>
            </w:r>
            <w:r w:rsidRPr="00F36104">
              <w:rPr>
                <w:spacing w:val="-4"/>
              </w:rPr>
              <w:t xml:space="preserve">cí linii příslušnost </w:t>
            </w:r>
            <w:r w:rsidR="00BC7833" w:rsidRPr="00F36104">
              <w:rPr>
                <w:spacing w:val="-4"/>
              </w:rPr>
              <w:t>k </w:t>
            </w:r>
            <w:r w:rsidRPr="00F36104">
              <w:rPr>
                <w:spacing w:val="-4"/>
              </w:rPr>
              <w:t>ekonomicky nejvyspělejším státům světa (staré členské státy</w:t>
            </w:r>
            <w:r w:rsidR="00136371" w:rsidRPr="00F36104">
              <w:rPr>
                <w:spacing w:val="-4"/>
              </w:rPr>
              <w:t> </w:t>
            </w:r>
            <w:r w:rsidRPr="00F36104">
              <w:rPr>
                <w:spacing w:val="-4"/>
              </w:rPr>
              <w:t xml:space="preserve">EU </w:t>
            </w:r>
            <w:r w:rsidR="00BC7833" w:rsidRPr="00F36104">
              <w:rPr>
                <w:spacing w:val="-4"/>
              </w:rPr>
              <w:t>a </w:t>
            </w:r>
            <w:r w:rsidRPr="00F36104">
              <w:rPr>
                <w:spacing w:val="-4"/>
              </w:rPr>
              <w:t>drtivá většina mimoevropských členů OECD). Na opačném pólu pak nacházíme ostatní státy s překvapivě relativně malými rozdíly mezi novějšími členy</w:t>
            </w:r>
            <w:r w:rsidR="00136371" w:rsidRPr="00F36104">
              <w:rPr>
                <w:spacing w:val="-4"/>
              </w:rPr>
              <w:t> </w:t>
            </w:r>
            <w:r w:rsidRPr="00F36104">
              <w:rPr>
                <w:spacing w:val="-4"/>
              </w:rPr>
              <w:t xml:space="preserve">EU </w:t>
            </w:r>
            <w:r w:rsidR="00BC7833" w:rsidRPr="00F36104">
              <w:rPr>
                <w:spacing w:val="-4"/>
              </w:rPr>
              <w:t>a </w:t>
            </w:r>
            <w:r w:rsidRPr="00F36104">
              <w:rPr>
                <w:spacing w:val="-4"/>
              </w:rPr>
              <w:t xml:space="preserve">ostatními mimoevropskými státy (výjimkou je Slovensko, které z pohledu skladby cizinců pracujících v ČR představuje určitý přechod mezi oběma hlavními skupinami). </w:t>
            </w:r>
            <w:r w:rsidR="00BC7833" w:rsidRPr="00F36104">
              <w:rPr>
                <w:spacing w:val="-4"/>
              </w:rPr>
              <w:t>U </w:t>
            </w:r>
            <w:r w:rsidRPr="00F36104">
              <w:rPr>
                <w:spacing w:val="-4"/>
              </w:rPr>
              <w:t xml:space="preserve">cizinců ze států EU15 převažovali se zhruba třetinovým podílem mezi muži </w:t>
            </w:r>
            <w:r w:rsidR="00BC7833" w:rsidRPr="00F36104">
              <w:rPr>
                <w:spacing w:val="-4"/>
              </w:rPr>
              <w:t>i </w:t>
            </w:r>
            <w:r w:rsidRPr="00F36104">
              <w:rPr>
                <w:spacing w:val="-4"/>
              </w:rPr>
              <w:t xml:space="preserve">ženami zaměstnanci ve třídě specialistů. Podobnou váhu měli jak </w:t>
            </w:r>
            <w:r w:rsidR="00BC7833" w:rsidRPr="00F36104">
              <w:rPr>
                <w:spacing w:val="-4"/>
              </w:rPr>
              <w:t>u </w:t>
            </w:r>
            <w:r w:rsidRPr="00F36104">
              <w:rPr>
                <w:spacing w:val="-4"/>
              </w:rPr>
              <w:t>cizinců ze zbytku Unie</w:t>
            </w:r>
            <w:r w:rsidR="00136371" w:rsidRPr="00F36104">
              <w:rPr>
                <w:spacing w:val="-4"/>
              </w:rPr>
              <w:t>, tak</w:t>
            </w:r>
            <w:r w:rsidRPr="00F36104">
              <w:rPr>
                <w:spacing w:val="-4"/>
              </w:rPr>
              <w:t xml:space="preserve"> mimo </w:t>
            </w:r>
            <w:r w:rsidR="00136371" w:rsidRPr="00F36104">
              <w:rPr>
                <w:spacing w:val="-4"/>
              </w:rPr>
              <w:t xml:space="preserve">ni </w:t>
            </w:r>
            <w:r w:rsidRPr="00F36104">
              <w:rPr>
                <w:spacing w:val="-4"/>
              </w:rPr>
              <w:t xml:space="preserve">pomocní a nekvalifikovaní pracovníci. Dílčí rozdíl mezi těmito dvěma skupinami lze vidět </w:t>
            </w:r>
            <w:r w:rsidR="00BC7833" w:rsidRPr="00F36104">
              <w:rPr>
                <w:spacing w:val="-4"/>
              </w:rPr>
              <w:t>u </w:t>
            </w:r>
            <w:r w:rsidRPr="00F36104">
              <w:rPr>
                <w:spacing w:val="-4"/>
              </w:rPr>
              <w:t xml:space="preserve">žen (ve třídě specialistů </w:t>
            </w:r>
            <w:r w:rsidR="00BC7833" w:rsidRPr="00F36104">
              <w:rPr>
                <w:spacing w:val="-4"/>
              </w:rPr>
              <w:t>i </w:t>
            </w:r>
            <w:r w:rsidRPr="00F36104">
              <w:rPr>
                <w:spacing w:val="-4"/>
              </w:rPr>
              <w:t>pomocných pracovníků). S určitým zjednodušením lze tvrdit, že ženy z mimounijních států patří k nejméně kvalifikované skupině zaměstnanců na tuzemském pracovním trhu.</w:t>
            </w:r>
          </w:p>
        </w:tc>
      </w:tr>
      <w:tr w:rsidR="00F36104" w:rsidRPr="003D7E4E" w14:paraId="7B02ADBA" w14:textId="77777777" w:rsidTr="006F668F">
        <w:trPr>
          <w:trHeight w:val="429"/>
        </w:trPr>
        <w:tc>
          <w:tcPr>
            <w:tcW w:w="1977" w:type="dxa"/>
          </w:tcPr>
          <w:p w14:paraId="43CBAED6" w14:textId="77777777" w:rsidR="00F36104" w:rsidRDefault="00F36104" w:rsidP="00F36104">
            <w:pPr>
              <w:pStyle w:val="Marginlie"/>
            </w:pPr>
            <w:r>
              <w:t>V Praze byla registrována třetina všech pracujících cizinců v ČR. Spolu se Středočeským krajem pak polovina.</w:t>
            </w:r>
          </w:p>
          <w:p w14:paraId="77FF2699" w14:textId="77777777" w:rsidR="00F36104" w:rsidRDefault="00F36104" w:rsidP="00F36104">
            <w:pPr>
              <w:pStyle w:val="Marginlie"/>
            </w:pPr>
          </w:p>
          <w:p w14:paraId="1278BA24" w14:textId="77777777" w:rsidR="00F36104" w:rsidRDefault="00F36104" w:rsidP="00F36104">
            <w:pPr>
              <w:pStyle w:val="Marginlie"/>
            </w:pPr>
          </w:p>
          <w:p w14:paraId="3C89A29D" w14:textId="77777777" w:rsidR="00F36104" w:rsidRDefault="00F36104" w:rsidP="00F36104">
            <w:pPr>
              <w:pStyle w:val="Marginlie"/>
            </w:pPr>
          </w:p>
          <w:p w14:paraId="073028F8" w14:textId="77777777" w:rsidR="00F36104" w:rsidRDefault="00F36104" w:rsidP="00F36104">
            <w:pPr>
              <w:pStyle w:val="Marginlie"/>
            </w:pPr>
          </w:p>
          <w:p w14:paraId="5DA073F4" w14:textId="77777777" w:rsidR="00F36104" w:rsidRDefault="00F36104" w:rsidP="00F36104">
            <w:pPr>
              <w:pStyle w:val="Marginlie"/>
            </w:pPr>
          </w:p>
          <w:p w14:paraId="681BDFB9" w14:textId="6F8D4AE1" w:rsidR="00F36104" w:rsidRDefault="00F36104" w:rsidP="00F36104">
            <w:pPr>
              <w:pStyle w:val="Marginlie"/>
            </w:pPr>
            <w:r>
              <w:t>V relaci k obyvatelstvu v produktivním věku bylo cizinců nejvíce v okresech Tachov a Mladá Boleslav.</w:t>
            </w:r>
          </w:p>
        </w:tc>
        <w:tc>
          <w:tcPr>
            <w:tcW w:w="277" w:type="dxa"/>
          </w:tcPr>
          <w:p w14:paraId="1062B1D9" w14:textId="77777777" w:rsidR="00F36104" w:rsidRPr="005E4483" w:rsidRDefault="00F36104" w:rsidP="00F36104">
            <w:pPr>
              <w:pStyle w:val="Textpoznpodarou"/>
              <w:jc w:val="both"/>
              <w:rPr>
                <w:spacing w:val="-4"/>
              </w:rPr>
            </w:pPr>
          </w:p>
        </w:tc>
        <w:tc>
          <w:tcPr>
            <w:tcW w:w="7395" w:type="dxa"/>
          </w:tcPr>
          <w:p w14:paraId="354D8C0D" w14:textId="1A7E8184" w:rsidR="00F36104" w:rsidRPr="00F36104" w:rsidRDefault="00F36104" w:rsidP="00F36104">
            <w:pPr>
              <w:spacing w:after="220"/>
              <w:rPr>
                <w:spacing w:val="-4"/>
              </w:rPr>
            </w:pPr>
            <w:r>
              <w:rPr>
                <w:rFonts w:cs="Arial"/>
                <w:spacing w:val="-1"/>
                <w:szCs w:val="20"/>
              </w:rPr>
              <w:t>Rozmístění cizinců na území ČR je dosti nerovnoměrné. V Praze byla na konci roku 2018 evidována třetina z celorepublikového počtu cizinců v pozici zaměstnanců a bezmála 40 % cizinců, kteří byli držiteli živnostenského oprávnění. Z celkového počtu pracujících cizinců bylo v metropoli soustředěno 31,5 % (v rámci kategorie mužů), resp. 39,3 % (u žen). Společně se Středočeským krajem zde působila polovina všech pracujících cizinců v ČR. V relaci k počtu bydlících obyvatel v produktivním věku dosahovali cizinci mezi kraji nejvyšších podílů v Praze (26,4 %) a na Plzeňsku (15,9 %), nejnižších na Olomoucku (3,2 %) a Zlínsku (3,5 %). Na okresní úrovni dominovaly Tachov (38 %) a Mladá Boleslav (28 %), naopak jen minimálně ovlivňovali cizinci pracovní trh na Kroměřížsku, Třebíčsku, Opavsku, Bruntálsku či Šumpersku. Pro region střední Moravy byl také charakteristický nejnižší podíl žen mezi pracujícími cizinci (kolem 30 %). Naproti tomu v Praze a Karlovarském kraji, tedy regionech s vysokým podílem pracovních míst ve službách a výraznější specializací v oblasti cestovního ruchu, tvořily ženy více než 40 %.</w:t>
            </w:r>
          </w:p>
        </w:tc>
      </w:tr>
      <w:tr w:rsidR="00F36104" w:rsidRPr="003D7E4E" w14:paraId="57D29C95" w14:textId="77777777" w:rsidTr="006F668F">
        <w:trPr>
          <w:trHeight w:val="429"/>
        </w:trPr>
        <w:tc>
          <w:tcPr>
            <w:tcW w:w="1977" w:type="dxa"/>
          </w:tcPr>
          <w:p w14:paraId="05174E77" w14:textId="6C60FE67" w:rsidR="00F36104" w:rsidRDefault="00F36104" w:rsidP="00F36104">
            <w:pPr>
              <w:pStyle w:val="Marginlie"/>
            </w:pPr>
            <w:r>
              <w:t>Za posledních sedm let se počet všech pracujících cizinců relativně nejvíce zvýšil v Plzeňském a Středočeském kraji.</w:t>
            </w:r>
          </w:p>
        </w:tc>
        <w:tc>
          <w:tcPr>
            <w:tcW w:w="277" w:type="dxa"/>
          </w:tcPr>
          <w:p w14:paraId="6A29E526" w14:textId="77777777" w:rsidR="00F36104" w:rsidRPr="005E4483" w:rsidRDefault="00F36104" w:rsidP="00F36104">
            <w:pPr>
              <w:pStyle w:val="Textpoznpodarou"/>
              <w:jc w:val="both"/>
              <w:rPr>
                <w:spacing w:val="-4"/>
              </w:rPr>
            </w:pPr>
          </w:p>
        </w:tc>
        <w:tc>
          <w:tcPr>
            <w:tcW w:w="7395" w:type="dxa"/>
          </w:tcPr>
          <w:p w14:paraId="6448CC4D" w14:textId="600CADD3" w:rsidR="00F36104" w:rsidRDefault="00F36104" w:rsidP="00F36104">
            <w:pPr>
              <w:spacing w:after="220"/>
              <w:rPr>
                <w:rFonts w:cs="Arial"/>
                <w:spacing w:val="-1"/>
                <w:szCs w:val="20"/>
              </w:rPr>
            </w:pPr>
            <w:r>
              <w:rPr>
                <w:rFonts w:cs="Arial"/>
                <w:spacing w:val="-1"/>
                <w:szCs w:val="20"/>
              </w:rPr>
              <w:t xml:space="preserve">Mezi roky 2011 a 2018 se počet cizinců pracujících na území ČR více než zdvojnásobil (růst o 111 %). Tento vývoj není nikterak překvapivý, neboť v obou krajních letech se tuzemský trh práce nacházel ve zcela odlišných fázích hospodářského cyklu. Zatímco v Plzeňském kraji se mezi roky 2011 a 2018 </w:t>
            </w:r>
            <w:r>
              <w:rPr>
                <w:rFonts w:cs="Arial"/>
                <w:spacing w:val="-1"/>
                <w:szCs w:val="20"/>
              </w:rPr>
              <w:lastRenderedPageBreak/>
              <w:t>kontingent cizinců takřka ztrojnásobil, v Moravskoslezském kraji posílil „jen“ o necelé dvě třetiny. Na okresní úrovni došlo v jednom případě dokonce k mírnému úbytku cizinců (jednalo se ale o region, kde je role zahraničních pracovníků dlouhodobě spíše okrajová – Rakovnicko). Dynamický růst v této dekádě na Plzeňsku se překvapivě tolik netýkal vlastní krajské metropole, nýbrž většiny ostatních okresů. Souvisel s velmi dobrou dopravní dostupností (vůči klíčovým exportním teritoriím) i dostatečnou nabídkou rozvojových ploch v nových průmyslových zónách. Zaměstnanost cizinců výrazně ovlivnil také rozvoj nových výrobních závodů automobilového průmyslu (Kvasiny, Nošovice). Tento faktor se projevil také v přeshraničním kontextu s negativním dopadem na zahraniční zaměstnanost v ostravské aglomeraci</w:t>
            </w:r>
            <w:r>
              <w:rPr>
                <w:rStyle w:val="Znakapoznpodarou"/>
                <w:rFonts w:cs="Arial"/>
                <w:color w:val="0D0D0D" w:themeColor="text1" w:themeTint="F2"/>
                <w:spacing w:val="-4"/>
              </w:rPr>
              <w:footnoteReference w:id="35"/>
            </w:r>
            <w:r>
              <w:rPr>
                <w:rFonts w:cs="Arial"/>
                <w:spacing w:val="-1"/>
                <w:szCs w:val="20"/>
              </w:rPr>
              <w:t>.</w:t>
            </w:r>
          </w:p>
        </w:tc>
      </w:tr>
      <w:tr w:rsidR="00F36104" w:rsidRPr="00CD2028" w14:paraId="21AD436F"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11ADA69A" w14:textId="77777777" w:rsidR="00F36104" w:rsidRPr="00106639" w:rsidRDefault="00F36104" w:rsidP="00F36104">
            <w:pPr>
              <w:pStyle w:val="Marginlie"/>
            </w:pPr>
          </w:p>
        </w:tc>
        <w:tc>
          <w:tcPr>
            <w:tcW w:w="277" w:type="dxa"/>
            <w:tcBorders>
              <w:top w:val="nil"/>
              <w:left w:val="nil"/>
              <w:bottom w:val="nil"/>
              <w:right w:val="nil"/>
            </w:tcBorders>
          </w:tcPr>
          <w:p w14:paraId="4DDD0B4E"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3407935E" w14:textId="4E8C49FF" w:rsidR="00F36104" w:rsidRPr="00CD2028" w:rsidRDefault="00F36104" w:rsidP="00F36104">
            <w:pPr>
              <w:spacing w:after="0"/>
              <w:jc w:val="left"/>
              <w:rPr>
                <w:spacing w:val="-4"/>
              </w:rPr>
            </w:pPr>
            <w:r>
              <w:rPr>
                <w:b/>
              </w:rPr>
              <w:t>Graf č. 12</w:t>
            </w:r>
            <w:r w:rsidRPr="003601A5">
              <w:rPr>
                <w:b/>
              </w:rPr>
              <w:t xml:space="preserve">  </w:t>
            </w:r>
            <w:r>
              <w:rPr>
                <w:b/>
              </w:rPr>
              <w:t xml:space="preserve">Skladba cizinců z nejvýznamnějších zemí evidovaných na úřadech práce v ČR dle hlavních tříd zaměstnání </w:t>
            </w:r>
            <w:r w:rsidRPr="00037E40">
              <w:t>(</w:t>
            </w:r>
            <w:r>
              <w:t xml:space="preserve">k 31. 12. 2018, </w:t>
            </w:r>
            <w:r w:rsidRPr="00761DC0">
              <w:t>v</w:t>
            </w:r>
            <w:r>
              <w:t> %</w:t>
            </w:r>
            <w:r w:rsidRPr="004A3E80">
              <w:t>)</w:t>
            </w:r>
          </w:p>
        </w:tc>
      </w:tr>
      <w:tr w:rsidR="00F36104" w:rsidRPr="00CD2028" w14:paraId="30FC8AF1"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0F00BB57" w14:textId="77777777" w:rsidR="00F36104" w:rsidRPr="00106639" w:rsidRDefault="00F36104" w:rsidP="00F36104">
            <w:pPr>
              <w:pStyle w:val="Marginlie"/>
            </w:pPr>
          </w:p>
        </w:tc>
        <w:tc>
          <w:tcPr>
            <w:tcW w:w="277" w:type="dxa"/>
            <w:tcBorders>
              <w:top w:val="nil"/>
              <w:left w:val="nil"/>
              <w:bottom w:val="nil"/>
              <w:right w:val="nil"/>
            </w:tcBorders>
          </w:tcPr>
          <w:p w14:paraId="2A1FAD0F"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1C3ED19F" w14:textId="77777777" w:rsidR="00F36104" w:rsidRPr="00CD2028" w:rsidRDefault="00F36104" w:rsidP="00F36104">
            <w:pPr>
              <w:spacing w:after="40"/>
              <w:rPr>
                <w:spacing w:val="-4"/>
              </w:rPr>
            </w:pPr>
            <w:r w:rsidRPr="0041290F">
              <w:rPr>
                <w:noProof/>
                <w:spacing w:val="-4"/>
              </w:rPr>
              <w:drawing>
                <wp:inline distT="0" distB="0" distL="0" distR="0" wp14:anchorId="7CCB020D" wp14:editId="131AAA15">
                  <wp:extent cx="4585921" cy="3518388"/>
                  <wp:effectExtent l="0" t="0" r="5129" b="0"/>
                  <wp:docPr id="2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F36104" w:rsidRPr="00FC0E7D" w14:paraId="402C6101"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636B12A5" w14:textId="77777777" w:rsidR="00F36104" w:rsidRPr="00106639" w:rsidRDefault="00F36104" w:rsidP="00F36104">
            <w:pPr>
              <w:pStyle w:val="Marginlie"/>
            </w:pPr>
          </w:p>
        </w:tc>
        <w:tc>
          <w:tcPr>
            <w:tcW w:w="277" w:type="dxa"/>
            <w:tcBorders>
              <w:top w:val="nil"/>
              <w:left w:val="nil"/>
              <w:bottom w:val="nil"/>
              <w:right w:val="nil"/>
            </w:tcBorders>
          </w:tcPr>
          <w:p w14:paraId="1DB72EA4"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1785163C" w14:textId="3B06C651" w:rsidR="00F36104" w:rsidRPr="0003506E" w:rsidRDefault="00F36104" w:rsidP="00F36104">
            <w:pPr>
              <w:spacing w:after="0"/>
              <w:rPr>
                <w:rFonts w:cs="Arial"/>
                <w:spacing w:val="-1"/>
                <w:sz w:val="14"/>
                <w:szCs w:val="14"/>
              </w:rPr>
            </w:pPr>
            <w:r w:rsidRPr="0003506E">
              <w:rPr>
                <w:rFonts w:cs="Arial"/>
                <w:spacing w:val="-1"/>
                <w:sz w:val="14"/>
                <w:szCs w:val="14"/>
              </w:rPr>
              <w:t>Vysvětlivka ke zkratkám zemí: ESP</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Španělsko, PRT</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Portugalsko, GRC</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Řecko, TUR</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Turecko, BIH</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Bosna a Hercegovina, MKD</w:t>
            </w:r>
            <w:r>
              <w:rPr>
                <w:rFonts w:cs="Arial"/>
                <w:spacing w:val="-1"/>
                <w:sz w:val="14"/>
                <w:szCs w:val="14"/>
              </w:rPr>
              <w:t xml:space="preserve"> </w:t>
            </w:r>
            <w:r w:rsidRPr="0003506E">
              <w:rPr>
                <w:rFonts w:cs="Arial"/>
                <w:spacing w:val="-1"/>
                <w:sz w:val="14"/>
                <w:szCs w:val="14"/>
              </w:rPr>
              <w:t>=</w:t>
            </w:r>
            <w:r>
              <w:rPr>
                <w:rFonts w:cs="Arial"/>
                <w:spacing w:val="-1"/>
                <w:sz w:val="14"/>
                <w:szCs w:val="14"/>
              </w:rPr>
              <w:t xml:space="preserve"> </w:t>
            </w:r>
            <w:r w:rsidRPr="0003506E">
              <w:rPr>
                <w:rFonts w:cs="Arial"/>
                <w:spacing w:val="-1"/>
                <w:sz w:val="14"/>
                <w:szCs w:val="14"/>
              </w:rPr>
              <w:t>Severní Makedonie.</w:t>
            </w:r>
          </w:p>
          <w:p w14:paraId="67B2A84D" w14:textId="2DBADFB5" w:rsidR="00F36104" w:rsidRPr="0003506E" w:rsidRDefault="00F36104" w:rsidP="00F36104">
            <w:pPr>
              <w:spacing w:after="0"/>
              <w:rPr>
                <w:rFonts w:cs="Arial"/>
                <w:spacing w:val="-1"/>
                <w:sz w:val="14"/>
                <w:szCs w:val="14"/>
              </w:rPr>
            </w:pPr>
            <w:r w:rsidRPr="0003506E">
              <w:rPr>
                <w:rFonts w:cs="Arial"/>
                <w:spacing w:val="-1"/>
                <w:sz w:val="14"/>
                <w:szCs w:val="14"/>
              </w:rPr>
              <w:t>Popis tříd klasifikace zaměstnání (ISCO): 1</w:t>
            </w:r>
            <w:r>
              <w:rPr>
                <w:rFonts w:cs="Arial"/>
                <w:spacing w:val="-1"/>
                <w:sz w:val="14"/>
                <w:szCs w:val="14"/>
              </w:rPr>
              <w:t>–</w:t>
            </w:r>
            <w:r w:rsidRPr="0003506E">
              <w:rPr>
                <w:rFonts w:cs="Arial"/>
                <w:spacing w:val="-1"/>
                <w:sz w:val="14"/>
                <w:szCs w:val="14"/>
              </w:rPr>
              <w:t>2</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Vedoucí a</w:t>
            </w:r>
            <w:r>
              <w:rPr>
                <w:rFonts w:cs="Arial"/>
                <w:spacing w:val="-1"/>
                <w:sz w:val="14"/>
                <w:szCs w:val="14"/>
              </w:rPr>
              <w:t> </w:t>
            </w:r>
            <w:r w:rsidRPr="0003506E">
              <w:rPr>
                <w:rFonts w:cs="Arial"/>
                <w:spacing w:val="-1"/>
                <w:sz w:val="14"/>
                <w:szCs w:val="14"/>
              </w:rPr>
              <w:t>řídící pracovníci, Specialisté, 3</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Techničtí a</w:t>
            </w:r>
            <w:r>
              <w:rPr>
                <w:rFonts w:cs="Arial"/>
                <w:spacing w:val="-1"/>
                <w:sz w:val="14"/>
                <w:szCs w:val="14"/>
              </w:rPr>
              <w:t> </w:t>
            </w:r>
            <w:r w:rsidRPr="0003506E">
              <w:rPr>
                <w:rFonts w:cs="Arial"/>
                <w:spacing w:val="-1"/>
                <w:sz w:val="14"/>
                <w:szCs w:val="14"/>
              </w:rPr>
              <w:t>odborní pracovníci, 4</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Úředníci, 5</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Pracovníci ve službách a prodeji, 6</w:t>
            </w:r>
            <w:r>
              <w:rPr>
                <w:rFonts w:cs="Arial"/>
                <w:spacing w:val="-1"/>
                <w:sz w:val="14"/>
                <w:szCs w:val="14"/>
              </w:rPr>
              <w:t> – </w:t>
            </w:r>
            <w:r w:rsidRPr="0003506E">
              <w:rPr>
                <w:rFonts w:cs="Arial"/>
                <w:spacing w:val="-1"/>
                <w:sz w:val="14"/>
                <w:szCs w:val="14"/>
              </w:rPr>
              <w:t>Kvalifikovaní pracovníci v zemědělství, lesnictví a rybářství, 7</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Řemeslníci a</w:t>
            </w:r>
            <w:r>
              <w:rPr>
                <w:rFonts w:cs="Arial"/>
                <w:spacing w:val="-1"/>
                <w:sz w:val="14"/>
                <w:szCs w:val="14"/>
              </w:rPr>
              <w:t> </w:t>
            </w:r>
            <w:r w:rsidRPr="0003506E">
              <w:rPr>
                <w:rFonts w:cs="Arial"/>
                <w:spacing w:val="-1"/>
                <w:sz w:val="14"/>
                <w:szCs w:val="14"/>
              </w:rPr>
              <w:t>opraváři, 8</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Obsluha strojů a</w:t>
            </w:r>
            <w:r>
              <w:rPr>
                <w:rFonts w:cs="Arial"/>
                <w:spacing w:val="-1"/>
                <w:sz w:val="14"/>
                <w:szCs w:val="14"/>
              </w:rPr>
              <w:t> </w:t>
            </w:r>
            <w:r w:rsidRPr="0003506E">
              <w:rPr>
                <w:rFonts w:cs="Arial"/>
                <w:spacing w:val="-1"/>
                <w:sz w:val="14"/>
                <w:szCs w:val="14"/>
              </w:rPr>
              <w:t>zařízení, montéři, 9</w:t>
            </w:r>
            <w:r>
              <w:rPr>
                <w:rFonts w:cs="Arial"/>
                <w:spacing w:val="-1"/>
                <w:sz w:val="14"/>
                <w:szCs w:val="14"/>
              </w:rPr>
              <w:t> </w:t>
            </w:r>
            <w:r w:rsidRPr="0003506E">
              <w:rPr>
                <w:rFonts w:cs="Arial"/>
                <w:spacing w:val="-1"/>
                <w:sz w:val="14"/>
                <w:szCs w:val="14"/>
              </w:rPr>
              <w:t>–</w:t>
            </w:r>
            <w:r>
              <w:rPr>
                <w:rFonts w:cs="Arial"/>
                <w:spacing w:val="-1"/>
                <w:sz w:val="14"/>
                <w:szCs w:val="14"/>
              </w:rPr>
              <w:t> </w:t>
            </w:r>
            <w:r w:rsidRPr="0003506E">
              <w:rPr>
                <w:rFonts w:cs="Arial"/>
                <w:spacing w:val="-1"/>
                <w:sz w:val="14"/>
                <w:szCs w:val="14"/>
              </w:rPr>
              <w:t>Pomocní a</w:t>
            </w:r>
            <w:r>
              <w:rPr>
                <w:rFonts w:cs="Arial"/>
                <w:spacing w:val="-1"/>
                <w:sz w:val="14"/>
                <w:szCs w:val="14"/>
              </w:rPr>
              <w:t> </w:t>
            </w:r>
            <w:r w:rsidRPr="0003506E">
              <w:rPr>
                <w:rFonts w:cs="Arial"/>
                <w:spacing w:val="-1"/>
                <w:sz w:val="14"/>
                <w:szCs w:val="14"/>
              </w:rPr>
              <w:t>nekvalifikovaní pracovníci.</w:t>
            </w:r>
          </w:p>
          <w:p w14:paraId="4BEF8E21" w14:textId="77777777" w:rsidR="00F36104" w:rsidRPr="00FC0E7D" w:rsidRDefault="00F36104" w:rsidP="00F36104">
            <w:pPr>
              <w:spacing w:after="220"/>
              <w:rPr>
                <w:rFonts w:cs="Arial"/>
                <w:sz w:val="14"/>
                <w:szCs w:val="14"/>
              </w:rPr>
            </w:pPr>
            <w:r w:rsidRPr="00444E6D">
              <w:rPr>
                <w:rFonts w:cs="Arial"/>
                <w:sz w:val="14"/>
                <w:szCs w:val="14"/>
              </w:rPr>
              <w:t xml:space="preserve">Zdroj: </w:t>
            </w:r>
            <w:r>
              <w:rPr>
                <w:rFonts w:cs="Arial"/>
                <w:sz w:val="14"/>
                <w:szCs w:val="14"/>
              </w:rPr>
              <w:t>MPSV</w:t>
            </w:r>
          </w:p>
        </w:tc>
      </w:tr>
      <w:tr w:rsidR="00F36104" w:rsidRPr="003D7E4E" w14:paraId="6A89135B"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36DDDEE3" w14:textId="1C7E8A39" w:rsidR="00F36104" w:rsidRDefault="00F36104" w:rsidP="00F36104">
            <w:pPr>
              <w:pStyle w:val="Marginlie"/>
            </w:pPr>
            <w:r>
              <w:t>Nejvyšší podíl občanů EU ze všech cizinců v zaměstnanecké pozici zaznamenaly příhraniční okresy s Polskem a Slovenskem.</w:t>
            </w:r>
          </w:p>
        </w:tc>
        <w:tc>
          <w:tcPr>
            <w:tcW w:w="277" w:type="dxa"/>
            <w:tcBorders>
              <w:top w:val="nil"/>
              <w:left w:val="nil"/>
              <w:bottom w:val="nil"/>
              <w:right w:val="nil"/>
            </w:tcBorders>
          </w:tcPr>
          <w:p w14:paraId="78BC7889"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71692A4F" w14:textId="16A598FC" w:rsidR="00F36104" w:rsidRDefault="00F36104" w:rsidP="00F36104">
            <w:pPr>
              <w:spacing w:after="220"/>
              <w:rPr>
                <w:rFonts w:cs="Arial"/>
                <w:spacing w:val="-1"/>
                <w:szCs w:val="20"/>
              </w:rPr>
            </w:pPr>
            <w:r>
              <w:rPr>
                <w:spacing w:val="-4"/>
              </w:rPr>
              <w:t>Zahraniční pracovníci, kteří jsou občany států EU a mohou těžit z výhody volného pohybu na unijním pracovním trhu</w:t>
            </w:r>
            <w:r>
              <w:rPr>
                <w:rStyle w:val="Znakapoznpodarou"/>
                <w:rFonts w:cs="Arial"/>
                <w:color w:val="0D0D0D" w:themeColor="text1" w:themeTint="F2"/>
                <w:spacing w:val="-4"/>
              </w:rPr>
              <w:footnoteReference w:id="36"/>
            </w:r>
            <w:r>
              <w:rPr>
                <w:spacing w:val="-4"/>
              </w:rPr>
              <w:t xml:space="preserve">, tvořili loni v ČR bezmála dvě třetiny všech cizinců v pozici zaměstnanců. Jejich zastoupení se v posledních třech letech snižovalo (v roce 2015 čítalo 76 %). Podíl těchto pracovníků byl na konci roku 2018 mezi muži o 8 p. b. vyšší než u žen. Osoby s právem volného pohybu na unijním pracovním trhu dosahovaly nejsilnějšího zastoupení ze všech cizinců v zaměstnanecké pozici v příhraničních okresech s Polskem a se Slovenskem (s maximem v okrese Karviná – 95 %). Významnou roli měly také v některých územích se silnou koncentrací průmyslu (Mladoboleslavsko, severní </w:t>
            </w:r>
            <w:r w:rsidRPr="00920304">
              <w:rPr>
                <w:spacing w:val="-4"/>
              </w:rPr>
              <w:t>P</w:t>
            </w:r>
            <w:r>
              <w:rPr>
                <w:spacing w:val="-4"/>
              </w:rPr>
              <w:t xml:space="preserve">lzeňsko). Pracovníci mimo země EU pak mezi </w:t>
            </w:r>
            <w:r>
              <w:rPr>
                <w:spacing w:val="-4"/>
              </w:rPr>
              <w:lastRenderedPageBreak/>
              <w:t>zaměstnanými cizinci převládali jen v sedmi okresech (výrazně pouze na Českolipsku, kde dosahovali vysokých 70 %).</w:t>
            </w:r>
          </w:p>
        </w:tc>
      </w:tr>
      <w:tr w:rsidR="00F36104" w:rsidRPr="003D7E4E" w14:paraId="7CCA9595" w14:textId="77777777" w:rsidTr="006F6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1977" w:type="dxa"/>
            <w:tcBorders>
              <w:top w:val="nil"/>
              <w:left w:val="nil"/>
              <w:bottom w:val="nil"/>
              <w:right w:val="nil"/>
            </w:tcBorders>
          </w:tcPr>
          <w:p w14:paraId="27B8713D" w14:textId="77777777" w:rsidR="00F36104" w:rsidRDefault="00F36104" w:rsidP="00F36104">
            <w:pPr>
              <w:pStyle w:val="Marginlie"/>
            </w:pPr>
            <w:r>
              <w:lastRenderedPageBreak/>
              <w:t>Podíl podnikajících mezi všemi pracujícími cizinci byl loni nejnižší v éře samostatné ČR,…</w:t>
            </w:r>
          </w:p>
          <w:p w14:paraId="69DCE934" w14:textId="77777777" w:rsidR="00F36104" w:rsidRDefault="00F36104" w:rsidP="00F36104">
            <w:pPr>
              <w:pStyle w:val="Marginlie"/>
            </w:pPr>
          </w:p>
          <w:p w14:paraId="5AEB6AFF" w14:textId="77777777" w:rsidR="00F36104" w:rsidRDefault="00F36104" w:rsidP="00F36104">
            <w:pPr>
              <w:pStyle w:val="Marginlie"/>
            </w:pPr>
          </w:p>
          <w:p w14:paraId="1474A330" w14:textId="77777777" w:rsidR="00F36104" w:rsidRDefault="00F36104" w:rsidP="00F36104">
            <w:pPr>
              <w:pStyle w:val="Marginlie"/>
            </w:pPr>
          </w:p>
          <w:p w14:paraId="59A52727" w14:textId="69EAC7F9" w:rsidR="00F36104" w:rsidRDefault="00F36104" w:rsidP="00F36104">
            <w:pPr>
              <w:pStyle w:val="Marginlie"/>
            </w:pPr>
            <w:r>
              <w:t>… v Ústeckém a Karlovarském kraji dosahoval trojnásobné výše než ve středních a východních Čechách.</w:t>
            </w:r>
          </w:p>
        </w:tc>
        <w:tc>
          <w:tcPr>
            <w:tcW w:w="277" w:type="dxa"/>
            <w:tcBorders>
              <w:top w:val="nil"/>
              <w:left w:val="nil"/>
              <w:bottom w:val="nil"/>
              <w:right w:val="nil"/>
            </w:tcBorders>
          </w:tcPr>
          <w:p w14:paraId="2FDBDE48" w14:textId="77777777" w:rsidR="00F36104" w:rsidRPr="005E4483" w:rsidRDefault="00F36104" w:rsidP="00F36104">
            <w:pPr>
              <w:pStyle w:val="Textpoznpodarou"/>
              <w:jc w:val="both"/>
              <w:rPr>
                <w:spacing w:val="-4"/>
              </w:rPr>
            </w:pPr>
          </w:p>
        </w:tc>
        <w:tc>
          <w:tcPr>
            <w:tcW w:w="7395" w:type="dxa"/>
            <w:tcBorders>
              <w:top w:val="nil"/>
              <w:left w:val="nil"/>
              <w:bottom w:val="nil"/>
              <w:right w:val="nil"/>
            </w:tcBorders>
          </w:tcPr>
          <w:p w14:paraId="20EB4534" w14:textId="21A92CD9" w:rsidR="00F36104" w:rsidRDefault="00F36104" w:rsidP="00F36104">
            <w:pPr>
              <w:spacing w:after="220"/>
              <w:rPr>
                <w:spacing w:val="-4"/>
              </w:rPr>
            </w:pPr>
            <w:r>
              <w:rPr>
                <w:spacing w:val="-4"/>
              </w:rPr>
              <w:t>Počet cizinců, kteří jsou v ČR držiteli platného živnostenského oprávnění, nedoznal v posledním desetiletí výraznějších změn. Na celkovém počtu pracujících cizinců se tyto osoby na sklonku roku 2018 podílely 13,6 %, což bylo nejméně za dobu existence samostatné ČR. Vedle výrazně dominantní skupiny Vietnamců vykazují vyšší míru podnikatelské aktivity v Česku rovněž občané starších členských států EU (24 %) či pracovníci z vyspělých mimoevropských ekonomik – USA (43 %), Kanady či Austrálie. Mírně vyšší sklon k podnikání měli i Rusové (18 %), Ukrajinci (15 %) i občané většiny balkánských států. Podnikající cizinci tvořili nejvyšší podíl na všech pracujících cizincích v Ústeckém (30 %) a Karlovarském kraji (28 %). Na Děčínsku, jako jediném okresu ČR, dokonce početně převyšovali cizince v zaměstnaneckém postavení. Naopak v regionech se silnou koncentrací automobilového průmyslu představovali pouhý zlomek všech pracujících cizinců (do 5 %). Územní rozložení podnikajících cizinců se do značné míry kryje s distribucí občanů Vietnamu.</w:t>
            </w:r>
          </w:p>
        </w:tc>
      </w:tr>
    </w:tbl>
    <w:p w14:paraId="02D97017" w14:textId="1D38E992" w:rsidR="009A4F91" w:rsidRDefault="009A4F91" w:rsidP="009E674A">
      <w:pPr>
        <w:spacing w:after="0" w:line="240" w:lineRule="auto"/>
        <w:rPr>
          <w:noProof/>
          <w:szCs w:val="20"/>
        </w:rPr>
      </w:pPr>
    </w:p>
    <w:p w14:paraId="2B654462" w14:textId="0FDE933D" w:rsidR="00F36104" w:rsidRDefault="00F36104" w:rsidP="009E674A">
      <w:pPr>
        <w:spacing w:after="0" w:line="240" w:lineRule="auto"/>
        <w:rPr>
          <w:noProof/>
          <w:szCs w:val="20"/>
        </w:rPr>
      </w:pPr>
    </w:p>
    <w:p w14:paraId="68C338F0" w14:textId="5621479F" w:rsidR="00F36104" w:rsidRDefault="00F36104" w:rsidP="009E674A">
      <w:pPr>
        <w:spacing w:after="0" w:line="240" w:lineRule="auto"/>
        <w:rPr>
          <w:noProof/>
          <w:szCs w:val="20"/>
        </w:rPr>
      </w:pPr>
    </w:p>
    <w:p w14:paraId="55C5784D" w14:textId="790CCA56" w:rsidR="00F36104" w:rsidRDefault="00F36104" w:rsidP="009E674A">
      <w:pPr>
        <w:spacing w:after="0" w:line="240" w:lineRule="auto"/>
        <w:rPr>
          <w:noProof/>
          <w:szCs w:val="20"/>
        </w:rPr>
      </w:pPr>
    </w:p>
    <w:p w14:paraId="7ABB413F" w14:textId="54A4654F" w:rsidR="00F36104" w:rsidRDefault="00F36104" w:rsidP="009E674A">
      <w:pPr>
        <w:spacing w:after="0" w:line="240" w:lineRule="auto"/>
        <w:rPr>
          <w:noProof/>
          <w:szCs w:val="20"/>
        </w:rPr>
      </w:pPr>
    </w:p>
    <w:p w14:paraId="41CF5C12" w14:textId="0F69147F" w:rsidR="00F36104" w:rsidRDefault="00F36104" w:rsidP="009E674A">
      <w:pPr>
        <w:spacing w:after="0" w:line="240" w:lineRule="auto"/>
        <w:rPr>
          <w:noProof/>
          <w:szCs w:val="20"/>
        </w:rPr>
      </w:pPr>
    </w:p>
    <w:p w14:paraId="4D440C6D" w14:textId="36947457" w:rsidR="00F36104" w:rsidRDefault="00F36104" w:rsidP="009E674A">
      <w:pPr>
        <w:spacing w:after="0" w:line="240" w:lineRule="auto"/>
        <w:rPr>
          <w:noProof/>
          <w:szCs w:val="20"/>
        </w:rPr>
      </w:pPr>
    </w:p>
    <w:p w14:paraId="784004F8" w14:textId="4360FA02" w:rsidR="00F36104" w:rsidRDefault="00F36104" w:rsidP="009E674A">
      <w:pPr>
        <w:spacing w:after="0" w:line="240" w:lineRule="auto"/>
        <w:rPr>
          <w:noProof/>
          <w:szCs w:val="20"/>
        </w:rPr>
      </w:pPr>
    </w:p>
    <w:p w14:paraId="7A63E77B" w14:textId="0FE3AFF2" w:rsidR="00F36104" w:rsidRDefault="00F36104" w:rsidP="009E674A">
      <w:pPr>
        <w:spacing w:after="0" w:line="240" w:lineRule="auto"/>
        <w:rPr>
          <w:noProof/>
          <w:szCs w:val="20"/>
        </w:rPr>
      </w:pPr>
    </w:p>
    <w:p w14:paraId="2CE197BB" w14:textId="762ED3A5" w:rsidR="00F36104" w:rsidRDefault="00F36104" w:rsidP="009E674A">
      <w:pPr>
        <w:spacing w:after="0" w:line="240" w:lineRule="auto"/>
        <w:rPr>
          <w:noProof/>
          <w:szCs w:val="20"/>
        </w:rPr>
      </w:pPr>
    </w:p>
    <w:p w14:paraId="7D7A462B" w14:textId="0C2AD114" w:rsidR="00F36104" w:rsidRDefault="00F36104" w:rsidP="009E674A">
      <w:pPr>
        <w:spacing w:after="0" w:line="240" w:lineRule="auto"/>
        <w:rPr>
          <w:noProof/>
          <w:szCs w:val="20"/>
        </w:rPr>
      </w:pPr>
    </w:p>
    <w:p w14:paraId="61A3AAC1" w14:textId="0997D81F" w:rsidR="00F36104" w:rsidRDefault="00F36104" w:rsidP="009E674A">
      <w:pPr>
        <w:spacing w:after="0" w:line="240" w:lineRule="auto"/>
        <w:rPr>
          <w:noProof/>
          <w:szCs w:val="20"/>
        </w:rPr>
      </w:pPr>
    </w:p>
    <w:p w14:paraId="214AD60F" w14:textId="41A835B0" w:rsidR="00F36104" w:rsidRDefault="00F36104" w:rsidP="009E674A">
      <w:pPr>
        <w:spacing w:after="0" w:line="240" w:lineRule="auto"/>
        <w:rPr>
          <w:noProof/>
          <w:szCs w:val="20"/>
        </w:rPr>
      </w:pPr>
    </w:p>
    <w:p w14:paraId="6D207F32" w14:textId="20597553" w:rsidR="00F36104" w:rsidRDefault="00F36104" w:rsidP="009E674A">
      <w:pPr>
        <w:spacing w:after="0" w:line="240" w:lineRule="auto"/>
        <w:rPr>
          <w:noProof/>
          <w:szCs w:val="20"/>
        </w:rPr>
      </w:pPr>
    </w:p>
    <w:p w14:paraId="22F6A8D3" w14:textId="2B00C62D" w:rsidR="00F36104" w:rsidRDefault="00F36104" w:rsidP="009E674A">
      <w:pPr>
        <w:spacing w:after="0" w:line="240" w:lineRule="auto"/>
        <w:rPr>
          <w:noProof/>
          <w:szCs w:val="20"/>
        </w:rPr>
      </w:pPr>
    </w:p>
    <w:p w14:paraId="57BF79BF" w14:textId="63D458E0" w:rsidR="00F36104" w:rsidRDefault="00F36104" w:rsidP="009E674A">
      <w:pPr>
        <w:spacing w:after="0" w:line="240" w:lineRule="auto"/>
        <w:rPr>
          <w:noProof/>
          <w:szCs w:val="20"/>
        </w:rPr>
      </w:pPr>
    </w:p>
    <w:p w14:paraId="646284A1" w14:textId="42E4DE1C" w:rsidR="00F36104" w:rsidRDefault="00F36104" w:rsidP="009E674A">
      <w:pPr>
        <w:spacing w:after="0" w:line="240" w:lineRule="auto"/>
        <w:rPr>
          <w:noProof/>
          <w:szCs w:val="20"/>
        </w:rPr>
      </w:pPr>
    </w:p>
    <w:p w14:paraId="6129A62C" w14:textId="60E08A0E" w:rsidR="00F36104" w:rsidRDefault="00F36104" w:rsidP="009E674A">
      <w:pPr>
        <w:spacing w:after="0" w:line="240" w:lineRule="auto"/>
        <w:rPr>
          <w:noProof/>
          <w:szCs w:val="20"/>
        </w:rPr>
      </w:pPr>
    </w:p>
    <w:p w14:paraId="211D1A19" w14:textId="73006A5E" w:rsidR="00F36104" w:rsidRDefault="00F36104" w:rsidP="009E674A">
      <w:pPr>
        <w:spacing w:after="0" w:line="240" w:lineRule="auto"/>
        <w:rPr>
          <w:noProof/>
          <w:szCs w:val="20"/>
        </w:rPr>
      </w:pPr>
    </w:p>
    <w:p w14:paraId="71FD8B63" w14:textId="1B5305EF" w:rsidR="00F36104" w:rsidRDefault="00F36104" w:rsidP="009E674A">
      <w:pPr>
        <w:spacing w:after="0" w:line="240" w:lineRule="auto"/>
        <w:rPr>
          <w:noProof/>
          <w:szCs w:val="20"/>
        </w:rPr>
      </w:pPr>
    </w:p>
    <w:p w14:paraId="5B1765C8" w14:textId="1851FAB7" w:rsidR="00F36104" w:rsidRDefault="00F36104" w:rsidP="009E674A">
      <w:pPr>
        <w:spacing w:after="0" w:line="240" w:lineRule="auto"/>
        <w:rPr>
          <w:noProof/>
          <w:szCs w:val="20"/>
        </w:rPr>
      </w:pPr>
    </w:p>
    <w:p w14:paraId="1C0C02BE" w14:textId="03258ACF" w:rsidR="00F36104" w:rsidRDefault="00F36104" w:rsidP="009E674A">
      <w:pPr>
        <w:spacing w:after="0" w:line="240" w:lineRule="auto"/>
        <w:rPr>
          <w:noProof/>
          <w:szCs w:val="20"/>
        </w:rPr>
      </w:pPr>
    </w:p>
    <w:p w14:paraId="524ADD5F" w14:textId="3F3F6893" w:rsidR="00F36104" w:rsidRDefault="00F36104" w:rsidP="009E674A">
      <w:pPr>
        <w:spacing w:after="0" w:line="240" w:lineRule="auto"/>
        <w:rPr>
          <w:noProof/>
          <w:szCs w:val="20"/>
        </w:rPr>
      </w:pPr>
    </w:p>
    <w:p w14:paraId="7E9BB6A6" w14:textId="1FE8EDFB" w:rsidR="00F36104" w:rsidRDefault="00F36104" w:rsidP="009E674A">
      <w:pPr>
        <w:spacing w:after="0" w:line="240" w:lineRule="auto"/>
        <w:rPr>
          <w:noProof/>
          <w:szCs w:val="20"/>
        </w:rPr>
      </w:pPr>
    </w:p>
    <w:p w14:paraId="45FE6D41" w14:textId="0775EC07" w:rsidR="00F36104" w:rsidRDefault="00F36104" w:rsidP="009E674A">
      <w:pPr>
        <w:spacing w:after="0" w:line="240" w:lineRule="auto"/>
        <w:rPr>
          <w:noProof/>
          <w:szCs w:val="20"/>
        </w:rPr>
      </w:pPr>
    </w:p>
    <w:p w14:paraId="51EC7AF8" w14:textId="697332FB" w:rsidR="00F36104" w:rsidRDefault="00F36104" w:rsidP="009E674A">
      <w:pPr>
        <w:spacing w:after="0" w:line="240" w:lineRule="auto"/>
        <w:rPr>
          <w:noProof/>
          <w:szCs w:val="20"/>
        </w:rPr>
      </w:pPr>
    </w:p>
    <w:p w14:paraId="0377C285" w14:textId="1F821B5B" w:rsidR="00F36104" w:rsidRDefault="00F36104" w:rsidP="009E674A">
      <w:pPr>
        <w:spacing w:after="0" w:line="240" w:lineRule="auto"/>
        <w:rPr>
          <w:noProof/>
          <w:szCs w:val="20"/>
        </w:rPr>
      </w:pPr>
    </w:p>
    <w:p w14:paraId="5D603C89" w14:textId="16D02D87" w:rsidR="00F36104" w:rsidRDefault="00F36104" w:rsidP="009E674A">
      <w:pPr>
        <w:spacing w:after="0" w:line="240" w:lineRule="auto"/>
        <w:rPr>
          <w:noProof/>
          <w:szCs w:val="20"/>
        </w:rPr>
      </w:pPr>
    </w:p>
    <w:p w14:paraId="4B6F58D4" w14:textId="67B4E809" w:rsidR="00F36104" w:rsidRDefault="00F36104" w:rsidP="009E674A">
      <w:pPr>
        <w:spacing w:after="0" w:line="240" w:lineRule="auto"/>
        <w:rPr>
          <w:noProof/>
          <w:szCs w:val="20"/>
        </w:rPr>
      </w:pPr>
    </w:p>
    <w:p w14:paraId="22368B85" w14:textId="2BC81F8E" w:rsidR="00F36104" w:rsidRDefault="00F36104" w:rsidP="009E674A">
      <w:pPr>
        <w:spacing w:after="0" w:line="240" w:lineRule="auto"/>
        <w:rPr>
          <w:noProof/>
          <w:szCs w:val="20"/>
        </w:rPr>
      </w:pPr>
    </w:p>
    <w:p w14:paraId="376F525E" w14:textId="38CED8DD" w:rsidR="00F36104" w:rsidRDefault="00F36104" w:rsidP="009E674A">
      <w:pPr>
        <w:spacing w:after="0" w:line="240" w:lineRule="auto"/>
        <w:rPr>
          <w:noProof/>
          <w:szCs w:val="20"/>
        </w:rPr>
      </w:pPr>
    </w:p>
    <w:p w14:paraId="726266C1" w14:textId="47D222C0" w:rsidR="00F36104" w:rsidRDefault="00F36104" w:rsidP="009E674A">
      <w:pPr>
        <w:spacing w:after="0" w:line="240" w:lineRule="auto"/>
        <w:rPr>
          <w:noProof/>
          <w:szCs w:val="20"/>
        </w:rPr>
      </w:pPr>
    </w:p>
    <w:p w14:paraId="638BF996" w14:textId="6E5C138C" w:rsidR="00F36104" w:rsidRDefault="00F36104" w:rsidP="009E674A">
      <w:pPr>
        <w:spacing w:after="0" w:line="240" w:lineRule="auto"/>
        <w:rPr>
          <w:noProof/>
          <w:szCs w:val="20"/>
        </w:rPr>
      </w:pPr>
    </w:p>
    <w:p w14:paraId="5D66D3FA" w14:textId="75935CD8" w:rsidR="00F36104" w:rsidRDefault="00F36104" w:rsidP="009E674A">
      <w:pPr>
        <w:spacing w:after="0" w:line="240" w:lineRule="auto"/>
        <w:rPr>
          <w:noProof/>
          <w:szCs w:val="20"/>
        </w:rPr>
      </w:pPr>
    </w:p>
    <w:p w14:paraId="315DB3D2" w14:textId="1DBDD70D" w:rsidR="00F36104" w:rsidRDefault="00F36104" w:rsidP="009E674A">
      <w:pPr>
        <w:spacing w:after="0" w:line="240" w:lineRule="auto"/>
        <w:rPr>
          <w:noProof/>
          <w:szCs w:val="20"/>
        </w:rPr>
      </w:pPr>
    </w:p>
    <w:p w14:paraId="16EFC1BA" w14:textId="4FEB0B04" w:rsidR="00F36104" w:rsidRDefault="00F36104" w:rsidP="009E674A">
      <w:pPr>
        <w:spacing w:after="0" w:line="240" w:lineRule="auto"/>
        <w:rPr>
          <w:noProof/>
          <w:szCs w:val="20"/>
        </w:rPr>
      </w:pPr>
    </w:p>
    <w:p w14:paraId="071271EC" w14:textId="48987A7C" w:rsidR="00F36104" w:rsidRDefault="00F36104" w:rsidP="009E674A">
      <w:pPr>
        <w:spacing w:after="0" w:line="240" w:lineRule="auto"/>
        <w:rPr>
          <w:noProof/>
          <w:szCs w:val="20"/>
        </w:rPr>
      </w:pPr>
    </w:p>
    <w:p w14:paraId="1C9FC456" w14:textId="37288962" w:rsidR="00F36104" w:rsidRDefault="00F36104" w:rsidP="009E674A">
      <w:pPr>
        <w:spacing w:after="0" w:line="240" w:lineRule="auto"/>
        <w:rPr>
          <w:noProof/>
          <w:szCs w:val="20"/>
        </w:rPr>
      </w:pPr>
    </w:p>
    <w:p w14:paraId="292B362A" w14:textId="6FFC77F5" w:rsidR="00F36104" w:rsidRDefault="00F36104" w:rsidP="009E674A">
      <w:pPr>
        <w:spacing w:after="0" w:line="240" w:lineRule="auto"/>
        <w:rPr>
          <w:noProof/>
          <w:szCs w:val="20"/>
        </w:rPr>
      </w:pPr>
    </w:p>
    <w:p w14:paraId="4392DDE7" w14:textId="4A33FBF9" w:rsidR="00F36104" w:rsidRDefault="00F36104" w:rsidP="009E674A">
      <w:pPr>
        <w:spacing w:after="0" w:line="240" w:lineRule="auto"/>
        <w:rPr>
          <w:noProof/>
          <w:szCs w:val="20"/>
        </w:rPr>
      </w:pPr>
    </w:p>
    <w:p w14:paraId="47565C85" w14:textId="77777777" w:rsidR="00F36104" w:rsidRDefault="00F36104" w:rsidP="009E674A">
      <w:pPr>
        <w:spacing w:after="0" w:line="240" w:lineRule="auto"/>
        <w:rPr>
          <w:noProof/>
          <w:szCs w:val="20"/>
        </w:rPr>
      </w:pPr>
    </w:p>
    <w:p w14:paraId="6AADD8AD" w14:textId="77777777" w:rsidR="0037785F" w:rsidRDefault="0037785F" w:rsidP="009E674A">
      <w:pPr>
        <w:spacing w:after="0" w:line="240" w:lineRule="auto"/>
        <w:rPr>
          <w:noProof/>
          <w:szCs w:val="20"/>
        </w:rPr>
      </w:pPr>
    </w:p>
    <w:p w14:paraId="2A5E5924" w14:textId="77777777" w:rsidR="009E674A" w:rsidRDefault="009A4F91" w:rsidP="0037785F">
      <w:pPr>
        <w:spacing w:after="100" w:line="240" w:lineRule="auto"/>
        <w:rPr>
          <w:szCs w:val="20"/>
        </w:rPr>
      </w:pPr>
      <w:r>
        <w:rPr>
          <w:noProof/>
          <w:szCs w:val="20"/>
        </w:rPr>
        <w:lastRenderedPageBreak/>
        <w:t xml:space="preserve"> Kartogramy </w:t>
      </w:r>
      <w:r w:rsidR="00BA35F3">
        <w:rPr>
          <w:noProof/>
          <w:szCs w:val="20"/>
        </w:rPr>
        <w:t>č. </w:t>
      </w:r>
      <w:r w:rsidR="00BC7833">
        <w:rPr>
          <w:noProof/>
          <w:szCs w:val="20"/>
        </w:rPr>
        <w:t>1 </w:t>
      </w:r>
      <w:r>
        <w:rPr>
          <w:noProof/>
          <w:szCs w:val="20"/>
        </w:rPr>
        <w:t>až 4</w:t>
      </w:r>
    </w:p>
    <w:p w14:paraId="008E80F7" w14:textId="77777777" w:rsidR="009E674A" w:rsidRDefault="009A4F91" w:rsidP="009E674A">
      <w:pPr>
        <w:spacing w:after="0" w:line="240" w:lineRule="auto"/>
        <w:rPr>
          <w:sz w:val="16"/>
          <w:szCs w:val="16"/>
        </w:rPr>
      </w:pPr>
      <w:r>
        <w:rPr>
          <w:noProof/>
          <w:szCs w:val="20"/>
        </w:rPr>
        <w:drawing>
          <wp:inline distT="0" distB="0" distL="0" distR="0" wp14:anchorId="00FB96C3" wp14:editId="4ED373FB">
            <wp:extent cx="6112800" cy="4320000"/>
            <wp:effectExtent l="0" t="0" r="2540" b="444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zinci-okresy-2018-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2800" cy="4320000"/>
                    </a:xfrm>
                    <a:prstGeom prst="rect">
                      <a:avLst/>
                    </a:prstGeom>
                  </pic:spPr>
                </pic:pic>
              </a:graphicData>
            </a:graphic>
          </wp:inline>
        </w:drawing>
      </w:r>
    </w:p>
    <w:p w14:paraId="75F630C2" w14:textId="77777777" w:rsidR="009A4F91" w:rsidRPr="0037785F" w:rsidRDefault="009A4F91" w:rsidP="009E674A">
      <w:pPr>
        <w:spacing w:after="0" w:line="240" w:lineRule="auto"/>
        <w:rPr>
          <w:sz w:val="16"/>
          <w:szCs w:val="16"/>
        </w:rPr>
      </w:pPr>
    </w:p>
    <w:p w14:paraId="00B9890E" w14:textId="77777777" w:rsidR="009E674A" w:rsidRPr="005D13C2" w:rsidRDefault="009E674A" w:rsidP="009E674A">
      <w:pPr>
        <w:spacing w:after="0" w:line="240" w:lineRule="auto"/>
        <w:rPr>
          <w:szCs w:val="20"/>
        </w:rPr>
      </w:pPr>
      <w:r>
        <w:rPr>
          <w:noProof/>
          <w:sz w:val="4"/>
          <w:szCs w:val="4"/>
        </w:rPr>
        <w:drawing>
          <wp:inline distT="0" distB="0" distL="0" distR="0" wp14:anchorId="2115466B" wp14:editId="483B3AD5">
            <wp:extent cx="6112800" cy="4320000"/>
            <wp:effectExtent l="0" t="0" r="2540" b="444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zinci-okresy-2018-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2800" cy="4320000"/>
                    </a:xfrm>
                    <a:prstGeom prst="rect">
                      <a:avLst/>
                    </a:prstGeom>
                  </pic:spPr>
                </pic:pic>
              </a:graphicData>
            </a:graphic>
          </wp:inline>
        </w:drawing>
      </w:r>
    </w:p>
    <w:p w14:paraId="68CB7F6D" w14:textId="77777777" w:rsidR="009E674A" w:rsidRDefault="009E674A" w:rsidP="009E674A">
      <w:pPr>
        <w:spacing w:after="0" w:line="240" w:lineRule="auto"/>
        <w:rPr>
          <w:szCs w:val="20"/>
        </w:rPr>
      </w:pPr>
      <w:r>
        <w:rPr>
          <w:noProof/>
          <w:szCs w:val="20"/>
        </w:rPr>
        <w:lastRenderedPageBreak/>
        <w:drawing>
          <wp:inline distT="0" distB="0" distL="0" distR="0" wp14:anchorId="234CCD8E" wp14:editId="547681B3">
            <wp:extent cx="6314400" cy="44640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zinci-okresy-2018-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14400" cy="4464000"/>
                    </a:xfrm>
                    <a:prstGeom prst="rect">
                      <a:avLst/>
                    </a:prstGeom>
                  </pic:spPr>
                </pic:pic>
              </a:graphicData>
            </a:graphic>
          </wp:inline>
        </w:drawing>
      </w:r>
    </w:p>
    <w:p w14:paraId="61E47248" w14:textId="77777777" w:rsidR="009E674A" w:rsidRPr="00867030" w:rsidRDefault="009E674A" w:rsidP="009E674A">
      <w:pPr>
        <w:spacing w:after="0" w:line="240" w:lineRule="auto"/>
        <w:rPr>
          <w:sz w:val="16"/>
          <w:szCs w:val="16"/>
        </w:rPr>
      </w:pPr>
    </w:p>
    <w:p w14:paraId="140118DD" w14:textId="77777777" w:rsidR="009E674A" w:rsidRDefault="009E674A" w:rsidP="009E674A">
      <w:pPr>
        <w:spacing w:after="0" w:line="240" w:lineRule="auto"/>
        <w:rPr>
          <w:szCs w:val="20"/>
        </w:rPr>
      </w:pPr>
      <w:r>
        <w:rPr>
          <w:noProof/>
          <w:szCs w:val="20"/>
        </w:rPr>
        <w:drawing>
          <wp:inline distT="0" distB="0" distL="0" distR="0" wp14:anchorId="615A83F2" wp14:editId="6884C589">
            <wp:extent cx="6120130" cy="432689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zinci-okresy-2018-4.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p w14:paraId="09238E8F" w14:textId="77777777" w:rsidR="009E674A" w:rsidRPr="002A5986" w:rsidRDefault="009E674A" w:rsidP="009E674A">
      <w:pPr>
        <w:spacing w:after="0"/>
        <w:rPr>
          <w:rFonts w:eastAsia="MS Gothic"/>
          <w:b/>
          <w:bCs/>
          <w:color w:val="71818C"/>
          <w:sz w:val="28"/>
          <w:szCs w:val="28"/>
        </w:rPr>
      </w:pPr>
      <w:r>
        <w:rPr>
          <w:rFonts w:eastAsia="MS Gothic"/>
          <w:b/>
          <w:bCs/>
          <w:color w:val="71818C"/>
          <w:sz w:val="28"/>
          <w:szCs w:val="28"/>
        </w:rPr>
        <w:lastRenderedPageBreak/>
        <w:t>1.5. Kvalitativní aspekty zaměstnanosti</w:t>
      </w:r>
    </w:p>
    <w:tbl>
      <w:tblPr>
        <w:tblW w:w="9644" w:type="dxa"/>
        <w:tblInd w:w="-15" w:type="dxa"/>
        <w:tblLayout w:type="fixed"/>
        <w:tblCellMar>
          <w:left w:w="0" w:type="dxa"/>
          <w:right w:w="0" w:type="dxa"/>
        </w:tblCellMar>
        <w:tblLook w:val="00A0" w:firstRow="1" w:lastRow="0" w:firstColumn="1" w:lastColumn="0" w:noHBand="0" w:noVBand="0"/>
      </w:tblPr>
      <w:tblGrid>
        <w:gridCol w:w="1976"/>
        <w:gridCol w:w="277"/>
        <w:gridCol w:w="7391"/>
      </w:tblGrid>
      <w:tr w:rsidR="009E674A" w:rsidRPr="001C7003" w14:paraId="6CDB1383" w14:textId="77777777" w:rsidTr="006F668F">
        <w:trPr>
          <w:trHeight w:val="429"/>
        </w:trPr>
        <w:tc>
          <w:tcPr>
            <w:tcW w:w="1976" w:type="dxa"/>
          </w:tcPr>
          <w:p w14:paraId="3420C73C" w14:textId="77777777" w:rsidR="009E674A" w:rsidRPr="00502D3B" w:rsidRDefault="009E674A" w:rsidP="006F668F">
            <w:pPr>
              <w:pStyle w:val="Marginlie"/>
              <w:rPr>
                <w:spacing w:val="0"/>
              </w:rPr>
            </w:pPr>
            <w:r w:rsidRPr="00502D3B">
              <w:rPr>
                <w:spacing w:val="0"/>
              </w:rPr>
              <w:t xml:space="preserve">Velmi výhodné postavení zaměstnanců na trhu práce </w:t>
            </w:r>
            <w:r w:rsidR="00BC7833" w:rsidRPr="00502D3B">
              <w:rPr>
                <w:spacing w:val="0"/>
              </w:rPr>
              <w:t>v</w:t>
            </w:r>
            <w:r w:rsidR="00BC7833">
              <w:rPr>
                <w:spacing w:val="0"/>
              </w:rPr>
              <w:t> </w:t>
            </w:r>
            <w:r w:rsidRPr="00502D3B">
              <w:rPr>
                <w:spacing w:val="0"/>
              </w:rPr>
              <w:t xml:space="preserve">éře konjunktury </w:t>
            </w:r>
            <w:r>
              <w:rPr>
                <w:spacing w:val="0"/>
              </w:rPr>
              <w:t>rozšiřuje</w:t>
            </w:r>
            <w:r w:rsidR="00590429">
              <w:rPr>
                <w:spacing w:val="0"/>
              </w:rPr>
              <w:t xml:space="preserve"> možnosti pro užívání</w:t>
            </w:r>
            <w:r>
              <w:rPr>
                <w:spacing w:val="0"/>
              </w:rPr>
              <w:t xml:space="preserve"> zaměstnaneckých benefitů</w:t>
            </w:r>
            <w:r w:rsidR="00590429">
              <w:rPr>
                <w:spacing w:val="0"/>
              </w:rPr>
              <w:t xml:space="preserve"> i</w:t>
            </w:r>
            <w:r w:rsidR="00590429">
              <w:t> </w:t>
            </w:r>
            <w:r w:rsidR="00BC7833">
              <w:rPr>
                <w:spacing w:val="0"/>
              </w:rPr>
              <w:t>k </w:t>
            </w:r>
            <w:r w:rsidR="00590429">
              <w:rPr>
                <w:spacing w:val="0"/>
              </w:rPr>
              <w:t>růstu celkové kvality pracovních podmínek</w:t>
            </w:r>
            <w:r w:rsidRPr="00502D3B">
              <w:rPr>
                <w:spacing w:val="0"/>
              </w:rPr>
              <w:t>.</w:t>
            </w:r>
          </w:p>
        </w:tc>
        <w:tc>
          <w:tcPr>
            <w:tcW w:w="277" w:type="dxa"/>
          </w:tcPr>
          <w:p w14:paraId="688826FB" w14:textId="77777777" w:rsidR="009E674A" w:rsidRPr="00D455DF" w:rsidRDefault="009E674A" w:rsidP="006F668F">
            <w:pPr>
              <w:pStyle w:val="Textpoznpodarou"/>
              <w:jc w:val="both"/>
              <w:rPr>
                <w:spacing w:val="-4"/>
              </w:rPr>
            </w:pPr>
          </w:p>
        </w:tc>
        <w:tc>
          <w:tcPr>
            <w:tcW w:w="7391" w:type="dxa"/>
          </w:tcPr>
          <w:p w14:paraId="4A4C5163" w14:textId="6F067FC9" w:rsidR="009E674A" w:rsidRPr="00D455DF" w:rsidRDefault="009E674A" w:rsidP="006F668F">
            <w:pPr>
              <w:spacing w:after="220"/>
              <w:rPr>
                <w:spacing w:val="-3"/>
              </w:rPr>
            </w:pPr>
            <w:r>
              <w:rPr>
                <w:spacing w:val="-3"/>
              </w:rPr>
              <w:t>Prohlubující se nerovnováha na trhu práce, jež se projevovala velmi nízkou mírou nezaměstnanosti (blížící se ke svým přirozeným limitům) doprovázenou rekordním počtem neobsazených volných míst</w:t>
            </w:r>
            <w:r w:rsidR="00590429">
              <w:rPr>
                <w:spacing w:val="-3"/>
              </w:rPr>
              <w:t>,</w:t>
            </w:r>
            <w:r>
              <w:rPr>
                <w:spacing w:val="-3"/>
              </w:rPr>
              <w:t xml:space="preserve"> vedla v roce 2018 k akceleraci mzdového růstu. Kromě toho byli patrně zaměstnavatelé</w:t>
            </w:r>
            <w:r w:rsidR="00B336D6">
              <w:rPr>
                <w:spacing w:val="-3"/>
              </w:rPr>
              <w:t>,</w:t>
            </w:r>
            <w:r>
              <w:rPr>
                <w:spacing w:val="-3"/>
              </w:rPr>
              <w:t xml:space="preserve"> čelící narůstajícím obtížím při získávání nových pracovníků</w:t>
            </w:r>
            <w:r w:rsidR="00B336D6">
              <w:rPr>
                <w:spacing w:val="-3"/>
              </w:rPr>
              <w:t>,</w:t>
            </w:r>
            <w:r>
              <w:rPr>
                <w:spacing w:val="-3"/>
              </w:rPr>
              <w:t xml:space="preserve"> nuceni k využití stále širšího spektra zaměstnaneckých benefitů v peněžní </w:t>
            </w:r>
            <w:r w:rsidR="00BC7833">
              <w:rPr>
                <w:spacing w:val="-3"/>
              </w:rPr>
              <w:t>i </w:t>
            </w:r>
            <w:r>
              <w:rPr>
                <w:spacing w:val="-3"/>
              </w:rPr>
              <w:t>naturální formě</w:t>
            </w:r>
            <w:r>
              <w:rPr>
                <w:rStyle w:val="Znakapoznpodarou"/>
                <w:rFonts w:cs="Arial"/>
                <w:color w:val="0D0D0D" w:themeColor="text1" w:themeTint="F2"/>
                <w:spacing w:val="-4"/>
              </w:rPr>
              <w:footnoteReference w:id="37"/>
            </w:r>
            <w:r>
              <w:rPr>
                <w:spacing w:val="-3"/>
              </w:rPr>
              <w:t xml:space="preserve">. </w:t>
            </w:r>
            <w:r w:rsidR="00B336D6">
              <w:rPr>
                <w:spacing w:val="-3"/>
              </w:rPr>
              <w:t xml:space="preserve">Jako </w:t>
            </w:r>
            <w:r>
              <w:rPr>
                <w:spacing w:val="-3"/>
              </w:rPr>
              <w:t xml:space="preserve">benefity v širším slova smyslu lze chápat </w:t>
            </w:r>
            <w:r w:rsidR="00BC7833">
              <w:rPr>
                <w:spacing w:val="-3"/>
              </w:rPr>
              <w:t>i </w:t>
            </w:r>
            <w:r>
              <w:rPr>
                <w:spacing w:val="-3"/>
              </w:rPr>
              <w:t>různé flexibilní formy pracovní</w:t>
            </w:r>
            <w:r w:rsidR="00590429">
              <w:rPr>
                <w:spacing w:val="-3"/>
              </w:rPr>
              <w:t>ch</w:t>
            </w:r>
            <w:r>
              <w:rPr>
                <w:spacing w:val="-3"/>
              </w:rPr>
              <w:t xml:space="preserve"> úvazků, které vycház</w:t>
            </w:r>
            <w:r w:rsidR="00B336D6">
              <w:rPr>
                <w:spacing w:val="-3"/>
              </w:rPr>
              <w:t>ej</w:t>
            </w:r>
            <w:r>
              <w:rPr>
                <w:spacing w:val="-3"/>
              </w:rPr>
              <w:t>í vstříc potřebám specifických skupin zaměstnanců (např</w:t>
            </w:r>
            <w:r w:rsidR="00590429">
              <w:rPr>
                <w:spacing w:val="-3"/>
              </w:rPr>
              <w:t>.</w:t>
            </w:r>
            <w:r w:rsidR="00B336D6">
              <w:rPr>
                <w:spacing w:val="-3"/>
              </w:rPr>
              <w:t> </w:t>
            </w:r>
            <w:r w:rsidR="00590429">
              <w:rPr>
                <w:spacing w:val="-3"/>
              </w:rPr>
              <w:t>ženám na rodičovské dovolené</w:t>
            </w:r>
            <w:r>
              <w:rPr>
                <w:spacing w:val="-3"/>
              </w:rPr>
              <w:t xml:space="preserve">). Z výhodného postavení v době vrcholící konjunktury ale mohou profitovat </w:t>
            </w:r>
            <w:r w:rsidR="00BC7833">
              <w:rPr>
                <w:spacing w:val="-3"/>
              </w:rPr>
              <w:t>i </w:t>
            </w:r>
            <w:r>
              <w:rPr>
                <w:spacing w:val="-3"/>
              </w:rPr>
              <w:t>širší skupiny zaměstnaných osob (např.</w:t>
            </w:r>
            <w:r w:rsidR="00B336D6">
              <w:rPr>
                <w:spacing w:val="-3"/>
              </w:rPr>
              <w:t> </w:t>
            </w:r>
            <w:r>
              <w:rPr>
                <w:spacing w:val="-3"/>
              </w:rPr>
              <w:t>poklesem výskytu prekérních forem pracovních úvazků).</w:t>
            </w:r>
          </w:p>
        </w:tc>
      </w:tr>
      <w:tr w:rsidR="009E674A" w:rsidRPr="001C7003" w14:paraId="61D8DBAD" w14:textId="77777777" w:rsidTr="006F668F">
        <w:trPr>
          <w:trHeight w:val="429"/>
        </w:trPr>
        <w:tc>
          <w:tcPr>
            <w:tcW w:w="1976" w:type="dxa"/>
          </w:tcPr>
          <w:p w14:paraId="2B886C8C" w14:textId="61D696EE" w:rsidR="009E674A" w:rsidRDefault="009E674A" w:rsidP="006F668F">
            <w:pPr>
              <w:pStyle w:val="Marginlie"/>
            </w:pPr>
            <w:r>
              <w:t>Četnost flexibilních forem pracovních úvazků v poslední dekádě v ČR mírně</w:t>
            </w:r>
            <w:r w:rsidR="00B336D6">
              <w:t>,</w:t>
            </w:r>
            <w:r>
              <w:t xml:space="preserve"> ale plynule rostla.</w:t>
            </w:r>
          </w:p>
          <w:p w14:paraId="2BB8F653" w14:textId="77777777" w:rsidR="009E674A" w:rsidRDefault="009E674A" w:rsidP="006F668F">
            <w:pPr>
              <w:pStyle w:val="Marginlie"/>
            </w:pPr>
          </w:p>
          <w:p w14:paraId="71CEA238" w14:textId="77777777" w:rsidR="009E674A" w:rsidRDefault="009E674A" w:rsidP="006F668F">
            <w:pPr>
              <w:pStyle w:val="Marginlie"/>
            </w:pPr>
          </w:p>
          <w:p w14:paraId="1F3236E8" w14:textId="77777777" w:rsidR="009E674A" w:rsidRDefault="009E674A" w:rsidP="006F668F">
            <w:pPr>
              <w:pStyle w:val="Marginlie"/>
            </w:pPr>
          </w:p>
          <w:p w14:paraId="64711FCC" w14:textId="77777777" w:rsidR="009E674A" w:rsidRDefault="009E674A" w:rsidP="006F668F">
            <w:pPr>
              <w:pStyle w:val="Marginlie"/>
            </w:pPr>
          </w:p>
          <w:p w14:paraId="62DDB3D1" w14:textId="77777777" w:rsidR="009E674A" w:rsidRPr="00D455DF" w:rsidRDefault="009E674A" w:rsidP="006F668F">
            <w:pPr>
              <w:pStyle w:val="Marginlie"/>
            </w:pPr>
            <w:r>
              <w:t>Zkrácené úvazky využívají nejvíce osoby do 2</w:t>
            </w:r>
            <w:r w:rsidR="00D82A1E">
              <w:t>5 </w:t>
            </w:r>
            <w:r>
              <w:t xml:space="preserve">let, ženy s dětmi předškolního věku </w:t>
            </w:r>
            <w:r w:rsidR="00BC7833">
              <w:t>i </w:t>
            </w:r>
            <w:r>
              <w:t>pracující senioři.</w:t>
            </w:r>
          </w:p>
        </w:tc>
        <w:tc>
          <w:tcPr>
            <w:tcW w:w="277" w:type="dxa"/>
          </w:tcPr>
          <w:p w14:paraId="6E48498A" w14:textId="77777777" w:rsidR="009E674A" w:rsidRPr="00D455DF" w:rsidRDefault="009E674A" w:rsidP="006F668F">
            <w:pPr>
              <w:pStyle w:val="Textpoznpodarou"/>
              <w:jc w:val="both"/>
              <w:rPr>
                <w:spacing w:val="-4"/>
              </w:rPr>
            </w:pPr>
          </w:p>
        </w:tc>
        <w:tc>
          <w:tcPr>
            <w:tcW w:w="7391" w:type="dxa"/>
          </w:tcPr>
          <w:p w14:paraId="663A338F" w14:textId="71C3F573" w:rsidR="009E674A" w:rsidRPr="00D455DF" w:rsidRDefault="009E674A" w:rsidP="006F668F">
            <w:pPr>
              <w:spacing w:after="220"/>
              <w:rPr>
                <w:spacing w:val="-3"/>
              </w:rPr>
            </w:pPr>
            <w:r>
              <w:rPr>
                <w:spacing w:val="-3"/>
              </w:rPr>
              <w:t xml:space="preserve">Četnost využívání flexibilních forem pracovních úvazků </w:t>
            </w:r>
            <w:r w:rsidR="00BC7833">
              <w:rPr>
                <w:spacing w:val="-3"/>
              </w:rPr>
              <w:t>v </w:t>
            </w:r>
            <w:r>
              <w:rPr>
                <w:spacing w:val="-3"/>
              </w:rPr>
              <w:t>tuzemsku, která patří ve srovnání se státy</w:t>
            </w:r>
            <w:r w:rsidR="00B336D6">
              <w:rPr>
                <w:spacing w:val="-3"/>
              </w:rPr>
              <w:t> </w:t>
            </w:r>
            <w:r>
              <w:rPr>
                <w:spacing w:val="-3"/>
              </w:rPr>
              <w:t xml:space="preserve">EU tradičně k výrazně podprůměrným, se v poslední dekádě mírně zvyšovala. Růst byl spíše plynulého charakteru, náznaky jeho zrychlování lze v současném konjunkturním období pozorovat jen </w:t>
            </w:r>
            <w:r w:rsidR="00BC7833">
              <w:rPr>
                <w:spacing w:val="-3"/>
              </w:rPr>
              <w:t>u </w:t>
            </w:r>
            <w:r>
              <w:rPr>
                <w:spacing w:val="-3"/>
              </w:rPr>
              <w:t xml:space="preserve">práce na zkrácený úvazek (zejména </w:t>
            </w:r>
            <w:r w:rsidR="00BC7833">
              <w:rPr>
                <w:spacing w:val="-3"/>
              </w:rPr>
              <w:t>u </w:t>
            </w:r>
            <w:r>
              <w:rPr>
                <w:spacing w:val="-3"/>
              </w:rPr>
              <w:t>žen s dětmi předškolního věku). Zkrácený úvazek využívalo loni 7,5</w:t>
            </w:r>
            <w:r w:rsidR="006454CC">
              <w:rPr>
                <w:spacing w:val="-3"/>
              </w:rPr>
              <w:t> %</w:t>
            </w:r>
            <w:r>
              <w:rPr>
                <w:spacing w:val="-3"/>
              </w:rPr>
              <w:t xml:space="preserve"> zam</w:t>
            </w:r>
            <w:r w:rsidR="00590429">
              <w:rPr>
                <w:spacing w:val="-3"/>
              </w:rPr>
              <w:t xml:space="preserve">ěstnanců, </w:t>
            </w:r>
            <w:r w:rsidR="00BC7833">
              <w:rPr>
                <w:spacing w:val="-3"/>
              </w:rPr>
              <w:t>o </w:t>
            </w:r>
            <w:r w:rsidR="00590429">
              <w:rPr>
                <w:spacing w:val="-3"/>
              </w:rPr>
              <w:t xml:space="preserve">polovinu více než </w:t>
            </w:r>
            <w:r>
              <w:rPr>
                <w:spacing w:val="-3"/>
              </w:rPr>
              <w:t>na vrcholu konjunktury minulé dekády. Ve skupině 25</w:t>
            </w:r>
            <w:r>
              <w:rPr>
                <w:spacing w:val="-2"/>
              </w:rPr>
              <w:t>–</w:t>
            </w:r>
            <w:r>
              <w:rPr>
                <w:spacing w:val="-3"/>
              </w:rPr>
              <w:t xml:space="preserve">49letých takto v roce 2018 pracovala téměř každá čtvrtá žena s nejmladším dítětem do </w:t>
            </w:r>
            <w:r w:rsidR="00D82A1E">
              <w:rPr>
                <w:spacing w:val="-3"/>
              </w:rPr>
              <w:t>6 </w:t>
            </w:r>
            <w:r>
              <w:rPr>
                <w:spacing w:val="-3"/>
              </w:rPr>
              <w:t xml:space="preserve">let věku, každá osmá s dítětem ve věku </w:t>
            </w:r>
            <w:r w:rsidR="00BC7833">
              <w:rPr>
                <w:spacing w:val="-3"/>
              </w:rPr>
              <w:t>6</w:t>
            </w:r>
            <w:r>
              <w:rPr>
                <w:spacing w:val="-2"/>
              </w:rPr>
              <w:t>–</w:t>
            </w:r>
            <w:r>
              <w:rPr>
                <w:spacing w:val="-3"/>
              </w:rPr>
              <w:t>1</w:t>
            </w:r>
            <w:r w:rsidR="00D82A1E">
              <w:rPr>
                <w:spacing w:val="-3"/>
              </w:rPr>
              <w:t>1 </w:t>
            </w:r>
            <w:r>
              <w:rPr>
                <w:spacing w:val="-3"/>
              </w:rPr>
              <w:t xml:space="preserve">let, ale pouze každá dvacátá bezdětná žena. Zkrácené úvazky jsou z velké části doménou nejmladších </w:t>
            </w:r>
            <w:r w:rsidR="00BC7833">
              <w:rPr>
                <w:spacing w:val="-3"/>
              </w:rPr>
              <w:t>i </w:t>
            </w:r>
            <w:r>
              <w:rPr>
                <w:spacing w:val="-3"/>
              </w:rPr>
              <w:t xml:space="preserve">nejstarších osob na trhu práce. Využívala je sedmina pracovníků do 25 let </w:t>
            </w:r>
            <w:r w:rsidR="00BC7833">
              <w:rPr>
                <w:spacing w:val="-3"/>
              </w:rPr>
              <w:t>i </w:t>
            </w:r>
            <w:r>
              <w:rPr>
                <w:spacing w:val="-3"/>
              </w:rPr>
              <w:t>ve věku 60</w:t>
            </w:r>
            <w:r>
              <w:rPr>
                <w:spacing w:val="-2"/>
              </w:rPr>
              <w:t>–6</w:t>
            </w:r>
            <w:r w:rsidR="00D82A1E">
              <w:rPr>
                <w:spacing w:val="-2"/>
              </w:rPr>
              <w:t>4 </w:t>
            </w:r>
            <w:r>
              <w:rPr>
                <w:spacing w:val="-2"/>
              </w:rPr>
              <w:t xml:space="preserve">let </w:t>
            </w:r>
            <w:r w:rsidR="00BC7833">
              <w:rPr>
                <w:spacing w:val="-2"/>
              </w:rPr>
              <w:t>a </w:t>
            </w:r>
            <w:r>
              <w:rPr>
                <w:spacing w:val="-2"/>
              </w:rPr>
              <w:t xml:space="preserve">až polovina osob 65–74letých. </w:t>
            </w:r>
            <w:r w:rsidR="00BC7833">
              <w:rPr>
                <w:spacing w:val="-2"/>
              </w:rPr>
              <w:t>U </w:t>
            </w:r>
            <w:r>
              <w:rPr>
                <w:spacing w:val="-2"/>
              </w:rPr>
              <w:t>nejmladších osob za poslední dekádu využívání těchto úvazků také nejvíce posílilo.</w:t>
            </w:r>
          </w:p>
        </w:tc>
      </w:tr>
      <w:tr w:rsidR="009E674A" w:rsidRPr="001C7003" w14:paraId="5FD91B14" w14:textId="77777777" w:rsidTr="006F668F">
        <w:trPr>
          <w:trHeight w:val="429"/>
        </w:trPr>
        <w:tc>
          <w:tcPr>
            <w:tcW w:w="1976" w:type="dxa"/>
          </w:tcPr>
          <w:p w14:paraId="577056CF" w14:textId="77777777" w:rsidR="009E674A" w:rsidRPr="001C7003" w:rsidRDefault="009E674A" w:rsidP="006F668F">
            <w:pPr>
              <w:pStyle w:val="Marginlie"/>
            </w:pPr>
          </w:p>
        </w:tc>
        <w:tc>
          <w:tcPr>
            <w:tcW w:w="277" w:type="dxa"/>
          </w:tcPr>
          <w:p w14:paraId="0BBF30AC" w14:textId="77777777" w:rsidR="009E674A" w:rsidRPr="001C7003" w:rsidRDefault="009E674A" w:rsidP="006F668F">
            <w:pPr>
              <w:pStyle w:val="Textpoznpodarou"/>
              <w:jc w:val="both"/>
              <w:rPr>
                <w:spacing w:val="-4"/>
              </w:rPr>
            </w:pPr>
          </w:p>
        </w:tc>
        <w:tc>
          <w:tcPr>
            <w:tcW w:w="7391" w:type="dxa"/>
          </w:tcPr>
          <w:p w14:paraId="40BAF86C" w14:textId="77777777" w:rsidR="009E674A" w:rsidRPr="00590429" w:rsidRDefault="009E674A" w:rsidP="006F668F">
            <w:pPr>
              <w:spacing w:after="0"/>
              <w:jc w:val="left"/>
              <w:rPr>
                <w:b/>
                <w:spacing w:val="-3"/>
              </w:rPr>
            </w:pPr>
            <w:r w:rsidRPr="003D7E4E">
              <w:rPr>
                <w:b/>
                <w:spacing w:val="-3"/>
              </w:rPr>
              <w:t xml:space="preserve">Graf </w:t>
            </w:r>
            <w:r w:rsidR="00BA35F3">
              <w:rPr>
                <w:b/>
                <w:spacing w:val="-3"/>
              </w:rPr>
              <w:t>č. </w:t>
            </w:r>
            <w:r>
              <w:rPr>
                <w:b/>
                <w:spacing w:val="-3"/>
              </w:rPr>
              <w:t>13</w:t>
            </w:r>
            <w:r w:rsidRPr="003D7E4E">
              <w:rPr>
                <w:b/>
                <w:spacing w:val="-3"/>
              </w:rPr>
              <w:t xml:space="preserve">  </w:t>
            </w:r>
            <w:r>
              <w:rPr>
                <w:b/>
                <w:spacing w:val="-3"/>
              </w:rPr>
              <w:t>Podíl vybraných forem pracovních úvazk</w:t>
            </w:r>
            <w:r w:rsidRPr="00590429">
              <w:rPr>
                <w:b/>
                <w:spacing w:val="-3"/>
              </w:rPr>
              <w:t>ů</w:t>
            </w:r>
            <w:r w:rsidR="00590429" w:rsidRPr="00590429">
              <w:rPr>
                <w:b/>
                <w:spacing w:val="-3"/>
              </w:rPr>
              <w:t xml:space="preserve"> na celkové zaměstnanosti </w:t>
            </w:r>
            <w:r w:rsidR="00BC7833" w:rsidRPr="00590429">
              <w:rPr>
                <w:b/>
                <w:spacing w:val="-3"/>
              </w:rPr>
              <w:t>v</w:t>
            </w:r>
            <w:r w:rsidR="00BC7833">
              <w:rPr>
                <w:b/>
                <w:spacing w:val="-3"/>
              </w:rPr>
              <w:t> </w:t>
            </w:r>
            <w:r w:rsidR="00590429" w:rsidRPr="00590429">
              <w:rPr>
                <w:b/>
                <w:spacing w:val="-3"/>
              </w:rPr>
              <w:t>příslušné sociodemografické skupině</w:t>
            </w:r>
            <w:r w:rsidR="00590429">
              <w:rPr>
                <w:spacing w:val="-3"/>
              </w:rPr>
              <w:t xml:space="preserve"> (v</w:t>
            </w:r>
            <w:r w:rsidR="006454CC">
              <w:rPr>
                <w:spacing w:val="-3"/>
              </w:rPr>
              <w:t> %</w:t>
            </w:r>
            <w:r w:rsidRPr="00555090">
              <w:rPr>
                <w:spacing w:val="-3"/>
              </w:rPr>
              <w:t>)</w:t>
            </w:r>
          </w:p>
        </w:tc>
      </w:tr>
      <w:tr w:rsidR="009E674A" w14:paraId="1E83A6B1" w14:textId="77777777" w:rsidTr="00D37034">
        <w:tblPrEx>
          <w:tblCellMar>
            <w:left w:w="70" w:type="dxa"/>
            <w:right w:w="70" w:type="dxa"/>
          </w:tblCellMar>
        </w:tblPrEx>
        <w:trPr>
          <w:trHeight w:val="429"/>
        </w:trPr>
        <w:tc>
          <w:tcPr>
            <w:tcW w:w="1976" w:type="dxa"/>
          </w:tcPr>
          <w:p w14:paraId="26F0B1EC" w14:textId="77777777" w:rsidR="009E674A" w:rsidRPr="00106639" w:rsidRDefault="009E674A" w:rsidP="006F668F">
            <w:pPr>
              <w:pStyle w:val="Marginlie"/>
            </w:pPr>
          </w:p>
        </w:tc>
        <w:tc>
          <w:tcPr>
            <w:tcW w:w="277" w:type="dxa"/>
          </w:tcPr>
          <w:p w14:paraId="7AE67489" w14:textId="77777777" w:rsidR="009E674A" w:rsidRPr="005E4483" w:rsidRDefault="009E674A" w:rsidP="006F668F">
            <w:pPr>
              <w:pStyle w:val="Textpoznpodarou"/>
              <w:jc w:val="both"/>
              <w:rPr>
                <w:spacing w:val="-4"/>
              </w:rPr>
            </w:pPr>
          </w:p>
        </w:tc>
        <w:tc>
          <w:tcPr>
            <w:tcW w:w="7391" w:type="dxa"/>
          </w:tcPr>
          <w:p w14:paraId="7611A8BF" w14:textId="45A61184" w:rsidR="009E674A" w:rsidRDefault="00D37034" w:rsidP="006F668F">
            <w:pPr>
              <w:spacing w:after="0" w:line="240" w:lineRule="auto"/>
            </w:pPr>
            <w:r>
              <w:rPr>
                <w:noProof/>
              </w:rPr>
              <w:drawing>
                <wp:inline distT="0" distB="0" distL="0" distR="0" wp14:anchorId="0EFAD790" wp14:editId="144A2071">
                  <wp:extent cx="4604385" cy="3613150"/>
                  <wp:effectExtent l="0" t="0" r="5715" b="635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9E674A" w:rsidRPr="00711FC2" w14:paraId="2DC8B44A" w14:textId="77777777" w:rsidTr="006F668F">
        <w:trPr>
          <w:trHeight w:val="429"/>
        </w:trPr>
        <w:tc>
          <w:tcPr>
            <w:tcW w:w="1976" w:type="dxa"/>
          </w:tcPr>
          <w:p w14:paraId="3B9E9F28" w14:textId="77777777" w:rsidR="009E674A" w:rsidRPr="00106639" w:rsidRDefault="009E674A" w:rsidP="006F668F">
            <w:pPr>
              <w:pStyle w:val="Marginlie"/>
            </w:pPr>
          </w:p>
        </w:tc>
        <w:tc>
          <w:tcPr>
            <w:tcW w:w="277" w:type="dxa"/>
          </w:tcPr>
          <w:p w14:paraId="4F4C869D" w14:textId="77777777" w:rsidR="009E674A" w:rsidRPr="005E4483" w:rsidRDefault="009E674A" w:rsidP="006F668F">
            <w:pPr>
              <w:pStyle w:val="Textpoznpodarou"/>
              <w:jc w:val="both"/>
              <w:rPr>
                <w:spacing w:val="-4"/>
              </w:rPr>
            </w:pPr>
          </w:p>
        </w:tc>
        <w:tc>
          <w:tcPr>
            <w:tcW w:w="7391" w:type="dxa"/>
          </w:tcPr>
          <w:p w14:paraId="45D52102" w14:textId="4CD62B07" w:rsidR="009E674A" w:rsidRDefault="009E674A" w:rsidP="006F668F">
            <w:pPr>
              <w:spacing w:after="0"/>
              <w:jc w:val="left"/>
              <w:rPr>
                <w:rFonts w:cs="Arial"/>
                <w:sz w:val="14"/>
                <w:szCs w:val="14"/>
              </w:rPr>
            </w:pPr>
            <w:r>
              <w:rPr>
                <w:rFonts w:cs="Arial"/>
                <w:sz w:val="14"/>
                <w:szCs w:val="14"/>
              </w:rPr>
              <w:t xml:space="preserve">Poznámka: </w:t>
            </w:r>
            <w:r w:rsidR="00BC7833">
              <w:rPr>
                <w:rFonts w:cs="Arial"/>
                <w:sz w:val="14"/>
                <w:szCs w:val="14"/>
              </w:rPr>
              <w:t>U </w:t>
            </w:r>
            <w:r>
              <w:rPr>
                <w:rFonts w:cs="Arial"/>
                <w:sz w:val="14"/>
                <w:szCs w:val="14"/>
              </w:rPr>
              <w:t xml:space="preserve">práce z domova jde </w:t>
            </w:r>
            <w:r w:rsidR="00BC7833">
              <w:rPr>
                <w:rFonts w:cs="Arial"/>
                <w:sz w:val="14"/>
                <w:szCs w:val="14"/>
              </w:rPr>
              <w:t>o </w:t>
            </w:r>
            <w:r>
              <w:rPr>
                <w:rFonts w:cs="Arial"/>
                <w:sz w:val="14"/>
                <w:szCs w:val="14"/>
              </w:rPr>
              <w:t>podíl osob, které uvedly, že touto formou pracují občas nebo obvykle.</w:t>
            </w:r>
          </w:p>
          <w:p w14:paraId="1C6019C1" w14:textId="77777777" w:rsidR="009E674A" w:rsidRPr="00711FC2" w:rsidRDefault="009E674A" w:rsidP="006F668F">
            <w:pPr>
              <w:spacing w:after="0"/>
              <w:jc w:val="left"/>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rsidRPr="00711FC2" w14:paraId="353B4DBF" w14:textId="77777777" w:rsidTr="006F668F">
        <w:trPr>
          <w:trHeight w:val="429"/>
        </w:trPr>
        <w:tc>
          <w:tcPr>
            <w:tcW w:w="1976" w:type="dxa"/>
          </w:tcPr>
          <w:p w14:paraId="07B9570C" w14:textId="77777777" w:rsidR="009E674A" w:rsidRDefault="009E674A" w:rsidP="006F668F">
            <w:pPr>
              <w:pStyle w:val="Marginlie"/>
            </w:pPr>
            <w:r>
              <w:lastRenderedPageBreak/>
              <w:t xml:space="preserve">Podíl pracujících na zkrácené úvazky byl nejvyšší </w:t>
            </w:r>
            <w:r w:rsidR="00BC7833">
              <w:t>u </w:t>
            </w:r>
            <w:r>
              <w:t>osob se základním vzděláním,…</w:t>
            </w:r>
          </w:p>
          <w:p w14:paraId="6C4D2ADE" w14:textId="77777777" w:rsidR="009E674A" w:rsidRDefault="009E674A" w:rsidP="006F668F">
            <w:pPr>
              <w:pStyle w:val="Marginlie"/>
            </w:pPr>
          </w:p>
          <w:p w14:paraId="677279BC" w14:textId="77777777" w:rsidR="009E674A" w:rsidRDefault="009E674A" w:rsidP="006F668F">
            <w:pPr>
              <w:pStyle w:val="Marginlie"/>
            </w:pPr>
          </w:p>
          <w:p w14:paraId="2DB52180" w14:textId="77777777" w:rsidR="009E674A" w:rsidRDefault="009E674A" w:rsidP="006F668F">
            <w:pPr>
              <w:pStyle w:val="Marginlie"/>
            </w:pPr>
          </w:p>
          <w:p w14:paraId="18D2FD2D" w14:textId="77777777" w:rsidR="009E674A" w:rsidRDefault="009E674A" w:rsidP="006F668F">
            <w:pPr>
              <w:pStyle w:val="Marginlie"/>
            </w:pPr>
          </w:p>
          <w:p w14:paraId="71475A5F" w14:textId="55CEAA54" w:rsidR="009E674A" w:rsidRDefault="009E674A" w:rsidP="006F668F">
            <w:pPr>
              <w:pStyle w:val="Marginlie"/>
            </w:pPr>
            <w:r>
              <w:t>…</w:t>
            </w:r>
            <w:r w:rsidR="00333BE7">
              <w:t> </w:t>
            </w:r>
            <w:r>
              <w:t>mezi odvětvími pak hlavně v administrativních a podpůrných činnostech.</w:t>
            </w:r>
          </w:p>
          <w:p w14:paraId="5962E319" w14:textId="77777777" w:rsidR="009E674A" w:rsidRPr="00106639" w:rsidRDefault="009E674A" w:rsidP="006F668F">
            <w:pPr>
              <w:pStyle w:val="Marginlie"/>
            </w:pPr>
          </w:p>
        </w:tc>
        <w:tc>
          <w:tcPr>
            <w:tcW w:w="277" w:type="dxa"/>
          </w:tcPr>
          <w:p w14:paraId="41AF2833" w14:textId="77777777" w:rsidR="009E674A" w:rsidRPr="00356158" w:rsidRDefault="009E674A" w:rsidP="006F668F">
            <w:pPr>
              <w:pStyle w:val="Textpoznpodarou"/>
              <w:jc w:val="both"/>
              <w:rPr>
                <w:rFonts w:eastAsia="Times New Roman"/>
                <w:spacing w:val="-2"/>
                <w:sz w:val="16"/>
                <w:szCs w:val="16"/>
              </w:rPr>
            </w:pPr>
          </w:p>
        </w:tc>
        <w:tc>
          <w:tcPr>
            <w:tcW w:w="7391" w:type="dxa"/>
          </w:tcPr>
          <w:p w14:paraId="77A5F880" w14:textId="14B5AA64" w:rsidR="009E674A" w:rsidRPr="00E043A1" w:rsidRDefault="00BC7833" w:rsidP="006F668F">
            <w:pPr>
              <w:spacing w:after="220"/>
              <w:rPr>
                <w:spacing w:val="-2"/>
                <w:szCs w:val="20"/>
              </w:rPr>
            </w:pPr>
            <w:r w:rsidRPr="00E043A1">
              <w:rPr>
                <w:spacing w:val="-2"/>
                <w:szCs w:val="20"/>
              </w:rPr>
              <w:t>V</w:t>
            </w:r>
            <w:r>
              <w:rPr>
                <w:spacing w:val="-2"/>
                <w:szCs w:val="20"/>
              </w:rPr>
              <w:t> </w:t>
            </w:r>
            <w:r w:rsidR="009E674A" w:rsidRPr="00E043A1">
              <w:rPr>
                <w:spacing w:val="-2"/>
                <w:szCs w:val="20"/>
              </w:rPr>
              <w:t xml:space="preserve">roce 2018 využívalo zkrácených pracovních </w:t>
            </w:r>
            <w:r w:rsidR="009E674A">
              <w:rPr>
                <w:spacing w:val="-2"/>
                <w:szCs w:val="20"/>
              </w:rPr>
              <w:t>úvazků 6</w:t>
            </w:r>
            <w:r w:rsidR="006454CC">
              <w:rPr>
                <w:spacing w:val="-2"/>
                <w:szCs w:val="20"/>
              </w:rPr>
              <w:t> %</w:t>
            </w:r>
            <w:r w:rsidR="009E674A" w:rsidRPr="00E043A1">
              <w:rPr>
                <w:spacing w:val="-2"/>
                <w:szCs w:val="20"/>
              </w:rPr>
              <w:t xml:space="preserve"> </w:t>
            </w:r>
            <w:r w:rsidR="009E674A">
              <w:rPr>
                <w:spacing w:val="-2"/>
                <w:szCs w:val="20"/>
              </w:rPr>
              <w:t>osob se středoškolským vzděláním, 9</w:t>
            </w:r>
            <w:r w:rsidR="006454CC">
              <w:rPr>
                <w:spacing w:val="-2"/>
                <w:szCs w:val="20"/>
              </w:rPr>
              <w:t> %</w:t>
            </w:r>
            <w:r w:rsidR="009E674A">
              <w:rPr>
                <w:spacing w:val="-2"/>
                <w:szCs w:val="20"/>
              </w:rPr>
              <w:t xml:space="preserve"> vysokoškoláků </w:t>
            </w:r>
            <w:r>
              <w:rPr>
                <w:spacing w:val="-2"/>
                <w:szCs w:val="20"/>
              </w:rPr>
              <w:t>a </w:t>
            </w:r>
            <w:r w:rsidR="009E674A">
              <w:rPr>
                <w:spacing w:val="-2"/>
                <w:szCs w:val="20"/>
              </w:rPr>
              <w:t>14</w:t>
            </w:r>
            <w:r w:rsidR="006454CC">
              <w:rPr>
                <w:spacing w:val="-2"/>
                <w:szCs w:val="20"/>
              </w:rPr>
              <w:t> %</w:t>
            </w:r>
            <w:r w:rsidR="009E674A">
              <w:rPr>
                <w:spacing w:val="-2"/>
                <w:szCs w:val="20"/>
              </w:rPr>
              <w:t xml:space="preserve"> osob s maximálně základním vzdělání</w:t>
            </w:r>
            <w:r w:rsidR="005123B5">
              <w:rPr>
                <w:spacing w:val="-2"/>
                <w:szCs w:val="20"/>
              </w:rPr>
              <w:t xml:space="preserve">m. Osoby </w:t>
            </w:r>
            <w:r>
              <w:rPr>
                <w:spacing w:val="-2"/>
                <w:szCs w:val="20"/>
              </w:rPr>
              <w:t>s </w:t>
            </w:r>
            <w:r w:rsidR="005123B5">
              <w:rPr>
                <w:spacing w:val="-2"/>
                <w:szCs w:val="20"/>
              </w:rPr>
              <w:t>nejnižším stupněm</w:t>
            </w:r>
            <w:r w:rsidR="009E674A">
              <w:rPr>
                <w:spacing w:val="-2"/>
                <w:szCs w:val="20"/>
              </w:rPr>
              <w:t xml:space="preserve"> vzdělání převažovaly v tomto ohledu ve všech věkových skupinách (vyjma skupiny 20</w:t>
            </w:r>
            <w:r w:rsidR="00D82A1E">
              <w:rPr>
                <w:spacing w:val="-2"/>
                <w:szCs w:val="20"/>
              </w:rPr>
              <w:t>–</w:t>
            </w:r>
            <w:r w:rsidR="009E674A">
              <w:rPr>
                <w:spacing w:val="-2"/>
                <w:szCs w:val="20"/>
              </w:rPr>
              <w:t>2</w:t>
            </w:r>
            <w:r w:rsidR="00D82A1E">
              <w:rPr>
                <w:spacing w:val="-2"/>
                <w:szCs w:val="20"/>
              </w:rPr>
              <w:t>4 </w:t>
            </w:r>
            <w:r w:rsidR="009E674A">
              <w:rPr>
                <w:spacing w:val="-2"/>
                <w:szCs w:val="20"/>
              </w:rPr>
              <w:t>let). Častější využívání těchto úvazků mezi lidmi se základním vzděláním může souviset s tím, že tout</w:t>
            </w:r>
            <w:r w:rsidR="005123B5">
              <w:rPr>
                <w:spacing w:val="-2"/>
                <w:szCs w:val="20"/>
              </w:rPr>
              <w:t>o formou pracuje nezanedbatelná</w:t>
            </w:r>
            <w:r w:rsidR="009E674A">
              <w:rPr>
                <w:spacing w:val="-2"/>
                <w:szCs w:val="20"/>
              </w:rPr>
              <w:t xml:space="preserve"> část zdravotně postižených. Z pohledu odvětví je širší využití zkrácených úvazků z velké části omezeno jen na služby</w:t>
            </w:r>
            <w:r w:rsidR="009E674A">
              <w:rPr>
                <w:rStyle w:val="Znakapoznpodarou"/>
                <w:rFonts w:cs="Arial"/>
                <w:color w:val="0D0D0D" w:themeColor="text1" w:themeTint="F2"/>
                <w:spacing w:val="-4"/>
              </w:rPr>
              <w:footnoteReference w:id="38"/>
            </w:r>
            <w:r w:rsidR="009E674A">
              <w:rPr>
                <w:spacing w:val="-2"/>
                <w:szCs w:val="20"/>
              </w:rPr>
              <w:t xml:space="preserve">. Nejvíce </w:t>
            </w:r>
            <w:r w:rsidR="00333BE7">
              <w:rPr>
                <w:spacing w:val="-2"/>
                <w:szCs w:val="20"/>
              </w:rPr>
              <w:t xml:space="preserve">byly </w:t>
            </w:r>
            <w:r w:rsidR="009E674A">
              <w:rPr>
                <w:spacing w:val="-2"/>
                <w:szCs w:val="20"/>
              </w:rPr>
              <w:t xml:space="preserve">loni </w:t>
            </w:r>
            <w:r w:rsidR="00333BE7">
              <w:rPr>
                <w:spacing w:val="-2"/>
                <w:szCs w:val="20"/>
              </w:rPr>
              <w:t xml:space="preserve">zkrácené úvazky praktikovány </w:t>
            </w:r>
            <w:r w:rsidR="009E674A">
              <w:rPr>
                <w:spacing w:val="-2"/>
                <w:szCs w:val="20"/>
              </w:rPr>
              <w:t xml:space="preserve">v kulturních, zábavních </w:t>
            </w:r>
            <w:r w:rsidR="00333BE7">
              <w:rPr>
                <w:spacing w:val="-2"/>
                <w:szCs w:val="20"/>
              </w:rPr>
              <w:t>a</w:t>
            </w:r>
            <w:r>
              <w:rPr>
                <w:spacing w:val="-2"/>
                <w:szCs w:val="20"/>
              </w:rPr>
              <w:t> </w:t>
            </w:r>
            <w:r w:rsidR="009E674A">
              <w:rPr>
                <w:spacing w:val="-2"/>
                <w:szCs w:val="20"/>
              </w:rPr>
              <w:t xml:space="preserve">rekreačních činnostech </w:t>
            </w:r>
            <w:r>
              <w:rPr>
                <w:spacing w:val="-2"/>
                <w:szCs w:val="20"/>
              </w:rPr>
              <w:t>a </w:t>
            </w:r>
            <w:r w:rsidR="009E674A">
              <w:rPr>
                <w:spacing w:val="-2"/>
                <w:szCs w:val="20"/>
              </w:rPr>
              <w:t xml:space="preserve">též v administrativních </w:t>
            </w:r>
            <w:r w:rsidR="00333BE7">
              <w:rPr>
                <w:spacing w:val="-2"/>
                <w:szCs w:val="20"/>
              </w:rPr>
              <w:t>a</w:t>
            </w:r>
            <w:r>
              <w:rPr>
                <w:spacing w:val="-2"/>
                <w:szCs w:val="20"/>
              </w:rPr>
              <w:t> </w:t>
            </w:r>
            <w:r w:rsidR="009E674A">
              <w:rPr>
                <w:spacing w:val="-2"/>
                <w:szCs w:val="20"/>
              </w:rPr>
              <w:t xml:space="preserve">podpůrných činnostech </w:t>
            </w:r>
            <w:r w:rsidR="005123B5">
              <w:rPr>
                <w:spacing w:val="-2"/>
                <w:szCs w:val="20"/>
              </w:rPr>
              <w:t>(v obou případech takto působilo</w:t>
            </w:r>
            <w:r w:rsidR="009E674A">
              <w:rPr>
                <w:spacing w:val="-2"/>
                <w:szCs w:val="20"/>
              </w:rPr>
              <w:t xml:space="preserve"> 17</w:t>
            </w:r>
            <w:r w:rsidR="006454CC">
              <w:rPr>
                <w:spacing w:val="-2"/>
                <w:szCs w:val="20"/>
              </w:rPr>
              <w:t> %</w:t>
            </w:r>
            <w:r w:rsidR="009E674A">
              <w:rPr>
                <w:spacing w:val="-2"/>
                <w:szCs w:val="20"/>
              </w:rPr>
              <w:t xml:space="preserve"> pracovníků). Alespoň osmina osob takto pracovala také v ubytování, stravování </w:t>
            </w:r>
            <w:r>
              <w:rPr>
                <w:spacing w:val="-2"/>
                <w:szCs w:val="20"/>
              </w:rPr>
              <w:t>a </w:t>
            </w:r>
            <w:r w:rsidR="009E674A">
              <w:rPr>
                <w:spacing w:val="-2"/>
                <w:szCs w:val="20"/>
              </w:rPr>
              <w:t xml:space="preserve">pohostinství, v profesních, vědeckých a technických činnostech </w:t>
            </w:r>
            <w:r>
              <w:rPr>
                <w:spacing w:val="-2"/>
                <w:szCs w:val="20"/>
              </w:rPr>
              <w:t>a </w:t>
            </w:r>
            <w:r w:rsidR="009E674A">
              <w:rPr>
                <w:spacing w:val="-2"/>
                <w:szCs w:val="20"/>
              </w:rPr>
              <w:t>ve většině odvětví veřejných služeb</w:t>
            </w:r>
            <w:r w:rsidR="009E674A">
              <w:rPr>
                <w:rStyle w:val="Znakapoznpodarou"/>
                <w:rFonts w:cs="Arial"/>
                <w:color w:val="0D0D0D" w:themeColor="text1" w:themeTint="F2"/>
                <w:spacing w:val="-4"/>
              </w:rPr>
              <w:footnoteReference w:id="39"/>
            </w:r>
            <w:r w:rsidR="009E674A">
              <w:rPr>
                <w:spacing w:val="-2"/>
                <w:szCs w:val="20"/>
              </w:rPr>
              <w:t>.</w:t>
            </w:r>
          </w:p>
        </w:tc>
      </w:tr>
      <w:tr w:rsidR="009E674A" w:rsidRPr="00711FC2" w14:paraId="022BDB77" w14:textId="77777777" w:rsidTr="006F668F">
        <w:trPr>
          <w:trHeight w:val="429"/>
        </w:trPr>
        <w:tc>
          <w:tcPr>
            <w:tcW w:w="1976" w:type="dxa"/>
          </w:tcPr>
          <w:p w14:paraId="3F226CFB" w14:textId="6976E48E" w:rsidR="009E674A" w:rsidRDefault="009E674A" w:rsidP="006F668F">
            <w:pPr>
              <w:pStyle w:val="Marginlie"/>
            </w:pPr>
            <w:r>
              <w:t xml:space="preserve">Možnosti práce z domova využívala loni desetina pracovníků. Jednalo se hlavně </w:t>
            </w:r>
            <w:r w:rsidR="00BC7833">
              <w:t>o </w:t>
            </w:r>
            <w:r>
              <w:t>lidi nad 6</w:t>
            </w:r>
            <w:r w:rsidR="00D82A1E">
              <w:t>0 </w:t>
            </w:r>
            <w:r>
              <w:t xml:space="preserve">let </w:t>
            </w:r>
            <w:r w:rsidR="00BC7833">
              <w:t>a </w:t>
            </w:r>
            <w:r>
              <w:t xml:space="preserve">především </w:t>
            </w:r>
            <w:r w:rsidR="00BC7833">
              <w:t>o </w:t>
            </w:r>
            <w:r>
              <w:t>podnikatele.</w:t>
            </w:r>
          </w:p>
          <w:p w14:paraId="26BBB5CC" w14:textId="77777777" w:rsidR="009E674A" w:rsidRDefault="009E674A" w:rsidP="006F668F">
            <w:pPr>
              <w:pStyle w:val="Marginlie"/>
            </w:pPr>
          </w:p>
          <w:p w14:paraId="0A3A1A12" w14:textId="77777777" w:rsidR="009E674A" w:rsidRDefault="009E674A" w:rsidP="006F668F">
            <w:pPr>
              <w:pStyle w:val="Marginlie"/>
            </w:pPr>
          </w:p>
          <w:p w14:paraId="7206D889" w14:textId="77777777" w:rsidR="009E674A" w:rsidRDefault="009E674A" w:rsidP="006F668F">
            <w:pPr>
              <w:pStyle w:val="Marginlie"/>
            </w:pPr>
          </w:p>
          <w:p w14:paraId="0BAE0239" w14:textId="77777777" w:rsidR="009E674A" w:rsidRDefault="009E674A" w:rsidP="006F668F">
            <w:pPr>
              <w:pStyle w:val="Marginlie"/>
            </w:pPr>
          </w:p>
          <w:p w14:paraId="2D980153" w14:textId="77777777" w:rsidR="009E674A" w:rsidRDefault="009E674A" w:rsidP="006F668F">
            <w:pPr>
              <w:pStyle w:val="Marginlie"/>
            </w:pPr>
          </w:p>
          <w:p w14:paraId="3B77A4F8" w14:textId="77777777" w:rsidR="009E674A" w:rsidRDefault="009E674A" w:rsidP="006F668F">
            <w:pPr>
              <w:pStyle w:val="Marginlie"/>
            </w:pPr>
          </w:p>
          <w:p w14:paraId="7800936F" w14:textId="77777777" w:rsidR="009E674A" w:rsidRDefault="009E674A" w:rsidP="006F668F">
            <w:pPr>
              <w:pStyle w:val="Marginlie"/>
            </w:pPr>
            <w:r>
              <w:t>Mezi zaměstnanci takto pracoval pouze každý pětadvacátý. K mírnému růstu došlo až po roce 2015.</w:t>
            </w:r>
          </w:p>
          <w:p w14:paraId="49250541" w14:textId="77777777" w:rsidR="009E674A" w:rsidRPr="00106639" w:rsidRDefault="009E674A" w:rsidP="006F668F">
            <w:pPr>
              <w:pStyle w:val="Marginlie"/>
            </w:pPr>
          </w:p>
        </w:tc>
        <w:tc>
          <w:tcPr>
            <w:tcW w:w="277" w:type="dxa"/>
          </w:tcPr>
          <w:p w14:paraId="2C47793D" w14:textId="77777777" w:rsidR="009E674A" w:rsidRPr="00356158" w:rsidRDefault="009E674A" w:rsidP="006F668F">
            <w:pPr>
              <w:pStyle w:val="Textpoznpodarou"/>
              <w:jc w:val="both"/>
              <w:rPr>
                <w:rFonts w:eastAsia="Times New Roman"/>
                <w:spacing w:val="-2"/>
                <w:sz w:val="16"/>
                <w:szCs w:val="16"/>
              </w:rPr>
            </w:pPr>
          </w:p>
        </w:tc>
        <w:tc>
          <w:tcPr>
            <w:tcW w:w="7391" w:type="dxa"/>
          </w:tcPr>
          <w:p w14:paraId="4D02DED8" w14:textId="58F7DD0F" w:rsidR="009E674A" w:rsidRPr="00955EC6" w:rsidRDefault="009E674A" w:rsidP="006F668F">
            <w:pPr>
              <w:spacing w:after="220"/>
              <w:rPr>
                <w:spacing w:val="-2"/>
                <w:szCs w:val="20"/>
              </w:rPr>
            </w:pPr>
            <w:r w:rsidRPr="00955EC6">
              <w:rPr>
                <w:spacing w:val="-2"/>
                <w:szCs w:val="20"/>
              </w:rPr>
              <w:t xml:space="preserve">Možnosti práce z domova </w:t>
            </w:r>
            <w:r>
              <w:rPr>
                <w:spacing w:val="-2"/>
                <w:szCs w:val="20"/>
              </w:rPr>
              <w:t>využívala v roce 2018 necelá desetina všech pracovníků (5,5</w:t>
            </w:r>
            <w:r w:rsidR="006454CC">
              <w:rPr>
                <w:spacing w:val="-2"/>
                <w:szCs w:val="20"/>
              </w:rPr>
              <w:t> %</w:t>
            </w:r>
            <w:r>
              <w:rPr>
                <w:spacing w:val="-2"/>
                <w:szCs w:val="20"/>
              </w:rPr>
              <w:t xml:space="preserve"> občas, 4,2</w:t>
            </w:r>
            <w:r w:rsidR="006454CC">
              <w:rPr>
                <w:spacing w:val="-2"/>
                <w:szCs w:val="20"/>
              </w:rPr>
              <w:t> %</w:t>
            </w:r>
            <w:r>
              <w:rPr>
                <w:spacing w:val="-2"/>
                <w:szCs w:val="20"/>
              </w:rPr>
              <w:t xml:space="preserve"> obvykle). Za posledních deset let se jejich podíl zvýšil o necelou polovinu</w:t>
            </w:r>
            <w:r>
              <w:rPr>
                <w:rStyle w:val="Znakapoznpodarou"/>
                <w:rFonts w:cs="Arial"/>
                <w:color w:val="0D0D0D" w:themeColor="text1" w:themeTint="F2"/>
                <w:spacing w:val="-4"/>
              </w:rPr>
              <w:footnoteReference w:id="40"/>
            </w:r>
            <w:r>
              <w:rPr>
                <w:spacing w:val="-2"/>
                <w:szCs w:val="20"/>
              </w:rPr>
              <w:t>. Četnost této formy práce se dle pohlaví významně neliší, roste však s dosaženým věkem. Zatímco mezi pracovníky do 2</w:t>
            </w:r>
            <w:r w:rsidR="00D82A1E">
              <w:rPr>
                <w:spacing w:val="-2"/>
                <w:szCs w:val="20"/>
              </w:rPr>
              <w:t>5 </w:t>
            </w:r>
            <w:r>
              <w:rPr>
                <w:spacing w:val="-2"/>
                <w:szCs w:val="20"/>
              </w:rPr>
              <w:t xml:space="preserve">let šlo </w:t>
            </w:r>
            <w:r w:rsidR="00BC7833">
              <w:rPr>
                <w:spacing w:val="-2"/>
                <w:szCs w:val="20"/>
              </w:rPr>
              <w:t>o </w:t>
            </w:r>
            <w:r>
              <w:rPr>
                <w:spacing w:val="-2"/>
                <w:szCs w:val="20"/>
              </w:rPr>
              <w:t>necelá 3</w:t>
            </w:r>
            <w:r w:rsidR="006454CC">
              <w:rPr>
                <w:spacing w:val="-2"/>
                <w:szCs w:val="20"/>
              </w:rPr>
              <w:t> %</w:t>
            </w:r>
            <w:r>
              <w:rPr>
                <w:spacing w:val="-2"/>
                <w:szCs w:val="20"/>
              </w:rPr>
              <w:t xml:space="preserve">, u třicátníků již </w:t>
            </w:r>
            <w:r w:rsidR="00BC7833">
              <w:rPr>
                <w:spacing w:val="-2"/>
                <w:szCs w:val="20"/>
              </w:rPr>
              <w:t>o </w:t>
            </w:r>
            <w:r>
              <w:rPr>
                <w:spacing w:val="-2"/>
                <w:szCs w:val="20"/>
              </w:rPr>
              <w:t xml:space="preserve">desetinu. K dalšímu růstu dochází až </w:t>
            </w:r>
            <w:r w:rsidR="00BC7833">
              <w:rPr>
                <w:spacing w:val="-2"/>
                <w:szCs w:val="20"/>
              </w:rPr>
              <w:t>u </w:t>
            </w:r>
            <w:r>
              <w:rPr>
                <w:spacing w:val="-2"/>
                <w:szCs w:val="20"/>
              </w:rPr>
              <w:t>osob na konci produktivního věku. Mezi 60</w:t>
            </w:r>
            <w:r>
              <w:rPr>
                <w:spacing w:val="-2"/>
              </w:rPr>
              <w:t>–</w:t>
            </w:r>
            <w:r>
              <w:rPr>
                <w:spacing w:val="-2"/>
                <w:szCs w:val="20"/>
              </w:rPr>
              <w:t xml:space="preserve">64letými jde </w:t>
            </w:r>
            <w:r w:rsidR="00BC7833">
              <w:rPr>
                <w:spacing w:val="-2"/>
                <w:szCs w:val="20"/>
              </w:rPr>
              <w:t>o </w:t>
            </w:r>
            <w:r>
              <w:rPr>
                <w:spacing w:val="-2"/>
                <w:szCs w:val="20"/>
              </w:rPr>
              <w:t xml:space="preserve">osminu </w:t>
            </w:r>
            <w:r w:rsidR="00BC7833">
              <w:rPr>
                <w:spacing w:val="-2"/>
                <w:szCs w:val="20"/>
              </w:rPr>
              <w:t>a u </w:t>
            </w:r>
            <w:r>
              <w:rPr>
                <w:spacing w:val="-2"/>
                <w:szCs w:val="20"/>
              </w:rPr>
              <w:t>osob nad 6</w:t>
            </w:r>
            <w:r w:rsidR="00D82A1E">
              <w:rPr>
                <w:spacing w:val="-2"/>
                <w:szCs w:val="20"/>
              </w:rPr>
              <w:t>4 </w:t>
            </w:r>
            <w:r>
              <w:rPr>
                <w:spacing w:val="-2"/>
                <w:szCs w:val="20"/>
              </w:rPr>
              <w:t xml:space="preserve">let skoro </w:t>
            </w:r>
            <w:r w:rsidR="00BC7833">
              <w:rPr>
                <w:spacing w:val="-2"/>
                <w:szCs w:val="20"/>
              </w:rPr>
              <w:t>o </w:t>
            </w:r>
            <w:r>
              <w:rPr>
                <w:spacing w:val="-2"/>
                <w:szCs w:val="20"/>
              </w:rPr>
              <w:t>čtvrtinu (</w:t>
            </w:r>
            <w:r w:rsidR="00BC7833">
              <w:rPr>
                <w:spacing w:val="-2"/>
                <w:szCs w:val="20"/>
              </w:rPr>
              <w:t>s </w:t>
            </w:r>
            <w:r>
              <w:rPr>
                <w:spacing w:val="-2"/>
                <w:szCs w:val="20"/>
              </w:rPr>
              <w:t xml:space="preserve">vyšším podílem mezi muži). Možnosti práce </w:t>
            </w:r>
            <w:r w:rsidR="00333BE7">
              <w:rPr>
                <w:spacing w:val="-2"/>
                <w:szCs w:val="20"/>
              </w:rPr>
              <w:t>z</w:t>
            </w:r>
            <w:r>
              <w:rPr>
                <w:spacing w:val="-2"/>
                <w:szCs w:val="20"/>
              </w:rPr>
              <w:t xml:space="preserve"> domova </w:t>
            </w:r>
            <w:r w:rsidRPr="00955EC6">
              <w:rPr>
                <w:spacing w:val="-2"/>
                <w:szCs w:val="20"/>
              </w:rPr>
              <w:t>závis</w:t>
            </w:r>
            <w:r w:rsidR="00333BE7">
              <w:rPr>
                <w:spacing w:val="-2"/>
                <w:szCs w:val="20"/>
              </w:rPr>
              <w:t>ej</w:t>
            </w:r>
            <w:r w:rsidRPr="00955EC6">
              <w:rPr>
                <w:spacing w:val="-2"/>
                <w:szCs w:val="20"/>
              </w:rPr>
              <w:t>í především na postavení v zaměstnání.</w:t>
            </w:r>
            <w:r>
              <w:rPr>
                <w:spacing w:val="-2"/>
                <w:szCs w:val="20"/>
              </w:rPr>
              <w:t xml:space="preserve"> Jestliže mezi zamě</w:t>
            </w:r>
            <w:r w:rsidR="005123B5">
              <w:rPr>
                <w:spacing w:val="-2"/>
                <w:szCs w:val="20"/>
              </w:rPr>
              <w:t xml:space="preserve">stnanci </w:t>
            </w:r>
            <w:r w:rsidR="00333BE7">
              <w:rPr>
                <w:spacing w:val="-2"/>
                <w:szCs w:val="20"/>
              </w:rPr>
              <w:t xml:space="preserve">jich </w:t>
            </w:r>
            <w:r w:rsidR="005123B5">
              <w:rPr>
                <w:spacing w:val="-2"/>
                <w:szCs w:val="20"/>
              </w:rPr>
              <w:t>takto pracoval</w:t>
            </w:r>
            <w:r w:rsidR="00333BE7">
              <w:rPr>
                <w:spacing w:val="-2"/>
                <w:szCs w:val="20"/>
              </w:rPr>
              <w:t>o</w:t>
            </w:r>
            <w:r w:rsidR="005123B5">
              <w:rPr>
                <w:spacing w:val="-2"/>
                <w:szCs w:val="20"/>
              </w:rPr>
              <w:t xml:space="preserve"> jen 4</w:t>
            </w:r>
            <w:r w:rsidR="006454CC">
              <w:rPr>
                <w:spacing w:val="-2"/>
                <w:szCs w:val="20"/>
              </w:rPr>
              <w:t> %</w:t>
            </w:r>
            <w:r w:rsidR="005123B5">
              <w:rPr>
                <w:spacing w:val="-2"/>
                <w:szCs w:val="20"/>
              </w:rPr>
              <w:t xml:space="preserve"> (bez rozdílů mezi muži </w:t>
            </w:r>
            <w:r w:rsidR="00BC7833">
              <w:rPr>
                <w:spacing w:val="-2"/>
                <w:szCs w:val="20"/>
              </w:rPr>
              <w:t>a </w:t>
            </w:r>
            <w:r w:rsidR="005123B5">
              <w:rPr>
                <w:spacing w:val="-2"/>
                <w:szCs w:val="20"/>
              </w:rPr>
              <w:t>ženami</w:t>
            </w:r>
            <w:r>
              <w:rPr>
                <w:spacing w:val="-2"/>
                <w:szCs w:val="20"/>
              </w:rPr>
              <w:t>), u</w:t>
            </w:r>
            <w:r w:rsidRPr="00955EC6">
              <w:rPr>
                <w:spacing w:val="-2"/>
                <w:szCs w:val="20"/>
              </w:rPr>
              <w:t> </w:t>
            </w:r>
            <w:r>
              <w:rPr>
                <w:spacing w:val="-2"/>
                <w:szCs w:val="20"/>
              </w:rPr>
              <w:t>zaměstnavatelů (podnikatelů se zaměstnanci) 30</w:t>
            </w:r>
            <w:r w:rsidR="006454CC">
              <w:rPr>
                <w:spacing w:val="-2"/>
                <w:szCs w:val="20"/>
              </w:rPr>
              <w:t> %</w:t>
            </w:r>
            <w:r w:rsidR="00333BE7">
              <w:rPr>
                <w:spacing w:val="-2"/>
                <w:szCs w:val="20"/>
              </w:rPr>
              <w:t>,</w:t>
            </w:r>
            <w:r>
              <w:rPr>
                <w:spacing w:val="-2"/>
                <w:szCs w:val="20"/>
              </w:rPr>
              <w:t xml:space="preserve"> </w:t>
            </w:r>
            <w:r w:rsidR="00BC7833">
              <w:rPr>
                <w:spacing w:val="-2"/>
                <w:szCs w:val="20"/>
              </w:rPr>
              <w:t>a v </w:t>
            </w:r>
            <w:r>
              <w:rPr>
                <w:spacing w:val="-2"/>
                <w:szCs w:val="20"/>
              </w:rPr>
              <w:t>případě sebezaměstnaných či pomáhajících rodinných příslušníků dokonce 37</w:t>
            </w:r>
            <w:r w:rsidR="006454CC">
              <w:rPr>
                <w:spacing w:val="-2"/>
                <w:szCs w:val="20"/>
              </w:rPr>
              <w:t> %</w:t>
            </w:r>
            <w:r>
              <w:rPr>
                <w:spacing w:val="-2"/>
                <w:szCs w:val="20"/>
              </w:rPr>
              <w:t xml:space="preserve"> (</w:t>
            </w:r>
            <w:r w:rsidR="00BC7833">
              <w:rPr>
                <w:spacing w:val="-2"/>
                <w:szCs w:val="20"/>
              </w:rPr>
              <w:t>s </w:t>
            </w:r>
            <w:r>
              <w:rPr>
                <w:spacing w:val="-2"/>
                <w:szCs w:val="20"/>
              </w:rPr>
              <w:t xml:space="preserve">vyšším podílem mezi ženami). Zatímco </w:t>
            </w:r>
            <w:r w:rsidR="00BC7833">
              <w:rPr>
                <w:spacing w:val="-2"/>
                <w:szCs w:val="20"/>
              </w:rPr>
              <w:t>u </w:t>
            </w:r>
            <w:r>
              <w:rPr>
                <w:spacing w:val="-2"/>
                <w:szCs w:val="20"/>
              </w:rPr>
              <w:t xml:space="preserve">zaměstnanců došlo </w:t>
            </w:r>
            <w:r w:rsidR="00BC7833">
              <w:rPr>
                <w:spacing w:val="-2"/>
                <w:szCs w:val="20"/>
              </w:rPr>
              <w:t>k </w:t>
            </w:r>
            <w:r>
              <w:rPr>
                <w:spacing w:val="-2"/>
                <w:szCs w:val="20"/>
              </w:rPr>
              <w:t xml:space="preserve">mírnému růstu těchto forem práce až po roce 2015, </w:t>
            </w:r>
            <w:r w:rsidR="00BC7833">
              <w:rPr>
                <w:spacing w:val="-2"/>
                <w:szCs w:val="20"/>
              </w:rPr>
              <w:t>u </w:t>
            </w:r>
            <w:r>
              <w:rPr>
                <w:spacing w:val="-2"/>
                <w:szCs w:val="20"/>
              </w:rPr>
              <w:t xml:space="preserve">obou skupin podnikatelů byl růst za poslední dekádu mnohem plynulejší </w:t>
            </w:r>
            <w:r w:rsidR="00BC7833">
              <w:rPr>
                <w:spacing w:val="-2"/>
                <w:szCs w:val="20"/>
              </w:rPr>
              <w:t>a </w:t>
            </w:r>
            <w:r>
              <w:rPr>
                <w:spacing w:val="-2"/>
                <w:szCs w:val="20"/>
              </w:rPr>
              <w:t>intenzivnější (</w:t>
            </w:r>
            <w:r w:rsidR="00BC7833">
              <w:rPr>
                <w:spacing w:val="-2"/>
                <w:szCs w:val="20"/>
              </w:rPr>
              <w:t>v </w:t>
            </w:r>
            <w:r>
              <w:rPr>
                <w:spacing w:val="-2"/>
                <w:szCs w:val="20"/>
              </w:rPr>
              <w:t xml:space="preserve">úhrnu </w:t>
            </w:r>
            <w:r w:rsidR="00BC7833">
              <w:rPr>
                <w:spacing w:val="-2"/>
                <w:szCs w:val="20"/>
              </w:rPr>
              <w:t>o </w:t>
            </w:r>
            <w:r>
              <w:rPr>
                <w:spacing w:val="-2"/>
                <w:szCs w:val="20"/>
              </w:rPr>
              <w:t xml:space="preserve">bezmála deset procentních bodů). Lepší možnosti skloubení pracovního </w:t>
            </w:r>
            <w:r w:rsidR="00BC7833">
              <w:rPr>
                <w:spacing w:val="-2"/>
                <w:szCs w:val="20"/>
              </w:rPr>
              <w:t>a </w:t>
            </w:r>
            <w:r>
              <w:rPr>
                <w:spacing w:val="-2"/>
                <w:szCs w:val="20"/>
              </w:rPr>
              <w:t xml:space="preserve">rodinného života </w:t>
            </w:r>
            <w:r w:rsidR="00BC7833">
              <w:rPr>
                <w:spacing w:val="-2"/>
                <w:szCs w:val="20"/>
              </w:rPr>
              <w:t>u </w:t>
            </w:r>
            <w:r>
              <w:rPr>
                <w:spacing w:val="-2"/>
                <w:szCs w:val="20"/>
              </w:rPr>
              <w:t>některých forem drobného podnikání mohou být jedním z faktorů vysvětlující</w:t>
            </w:r>
            <w:r w:rsidR="00333BE7">
              <w:rPr>
                <w:spacing w:val="-2"/>
                <w:szCs w:val="20"/>
              </w:rPr>
              <w:t>ch</w:t>
            </w:r>
            <w:r>
              <w:rPr>
                <w:spacing w:val="-2"/>
                <w:szCs w:val="20"/>
              </w:rPr>
              <w:t xml:space="preserve"> nárůst počtu </w:t>
            </w:r>
            <w:r w:rsidR="00BC7833">
              <w:rPr>
                <w:spacing w:val="-2"/>
                <w:szCs w:val="20"/>
              </w:rPr>
              <w:t>i </w:t>
            </w:r>
            <w:r>
              <w:rPr>
                <w:spacing w:val="-2"/>
                <w:szCs w:val="20"/>
              </w:rPr>
              <w:t>podílu sebezaměstnaných žen</w:t>
            </w:r>
            <w:r>
              <w:rPr>
                <w:rStyle w:val="Znakapoznpodarou"/>
                <w:rFonts w:cs="Arial"/>
                <w:color w:val="0D0D0D" w:themeColor="text1" w:themeTint="F2"/>
                <w:spacing w:val="-4"/>
              </w:rPr>
              <w:footnoteReference w:id="41"/>
            </w:r>
            <w:r>
              <w:rPr>
                <w:spacing w:val="-2"/>
                <w:szCs w:val="20"/>
              </w:rPr>
              <w:t>.</w:t>
            </w:r>
          </w:p>
        </w:tc>
      </w:tr>
      <w:tr w:rsidR="009E674A" w:rsidRPr="00711FC2" w14:paraId="6D89168B" w14:textId="77777777" w:rsidTr="006F668F">
        <w:trPr>
          <w:trHeight w:val="429"/>
        </w:trPr>
        <w:tc>
          <w:tcPr>
            <w:tcW w:w="1976" w:type="dxa"/>
          </w:tcPr>
          <w:p w14:paraId="678F1349" w14:textId="77777777" w:rsidR="009E674A" w:rsidRPr="00106639" w:rsidRDefault="009E674A" w:rsidP="006F668F">
            <w:pPr>
              <w:pStyle w:val="Marginlie"/>
            </w:pPr>
            <w:r>
              <w:t xml:space="preserve">Podíl nedobrovolně pracujících na dobu určitou klesl mezi roky 2015 </w:t>
            </w:r>
            <w:r w:rsidR="00BC7833">
              <w:t>a </w:t>
            </w:r>
            <w:r>
              <w:t xml:space="preserve">2018 </w:t>
            </w:r>
            <w:r w:rsidR="00BC7833">
              <w:t>o </w:t>
            </w:r>
            <w:r>
              <w:t>dvě pětiny. Snížil se také podíl nedobrovolně zaměstnaných na zkrácené úvazky.</w:t>
            </w:r>
          </w:p>
        </w:tc>
        <w:tc>
          <w:tcPr>
            <w:tcW w:w="277" w:type="dxa"/>
          </w:tcPr>
          <w:p w14:paraId="76E3B40E" w14:textId="77777777" w:rsidR="009E674A" w:rsidRPr="00356158" w:rsidRDefault="009E674A" w:rsidP="006F668F">
            <w:pPr>
              <w:pStyle w:val="Textpoznpodarou"/>
              <w:jc w:val="both"/>
              <w:rPr>
                <w:rFonts w:eastAsia="Times New Roman"/>
                <w:spacing w:val="-2"/>
                <w:sz w:val="16"/>
                <w:szCs w:val="16"/>
              </w:rPr>
            </w:pPr>
          </w:p>
        </w:tc>
        <w:tc>
          <w:tcPr>
            <w:tcW w:w="7391" w:type="dxa"/>
          </w:tcPr>
          <w:p w14:paraId="187F7A72" w14:textId="49CE412F" w:rsidR="009E674A" w:rsidRPr="00955EC6" w:rsidRDefault="009E674A" w:rsidP="006F668F">
            <w:pPr>
              <w:spacing w:after="220"/>
              <w:rPr>
                <w:spacing w:val="-2"/>
                <w:szCs w:val="20"/>
              </w:rPr>
            </w:pPr>
            <w:r>
              <w:rPr>
                <w:spacing w:val="-2"/>
                <w:szCs w:val="20"/>
              </w:rPr>
              <w:t>Nedostatečně saturov</w:t>
            </w:r>
            <w:r w:rsidR="00333BE7">
              <w:rPr>
                <w:spacing w:val="-2"/>
                <w:szCs w:val="20"/>
              </w:rPr>
              <w:t>aná</w:t>
            </w:r>
            <w:r>
              <w:rPr>
                <w:spacing w:val="-2"/>
                <w:szCs w:val="20"/>
              </w:rPr>
              <w:t xml:space="preserve"> poptávka po pracovnících se v posledních letech odrazila v dalších kvalitativních charakteristikách zaměstnanosti. Nejviditelnější</w:t>
            </w:r>
            <w:r w:rsidR="005123B5">
              <w:rPr>
                <w:spacing w:val="-2"/>
                <w:szCs w:val="20"/>
              </w:rPr>
              <w:t>m</w:t>
            </w:r>
            <w:r>
              <w:rPr>
                <w:spacing w:val="-2"/>
                <w:szCs w:val="20"/>
              </w:rPr>
              <w:t xml:space="preserve"> rysem bylo snížení zastoupení prekérních forem pracovních úvazků. Mezi roky 2015 </w:t>
            </w:r>
            <w:r w:rsidR="00BC7833">
              <w:rPr>
                <w:spacing w:val="-2"/>
                <w:szCs w:val="20"/>
              </w:rPr>
              <w:t>a </w:t>
            </w:r>
            <w:r>
              <w:rPr>
                <w:spacing w:val="-2"/>
                <w:szCs w:val="20"/>
              </w:rPr>
              <w:t xml:space="preserve">2018 klesl podíl zaměstnanců pracujících na dobu určitou </w:t>
            </w:r>
            <w:r w:rsidR="00BC7833">
              <w:rPr>
                <w:spacing w:val="-2"/>
                <w:szCs w:val="20"/>
              </w:rPr>
              <w:t>z </w:t>
            </w:r>
            <w:r>
              <w:rPr>
                <w:spacing w:val="-2"/>
                <w:szCs w:val="20"/>
              </w:rPr>
              <w:t>rekordních 10,4</w:t>
            </w:r>
            <w:r w:rsidR="006454CC">
              <w:rPr>
                <w:spacing w:val="-2"/>
                <w:szCs w:val="20"/>
              </w:rPr>
              <w:t> %</w:t>
            </w:r>
            <w:r>
              <w:rPr>
                <w:rStyle w:val="Znakapoznpodarou"/>
                <w:rFonts w:cs="Arial"/>
                <w:color w:val="0D0D0D" w:themeColor="text1" w:themeTint="F2"/>
                <w:spacing w:val="-4"/>
              </w:rPr>
              <w:footnoteReference w:id="42"/>
            </w:r>
            <w:r>
              <w:rPr>
                <w:spacing w:val="-2"/>
                <w:szCs w:val="20"/>
              </w:rPr>
              <w:t xml:space="preserve"> na 8,9 %. Efekt hospodářského cyklu je ještě více patrný, pokud započítáme pouze osoby, které pracují na dobu určitou z důvodu nemožnosti nalézt trvalou práci</w:t>
            </w:r>
            <w:r>
              <w:rPr>
                <w:rStyle w:val="Znakapoznpodarou"/>
                <w:rFonts w:cs="Arial"/>
                <w:color w:val="0D0D0D" w:themeColor="text1" w:themeTint="F2"/>
                <w:spacing w:val="-4"/>
              </w:rPr>
              <w:footnoteReference w:id="43"/>
            </w:r>
            <w:r>
              <w:rPr>
                <w:spacing w:val="-2"/>
                <w:szCs w:val="20"/>
              </w:rPr>
              <w:t>. Tyto osoby tvořily loni 5,1</w:t>
            </w:r>
            <w:r w:rsidR="006454CC">
              <w:rPr>
                <w:spacing w:val="-2"/>
                <w:szCs w:val="20"/>
              </w:rPr>
              <w:t> %</w:t>
            </w:r>
            <w:r>
              <w:rPr>
                <w:spacing w:val="-2"/>
                <w:szCs w:val="20"/>
              </w:rPr>
              <w:t xml:space="preserve"> zaměstnanců, před třemi lety ale 8,4</w:t>
            </w:r>
            <w:r w:rsidR="006454CC">
              <w:rPr>
                <w:spacing w:val="-2"/>
                <w:szCs w:val="20"/>
              </w:rPr>
              <w:t> %</w:t>
            </w:r>
            <w:r>
              <w:rPr>
                <w:spacing w:val="-2"/>
                <w:szCs w:val="20"/>
              </w:rPr>
              <w:t xml:space="preserve">. Loňský podíl odpovídá běžné úrovni za konjunktury minulé dekády. Obdobný vývoj byl patrný také </w:t>
            </w:r>
            <w:r w:rsidR="00BC7833">
              <w:rPr>
                <w:spacing w:val="-2"/>
                <w:szCs w:val="20"/>
              </w:rPr>
              <w:t>u </w:t>
            </w:r>
            <w:r>
              <w:rPr>
                <w:spacing w:val="-2"/>
                <w:szCs w:val="20"/>
              </w:rPr>
              <w:t>podskupiny tvořené agenturními pracovníky s term</w:t>
            </w:r>
            <w:r w:rsidR="00327B04">
              <w:rPr>
                <w:spacing w:val="-2"/>
                <w:szCs w:val="20"/>
              </w:rPr>
              <w:t>í</w:t>
            </w:r>
            <w:r>
              <w:rPr>
                <w:spacing w:val="-2"/>
                <w:szCs w:val="20"/>
              </w:rPr>
              <w:t>novanými pracovními smlouvami. Klesl také</w:t>
            </w:r>
            <w:r w:rsidR="006454CC">
              <w:rPr>
                <w:spacing w:val="-2"/>
                <w:szCs w:val="20"/>
              </w:rPr>
              <w:t xml:space="preserve"> </w:t>
            </w:r>
            <w:r>
              <w:rPr>
                <w:spacing w:val="-2"/>
                <w:szCs w:val="20"/>
              </w:rPr>
              <w:t>podíl nedobrovolně zaměstnaných na zkrácené úvazky</w:t>
            </w:r>
            <w:r w:rsidR="0037734D">
              <w:rPr>
                <w:spacing w:val="-2"/>
                <w:szCs w:val="20"/>
              </w:rPr>
              <w:t xml:space="preserve"> – </w:t>
            </w:r>
            <w:r>
              <w:rPr>
                <w:spacing w:val="-2"/>
                <w:szCs w:val="20"/>
              </w:rPr>
              <w:t>ze 17,5</w:t>
            </w:r>
            <w:r w:rsidR="006454CC">
              <w:rPr>
                <w:spacing w:val="-2"/>
                <w:szCs w:val="20"/>
              </w:rPr>
              <w:t> %</w:t>
            </w:r>
            <w:r>
              <w:rPr>
                <w:spacing w:val="-2"/>
                <w:szCs w:val="20"/>
              </w:rPr>
              <w:t xml:space="preserve"> v roce 2014 na 5,4</w:t>
            </w:r>
            <w:r w:rsidR="006454CC">
              <w:rPr>
                <w:spacing w:val="-2"/>
                <w:szCs w:val="20"/>
              </w:rPr>
              <w:t> %</w:t>
            </w:r>
            <w:r>
              <w:rPr>
                <w:spacing w:val="-2"/>
                <w:szCs w:val="20"/>
              </w:rPr>
              <w:t>. Loňský podíl řadil</w:t>
            </w:r>
            <w:r w:rsidR="005123B5">
              <w:rPr>
                <w:spacing w:val="-2"/>
                <w:szCs w:val="20"/>
              </w:rPr>
              <w:t xml:space="preserve"> Česko (společně s Estonskem) do čela</w:t>
            </w:r>
            <w:r>
              <w:rPr>
                <w:spacing w:val="-2"/>
                <w:szCs w:val="20"/>
              </w:rPr>
              <w:t xml:space="preserve"> zemí</w:t>
            </w:r>
            <w:r w:rsidR="00327B04">
              <w:rPr>
                <w:spacing w:val="-2"/>
                <w:szCs w:val="20"/>
              </w:rPr>
              <w:t> </w:t>
            </w:r>
            <w:r>
              <w:rPr>
                <w:spacing w:val="-2"/>
                <w:szCs w:val="20"/>
              </w:rPr>
              <w:t>EU (</w:t>
            </w:r>
            <w:r w:rsidR="00BC7833">
              <w:rPr>
                <w:spacing w:val="-2"/>
                <w:szCs w:val="20"/>
              </w:rPr>
              <w:t>v </w:t>
            </w:r>
            <w:r>
              <w:rPr>
                <w:spacing w:val="-2"/>
                <w:szCs w:val="20"/>
              </w:rPr>
              <w:t xml:space="preserve">celé Unii šlo skoro </w:t>
            </w:r>
            <w:r w:rsidR="00BC7833">
              <w:rPr>
                <w:spacing w:val="-2"/>
                <w:szCs w:val="20"/>
              </w:rPr>
              <w:t>o </w:t>
            </w:r>
            <w:r>
              <w:rPr>
                <w:spacing w:val="-2"/>
                <w:szCs w:val="20"/>
              </w:rPr>
              <w:t>čtvrtinu zaměstnanců).</w:t>
            </w:r>
          </w:p>
        </w:tc>
      </w:tr>
      <w:tr w:rsidR="009E674A" w:rsidRPr="00711FC2" w14:paraId="6524336F" w14:textId="77777777" w:rsidTr="006F668F">
        <w:trPr>
          <w:trHeight w:val="429"/>
        </w:trPr>
        <w:tc>
          <w:tcPr>
            <w:tcW w:w="1976" w:type="dxa"/>
          </w:tcPr>
          <w:p w14:paraId="3F32B600" w14:textId="689010A4" w:rsidR="009E674A" w:rsidRPr="00106639" w:rsidRDefault="00BC7833" w:rsidP="006F668F">
            <w:pPr>
              <w:pStyle w:val="Marginlie"/>
            </w:pPr>
            <w:r>
              <w:t>V </w:t>
            </w:r>
            <w:r w:rsidR="009E674A">
              <w:t xml:space="preserve">poslední dekádě se snižoval </w:t>
            </w:r>
            <w:r>
              <w:t>i </w:t>
            </w:r>
            <w:r w:rsidR="009E674A">
              <w:t xml:space="preserve">podíl osob s dlouhou týdenní pracovní dobou </w:t>
            </w:r>
            <w:r>
              <w:t>i </w:t>
            </w:r>
            <w:r w:rsidR="009E674A">
              <w:t xml:space="preserve">zastoupení </w:t>
            </w:r>
            <w:r w:rsidR="00327B04">
              <w:t xml:space="preserve">osob </w:t>
            </w:r>
            <w:r w:rsidR="009E674A">
              <w:lastRenderedPageBreak/>
              <w:t xml:space="preserve">obvykle pracujících </w:t>
            </w:r>
            <w:r>
              <w:t>o </w:t>
            </w:r>
            <w:r w:rsidR="009E674A">
              <w:t>víkendu.</w:t>
            </w:r>
          </w:p>
        </w:tc>
        <w:tc>
          <w:tcPr>
            <w:tcW w:w="277" w:type="dxa"/>
          </w:tcPr>
          <w:p w14:paraId="177D003C" w14:textId="77777777" w:rsidR="009E674A" w:rsidRPr="00356158" w:rsidRDefault="009E674A" w:rsidP="006F668F">
            <w:pPr>
              <w:pStyle w:val="Textpoznpodarou"/>
              <w:jc w:val="both"/>
              <w:rPr>
                <w:rFonts w:eastAsia="Times New Roman"/>
                <w:spacing w:val="-2"/>
                <w:sz w:val="16"/>
                <w:szCs w:val="16"/>
              </w:rPr>
            </w:pPr>
          </w:p>
        </w:tc>
        <w:tc>
          <w:tcPr>
            <w:tcW w:w="7391" w:type="dxa"/>
          </w:tcPr>
          <w:p w14:paraId="317EB64B" w14:textId="5B81E730" w:rsidR="009E674A" w:rsidRPr="00955EC6" w:rsidRDefault="009E674A" w:rsidP="006F668F">
            <w:pPr>
              <w:spacing w:after="220"/>
              <w:rPr>
                <w:spacing w:val="-2"/>
                <w:szCs w:val="20"/>
              </w:rPr>
            </w:pPr>
            <w:r>
              <w:rPr>
                <w:spacing w:val="-2"/>
                <w:szCs w:val="20"/>
              </w:rPr>
              <w:t>Za posledních deset let lze pozorovat také snižování podílů zaměstnaných, kteří odpracovali obvykle více než 4</w:t>
            </w:r>
            <w:r w:rsidR="00D82A1E">
              <w:rPr>
                <w:spacing w:val="-2"/>
                <w:szCs w:val="20"/>
              </w:rPr>
              <w:t>8 </w:t>
            </w:r>
            <w:r>
              <w:rPr>
                <w:spacing w:val="-2"/>
                <w:szCs w:val="20"/>
              </w:rPr>
              <w:t>hodin týdně</w:t>
            </w:r>
            <w:r w:rsidR="00327B04">
              <w:rPr>
                <w:spacing w:val="-2"/>
                <w:szCs w:val="20"/>
              </w:rPr>
              <w:t>,</w:t>
            </w:r>
            <w:r>
              <w:rPr>
                <w:spacing w:val="-2"/>
                <w:szCs w:val="20"/>
              </w:rPr>
              <w:t xml:space="preserve"> </w:t>
            </w:r>
            <w:r w:rsidR="00BC7833">
              <w:rPr>
                <w:spacing w:val="-2"/>
                <w:szCs w:val="20"/>
              </w:rPr>
              <w:t>a </w:t>
            </w:r>
            <w:r>
              <w:rPr>
                <w:spacing w:val="-2"/>
                <w:szCs w:val="20"/>
              </w:rPr>
              <w:t xml:space="preserve">s tím související pokles četnosti osob, které obvykle pracovaly </w:t>
            </w:r>
            <w:r w:rsidR="00BC7833">
              <w:rPr>
                <w:spacing w:val="-2"/>
                <w:szCs w:val="20"/>
              </w:rPr>
              <w:t>o </w:t>
            </w:r>
            <w:r>
              <w:rPr>
                <w:spacing w:val="-2"/>
                <w:szCs w:val="20"/>
              </w:rPr>
              <w:t>víkendu. Jestliže v roce 2008 vykonávalo mezi osobami ve věku 15</w:t>
            </w:r>
            <w:r>
              <w:rPr>
                <w:spacing w:val="-2"/>
              </w:rPr>
              <w:t>–</w:t>
            </w:r>
            <w:r>
              <w:rPr>
                <w:spacing w:val="-2"/>
                <w:szCs w:val="20"/>
              </w:rPr>
              <w:t>6</w:t>
            </w:r>
            <w:r w:rsidR="00D82A1E">
              <w:rPr>
                <w:spacing w:val="-2"/>
                <w:szCs w:val="20"/>
              </w:rPr>
              <w:t>4 </w:t>
            </w:r>
            <w:r>
              <w:rPr>
                <w:spacing w:val="-2"/>
                <w:szCs w:val="20"/>
              </w:rPr>
              <w:t>let obvykle pracovní činnost v sobotu 23,0</w:t>
            </w:r>
            <w:r w:rsidR="006454CC">
              <w:rPr>
                <w:spacing w:val="-2"/>
                <w:szCs w:val="20"/>
              </w:rPr>
              <w:t> %</w:t>
            </w:r>
            <w:r w:rsidR="00327B04">
              <w:rPr>
                <w:spacing w:val="-2"/>
                <w:szCs w:val="20"/>
              </w:rPr>
              <w:t>,</w:t>
            </w:r>
            <w:r>
              <w:rPr>
                <w:spacing w:val="-2"/>
                <w:szCs w:val="20"/>
              </w:rPr>
              <w:t xml:space="preserve"> </w:t>
            </w:r>
            <w:r w:rsidR="00BC7833">
              <w:rPr>
                <w:spacing w:val="-2"/>
                <w:szCs w:val="20"/>
              </w:rPr>
              <w:t>o </w:t>
            </w:r>
            <w:r>
              <w:rPr>
                <w:spacing w:val="-2"/>
                <w:szCs w:val="20"/>
              </w:rPr>
              <w:t>deset let později 15,9</w:t>
            </w:r>
            <w:r w:rsidR="006454CC">
              <w:rPr>
                <w:spacing w:val="-2"/>
                <w:szCs w:val="20"/>
              </w:rPr>
              <w:t> %</w:t>
            </w:r>
            <w:r>
              <w:rPr>
                <w:spacing w:val="-2"/>
                <w:szCs w:val="20"/>
              </w:rPr>
              <w:t xml:space="preserve">. </w:t>
            </w:r>
            <w:r w:rsidR="00BC7833">
              <w:rPr>
                <w:spacing w:val="-2"/>
                <w:szCs w:val="20"/>
              </w:rPr>
              <w:lastRenderedPageBreak/>
              <w:t>U </w:t>
            </w:r>
            <w:r>
              <w:rPr>
                <w:spacing w:val="-2"/>
                <w:szCs w:val="20"/>
              </w:rPr>
              <w:t xml:space="preserve">nedělní práce </w:t>
            </w:r>
            <w:r w:rsidR="00327B04">
              <w:rPr>
                <w:spacing w:val="-2"/>
                <w:szCs w:val="20"/>
              </w:rPr>
              <w:t>by</w:t>
            </w:r>
            <w:r>
              <w:rPr>
                <w:spacing w:val="-2"/>
                <w:szCs w:val="20"/>
              </w:rPr>
              <w:t>l obdobný posun ze 14,6</w:t>
            </w:r>
            <w:r w:rsidR="006454CC">
              <w:rPr>
                <w:spacing w:val="-2"/>
                <w:szCs w:val="20"/>
              </w:rPr>
              <w:t> %</w:t>
            </w:r>
            <w:r>
              <w:rPr>
                <w:spacing w:val="-2"/>
                <w:szCs w:val="20"/>
              </w:rPr>
              <w:t xml:space="preserve"> na 11,3</w:t>
            </w:r>
            <w:r w:rsidR="006454CC">
              <w:rPr>
                <w:spacing w:val="-2"/>
                <w:szCs w:val="20"/>
              </w:rPr>
              <w:t> %</w:t>
            </w:r>
            <w:r>
              <w:rPr>
                <w:spacing w:val="-2"/>
                <w:szCs w:val="20"/>
              </w:rPr>
              <w:t xml:space="preserve">. Na </w:t>
            </w:r>
            <w:r w:rsidR="00327B04">
              <w:rPr>
                <w:spacing w:val="-2"/>
                <w:szCs w:val="20"/>
              </w:rPr>
              <w:t>druhé straně</w:t>
            </w:r>
            <w:r>
              <w:rPr>
                <w:spacing w:val="-2"/>
                <w:szCs w:val="20"/>
              </w:rPr>
              <w:t xml:space="preserve"> v tomto období mírně vzrostl podíl příležitostné víkendové práce</w:t>
            </w:r>
            <w:r w:rsidR="0037734D">
              <w:rPr>
                <w:spacing w:val="-2"/>
                <w:szCs w:val="20"/>
              </w:rPr>
              <w:t xml:space="preserve"> – </w:t>
            </w:r>
            <w:r w:rsidR="00BC7833">
              <w:rPr>
                <w:spacing w:val="-2"/>
                <w:szCs w:val="20"/>
              </w:rPr>
              <w:t>o </w:t>
            </w:r>
            <w:r>
              <w:rPr>
                <w:spacing w:val="-2"/>
                <w:szCs w:val="20"/>
              </w:rPr>
              <w:t>sobotách ze 17,1</w:t>
            </w:r>
            <w:r w:rsidR="006454CC">
              <w:rPr>
                <w:spacing w:val="-2"/>
                <w:szCs w:val="20"/>
              </w:rPr>
              <w:t> %</w:t>
            </w:r>
            <w:r>
              <w:rPr>
                <w:spacing w:val="-2"/>
                <w:szCs w:val="20"/>
              </w:rPr>
              <w:t xml:space="preserve"> na 21,5</w:t>
            </w:r>
            <w:r w:rsidR="006454CC">
              <w:rPr>
                <w:spacing w:val="-2"/>
                <w:szCs w:val="20"/>
              </w:rPr>
              <w:t> %</w:t>
            </w:r>
            <w:r>
              <w:rPr>
                <w:spacing w:val="-2"/>
                <w:szCs w:val="20"/>
              </w:rPr>
              <w:t xml:space="preserve"> </w:t>
            </w:r>
            <w:r w:rsidR="00BC7833">
              <w:rPr>
                <w:spacing w:val="-2"/>
                <w:szCs w:val="20"/>
              </w:rPr>
              <w:t>a </w:t>
            </w:r>
            <w:r w:rsidR="00EA2A43">
              <w:rPr>
                <w:spacing w:val="-2"/>
                <w:szCs w:val="20"/>
              </w:rPr>
              <w:t>o </w:t>
            </w:r>
            <w:r>
              <w:rPr>
                <w:spacing w:val="-2"/>
                <w:szCs w:val="20"/>
              </w:rPr>
              <w:t xml:space="preserve">nedělích </w:t>
            </w:r>
            <w:r w:rsidR="00BC7833">
              <w:rPr>
                <w:spacing w:val="-2"/>
                <w:szCs w:val="20"/>
              </w:rPr>
              <w:t>z </w:t>
            </w:r>
            <w:r>
              <w:rPr>
                <w:spacing w:val="-2"/>
                <w:szCs w:val="20"/>
              </w:rPr>
              <w:t>11,3</w:t>
            </w:r>
            <w:r w:rsidR="006454CC">
              <w:rPr>
                <w:spacing w:val="-2"/>
                <w:szCs w:val="20"/>
              </w:rPr>
              <w:t> %</w:t>
            </w:r>
            <w:r>
              <w:rPr>
                <w:spacing w:val="-2"/>
                <w:szCs w:val="20"/>
              </w:rPr>
              <w:t xml:space="preserve"> na 14,5</w:t>
            </w:r>
            <w:r w:rsidR="006454CC">
              <w:rPr>
                <w:spacing w:val="-2"/>
                <w:szCs w:val="20"/>
              </w:rPr>
              <w:t> %</w:t>
            </w:r>
            <w:r>
              <w:rPr>
                <w:spacing w:val="-2"/>
                <w:szCs w:val="20"/>
              </w:rPr>
              <w:t>. Podíl osob uvádě</w:t>
            </w:r>
            <w:r w:rsidR="00537E4B">
              <w:rPr>
                <w:spacing w:val="-2"/>
                <w:szCs w:val="20"/>
              </w:rPr>
              <w:t xml:space="preserve">jících, že </w:t>
            </w:r>
            <w:r w:rsidR="00BC7833">
              <w:rPr>
                <w:spacing w:val="-2"/>
                <w:szCs w:val="20"/>
              </w:rPr>
              <w:t>o </w:t>
            </w:r>
            <w:r w:rsidR="00537E4B">
              <w:rPr>
                <w:spacing w:val="-2"/>
                <w:szCs w:val="20"/>
              </w:rPr>
              <w:t>víkendu nepracují</w:t>
            </w:r>
            <w:r>
              <w:rPr>
                <w:spacing w:val="-2"/>
                <w:szCs w:val="20"/>
              </w:rPr>
              <w:t xml:space="preserve"> vůbec, tak klesl jen mírně. Víkendová práce je častější </w:t>
            </w:r>
            <w:r w:rsidR="00BC7833">
              <w:rPr>
                <w:spacing w:val="-2"/>
                <w:szCs w:val="20"/>
              </w:rPr>
              <w:t>u </w:t>
            </w:r>
            <w:r>
              <w:rPr>
                <w:spacing w:val="-2"/>
                <w:szCs w:val="20"/>
              </w:rPr>
              <w:t xml:space="preserve">mužů (zejména pokud jde </w:t>
            </w:r>
            <w:r w:rsidR="00BC7833">
              <w:rPr>
                <w:spacing w:val="-2"/>
                <w:szCs w:val="20"/>
              </w:rPr>
              <w:t>o </w:t>
            </w:r>
            <w:r>
              <w:rPr>
                <w:spacing w:val="-2"/>
                <w:szCs w:val="20"/>
              </w:rPr>
              <w:t>tu příležitostnou), její „obliba“</w:t>
            </w:r>
            <w:r w:rsidR="00327B04">
              <w:rPr>
                <w:spacing w:val="-2"/>
                <w:szCs w:val="20"/>
              </w:rPr>
              <w:t xml:space="preserve"> </w:t>
            </w:r>
            <w:r>
              <w:rPr>
                <w:spacing w:val="-2"/>
                <w:szCs w:val="20"/>
              </w:rPr>
              <w:t>se snižuje s narůstajícím věkem</w:t>
            </w:r>
            <w:r>
              <w:rPr>
                <w:rStyle w:val="Znakapoznpodarou"/>
                <w:rFonts w:cs="Arial"/>
                <w:color w:val="0D0D0D" w:themeColor="text1" w:themeTint="F2"/>
                <w:spacing w:val="-4"/>
              </w:rPr>
              <w:footnoteReference w:id="44"/>
            </w:r>
            <w:r>
              <w:rPr>
                <w:spacing w:val="-2"/>
                <w:szCs w:val="20"/>
              </w:rPr>
              <w:t>.</w:t>
            </w:r>
          </w:p>
        </w:tc>
      </w:tr>
      <w:tr w:rsidR="009E674A" w:rsidRPr="00711FC2" w14:paraId="19B213C5" w14:textId="77777777" w:rsidTr="006F668F">
        <w:trPr>
          <w:trHeight w:val="429"/>
        </w:trPr>
        <w:tc>
          <w:tcPr>
            <w:tcW w:w="1976" w:type="dxa"/>
          </w:tcPr>
          <w:p w14:paraId="38D62183" w14:textId="77777777" w:rsidR="009E674A" w:rsidRDefault="009E674A" w:rsidP="006F668F">
            <w:pPr>
              <w:pStyle w:val="Marginlie"/>
            </w:pPr>
            <w:r>
              <w:lastRenderedPageBreak/>
              <w:t xml:space="preserve">Obvyklá víkendová práce byla častější mezi podnikateli </w:t>
            </w:r>
            <w:r w:rsidR="00BC7833">
              <w:t>a </w:t>
            </w:r>
            <w:r>
              <w:t xml:space="preserve">také </w:t>
            </w:r>
            <w:r w:rsidR="00BC7833">
              <w:t>u </w:t>
            </w:r>
            <w:r>
              <w:t xml:space="preserve">osob pracujících ve službách </w:t>
            </w:r>
            <w:r w:rsidR="00BC7833">
              <w:t>a </w:t>
            </w:r>
            <w:r>
              <w:t xml:space="preserve">obchodě či v zemědělství, lesnictví </w:t>
            </w:r>
            <w:r w:rsidR="00BC7833">
              <w:t>a </w:t>
            </w:r>
            <w:r>
              <w:t>rybářství.</w:t>
            </w:r>
          </w:p>
          <w:p w14:paraId="09D05F8E" w14:textId="77777777" w:rsidR="009E674A" w:rsidRDefault="009E674A" w:rsidP="006F668F">
            <w:pPr>
              <w:pStyle w:val="Marginlie"/>
            </w:pPr>
          </w:p>
          <w:p w14:paraId="19EE9092" w14:textId="77777777" w:rsidR="009E674A" w:rsidRDefault="009E674A" w:rsidP="006F668F">
            <w:pPr>
              <w:pStyle w:val="Marginlie"/>
            </w:pPr>
          </w:p>
          <w:p w14:paraId="702CFD8A" w14:textId="77777777" w:rsidR="009E674A" w:rsidRDefault="009E674A" w:rsidP="006F668F">
            <w:pPr>
              <w:pStyle w:val="Marginlie"/>
            </w:pPr>
          </w:p>
          <w:p w14:paraId="0907826F" w14:textId="77777777" w:rsidR="009E674A" w:rsidRDefault="009E674A" w:rsidP="006F668F">
            <w:pPr>
              <w:pStyle w:val="Marginlie"/>
            </w:pPr>
          </w:p>
          <w:p w14:paraId="00239400" w14:textId="77777777" w:rsidR="009E674A" w:rsidRDefault="009E674A" w:rsidP="006F668F">
            <w:pPr>
              <w:pStyle w:val="Marginlie"/>
            </w:pPr>
          </w:p>
          <w:p w14:paraId="6FF175E6" w14:textId="77777777" w:rsidR="009E674A" w:rsidRPr="00106639" w:rsidRDefault="009E674A" w:rsidP="006F668F">
            <w:pPr>
              <w:pStyle w:val="Marginlie"/>
            </w:pPr>
            <w:r>
              <w:t>Pokles výskytu časté víkendové práce měl v poslední dekádě převážně plošný charakter.</w:t>
            </w:r>
          </w:p>
        </w:tc>
        <w:tc>
          <w:tcPr>
            <w:tcW w:w="277" w:type="dxa"/>
          </w:tcPr>
          <w:p w14:paraId="1D44F7B6" w14:textId="77777777" w:rsidR="009E674A" w:rsidRPr="00356158" w:rsidRDefault="009E674A" w:rsidP="006F668F">
            <w:pPr>
              <w:pStyle w:val="Textpoznpodarou"/>
              <w:jc w:val="both"/>
              <w:rPr>
                <w:rFonts w:eastAsia="Times New Roman"/>
                <w:spacing w:val="-2"/>
                <w:sz w:val="16"/>
                <w:szCs w:val="16"/>
              </w:rPr>
            </w:pPr>
          </w:p>
        </w:tc>
        <w:tc>
          <w:tcPr>
            <w:tcW w:w="7391" w:type="dxa"/>
          </w:tcPr>
          <w:p w14:paraId="79DFCC6B" w14:textId="2D482261" w:rsidR="009E674A" w:rsidRDefault="009E674A" w:rsidP="006F668F">
            <w:pPr>
              <w:spacing w:after="220"/>
              <w:rPr>
                <w:spacing w:val="-2"/>
                <w:szCs w:val="20"/>
              </w:rPr>
            </w:pPr>
            <w:r>
              <w:rPr>
                <w:spacing w:val="-2"/>
                <w:szCs w:val="20"/>
              </w:rPr>
              <w:t xml:space="preserve">Četnost víkendové práce se liší </w:t>
            </w:r>
            <w:r w:rsidR="00BC7833">
              <w:rPr>
                <w:spacing w:val="-2"/>
                <w:szCs w:val="20"/>
              </w:rPr>
              <w:t>v </w:t>
            </w:r>
            <w:r>
              <w:rPr>
                <w:spacing w:val="-2"/>
                <w:szCs w:val="20"/>
              </w:rPr>
              <w:t xml:space="preserve">závislosti </w:t>
            </w:r>
            <w:r w:rsidR="00C653FE">
              <w:rPr>
                <w:spacing w:val="-2"/>
                <w:szCs w:val="20"/>
              </w:rPr>
              <w:t xml:space="preserve">na </w:t>
            </w:r>
            <w:r>
              <w:rPr>
                <w:spacing w:val="-2"/>
                <w:szCs w:val="20"/>
              </w:rPr>
              <w:t xml:space="preserve">charakteru vykonávané činnosti </w:t>
            </w:r>
            <w:r w:rsidR="00BC7833">
              <w:rPr>
                <w:spacing w:val="-2"/>
                <w:szCs w:val="20"/>
              </w:rPr>
              <w:t>a </w:t>
            </w:r>
            <w:r>
              <w:rPr>
                <w:spacing w:val="-2"/>
                <w:szCs w:val="20"/>
              </w:rPr>
              <w:t>postavení v zaměstnání. V sobotu či neděli loni pracovalo bezmála 30</w:t>
            </w:r>
            <w:r w:rsidR="006454CC">
              <w:rPr>
                <w:spacing w:val="-2"/>
                <w:szCs w:val="20"/>
              </w:rPr>
              <w:t> %</w:t>
            </w:r>
            <w:r>
              <w:rPr>
                <w:spacing w:val="-2"/>
                <w:szCs w:val="20"/>
              </w:rPr>
              <w:t xml:space="preserve"> podnikatelů se zaměstnanci, čtvrtina sebezaměstnaných, ale jen každý sedmý zaměstnanec. V některých odvětvích či profesích lze víkendovou práci považovat za přirozenou. V kategorii pracovníků </w:t>
            </w:r>
            <w:r w:rsidR="008B685F">
              <w:rPr>
                <w:spacing w:val="-2"/>
                <w:szCs w:val="20"/>
              </w:rPr>
              <w:t xml:space="preserve">ve </w:t>
            </w:r>
            <w:r>
              <w:rPr>
                <w:spacing w:val="-2"/>
                <w:szCs w:val="20"/>
              </w:rPr>
              <w:t xml:space="preserve">službách </w:t>
            </w:r>
            <w:r w:rsidR="00BC7833">
              <w:rPr>
                <w:spacing w:val="-2"/>
                <w:szCs w:val="20"/>
              </w:rPr>
              <w:t>a </w:t>
            </w:r>
            <w:r>
              <w:rPr>
                <w:spacing w:val="-2"/>
                <w:szCs w:val="20"/>
              </w:rPr>
              <w:t xml:space="preserve">obchodě </w:t>
            </w:r>
            <w:r w:rsidR="00BC7833">
              <w:rPr>
                <w:spacing w:val="-2"/>
                <w:szCs w:val="20"/>
              </w:rPr>
              <w:t>a </w:t>
            </w:r>
            <w:r>
              <w:rPr>
                <w:spacing w:val="-2"/>
                <w:szCs w:val="20"/>
              </w:rPr>
              <w:t xml:space="preserve">také u kvalifikovaných pracovníků v zemědělství, lesnictví </w:t>
            </w:r>
            <w:r w:rsidR="00BC7833">
              <w:rPr>
                <w:spacing w:val="-2"/>
                <w:szCs w:val="20"/>
              </w:rPr>
              <w:t>a </w:t>
            </w:r>
            <w:r>
              <w:rPr>
                <w:spacing w:val="-2"/>
                <w:szCs w:val="20"/>
              </w:rPr>
              <w:t xml:space="preserve">rybářství tuto formu práce uváděla více než třetina zaměstnanců </w:t>
            </w:r>
            <w:r w:rsidR="00BC7833">
              <w:rPr>
                <w:spacing w:val="-2"/>
                <w:szCs w:val="20"/>
              </w:rPr>
              <w:t>a </w:t>
            </w:r>
            <w:r>
              <w:rPr>
                <w:spacing w:val="-2"/>
                <w:szCs w:val="20"/>
              </w:rPr>
              <w:t xml:space="preserve">skoro polovina osob samostatně výdělečně činných. Naopak mezi úředníky </w:t>
            </w:r>
            <w:r w:rsidR="00BC7833">
              <w:rPr>
                <w:spacing w:val="-2"/>
                <w:szCs w:val="20"/>
              </w:rPr>
              <w:t>a </w:t>
            </w:r>
            <w:r>
              <w:rPr>
                <w:spacing w:val="-2"/>
                <w:szCs w:val="20"/>
              </w:rPr>
              <w:t>také ve třídách zahrnující</w:t>
            </w:r>
            <w:r w:rsidR="00537E4B">
              <w:rPr>
                <w:spacing w:val="-2"/>
                <w:szCs w:val="20"/>
              </w:rPr>
              <w:t>ch</w:t>
            </w:r>
            <w:r>
              <w:rPr>
                <w:spacing w:val="-2"/>
                <w:szCs w:val="20"/>
              </w:rPr>
              <w:t xml:space="preserve"> nejvíce kvalifikované činnosti šlo jen </w:t>
            </w:r>
            <w:r w:rsidR="00BC7833">
              <w:rPr>
                <w:spacing w:val="-2"/>
                <w:szCs w:val="20"/>
              </w:rPr>
              <w:t>o </w:t>
            </w:r>
            <w:r>
              <w:rPr>
                <w:spacing w:val="-2"/>
                <w:szCs w:val="20"/>
              </w:rPr>
              <w:t>8–12</w:t>
            </w:r>
            <w:r w:rsidR="006454CC">
              <w:rPr>
                <w:spacing w:val="-2"/>
                <w:szCs w:val="20"/>
              </w:rPr>
              <w:t> %</w:t>
            </w:r>
            <w:r>
              <w:rPr>
                <w:spacing w:val="-2"/>
                <w:szCs w:val="20"/>
              </w:rPr>
              <w:t xml:space="preserve"> osob</w:t>
            </w:r>
            <w:r>
              <w:rPr>
                <w:rStyle w:val="Znakapoznpodarou"/>
                <w:rFonts w:cs="Arial"/>
                <w:color w:val="0D0D0D" w:themeColor="text1" w:themeTint="F2"/>
                <w:spacing w:val="-4"/>
              </w:rPr>
              <w:footnoteReference w:id="45"/>
            </w:r>
            <w:r>
              <w:rPr>
                <w:spacing w:val="-2"/>
                <w:szCs w:val="20"/>
              </w:rPr>
              <w:t xml:space="preserve">. Překvapivě vykázali podobně nízký podíl také pomocní a nekvalifikovaní pracovníci, naproti tomu </w:t>
            </w:r>
            <w:r w:rsidR="00BC7833">
              <w:rPr>
                <w:spacing w:val="-2"/>
                <w:szCs w:val="20"/>
              </w:rPr>
              <w:t>u </w:t>
            </w:r>
            <w:r>
              <w:rPr>
                <w:spacing w:val="-2"/>
                <w:szCs w:val="20"/>
              </w:rPr>
              <w:t>osob obsluhujících stroje a zařízení (v</w:t>
            </w:r>
            <w:r w:rsidR="00BA35F3">
              <w:rPr>
                <w:spacing w:val="-2"/>
                <w:szCs w:val="20"/>
              </w:rPr>
              <w:t>č. </w:t>
            </w:r>
            <w:r>
              <w:rPr>
                <w:spacing w:val="-2"/>
                <w:szCs w:val="20"/>
              </w:rPr>
              <w:t>montérů) šlo o nadprůměrných 20</w:t>
            </w:r>
            <w:r w:rsidR="006454CC">
              <w:rPr>
                <w:spacing w:val="-2"/>
                <w:szCs w:val="20"/>
              </w:rPr>
              <w:t> %</w:t>
            </w:r>
            <w:r>
              <w:rPr>
                <w:spacing w:val="-2"/>
                <w:szCs w:val="20"/>
              </w:rPr>
              <w:t xml:space="preserve">. Pokles četnosti obvyklé víkendové práce byl za poslední desetiletí poměrně rovnoměrný z pohledu pohlaví, postavení v zaměstnání i většiny kvalifikačních tříd (nejvíce </w:t>
            </w:r>
            <w:r w:rsidR="00772DA9">
              <w:rPr>
                <w:spacing w:val="-2"/>
                <w:szCs w:val="20"/>
              </w:rPr>
              <w:t>se projevil u zákonodárců</w:t>
            </w:r>
            <w:r>
              <w:rPr>
                <w:spacing w:val="-2"/>
                <w:szCs w:val="20"/>
              </w:rPr>
              <w:t xml:space="preserve"> </w:t>
            </w:r>
            <w:r w:rsidR="00BC7833">
              <w:rPr>
                <w:spacing w:val="-2"/>
                <w:szCs w:val="20"/>
              </w:rPr>
              <w:t>a </w:t>
            </w:r>
            <w:r>
              <w:rPr>
                <w:spacing w:val="-2"/>
                <w:szCs w:val="20"/>
              </w:rPr>
              <w:t>vedoucí</w:t>
            </w:r>
            <w:r w:rsidR="00772DA9">
              <w:rPr>
                <w:spacing w:val="-2"/>
                <w:szCs w:val="20"/>
              </w:rPr>
              <w:t>ch</w:t>
            </w:r>
            <w:r>
              <w:rPr>
                <w:spacing w:val="-2"/>
                <w:szCs w:val="20"/>
              </w:rPr>
              <w:t xml:space="preserve"> </w:t>
            </w:r>
            <w:r w:rsidR="00BC7833">
              <w:rPr>
                <w:spacing w:val="-2"/>
                <w:szCs w:val="20"/>
              </w:rPr>
              <w:t>i </w:t>
            </w:r>
            <w:r>
              <w:rPr>
                <w:spacing w:val="-2"/>
                <w:szCs w:val="20"/>
              </w:rPr>
              <w:t>řídící</w:t>
            </w:r>
            <w:r w:rsidR="00772DA9">
              <w:rPr>
                <w:spacing w:val="-2"/>
                <w:szCs w:val="20"/>
              </w:rPr>
              <w:t>ch</w:t>
            </w:r>
            <w:r>
              <w:rPr>
                <w:spacing w:val="-2"/>
                <w:szCs w:val="20"/>
              </w:rPr>
              <w:t xml:space="preserve"> </w:t>
            </w:r>
            <w:r w:rsidR="00772DA9">
              <w:rPr>
                <w:spacing w:val="-2"/>
                <w:szCs w:val="20"/>
              </w:rPr>
              <w:t xml:space="preserve">pracovníků </w:t>
            </w:r>
            <w:r w:rsidR="00BC7833">
              <w:rPr>
                <w:spacing w:val="-2"/>
                <w:szCs w:val="20"/>
              </w:rPr>
              <w:t>a </w:t>
            </w:r>
            <w:r>
              <w:rPr>
                <w:spacing w:val="-2"/>
                <w:szCs w:val="20"/>
              </w:rPr>
              <w:t xml:space="preserve">dále </w:t>
            </w:r>
            <w:r w:rsidR="00772DA9">
              <w:rPr>
                <w:spacing w:val="-2"/>
                <w:szCs w:val="20"/>
              </w:rPr>
              <w:t xml:space="preserve">pracovníků </w:t>
            </w:r>
            <w:r>
              <w:rPr>
                <w:spacing w:val="-2"/>
                <w:szCs w:val="20"/>
              </w:rPr>
              <w:t xml:space="preserve">ve službách </w:t>
            </w:r>
            <w:r w:rsidR="00BC7833">
              <w:rPr>
                <w:spacing w:val="-2"/>
                <w:szCs w:val="20"/>
              </w:rPr>
              <w:t>a </w:t>
            </w:r>
            <w:r>
              <w:rPr>
                <w:spacing w:val="-2"/>
                <w:szCs w:val="20"/>
              </w:rPr>
              <w:t xml:space="preserve">obchodě, naopak </w:t>
            </w:r>
            <w:r w:rsidR="00BC7833">
              <w:rPr>
                <w:spacing w:val="-2"/>
                <w:szCs w:val="20"/>
              </w:rPr>
              <w:t>u </w:t>
            </w:r>
            <w:r>
              <w:rPr>
                <w:spacing w:val="-2"/>
                <w:szCs w:val="20"/>
              </w:rPr>
              <w:t>specialistů jen osciloval kolem 10</w:t>
            </w:r>
            <w:r w:rsidR="006454CC">
              <w:rPr>
                <w:spacing w:val="-2"/>
                <w:szCs w:val="20"/>
              </w:rPr>
              <w:t> %</w:t>
            </w:r>
            <w:r>
              <w:rPr>
                <w:spacing w:val="-2"/>
                <w:szCs w:val="20"/>
              </w:rPr>
              <w:t>).</w:t>
            </w:r>
          </w:p>
        </w:tc>
      </w:tr>
      <w:tr w:rsidR="009E674A" w:rsidRPr="00711FC2" w14:paraId="406CE1F9" w14:textId="77777777" w:rsidTr="006F668F">
        <w:trPr>
          <w:trHeight w:val="429"/>
        </w:trPr>
        <w:tc>
          <w:tcPr>
            <w:tcW w:w="1976" w:type="dxa"/>
          </w:tcPr>
          <w:p w14:paraId="5FAD1972" w14:textId="77777777" w:rsidR="009E674A" w:rsidRPr="00106639" w:rsidRDefault="009E674A" w:rsidP="006F668F">
            <w:pPr>
              <w:pStyle w:val="Marginlie"/>
            </w:pPr>
            <w:r>
              <w:t xml:space="preserve"> </w:t>
            </w:r>
          </w:p>
        </w:tc>
        <w:tc>
          <w:tcPr>
            <w:tcW w:w="277" w:type="dxa"/>
          </w:tcPr>
          <w:p w14:paraId="0EB6230D" w14:textId="77777777" w:rsidR="009E674A" w:rsidRPr="005E4483" w:rsidRDefault="009E674A" w:rsidP="006F668F">
            <w:pPr>
              <w:pStyle w:val="Textpoznpodarou"/>
              <w:jc w:val="both"/>
              <w:rPr>
                <w:spacing w:val="-4"/>
              </w:rPr>
            </w:pPr>
          </w:p>
        </w:tc>
        <w:tc>
          <w:tcPr>
            <w:tcW w:w="7391" w:type="dxa"/>
          </w:tcPr>
          <w:p w14:paraId="7C6B6E21" w14:textId="304A8AE8" w:rsidR="009E674A" w:rsidRPr="00537E4B" w:rsidRDefault="009E674A" w:rsidP="00537E4B">
            <w:pPr>
              <w:spacing w:after="0"/>
            </w:pPr>
            <w:r>
              <w:rPr>
                <w:b/>
              </w:rPr>
              <w:t xml:space="preserve">Graf </w:t>
            </w:r>
            <w:r w:rsidR="00BA35F3">
              <w:rPr>
                <w:b/>
              </w:rPr>
              <w:t>č. </w:t>
            </w:r>
            <w:r>
              <w:rPr>
                <w:b/>
              </w:rPr>
              <w:t>14</w:t>
            </w:r>
            <w:r w:rsidRPr="003601A5">
              <w:rPr>
                <w:b/>
              </w:rPr>
              <w:t xml:space="preserve">  </w:t>
            </w:r>
            <w:r>
              <w:rPr>
                <w:b/>
              </w:rPr>
              <w:t>Podíl osob působících v náročnějších pracovních podmínkách</w:t>
            </w:r>
            <w:r w:rsidR="00537E4B">
              <w:rPr>
                <w:b/>
              </w:rPr>
              <w:t xml:space="preserve"> na </w:t>
            </w:r>
            <w:r w:rsidR="00537E4B" w:rsidRPr="00537E4B">
              <w:rPr>
                <w:b/>
              </w:rPr>
              <w:t>všech zaměstnancích, resp. zaměstnaných</w:t>
            </w:r>
            <w:r w:rsidR="008B685F">
              <w:rPr>
                <w:b/>
              </w:rPr>
              <w:t>,</w:t>
            </w:r>
            <w:r w:rsidR="00537E4B" w:rsidRPr="00537E4B">
              <w:rPr>
                <w:b/>
              </w:rPr>
              <w:t xml:space="preserve"> ve věku 15 až 6</w:t>
            </w:r>
            <w:r w:rsidR="00D82A1E" w:rsidRPr="00537E4B">
              <w:rPr>
                <w:b/>
              </w:rPr>
              <w:t>4</w:t>
            </w:r>
            <w:r w:rsidR="00D82A1E">
              <w:rPr>
                <w:b/>
              </w:rPr>
              <w:t> </w:t>
            </w:r>
            <w:r w:rsidR="00537E4B" w:rsidRPr="00537E4B">
              <w:rPr>
                <w:b/>
              </w:rPr>
              <w:t>let</w:t>
            </w:r>
            <w:r w:rsidR="00537E4B">
              <w:t xml:space="preserve"> (</w:t>
            </w:r>
            <w:r w:rsidR="008B685F">
              <w:t>v </w:t>
            </w:r>
            <w:r w:rsidR="00537E4B">
              <w:t>%</w:t>
            </w:r>
            <w:r w:rsidRPr="00DC7FBA">
              <w:t>)</w:t>
            </w:r>
          </w:p>
        </w:tc>
      </w:tr>
      <w:tr w:rsidR="009E674A" w14:paraId="1B23C214" w14:textId="77777777" w:rsidTr="00D37034">
        <w:tblPrEx>
          <w:tblCellMar>
            <w:left w:w="70" w:type="dxa"/>
            <w:right w:w="70" w:type="dxa"/>
          </w:tblCellMar>
        </w:tblPrEx>
        <w:trPr>
          <w:trHeight w:val="429"/>
        </w:trPr>
        <w:tc>
          <w:tcPr>
            <w:tcW w:w="1976" w:type="dxa"/>
          </w:tcPr>
          <w:p w14:paraId="2C25DC35" w14:textId="77777777" w:rsidR="009E674A" w:rsidRPr="00106639" w:rsidRDefault="009E674A" w:rsidP="006F668F">
            <w:pPr>
              <w:pStyle w:val="Marginlie"/>
            </w:pPr>
          </w:p>
        </w:tc>
        <w:tc>
          <w:tcPr>
            <w:tcW w:w="277" w:type="dxa"/>
          </w:tcPr>
          <w:p w14:paraId="437DB36C" w14:textId="77777777" w:rsidR="009E674A" w:rsidRPr="005E4483" w:rsidRDefault="009E674A" w:rsidP="006F668F">
            <w:pPr>
              <w:pStyle w:val="Textpoznpodarou"/>
              <w:jc w:val="both"/>
              <w:rPr>
                <w:spacing w:val="-4"/>
              </w:rPr>
            </w:pPr>
          </w:p>
        </w:tc>
        <w:tc>
          <w:tcPr>
            <w:tcW w:w="7391" w:type="dxa"/>
          </w:tcPr>
          <w:p w14:paraId="48590BBA" w14:textId="4BB7AAAA" w:rsidR="009E674A" w:rsidRDefault="00D37034" w:rsidP="006F668F">
            <w:pPr>
              <w:spacing w:after="0"/>
            </w:pPr>
            <w:r>
              <w:rPr>
                <w:noProof/>
              </w:rPr>
              <w:drawing>
                <wp:inline distT="0" distB="0" distL="0" distR="0" wp14:anchorId="601B258E" wp14:editId="41E7F3FA">
                  <wp:extent cx="4585921" cy="3524250"/>
                  <wp:effectExtent l="0" t="0" r="5715"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9E674A" w:rsidRPr="00711FC2" w14:paraId="34C08125" w14:textId="77777777" w:rsidTr="006F668F">
        <w:trPr>
          <w:trHeight w:val="429"/>
        </w:trPr>
        <w:tc>
          <w:tcPr>
            <w:tcW w:w="1976" w:type="dxa"/>
          </w:tcPr>
          <w:p w14:paraId="45D93522" w14:textId="77777777" w:rsidR="009E674A" w:rsidRPr="00106639" w:rsidRDefault="009E674A" w:rsidP="006F668F">
            <w:pPr>
              <w:pStyle w:val="Marginlie"/>
            </w:pPr>
          </w:p>
        </w:tc>
        <w:tc>
          <w:tcPr>
            <w:tcW w:w="277" w:type="dxa"/>
          </w:tcPr>
          <w:p w14:paraId="38D83836" w14:textId="77777777" w:rsidR="009E674A" w:rsidRPr="005E4483" w:rsidRDefault="009E674A" w:rsidP="006F668F">
            <w:pPr>
              <w:pStyle w:val="Textpoznpodarou"/>
              <w:jc w:val="both"/>
              <w:rPr>
                <w:spacing w:val="-4"/>
              </w:rPr>
            </w:pPr>
          </w:p>
        </w:tc>
        <w:tc>
          <w:tcPr>
            <w:tcW w:w="7391" w:type="dxa"/>
          </w:tcPr>
          <w:p w14:paraId="59F147CE" w14:textId="7D78FE0F" w:rsidR="009E674A" w:rsidRPr="00DC7FBA" w:rsidRDefault="009E674A" w:rsidP="006F668F">
            <w:pPr>
              <w:spacing w:after="0" w:line="240" w:lineRule="auto"/>
              <w:jc w:val="left"/>
              <w:rPr>
                <w:rFonts w:cs="Arial"/>
                <w:sz w:val="14"/>
                <w:szCs w:val="14"/>
              </w:rPr>
            </w:pPr>
            <w:r w:rsidRPr="00DC7FBA">
              <w:rPr>
                <w:rFonts w:cs="Arial"/>
                <w:sz w:val="14"/>
                <w:szCs w:val="14"/>
              </w:rPr>
              <w:t>*Osoby pracující touto formou obvykle, **Osoby, které nemohly najít práci na plný úvazek, **Osoby, které nemohly najít trvalou práci (</w:t>
            </w:r>
            <w:r>
              <w:rPr>
                <w:rFonts w:cs="Arial"/>
                <w:sz w:val="14"/>
                <w:szCs w:val="14"/>
              </w:rPr>
              <w:t>resp.</w:t>
            </w:r>
            <w:r w:rsidR="008B685F">
              <w:rPr>
                <w:rFonts w:cs="Arial"/>
                <w:sz w:val="14"/>
                <w:szCs w:val="14"/>
              </w:rPr>
              <w:t> </w:t>
            </w:r>
            <w:r>
              <w:rPr>
                <w:rFonts w:cs="Arial"/>
                <w:sz w:val="14"/>
                <w:szCs w:val="14"/>
              </w:rPr>
              <w:t xml:space="preserve">práci </w:t>
            </w:r>
            <w:r w:rsidRPr="00DC7FBA">
              <w:rPr>
                <w:rFonts w:cs="Arial"/>
                <w:sz w:val="14"/>
                <w:szCs w:val="14"/>
              </w:rPr>
              <w:t>na dobu neurčitou)</w:t>
            </w:r>
          </w:p>
          <w:p w14:paraId="185CA206" w14:textId="77777777" w:rsidR="009E674A" w:rsidRPr="00DC7FBA" w:rsidRDefault="009E674A" w:rsidP="006F668F">
            <w:pPr>
              <w:spacing w:after="220"/>
              <w:jc w:val="left"/>
              <w:rPr>
                <w:rFonts w:cs="Arial"/>
                <w:sz w:val="14"/>
                <w:szCs w:val="14"/>
              </w:rPr>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rsidRPr="00CD2028" w14:paraId="3175EF75" w14:textId="77777777" w:rsidTr="006F668F">
        <w:trPr>
          <w:trHeight w:val="429"/>
        </w:trPr>
        <w:tc>
          <w:tcPr>
            <w:tcW w:w="1976" w:type="dxa"/>
          </w:tcPr>
          <w:p w14:paraId="58272E6C" w14:textId="77777777" w:rsidR="009E674A" w:rsidRDefault="009E674A" w:rsidP="006F668F">
            <w:pPr>
              <w:pStyle w:val="Marginlie"/>
            </w:pPr>
            <w:r>
              <w:t xml:space="preserve">Podíl zaměstnanců pracujících na směny se dlouhodobě výrazně nemění. Je doménou </w:t>
            </w:r>
            <w:r>
              <w:lastRenderedPageBreak/>
              <w:t>především nejmladších pracovníků.</w:t>
            </w:r>
          </w:p>
          <w:p w14:paraId="722CD819" w14:textId="77777777" w:rsidR="009E674A" w:rsidRDefault="009E674A" w:rsidP="006F668F">
            <w:pPr>
              <w:pStyle w:val="Marginlie"/>
            </w:pPr>
          </w:p>
          <w:p w14:paraId="3D6B2261" w14:textId="4E68F4FA" w:rsidR="009E674A" w:rsidRDefault="00BC7833" w:rsidP="006F668F">
            <w:pPr>
              <w:pStyle w:val="Marginlie"/>
            </w:pPr>
            <w:r>
              <w:t>U </w:t>
            </w:r>
            <w:r w:rsidR="009E674A">
              <w:t>žen ve věku 25–3</w:t>
            </w:r>
            <w:r w:rsidR="00D82A1E">
              <w:t>9 </w:t>
            </w:r>
            <w:r w:rsidR="009E674A">
              <w:t xml:space="preserve">let dochází k výraznému </w:t>
            </w:r>
            <w:r w:rsidR="00537E4B">
              <w:t>snížení četnosti práce na směny v důs</w:t>
            </w:r>
            <w:r w:rsidR="00BC09D5">
              <w:t>l</w:t>
            </w:r>
            <w:r w:rsidR="00537E4B">
              <w:t>edku obtížného skloubení této práce s </w:t>
            </w:r>
            <w:r w:rsidR="00F57510">
              <w:t>péčí</w:t>
            </w:r>
            <w:r w:rsidR="00537E4B">
              <w:t xml:space="preserve"> </w:t>
            </w:r>
            <w:r>
              <w:t>o </w:t>
            </w:r>
            <w:r w:rsidR="00537E4B">
              <w:t>malé děti.</w:t>
            </w:r>
          </w:p>
        </w:tc>
        <w:tc>
          <w:tcPr>
            <w:tcW w:w="277" w:type="dxa"/>
          </w:tcPr>
          <w:p w14:paraId="5212C146" w14:textId="77777777" w:rsidR="009E674A" w:rsidRPr="00356158" w:rsidRDefault="009E674A" w:rsidP="006F668F">
            <w:pPr>
              <w:pStyle w:val="Textpoznpodarou"/>
              <w:jc w:val="both"/>
              <w:rPr>
                <w:rFonts w:eastAsia="Times New Roman"/>
                <w:spacing w:val="-2"/>
                <w:sz w:val="16"/>
                <w:szCs w:val="16"/>
              </w:rPr>
            </w:pPr>
          </w:p>
        </w:tc>
        <w:tc>
          <w:tcPr>
            <w:tcW w:w="7391" w:type="dxa"/>
          </w:tcPr>
          <w:p w14:paraId="348D72B2" w14:textId="435BA6AD" w:rsidR="009E674A" w:rsidRPr="00B42156" w:rsidRDefault="009E674A" w:rsidP="006F668F">
            <w:pPr>
              <w:spacing w:after="220"/>
              <w:rPr>
                <w:spacing w:val="-2"/>
                <w:szCs w:val="20"/>
              </w:rPr>
            </w:pPr>
            <w:r w:rsidRPr="00B42156">
              <w:rPr>
                <w:spacing w:val="-2"/>
                <w:szCs w:val="20"/>
              </w:rPr>
              <w:t xml:space="preserve">Jestliže víkendová práce je v některých činnostech </w:t>
            </w:r>
            <w:r>
              <w:rPr>
                <w:spacing w:val="-2"/>
                <w:szCs w:val="20"/>
              </w:rPr>
              <w:t xml:space="preserve">(služby vázané na volnočasové aktivity obyvatelstva, stavebnictví, energetika) přirozená </w:t>
            </w:r>
            <w:r w:rsidR="00BC7833">
              <w:rPr>
                <w:spacing w:val="-2"/>
                <w:szCs w:val="20"/>
              </w:rPr>
              <w:t>a </w:t>
            </w:r>
            <w:r>
              <w:rPr>
                <w:spacing w:val="-2"/>
                <w:szCs w:val="20"/>
              </w:rPr>
              <w:t>zejména v době hospodářského růstu</w:t>
            </w:r>
            <w:r w:rsidRPr="00B42156">
              <w:rPr>
                <w:spacing w:val="-2"/>
                <w:szCs w:val="20"/>
              </w:rPr>
              <w:t xml:space="preserve"> dokonce </w:t>
            </w:r>
            <w:r w:rsidR="00BC7833">
              <w:rPr>
                <w:spacing w:val="-2"/>
                <w:szCs w:val="20"/>
              </w:rPr>
              <w:t>i </w:t>
            </w:r>
            <w:r w:rsidRPr="00B42156">
              <w:rPr>
                <w:spacing w:val="-2"/>
                <w:szCs w:val="20"/>
              </w:rPr>
              <w:t>vítaná forma</w:t>
            </w:r>
            <w:r>
              <w:rPr>
                <w:spacing w:val="-2"/>
                <w:szCs w:val="20"/>
              </w:rPr>
              <w:t xml:space="preserve"> aktivity, v případě směnné</w:t>
            </w:r>
            <w:r w:rsidR="00BC09D5">
              <w:rPr>
                <w:spacing w:val="-2"/>
                <w:szCs w:val="20"/>
              </w:rPr>
              <w:t>,</w:t>
            </w:r>
            <w:r>
              <w:rPr>
                <w:spacing w:val="-2"/>
                <w:szCs w:val="20"/>
              </w:rPr>
              <w:t xml:space="preserve"> či dokonce noční práce jde </w:t>
            </w:r>
            <w:r w:rsidR="00BC7833">
              <w:rPr>
                <w:spacing w:val="-2"/>
                <w:szCs w:val="20"/>
              </w:rPr>
              <w:t>o </w:t>
            </w:r>
            <w:r>
              <w:rPr>
                <w:spacing w:val="-2"/>
                <w:szCs w:val="20"/>
              </w:rPr>
              <w:t xml:space="preserve">formy, které představují pro zaměstnance (bez ohledu na mzdové </w:t>
            </w:r>
            <w:r>
              <w:rPr>
                <w:spacing w:val="-2"/>
                <w:szCs w:val="20"/>
              </w:rPr>
              <w:lastRenderedPageBreak/>
              <w:t>benefity z toho plynoucí) trvale zvýšenou zátěž, v</w:t>
            </w:r>
            <w:r w:rsidR="00BA35F3">
              <w:rPr>
                <w:spacing w:val="-2"/>
                <w:szCs w:val="20"/>
              </w:rPr>
              <w:t>č. </w:t>
            </w:r>
            <w:r>
              <w:rPr>
                <w:spacing w:val="-2"/>
                <w:szCs w:val="20"/>
              </w:rPr>
              <w:t>možných zdravotních důsledků. Práci na směny deklarovalo loni 27,7</w:t>
            </w:r>
            <w:r w:rsidR="006454CC">
              <w:rPr>
                <w:spacing w:val="-2"/>
                <w:szCs w:val="20"/>
              </w:rPr>
              <w:t> %</w:t>
            </w:r>
            <w:r>
              <w:rPr>
                <w:spacing w:val="-2"/>
                <w:szCs w:val="20"/>
              </w:rPr>
              <w:t xml:space="preserve"> všech zaměstnanců, její četnost v celé dostupné časové řadě (od roku 2001) oscilovala mezi 27 až 30</w:t>
            </w:r>
            <w:r w:rsidR="006454CC">
              <w:rPr>
                <w:spacing w:val="-2"/>
                <w:szCs w:val="20"/>
              </w:rPr>
              <w:t> %</w:t>
            </w:r>
            <w:r>
              <w:rPr>
                <w:spacing w:val="-2"/>
                <w:szCs w:val="20"/>
              </w:rPr>
              <w:t xml:space="preserve">. Přesto lze po roce 2015 identifikovat náznak trendu, </w:t>
            </w:r>
            <w:r w:rsidR="00BC7833">
              <w:rPr>
                <w:spacing w:val="-2"/>
                <w:szCs w:val="20"/>
              </w:rPr>
              <w:t>a </w:t>
            </w:r>
            <w:r>
              <w:rPr>
                <w:spacing w:val="-2"/>
                <w:szCs w:val="20"/>
              </w:rPr>
              <w:t>to u</w:t>
            </w:r>
            <w:r w:rsidR="00BC09D5">
              <w:rPr>
                <w:spacing w:val="-2"/>
                <w:szCs w:val="20"/>
              </w:rPr>
              <w:t> </w:t>
            </w:r>
            <w:r>
              <w:rPr>
                <w:spacing w:val="-2"/>
                <w:szCs w:val="20"/>
              </w:rPr>
              <w:t xml:space="preserve">žen, </w:t>
            </w:r>
            <w:r w:rsidR="00BC7833">
              <w:rPr>
                <w:spacing w:val="-2"/>
                <w:szCs w:val="20"/>
              </w:rPr>
              <w:t>u </w:t>
            </w:r>
            <w:r>
              <w:rPr>
                <w:spacing w:val="-2"/>
                <w:szCs w:val="20"/>
              </w:rPr>
              <w:t>nichž se za poslední tři roky podíl směnné práce snížil z 28,9</w:t>
            </w:r>
            <w:r w:rsidR="006454CC">
              <w:rPr>
                <w:spacing w:val="-2"/>
                <w:szCs w:val="20"/>
              </w:rPr>
              <w:t> %</w:t>
            </w:r>
            <w:r>
              <w:rPr>
                <w:spacing w:val="-2"/>
                <w:szCs w:val="20"/>
              </w:rPr>
              <w:t xml:space="preserve"> na 26,2</w:t>
            </w:r>
            <w:r w:rsidR="006454CC">
              <w:rPr>
                <w:spacing w:val="-2"/>
                <w:szCs w:val="20"/>
              </w:rPr>
              <w:t> %</w:t>
            </w:r>
            <w:r>
              <w:rPr>
                <w:spacing w:val="-2"/>
                <w:szCs w:val="20"/>
              </w:rPr>
              <w:t xml:space="preserve">. Podíl mužů praktikujících směnný režim dlouhodobě velmi mírně převyšuje úroveň </w:t>
            </w:r>
            <w:r w:rsidR="00176A60">
              <w:rPr>
                <w:spacing w:val="-2"/>
                <w:szCs w:val="20"/>
              </w:rPr>
              <w:t>žen. Větší rozdíly jsou patrné při analýze věkových skupin</w:t>
            </w:r>
            <w:r>
              <w:rPr>
                <w:spacing w:val="-2"/>
                <w:szCs w:val="20"/>
              </w:rPr>
              <w:t>. Mezi mladými do 2</w:t>
            </w:r>
            <w:r w:rsidR="00D82A1E">
              <w:rPr>
                <w:spacing w:val="-2"/>
                <w:szCs w:val="20"/>
              </w:rPr>
              <w:t>5 </w:t>
            </w:r>
            <w:r>
              <w:rPr>
                <w:spacing w:val="-2"/>
                <w:szCs w:val="20"/>
              </w:rPr>
              <w:t>let takto</w:t>
            </w:r>
            <w:r w:rsidR="00176A60">
              <w:rPr>
                <w:spacing w:val="-2"/>
                <w:szCs w:val="20"/>
              </w:rPr>
              <w:t xml:space="preserve"> loni pracovalo 41</w:t>
            </w:r>
            <w:r w:rsidR="006454CC">
              <w:rPr>
                <w:spacing w:val="-2"/>
                <w:szCs w:val="20"/>
              </w:rPr>
              <w:t> %</w:t>
            </w:r>
            <w:r w:rsidR="00176A60">
              <w:rPr>
                <w:spacing w:val="-2"/>
                <w:szCs w:val="20"/>
              </w:rPr>
              <w:t xml:space="preserve">, </w:t>
            </w:r>
            <w:r w:rsidR="00BC7833">
              <w:rPr>
                <w:spacing w:val="-2"/>
                <w:szCs w:val="20"/>
              </w:rPr>
              <w:t>u </w:t>
            </w:r>
            <w:r w:rsidR="00176A60">
              <w:rPr>
                <w:spacing w:val="-2"/>
                <w:szCs w:val="20"/>
              </w:rPr>
              <w:t>osob 60</w:t>
            </w:r>
            <w:r w:rsidR="00BC09D5">
              <w:rPr>
                <w:spacing w:val="-2"/>
                <w:szCs w:val="20"/>
              </w:rPr>
              <w:t>-</w:t>
            </w:r>
            <w:r w:rsidR="00176A60">
              <w:rPr>
                <w:spacing w:val="-2"/>
                <w:szCs w:val="20"/>
              </w:rPr>
              <w:t xml:space="preserve"> až </w:t>
            </w:r>
            <w:r>
              <w:rPr>
                <w:spacing w:val="-2"/>
                <w:szCs w:val="20"/>
              </w:rPr>
              <w:t xml:space="preserve">64letých </w:t>
            </w:r>
            <w:r w:rsidR="00BC7833">
              <w:rPr>
                <w:spacing w:val="-2"/>
                <w:szCs w:val="20"/>
              </w:rPr>
              <w:t>o </w:t>
            </w:r>
            <w:r>
              <w:rPr>
                <w:spacing w:val="-2"/>
                <w:szCs w:val="20"/>
              </w:rPr>
              <w:t>polovinu méně a mezi seniory nad 6</w:t>
            </w:r>
            <w:r w:rsidR="00D82A1E">
              <w:rPr>
                <w:spacing w:val="-2"/>
                <w:szCs w:val="20"/>
              </w:rPr>
              <w:t>4 </w:t>
            </w:r>
            <w:r>
              <w:rPr>
                <w:spacing w:val="-2"/>
                <w:szCs w:val="20"/>
              </w:rPr>
              <w:t>let pouze 13</w:t>
            </w:r>
            <w:r w:rsidR="006454CC">
              <w:rPr>
                <w:spacing w:val="-2"/>
                <w:szCs w:val="20"/>
              </w:rPr>
              <w:t> %</w:t>
            </w:r>
            <w:r>
              <w:rPr>
                <w:spacing w:val="-2"/>
                <w:szCs w:val="20"/>
              </w:rPr>
              <w:t xml:space="preserve">. Zatímco </w:t>
            </w:r>
            <w:r w:rsidR="00BC7833">
              <w:rPr>
                <w:spacing w:val="-2"/>
                <w:szCs w:val="20"/>
              </w:rPr>
              <w:t>u </w:t>
            </w:r>
            <w:r>
              <w:rPr>
                <w:spacing w:val="-2"/>
                <w:szCs w:val="20"/>
              </w:rPr>
              <w:t xml:space="preserve">mužů klesá četnost směnné práce s dosaženým věkem plynule, </w:t>
            </w:r>
            <w:r w:rsidR="00BC7833">
              <w:rPr>
                <w:spacing w:val="-2"/>
                <w:szCs w:val="20"/>
              </w:rPr>
              <w:t>u </w:t>
            </w:r>
            <w:r>
              <w:rPr>
                <w:spacing w:val="-2"/>
                <w:szCs w:val="20"/>
              </w:rPr>
              <w:t xml:space="preserve">žen je patrný citelný propad ve skupině 25–39letých (související s obtížným skloubením této práce s řádnou péčí </w:t>
            </w:r>
            <w:r w:rsidR="00BC7833">
              <w:rPr>
                <w:spacing w:val="-2"/>
                <w:szCs w:val="20"/>
              </w:rPr>
              <w:t>o </w:t>
            </w:r>
            <w:r>
              <w:rPr>
                <w:spacing w:val="-2"/>
                <w:szCs w:val="20"/>
              </w:rPr>
              <w:t xml:space="preserve">děti) </w:t>
            </w:r>
            <w:r w:rsidR="00BC7833">
              <w:rPr>
                <w:spacing w:val="-2"/>
                <w:szCs w:val="20"/>
              </w:rPr>
              <w:t>a </w:t>
            </w:r>
            <w:r>
              <w:rPr>
                <w:spacing w:val="-2"/>
                <w:szCs w:val="20"/>
              </w:rPr>
              <w:t xml:space="preserve">následný růst ve středním věku (vrcholící ve skupině </w:t>
            </w:r>
            <w:r w:rsidR="00BC09D5">
              <w:rPr>
                <w:spacing w:val="-2"/>
                <w:szCs w:val="20"/>
              </w:rPr>
              <w:br/>
            </w:r>
            <w:r>
              <w:rPr>
                <w:spacing w:val="-2"/>
                <w:szCs w:val="20"/>
              </w:rPr>
              <w:t xml:space="preserve">50–54letých, kde dokonce mírně převyšuje obdobný podíl </w:t>
            </w:r>
            <w:r w:rsidR="00BC7833">
              <w:rPr>
                <w:spacing w:val="-2"/>
                <w:szCs w:val="20"/>
              </w:rPr>
              <w:t>u </w:t>
            </w:r>
            <w:r>
              <w:rPr>
                <w:spacing w:val="-2"/>
                <w:szCs w:val="20"/>
              </w:rPr>
              <w:t xml:space="preserve">směnné práce mužů). Věkový profil </w:t>
            </w:r>
            <w:r w:rsidR="00BC7833">
              <w:rPr>
                <w:spacing w:val="-2"/>
                <w:szCs w:val="20"/>
              </w:rPr>
              <w:t>u </w:t>
            </w:r>
            <w:r>
              <w:rPr>
                <w:spacing w:val="-2"/>
                <w:szCs w:val="20"/>
              </w:rPr>
              <w:t xml:space="preserve">práce na směny se v čase příliš nemění, vyjma krajních věkových skupin. </w:t>
            </w:r>
            <w:r w:rsidR="00BC7833">
              <w:rPr>
                <w:spacing w:val="-2"/>
                <w:szCs w:val="20"/>
              </w:rPr>
              <w:t>U </w:t>
            </w:r>
            <w:r>
              <w:rPr>
                <w:spacing w:val="-2"/>
                <w:szCs w:val="20"/>
              </w:rPr>
              <w:t xml:space="preserve">nich je </w:t>
            </w:r>
            <w:r w:rsidR="00BC09D5">
              <w:rPr>
                <w:spacing w:val="-2"/>
                <w:szCs w:val="20"/>
              </w:rPr>
              <w:t xml:space="preserve">to </w:t>
            </w:r>
            <w:r>
              <w:rPr>
                <w:spacing w:val="-2"/>
                <w:szCs w:val="20"/>
              </w:rPr>
              <w:t>ovlivněn</w:t>
            </w:r>
            <w:r w:rsidR="00BC09D5">
              <w:rPr>
                <w:spacing w:val="-2"/>
                <w:szCs w:val="20"/>
              </w:rPr>
              <w:t>o</w:t>
            </w:r>
            <w:r>
              <w:rPr>
                <w:spacing w:val="-2"/>
                <w:szCs w:val="20"/>
              </w:rPr>
              <w:t xml:space="preserve"> buď nízkým počtem osob na trhu práce (mladí do 2</w:t>
            </w:r>
            <w:r w:rsidR="00D82A1E">
              <w:rPr>
                <w:spacing w:val="-2"/>
                <w:szCs w:val="20"/>
              </w:rPr>
              <w:t>0 </w:t>
            </w:r>
            <w:r>
              <w:rPr>
                <w:spacing w:val="-2"/>
                <w:szCs w:val="20"/>
              </w:rPr>
              <w:t xml:space="preserve">let), nebo </w:t>
            </w:r>
            <w:r w:rsidR="00BC09D5">
              <w:rPr>
                <w:spacing w:val="-2"/>
                <w:szCs w:val="20"/>
              </w:rPr>
              <w:t>posunem</w:t>
            </w:r>
            <w:r>
              <w:rPr>
                <w:spacing w:val="-2"/>
                <w:szCs w:val="20"/>
              </w:rPr>
              <w:t xml:space="preserve"> důchodového věku (ženy ve skupině 60–6</w:t>
            </w:r>
            <w:r w:rsidR="00D82A1E">
              <w:rPr>
                <w:spacing w:val="-2"/>
                <w:szCs w:val="20"/>
              </w:rPr>
              <w:t>4 </w:t>
            </w:r>
            <w:r>
              <w:rPr>
                <w:spacing w:val="-2"/>
                <w:szCs w:val="20"/>
              </w:rPr>
              <w:t>let).</w:t>
            </w:r>
          </w:p>
        </w:tc>
      </w:tr>
      <w:tr w:rsidR="009E674A" w:rsidRPr="0064673E" w14:paraId="0135C7DA" w14:textId="77777777" w:rsidTr="006F668F">
        <w:trPr>
          <w:trHeight w:val="429"/>
        </w:trPr>
        <w:tc>
          <w:tcPr>
            <w:tcW w:w="1976" w:type="dxa"/>
          </w:tcPr>
          <w:p w14:paraId="14701859" w14:textId="77777777" w:rsidR="009E674A" w:rsidRDefault="009E674A" w:rsidP="006F668F">
            <w:pPr>
              <w:pStyle w:val="Marginlie"/>
            </w:pPr>
          </w:p>
        </w:tc>
        <w:tc>
          <w:tcPr>
            <w:tcW w:w="277" w:type="dxa"/>
          </w:tcPr>
          <w:p w14:paraId="2B62D4B1" w14:textId="77777777" w:rsidR="009E674A" w:rsidRPr="005E4483" w:rsidRDefault="009E674A" w:rsidP="006F668F">
            <w:pPr>
              <w:pStyle w:val="Textpoznpodarou"/>
              <w:jc w:val="both"/>
              <w:rPr>
                <w:spacing w:val="-4"/>
              </w:rPr>
            </w:pPr>
          </w:p>
        </w:tc>
        <w:tc>
          <w:tcPr>
            <w:tcW w:w="7391" w:type="dxa"/>
          </w:tcPr>
          <w:p w14:paraId="09865349" w14:textId="77777777" w:rsidR="009E674A" w:rsidRPr="00176A60" w:rsidRDefault="009E674A" w:rsidP="00176A60">
            <w:pPr>
              <w:spacing w:after="0"/>
              <w:jc w:val="left"/>
            </w:pPr>
            <w:r>
              <w:rPr>
                <w:b/>
              </w:rPr>
              <w:t xml:space="preserve">Graf </w:t>
            </w:r>
            <w:r w:rsidR="00BA35F3">
              <w:rPr>
                <w:b/>
              </w:rPr>
              <w:t>č. </w:t>
            </w:r>
            <w:r>
              <w:rPr>
                <w:b/>
              </w:rPr>
              <w:t>15</w:t>
            </w:r>
            <w:r w:rsidRPr="003601A5">
              <w:rPr>
                <w:b/>
              </w:rPr>
              <w:t xml:space="preserve">  </w:t>
            </w:r>
            <w:r>
              <w:rPr>
                <w:b/>
              </w:rPr>
              <w:t>Podíl osob pracujících na směny</w:t>
            </w:r>
            <w:r w:rsidR="00176A60">
              <w:rPr>
                <w:b/>
              </w:rPr>
              <w:t xml:space="preserve"> na všech zaměstnancích v</w:t>
            </w:r>
            <w:r w:rsidR="00176A60">
              <w:rPr>
                <w:spacing w:val="-2"/>
                <w:szCs w:val="20"/>
              </w:rPr>
              <w:t> </w:t>
            </w:r>
            <w:r w:rsidR="00176A60" w:rsidRPr="00590429">
              <w:rPr>
                <w:b/>
                <w:spacing w:val="-3"/>
              </w:rPr>
              <w:t>příslušné sociodemografické skupině</w:t>
            </w:r>
            <w:r w:rsidR="00176A60">
              <w:rPr>
                <w:spacing w:val="-3"/>
              </w:rPr>
              <w:t xml:space="preserve"> (v</w:t>
            </w:r>
            <w:r w:rsidR="006454CC">
              <w:rPr>
                <w:spacing w:val="-3"/>
              </w:rPr>
              <w:t> %</w:t>
            </w:r>
            <w:r w:rsidR="00176A60" w:rsidRPr="00555090">
              <w:rPr>
                <w:spacing w:val="-3"/>
              </w:rPr>
              <w:t>)</w:t>
            </w:r>
          </w:p>
        </w:tc>
      </w:tr>
      <w:tr w:rsidR="009E674A" w:rsidRPr="0064673E" w14:paraId="74A1887E" w14:textId="77777777" w:rsidTr="006F4BFC">
        <w:tblPrEx>
          <w:tblCellMar>
            <w:left w:w="70" w:type="dxa"/>
            <w:right w:w="70" w:type="dxa"/>
          </w:tblCellMar>
        </w:tblPrEx>
        <w:trPr>
          <w:trHeight w:val="429"/>
        </w:trPr>
        <w:tc>
          <w:tcPr>
            <w:tcW w:w="1976" w:type="dxa"/>
          </w:tcPr>
          <w:p w14:paraId="0740AFBE" w14:textId="77777777" w:rsidR="009E674A" w:rsidRDefault="009E674A" w:rsidP="006F668F">
            <w:pPr>
              <w:pStyle w:val="Marginlie"/>
            </w:pPr>
          </w:p>
        </w:tc>
        <w:tc>
          <w:tcPr>
            <w:tcW w:w="277" w:type="dxa"/>
          </w:tcPr>
          <w:p w14:paraId="57A2D2AE" w14:textId="77777777" w:rsidR="009E674A" w:rsidRPr="005E4483" w:rsidRDefault="009E674A" w:rsidP="006F668F">
            <w:pPr>
              <w:pStyle w:val="Textpoznpodarou"/>
              <w:jc w:val="both"/>
              <w:rPr>
                <w:spacing w:val="-4"/>
              </w:rPr>
            </w:pPr>
          </w:p>
        </w:tc>
        <w:tc>
          <w:tcPr>
            <w:tcW w:w="7391" w:type="dxa"/>
          </w:tcPr>
          <w:p w14:paraId="1C794D92" w14:textId="4FBD80A5" w:rsidR="009E674A" w:rsidRPr="0064673E" w:rsidRDefault="006F4BFC" w:rsidP="006F668F">
            <w:pPr>
              <w:spacing w:after="0" w:line="240" w:lineRule="auto"/>
              <w:jc w:val="left"/>
              <w:rPr>
                <w:rFonts w:cs="Arial"/>
                <w:sz w:val="14"/>
                <w:szCs w:val="14"/>
              </w:rPr>
            </w:pPr>
            <w:r>
              <w:rPr>
                <w:noProof/>
              </w:rPr>
              <w:drawing>
                <wp:inline distT="0" distB="0" distL="0" distR="0" wp14:anchorId="33FD0E03" wp14:editId="509A3AB3">
                  <wp:extent cx="4585921" cy="3524250"/>
                  <wp:effectExtent l="0" t="0" r="5715"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9E674A" w:rsidRPr="0064673E" w14:paraId="5CD9DF93" w14:textId="77777777" w:rsidTr="006F668F">
        <w:trPr>
          <w:trHeight w:val="429"/>
        </w:trPr>
        <w:tc>
          <w:tcPr>
            <w:tcW w:w="1976" w:type="dxa"/>
          </w:tcPr>
          <w:p w14:paraId="73FE3B49" w14:textId="77777777" w:rsidR="009E674A" w:rsidRDefault="009E674A" w:rsidP="006F668F">
            <w:pPr>
              <w:pStyle w:val="Marginlie"/>
            </w:pPr>
          </w:p>
        </w:tc>
        <w:tc>
          <w:tcPr>
            <w:tcW w:w="277" w:type="dxa"/>
          </w:tcPr>
          <w:p w14:paraId="7B3566E9" w14:textId="77777777" w:rsidR="009E674A" w:rsidRPr="005E4483" w:rsidRDefault="009E674A" w:rsidP="006F668F">
            <w:pPr>
              <w:pStyle w:val="Textpoznpodarou"/>
              <w:jc w:val="both"/>
              <w:rPr>
                <w:spacing w:val="-4"/>
              </w:rPr>
            </w:pPr>
          </w:p>
        </w:tc>
        <w:tc>
          <w:tcPr>
            <w:tcW w:w="7391" w:type="dxa"/>
          </w:tcPr>
          <w:p w14:paraId="4ABA018A" w14:textId="77777777" w:rsidR="009E674A" w:rsidRPr="0064673E" w:rsidRDefault="009E674A" w:rsidP="006F668F">
            <w:pPr>
              <w:spacing w:after="0" w:line="240" w:lineRule="auto"/>
              <w:jc w:val="left"/>
              <w:rPr>
                <w:rFonts w:cs="Arial"/>
                <w:sz w:val="14"/>
                <w:szCs w:val="14"/>
              </w:rPr>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rsidRPr="0064673E" w14:paraId="2FBBDA6B" w14:textId="77777777" w:rsidTr="006F668F">
        <w:trPr>
          <w:trHeight w:val="429"/>
        </w:trPr>
        <w:tc>
          <w:tcPr>
            <w:tcW w:w="1976" w:type="dxa"/>
          </w:tcPr>
          <w:p w14:paraId="2D62FF71" w14:textId="11D9D0E6" w:rsidR="009E674A" w:rsidRDefault="009E674A" w:rsidP="006F668F">
            <w:pPr>
              <w:pStyle w:val="Marginlie"/>
            </w:pPr>
            <w:r>
              <w:t>Podíl pracujících na směny se výrazně liší dle odvětví. Mezi muži dominuje v ubytování, stravování</w:t>
            </w:r>
            <w:r w:rsidR="003A5473">
              <w:t xml:space="preserve"> a </w:t>
            </w:r>
            <w:r>
              <w:t>pohostinství, u žen ve zdravotní a sociální péči.</w:t>
            </w:r>
          </w:p>
        </w:tc>
        <w:tc>
          <w:tcPr>
            <w:tcW w:w="277" w:type="dxa"/>
          </w:tcPr>
          <w:p w14:paraId="49EE6140" w14:textId="77777777" w:rsidR="009E674A" w:rsidRPr="00356158" w:rsidRDefault="009E674A" w:rsidP="006F668F">
            <w:pPr>
              <w:pStyle w:val="Textpoznpodarou"/>
              <w:jc w:val="both"/>
              <w:rPr>
                <w:rFonts w:eastAsia="Times New Roman"/>
                <w:spacing w:val="-2"/>
                <w:sz w:val="16"/>
                <w:szCs w:val="16"/>
              </w:rPr>
            </w:pPr>
          </w:p>
        </w:tc>
        <w:tc>
          <w:tcPr>
            <w:tcW w:w="7391" w:type="dxa"/>
          </w:tcPr>
          <w:p w14:paraId="5915ADDD" w14:textId="2E16009B" w:rsidR="009E674A" w:rsidRPr="00E46DDF" w:rsidRDefault="009E674A" w:rsidP="006F668F">
            <w:pPr>
              <w:spacing w:after="220"/>
              <w:rPr>
                <w:spacing w:val="-2"/>
                <w:szCs w:val="20"/>
              </w:rPr>
            </w:pPr>
            <w:r>
              <w:rPr>
                <w:spacing w:val="-2"/>
                <w:szCs w:val="20"/>
              </w:rPr>
              <w:t xml:space="preserve">Práce na směny souvisí </w:t>
            </w:r>
            <w:r w:rsidR="00BC7833">
              <w:rPr>
                <w:spacing w:val="-2"/>
                <w:szCs w:val="20"/>
              </w:rPr>
              <w:t>i </w:t>
            </w:r>
            <w:r>
              <w:rPr>
                <w:spacing w:val="-2"/>
                <w:szCs w:val="20"/>
              </w:rPr>
              <w:t xml:space="preserve">s odvětvím působnosti zaměstnance. Mezi muži jich touto formou dlouhodobě pracuje nadpoloviční část </w:t>
            </w:r>
            <w:r w:rsidR="00BC7833">
              <w:rPr>
                <w:spacing w:val="-2"/>
                <w:szCs w:val="20"/>
              </w:rPr>
              <w:t>v </w:t>
            </w:r>
            <w:r>
              <w:rPr>
                <w:spacing w:val="-2"/>
                <w:szCs w:val="20"/>
              </w:rPr>
              <w:t xml:space="preserve">ubytování, stravování a pohostinství </w:t>
            </w:r>
            <w:r w:rsidR="00BC7833">
              <w:rPr>
                <w:spacing w:val="-2"/>
                <w:szCs w:val="20"/>
              </w:rPr>
              <w:t>a </w:t>
            </w:r>
            <w:r>
              <w:rPr>
                <w:spacing w:val="-2"/>
                <w:szCs w:val="20"/>
              </w:rPr>
              <w:t xml:space="preserve">též v těžbě </w:t>
            </w:r>
            <w:r w:rsidR="00BC7833">
              <w:rPr>
                <w:spacing w:val="-2"/>
                <w:szCs w:val="20"/>
              </w:rPr>
              <w:t>a </w:t>
            </w:r>
            <w:r>
              <w:rPr>
                <w:spacing w:val="-2"/>
                <w:szCs w:val="20"/>
              </w:rPr>
              <w:t>dobývání. Kolem 40</w:t>
            </w:r>
            <w:r w:rsidR="006454CC">
              <w:rPr>
                <w:spacing w:val="-2"/>
                <w:szCs w:val="20"/>
              </w:rPr>
              <w:t> %</w:t>
            </w:r>
            <w:r>
              <w:rPr>
                <w:spacing w:val="-2"/>
                <w:szCs w:val="20"/>
              </w:rPr>
              <w:t xml:space="preserve"> dosahuje také v energetice, dopravě a skladování </w:t>
            </w:r>
            <w:r w:rsidR="00BC7833">
              <w:rPr>
                <w:spacing w:val="-2"/>
                <w:szCs w:val="20"/>
              </w:rPr>
              <w:t>a </w:t>
            </w:r>
            <w:r>
              <w:rPr>
                <w:spacing w:val="-2"/>
                <w:szCs w:val="20"/>
              </w:rPr>
              <w:t xml:space="preserve">rovněž ve zpracovatelském průmyslu (kde působí více než polovina z celkového absolutního počtu takto zaměstnaných mužů). </w:t>
            </w:r>
            <w:r w:rsidR="00BC7833">
              <w:rPr>
                <w:spacing w:val="-2"/>
                <w:szCs w:val="20"/>
              </w:rPr>
              <w:t>U </w:t>
            </w:r>
            <w:r>
              <w:rPr>
                <w:spacing w:val="-2"/>
                <w:szCs w:val="20"/>
              </w:rPr>
              <w:t>žen dominují s</w:t>
            </w:r>
            <w:r w:rsidR="003A5473">
              <w:rPr>
                <w:spacing w:val="-2"/>
                <w:szCs w:val="20"/>
              </w:rPr>
              <w:t xml:space="preserve">e </w:t>
            </w:r>
            <w:r>
              <w:rPr>
                <w:spacing w:val="-2"/>
                <w:szCs w:val="20"/>
              </w:rPr>
              <w:t>40</w:t>
            </w:r>
            <w:r w:rsidR="006454CC">
              <w:rPr>
                <w:spacing w:val="-2"/>
                <w:szCs w:val="20"/>
              </w:rPr>
              <w:t xml:space="preserve">% </w:t>
            </w:r>
            <w:r>
              <w:rPr>
                <w:spacing w:val="-2"/>
                <w:szCs w:val="20"/>
              </w:rPr>
              <w:t xml:space="preserve">zastoupením odvětví zdravotní </w:t>
            </w:r>
            <w:r w:rsidR="00BC7833">
              <w:rPr>
                <w:spacing w:val="-2"/>
                <w:szCs w:val="20"/>
              </w:rPr>
              <w:t>a </w:t>
            </w:r>
            <w:r>
              <w:rPr>
                <w:spacing w:val="-2"/>
                <w:szCs w:val="20"/>
              </w:rPr>
              <w:t xml:space="preserve">sociální péče </w:t>
            </w:r>
            <w:r w:rsidR="00BC7833">
              <w:rPr>
                <w:spacing w:val="-2"/>
                <w:szCs w:val="20"/>
              </w:rPr>
              <w:t>a </w:t>
            </w:r>
            <w:r>
              <w:rPr>
                <w:spacing w:val="-2"/>
                <w:szCs w:val="20"/>
              </w:rPr>
              <w:t xml:space="preserve">uskupení obchod, ubytování, stravování a pohostinství. Se směnným režimem úzce souvisí </w:t>
            </w:r>
            <w:r w:rsidR="00BC7833">
              <w:rPr>
                <w:spacing w:val="-2"/>
                <w:szCs w:val="20"/>
              </w:rPr>
              <w:t>i </w:t>
            </w:r>
            <w:r>
              <w:rPr>
                <w:spacing w:val="-2"/>
                <w:szCs w:val="20"/>
              </w:rPr>
              <w:t xml:space="preserve">noční práce, která se navíc týká všech osob na trhu práce. Dlouhodobě je noční práce obvyklá pro 5 % zaměstnaných, </w:t>
            </w:r>
            <w:r w:rsidR="003A5473">
              <w:rPr>
                <w:spacing w:val="-2"/>
                <w:szCs w:val="20"/>
              </w:rPr>
              <w:t xml:space="preserve">občas </w:t>
            </w:r>
            <w:r>
              <w:rPr>
                <w:spacing w:val="-2"/>
                <w:szCs w:val="20"/>
              </w:rPr>
              <w:t xml:space="preserve">ji navíc praktikuje každý osmý až devátý. Mezi zaměstnanci je zhruba dvakrát častější než </w:t>
            </w:r>
            <w:r w:rsidR="00BC7833">
              <w:rPr>
                <w:spacing w:val="-2"/>
                <w:szCs w:val="20"/>
              </w:rPr>
              <w:t>u </w:t>
            </w:r>
            <w:r>
              <w:rPr>
                <w:spacing w:val="-2"/>
                <w:szCs w:val="20"/>
              </w:rPr>
              <w:t xml:space="preserve">všech podnikatelů. Těsná vazba směnné </w:t>
            </w:r>
            <w:r w:rsidR="00BC7833">
              <w:rPr>
                <w:spacing w:val="-2"/>
                <w:szCs w:val="20"/>
              </w:rPr>
              <w:t>i </w:t>
            </w:r>
            <w:r>
              <w:rPr>
                <w:spacing w:val="-2"/>
                <w:szCs w:val="20"/>
              </w:rPr>
              <w:t xml:space="preserve">noční práce na odvětvovou skladbu ekonomiky vysvětluje fakt, že jejich podíl se v dlouhodobějším </w:t>
            </w:r>
            <w:r>
              <w:rPr>
                <w:spacing w:val="-2"/>
                <w:szCs w:val="20"/>
              </w:rPr>
              <w:lastRenderedPageBreak/>
              <w:t xml:space="preserve">pohledu výrazněji nemění. Ovlivňuje </w:t>
            </w:r>
            <w:r w:rsidR="00BC7833">
              <w:rPr>
                <w:spacing w:val="-2"/>
                <w:szCs w:val="20"/>
              </w:rPr>
              <w:t>i </w:t>
            </w:r>
            <w:r>
              <w:rPr>
                <w:spacing w:val="-2"/>
                <w:szCs w:val="20"/>
              </w:rPr>
              <w:t>mezinárodní postavení. Podíl pracujících na směny byl loni v ČR šestý nejvyšší v EU (</w:t>
            </w:r>
            <w:r w:rsidR="00BC7833">
              <w:rPr>
                <w:spacing w:val="-2"/>
                <w:szCs w:val="20"/>
              </w:rPr>
              <w:t>v </w:t>
            </w:r>
            <w:r>
              <w:rPr>
                <w:spacing w:val="-2"/>
                <w:szCs w:val="20"/>
              </w:rPr>
              <w:t>níž činil 18</w:t>
            </w:r>
            <w:r w:rsidR="006454CC">
              <w:rPr>
                <w:spacing w:val="-2"/>
                <w:szCs w:val="20"/>
              </w:rPr>
              <w:t> %</w:t>
            </w:r>
            <w:r>
              <w:rPr>
                <w:spacing w:val="-2"/>
                <w:szCs w:val="20"/>
              </w:rPr>
              <w:t>).</w:t>
            </w:r>
          </w:p>
        </w:tc>
      </w:tr>
      <w:tr w:rsidR="009E674A" w:rsidRPr="0064673E" w14:paraId="13B63B95" w14:textId="77777777" w:rsidTr="006F668F">
        <w:trPr>
          <w:trHeight w:val="429"/>
        </w:trPr>
        <w:tc>
          <w:tcPr>
            <w:tcW w:w="1976" w:type="dxa"/>
          </w:tcPr>
          <w:p w14:paraId="54B6FA42" w14:textId="3C789C49" w:rsidR="009E674A" w:rsidRDefault="009E674A" w:rsidP="006F668F">
            <w:pPr>
              <w:pStyle w:val="Marginlie"/>
            </w:pPr>
            <w:r>
              <w:lastRenderedPageBreak/>
              <w:t>Podíl zaměstnaných s dlouhou pracovní dobou se za posledních deset let snížil ze 17,3</w:t>
            </w:r>
            <w:r w:rsidR="006454CC">
              <w:t> %</w:t>
            </w:r>
            <w:r>
              <w:t xml:space="preserve"> na 11,4</w:t>
            </w:r>
            <w:r w:rsidR="006454CC">
              <w:t> %</w:t>
            </w:r>
            <w:r>
              <w:t>.</w:t>
            </w:r>
          </w:p>
        </w:tc>
        <w:tc>
          <w:tcPr>
            <w:tcW w:w="277" w:type="dxa"/>
          </w:tcPr>
          <w:p w14:paraId="0AABA972" w14:textId="77777777" w:rsidR="009E674A" w:rsidRPr="00356158" w:rsidRDefault="009E674A" w:rsidP="006F668F">
            <w:pPr>
              <w:pStyle w:val="Textpoznpodarou"/>
              <w:jc w:val="both"/>
              <w:rPr>
                <w:rFonts w:eastAsia="Times New Roman"/>
                <w:spacing w:val="-2"/>
                <w:sz w:val="16"/>
                <w:szCs w:val="16"/>
              </w:rPr>
            </w:pPr>
          </w:p>
        </w:tc>
        <w:tc>
          <w:tcPr>
            <w:tcW w:w="7391" w:type="dxa"/>
          </w:tcPr>
          <w:p w14:paraId="76902A5D" w14:textId="7A1074DB" w:rsidR="009E674A" w:rsidRPr="00E46DDF" w:rsidRDefault="009E674A" w:rsidP="006F668F">
            <w:pPr>
              <w:spacing w:after="220"/>
              <w:rPr>
                <w:spacing w:val="-2"/>
                <w:szCs w:val="20"/>
              </w:rPr>
            </w:pPr>
            <w:r>
              <w:rPr>
                <w:spacing w:val="-2"/>
                <w:szCs w:val="20"/>
              </w:rPr>
              <w:t>Po roce 2008 dochází k poklesu podílu osob s dlouhou pracovní dobou (nad 4</w:t>
            </w:r>
            <w:r w:rsidR="00D82A1E">
              <w:rPr>
                <w:spacing w:val="-2"/>
                <w:szCs w:val="20"/>
              </w:rPr>
              <w:t>8 </w:t>
            </w:r>
            <w:r>
              <w:rPr>
                <w:spacing w:val="-2"/>
                <w:szCs w:val="20"/>
              </w:rPr>
              <w:t>hodin týdně). Tuto loni uvedlo 11,4</w:t>
            </w:r>
            <w:r w:rsidR="006454CC">
              <w:rPr>
                <w:spacing w:val="-2"/>
                <w:szCs w:val="20"/>
              </w:rPr>
              <w:t> %</w:t>
            </w:r>
            <w:r>
              <w:rPr>
                <w:spacing w:val="-2"/>
                <w:szCs w:val="20"/>
              </w:rPr>
              <w:t xml:space="preserve"> pracovníků, </w:t>
            </w:r>
            <w:r w:rsidR="00BC7833">
              <w:rPr>
                <w:spacing w:val="-2"/>
                <w:szCs w:val="20"/>
              </w:rPr>
              <w:t>o </w:t>
            </w:r>
            <w:r>
              <w:rPr>
                <w:spacing w:val="-2"/>
                <w:szCs w:val="20"/>
              </w:rPr>
              <w:t xml:space="preserve">deset let dříve byla jejich četnost </w:t>
            </w:r>
            <w:r w:rsidR="00BC7833">
              <w:rPr>
                <w:spacing w:val="-2"/>
                <w:szCs w:val="20"/>
              </w:rPr>
              <w:t>o </w:t>
            </w:r>
            <w:r>
              <w:rPr>
                <w:spacing w:val="-2"/>
                <w:szCs w:val="20"/>
              </w:rPr>
              <w:t xml:space="preserve">polovinu vyšší. Přispěl k tomu hlavně vývoj do roku 2014, kdy tento pokles souvisel také se snižováním průměrného počtu odpracovaných hodin na zaměstnaného v celé ekonomice. Snížení délky pracovní doby bylo doprovázeno </w:t>
            </w:r>
            <w:r w:rsidR="00BC7833">
              <w:rPr>
                <w:spacing w:val="-2"/>
                <w:szCs w:val="20"/>
              </w:rPr>
              <w:t>i </w:t>
            </w:r>
            <w:r>
              <w:rPr>
                <w:spacing w:val="-2"/>
                <w:szCs w:val="20"/>
              </w:rPr>
              <w:t xml:space="preserve">pozvolným růstem částečných úvazků, zejména </w:t>
            </w:r>
            <w:r w:rsidR="00BC7833">
              <w:rPr>
                <w:spacing w:val="-2"/>
                <w:szCs w:val="20"/>
              </w:rPr>
              <w:t>u </w:t>
            </w:r>
            <w:r>
              <w:rPr>
                <w:spacing w:val="-2"/>
                <w:szCs w:val="20"/>
              </w:rPr>
              <w:t xml:space="preserve">žen. Podíl osob s dlouhou obvyklou pracovní dobou byl v roce 2018 </w:t>
            </w:r>
            <w:r w:rsidR="00BC7833">
              <w:rPr>
                <w:spacing w:val="-2"/>
                <w:szCs w:val="20"/>
              </w:rPr>
              <w:t>u </w:t>
            </w:r>
            <w:r>
              <w:rPr>
                <w:spacing w:val="-2"/>
                <w:szCs w:val="20"/>
              </w:rPr>
              <w:t xml:space="preserve">mužů čtyřikrát vyšší než </w:t>
            </w:r>
            <w:r w:rsidR="00BC7833">
              <w:rPr>
                <w:spacing w:val="-2"/>
                <w:szCs w:val="20"/>
              </w:rPr>
              <w:t>u </w:t>
            </w:r>
            <w:r>
              <w:rPr>
                <w:spacing w:val="-2"/>
                <w:szCs w:val="20"/>
              </w:rPr>
              <w:t>žen.</w:t>
            </w:r>
          </w:p>
        </w:tc>
      </w:tr>
      <w:tr w:rsidR="009E674A" w:rsidRPr="0064673E" w14:paraId="5007E8AF" w14:textId="77777777" w:rsidTr="006F668F">
        <w:trPr>
          <w:trHeight w:val="429"/>
        </w:trPr>
        <w:tc>
          <w:tcPr>
            <w:tcW w:w="1976" w:type="dxa"/>
          </w:tcPr>
          <w:p w14:paraId="5118781A" w14:textId="77777777" w:rsidR="009E674A" w:rsidRDefault="009E674A" w:rsidP="006F668F">
            <w:pPr>
              <w:pStyle w:val="Marginlie"/>
            </w:pPr>
          </w:p>
        </w:tc>
        <w:tc>
          <w:tcPr>
            <w:tcW w:w="277" w:type="dxa"/>
          </w:tcPr>
          <w:p w14:paraId="32C46765" w14:textId="77777777" w:rsidR="009E674A" w:rsidRPr="005E4483" w:rsidRDefault="009E674A" w:rsidP="006F668F">
            <w:pPr>
              <w:pStyle w:val="Textpoznpodarou"/>
              <w:jc w:val="both"/>
              <w:rPr>
                <w:spacing w:val="-4"/>
              </w:rPr>
            </w:pPr>
          </w:p>
        </w:tc>
        <w:tc>
          <w:tcPr>
            <w:tcW w:w="7391" w:type="dxa"/>
          </w:tcPr>
          <w:p w14:paraId="33BF6163" w14:textId="22A87E75" w:rsidR="009E674A" w:rsidRPr="00C703AD" w:rsidRDefault="009E674A" w:rsidP="0015045D">
            <w:pPr>
              <w:spacing w:after="0"/>
              <w:jc w:val="left"/>
            </w:pPr>
            <w:r>
              <w:rPr>
                <w:b/>
              </w:rPr>
              <w:t xml:space="preserve">Graf </w:t>
            </w:r>
            <w:r w:rsidR="00BA35F3">
              <w:rPr>
                <w:b/>
              </w:rPr>
              <w:t>č. </w:t>
            </w:r>
            <w:r>
              <w:rPr>
                <w:b/>
              </w:rPr>
              <w:t>16</w:t>
            </w:r>
            <w:r w:rsidRPr="003601A5">
              <w:rPr>
                <w:b/>
              </w:rPr>
              <w:t xml:space="preserve">  </w:t>
            </w:r>
            <w:r>
              <w:rPr>
                <w:b/>
              </w:rPr>
              <w:t xml:space="preserve">Podíl </w:t>
            </w:r>
            <w:r w:rsidR="0015045D">
              <w:rPr>
                <w:b/>
              </w:rPr>
              <w:t xml:space="preserve">zaměstnaných </w:t>
            </w:r>
            <w:r w:rsidR="00B62D21">
              <w:rPr>
                <w:b/>
              </w:rPr>
              <w:t xml:space="preserve">osob </w:t>
            </w:r>
            <w:r>
              <w:rPr>
                <w:b/>
              </w:rPr>
              <w:t>ve věku 15 až 6</w:t>
            </w:r>
            <w:r w:rsidR="00D82A1E">
              <w:rPr>
                <w:b/>
              </w:rPr>
              <w:t>4 </w:t>
            </w:r>
            <w:r>
              <w:rPr>
                <w:b/>
              </w:rPr>
              <w:t>let, které odpracovaly obvykle více než 4</w:t>
            </w:r>
            <w:r w:rsidR="00D82A1E">
              <w:rPr>
                <w:b/>
              </w:rPr>
              <w:t>8 </w:t>
            </w:r>
            <w:r>
              <w:rPr>
                <w:b/>
              </w:rPr>
              <w:t xml:space="preserve">hodin týdně </w:t>
            </w:r>
            <w:r>
              <w:t>(</w:t>
            </w:r>
            <w:r w:rsidR="0015045D">
              <w:t>v</w:t>
            </w:r>
            <w:r w:rsidR="006454CC">
              <w:t> %</w:t>
            </w:r>
            <w:r w:rsidR="0015045D">
              <w:t>)</w:t>
            </w:r>
          </w:p>
        </w:tc>
      </w:tr>
      <w:tr w:rsidR="009E674A" w:rsidRPr="0064673E" w14:paraId="0B453F96" w14:textId="77777777" w:rsidTr="006901FF">
        <w:tblPrEx>
          <w:tblCellMar>
            <w:left w:w="70" w:type="dxa"/>
            <w:right w:w="70" w:type="dxa"/>
          </w:tblCellMar>
        </w:tblPrEx>
        <w:trPr>
          <w:trHeight w:val="429"/>
        </w:trPr>
        <w:tc>
          <w:tcPr>
            <w:tcW w:w="1976" w:type="dxa"/>
          </w:tcPr>
          <w:p w14:paraId="5A76539F" w14:textId="77777777" w:rsidR="009E674A" w:rsidRDefault="009E674A" w:rsidP="006F668F">
            <w:pPr>
              <w:pStyle w:val="Marginlie"/>
            </w:pPr>
          </w:p>
        </w:tc>
        <w:tc>
          <w:tcPr>
            <w:tcW w:w="277" w:type="dxa"/>
          </w:tcPr>
          <w:p w14:paraId="0872D0A2" w14:textId="77777777" w:rsidR="009E674A" w:rsidRPr="005E4483" w:rsidRDefault="009E674A" w:rsidP="006F668F">
            <w:pPr>
              <w:pStyle w:val="Textpoznpodarou"/>
              <w:jc w:val="both"/>
              <w:rPr>
                <w:spacing w:val="-4"/>
              </w:rPr>
            </w:pPr>
          </w:p>
        </w:tc>
        <w:tc>
          <w:tcPr>
            <w:tcW w:w="7391" w:type="dxa"/>
          </w:tcPr>
          <w:p w14:paraId="37BA9079" w14:textId="768DB9CC" w:rsidR="009E674A" w:rsidRPr="0064673E" w:rsidRDefault="006901FF" w:rsidP="006F668F">
            <w:pPr>
              <w:spacing w:after="0" w:line="240" w:lineRule="auto"/>
              <w:jc w:val="left"/>
              <w:rPr>
                <w:rFonts w:cs="Arial"/>
                <w:sz w:val="14"/>
                <w:szCs w:val="14"/>
              </w:rPr>
            </w:pPr>
            <w:r>
              <w:rPr>
                <w:noProof/>
              </w:rPr>
              <w:drawing>
                <wp:inline distT="0" distB="0" distL="0" distR="0" wp14:anchorId="361DAD63" wp14:editId="464205E8">
                  <wp:extent cx="4585921" cy="3496099"/>
                  <wp:effectExtent l="0" t="0" r="5715"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9E674A" w:rsidRPr="0064673E" w14:paraId="44452AE5" w14:textId="77777777" w:rsidTr="006F668F">
        <w:trPr>
          <w:trHeight w:val="429"/>
        </w:trPr>
        <w:tc>
          <w:tcPr>
            <w:tcW w:w="1976" w:type="dxa"/>
          </w:tcPr>
          <w:p w14:paraId="7AA517DC" w14:textId="77777777" w:rsidR="009E674A" w:rsidRDefault="009E674A" w:rsidP="006F668F">
            <w:pPr>
              <w:pStyle w:val="Marginlie"/>
            </w:pPr>
          </w:p>
        </w:tc>
        <w:tc>
          <w:tcPr>
            <w:tcW w:w="277" w:type="dxa"/>
          </w:tcPr>
          <w:p w14:paraId="2A913FDF" w14:textId="77777777" w:rsidR="009E674A" w:rsidRPr="005E4483" w:rsidRDefault="009E674A" w:rsidP="006F668F">
            <w:pPr>
              <w:pStyle w:val="Textpoznpodarou"/>
              <w:jc w:val="both"/>
              <w:rPr>
                <w:spacing w:val="-4"/>
              </w:rPr>
            </w:pPr>
          </w:p>
        </w:tc>
        <w:tc>
          <w:tcPr>
            <w:tcW w:w="7391" w:type="dxa"/>
          </w:tcPr>
          <w:p w14:paraId="214C05B0" w14:textId="6F2660A2" w:rsidR="009E674A" w:rsidRDefault="009E674A" w:rsidP="006F668F">
            <w:pPr>
              <w:spacing w:after="0" w:line="240" w:lineRule="auto"/>
              <w:jc w:val="left"/>
              <w:rPr>
                <w:rFonts w:cs="Arial"/>
                <w:sz w:val="14"/>
                <w:szCs w:val="14"/>
              </w:rPr>
            </w:pPr>
            <w:r>
              <w:rPr>
                <w:rFonts w:cs="Arial"/>
                <w:sz w:val="14"/>
                <w:szCs w:val="14"/>
              </w:rPr>
              <w:t>Poznámka: Z důvodu snížené vypovídací schopnosti nejsou v některých třídách zaměstnanosti uvedeny údaje za zaměstnavatele, resp.</w:t>
            </w:r>
            <w:r w:rsidR="00B62D21">
              <w:rPr>
                <w:rFonts w:cs="Arial"/>
                <w:sz w:val="14"/>
                <w:szCs w:val="14"/>
              </w:rPr>
              <w:t> </w:t>
            </w:r>
            <w:r>
              <w:rPr>
                <w:rFonts w:cs="Arial"/>
                <w:sz w:val="14"/>
                <w:szCs w:val="14"/>
              </w:rPr>
              <w:t>všechny podnikající osoby.</w:t>
            </w:r>
          </w:p>
          <w:p w14:paraId="7C82E2D6" w14:textId="77777777" w:rsidR="009E674A" w:rsidRPr="0064673E" w:rsidRDefault="009E674A" w:rsidP="006F668F">
            <w:pPr>
              <w:spacing w:after="220" w:line="240" w:lineRule="auto"/>
              <w:jc w:val="left"/>
              <w:rPr>
                <w:rFonts w:cs="Arial"/>
                <w:sz w:val="14"/>
                <w:szCs w:val="14"/>
              </w:rPr>
            </w:pPr>
            <w:r>
              <w:rPr>
                <w:rFonts w:cs="Arial"/>
                <w:sz w:val="14"/>
                <w:szCs w:val="14"/>
              </w:rPr>
              <w:t xml:space="preserve">Zdroj: Eurostat </w:t>
            </w:r>
            <w:r w:rsidR="00BC7833">
              <w:rPr>
                <w:rFonts w:cs="Arial"/>
                <w:sz w:val="14"/>
                <w:szCs w:val="14"/>
              </w:rPr>
              <w:t>a </w:t>
            </w:r>
            <w:r>
              <w:rPr>
                <w:rFonts w:cs="Arial"/>
                <w:sz w:val="14"/>
                <w:szCs w:val="14"/>
              </w:rPr>
              <w:t>ČSÚ (VŠPS)</w:t>
            </w:r>
          </w:p>
        </w:tc>
      </w:tr>
      <w:tr w:rsidR="009E674A" w:rsidRPr="0064673E" w14:paraId="550C9997" w14:textId="77777777" w:rsidTr="006F668F">
        <w:trPr>
          <w:trHeight w:val="429"/>
        </w:trPr>
        <w:tc>
          <w:tcPr>
            <w:tcW w:w="1976" w:type="dxa"/>
          </w:tcPr>
          <w:p w14:paraId="2C8B7679" w14:textId="77777777" w:rsidR="009E674A" w:rsidRDefault="009E674A" w:rsidP="006F668F">
            <w:pPr>
              <w:pStyle w:val="Marginlie"/>
            </w:pPr>
            <w:r>
              <w:t>Delší pracovní doba se výrazně liší v závislosti na postavení v zaměstnání. Mezi zaměstnanci, kde je její podíl nejnižší, v poslední dekádě plynule klesala.</w:t>
            </w:r>
          </w:p>
          <w:p w14:paraId="7D4CCD48" w14:textId="77777777" w:rsidR="009E674A" w:rsidRDefault="009E674A" w:rsidP="006F668F">
            <w:pPr>
              <w:pStyle w:val="Marginlie"/>
            </w:pPr>
          </w:p>
          <w:p w14:paraId="066C2E62" w14:textId="77777777" w:rsidR="009E674A" w:rsidRDefault="009E674A" w:rsidP="006F668F">
            <w:pPr>
              <w:pStyle w:val="Marginlie"/>
            </w:pPr>
          </w:p>
          <w:p w14:paraId="7F3C1660" w14:textId="77777777" w:rsidR="009E674A" w:rsidRDefault="009E674A" w:rsidP="006F668F">
            <w:pPr>
              <w:pStyle w:val="Marginlie"/>
            </w:pPr>
          </w:p>
          <w:p w14:paraId="3F336A98" w14:textId="77777777" w:rsidR="009E674A" w:rsidRDefault="009E674A" w:rsidP="006F668F">
            <w:pPr>
              <w:pStyle w:val="Marginlie"/>
            </w:pPr>
          </w:p>
          <w:p w14:paraId="328D1DAA" w14:textId="77777777" w:rsidR="009E674A" w:rsidRDefault="009E674A" w:rsidP="006F668F">
            <w:pPr>
              <w:pStyle w:val="Marginlie"/>
            </w:pPr>
          </w:p>
          <w:p w14:paraId="6AB7D16E" w14:textId="77777777" w:rsidR="009E674A" w:rsidRDefault="009E674A" w:rsidP="006F668F">
            <w:pPr>
              <w:pStyle w:val="Marginlie"/>
            </w:pPr>
          </w:p>
          <w:p w14:paraId="28EA5E86" w14:textId="77777777" w:rsidR="009E674A" w:rsidRDefault="009E674A" w:rsidP="006F668F">
            <w:pPr>
              <w:pStyle w:val="Marginlie"/>
            </w:pPr>
            <w:r>
              <w:t xml:space="preserve">S delší pracovní dobou se tradičně nejméně setkávají osoby v kvalifikační třídě úředníků </w:t>
            </w:r>
            <w:r w:rsidR="00BC7833">
              <w:t>a </w:t>
            </w:r>
            <w:r>
              <w:t xml:space="preserve">také pomocných </w:t>
            </w:r>
            <w:r w:rsidR="00BC7833">
              <w:t>a </w:t>
            </w:r>
            <w:r>
              <w:t>nekvalifikovaných pracovníků.</w:t>
            </w:r>
          </w:p>
          <w:p w14:paraId="4239144B" w14:textId="77777777" w:rsidR="009E674A" w:rsidRDefault="009E674A" w:rsidP="006F668F">
            <w:pPr>
              <w:pStyle w:val="Marginlie"/>
            </w:pPr>
          </w:p>
        </w:tc>
        <w:tc>
          <w:tcPr>
            <w:tcW w:w="277" w:type="dxa"/>
          </w:tcPr>
          <w:p w14:paraId="22CC6461" w14:textId="77777777" w:rsidR="009E674A" w:rsidRPr="005E4483" w:rsidRDefault="009E674A" w:rsidP="006F668F">
            <w:pPr>
              <w:pStyle w:val="Textpoznpodarou"/>
              <w:jc w:val="both"/>
              <w:rPr>
                <w:spacing w:val="-4"/>
              </w:rPr>
            </w:pPr>
          </w:p>
        </w:tc>
        <w:tc>
          <w:tcPr>
            <w:tcW w:w="7391" w:type="dxa"/>
          </w:tcPr>
          <w:p w14:paraId="16339CA1" w14:textId="1D221845" w:rsidR="009E674A" w:rsidRPr="00032364" w:rsidRDefault="009E674A" w:rsidP="0019361E">
            <w:pPr>
              <w:spacing w:after="160"/>
              <w:rPr>
                <w:spacing w:val="-2"/>
                <w:szCs w:val="20"/>
              </w:rPr>
            </w:pPr>
            <w:r>
              <w:rPr>
                <w:spacing w:val="-2"/>
                <w:szCs w:val="20"/>
              </w:rPr>
              <w:t>Průměrná délka pracovní doby, v</w:t>
            </w:r>
            <w:r w:rsidR="00BA35F3">
              <w:rPr>
                <w:spacing w:val="-2"/>
                <w:szCs w:val="20"/>
              </w:rPr>
              <w:t>č. </w:t>
            </w:r>
            <w:r>
              <w:rPr>
                <w:spacing w:val="-2"/>
                <w:szCs w:val="20"/>
              </w:rPr>
              <w:t>vysokého počtu týdenních hodin</w:t>
            </w:r>
            <w:r w:rsidR="0015045D">
              <w:rPr>
                <w:spacing w:val="-2"/>
                <w:szCs w:val="20"/>
              </w:rPr>
              <w:t>,</w:t>
            </w:r>
            <w:r>
              <w:rPr>
                <w:spacing w:val="-2"/>
                <w:szCs w:val="20"/>
              </w:rPr>
              <w:t xml:space="preserve"> souvisí primárně </w:t>
            </w:r>
            <w:r w:rsidR="00BC7833">
              <w:rPr>
                <w:spacing w:val="-2"/>
                <w:szCs w:val="20"/>
              </w:rPr>
              <w:t>s </w:t>
            </w:r>
            <w:r>
              <w:rPr>
                <w:spacing w:val="-2"/>
                <w:szCs w:val="20"/>
              </w:rPr>
              <w:t xml:space="preserve">postavením v zaměstnání. Jestliže </w:t>
            </w:r>
            <w:r w:rsidR="008832E3">
              <w:rPr>
                <w:spacing w:val="-2"/>
                <w:szCs w:val="20"/>
              </w:rPr>
              <w:t>zaměstnanců</w:t>
            </w:r>
            <w:r>
              <w:rPr>
                <w:spacing w:val="-2"/>
                <w:szCs w:val="20"/>
              </w:rPr>
              <w:t xml:space="preserve"> obvykle pracovalo více než 4</w:t>
            </w:r>
            <w:r w:rsidR="00D82A1E">
              <w:rPr>
                <w:spacing w:val="-2"/>
                <w:szCs w:val="20"/>
              </w:rPr>
              <w:t>8 </w:t>
            </w:r>
            <w:r>
              <w:rPr>
                <w:spacing w:val="-2"/>
                <w:szCs w:val="20"/>
              </w:rPr>
              <w:t>hodin týdně jen 5,7</w:t>
            </w:r>
            <w:r w:rsidR="006454CC">
              <w:rPr>
                <w:spacing w:val="-2"/>
                <w:szCs w:val="20"/>
              </w:rPr>
              <w:t> %</w:t>
            </w:r>
            <w:r>
              <w:rPr>
                <w:spacing w:val="-2"/>
                <w:szCs w:val="20"/>
              </w:rPr>
              <w:t xml:space="preserve">, </w:t>
            </w:r>
            <w:r w:rsidR="00BC7833">
              <w:rPr>
                <w:spacing w:val="-2"/>
                <w:szCs w:val="20"/>
              </w:rPr>
              <w:t>u </w:t>
            </w:r>
            <w:r>
              <w:rPr>
                <w:spacing w:val="-2"/>
                <w:szCs w:val="20"/>
              </w:rPr>
              <w:t>osob samostatně výdělečně činných 38,4</w:t>
            </w:r>
            <w:r w:rsidR="006454CC">
              <w:rPr>
                <w:spacing w:val="-2"/>
                <w:szCs w:val="20"/>
              </w:rPr>
              <w:t> %</w:t>
            </w:r>
            <w:r>
              <w:rPr>
                <w:spacing w:val="-2"/>
                <w:szCs w:val="20"/>
              </w:rPr>
              <w:t xml:space="preserve"> a mezi</w:t>
            </w:r>
            <w:r w:rsidR="008832E3">
              <w:rPr>
                <w:spacing w:val="-2"/>
                <w:szCs w:val="20"/>
              </w:rPr>
              <w:t xml:space="preserve"> </w:t>
            </w:r>
            <w:r>
              <w:rPr>
                <w:spacing w:val="-2"/>
                <w:szCs w:val="20"/>
              </w:rPr>
              <w:t>zaměstnavateli š</w:t>
            </w:r>
            <w:r w:rsidR="0015045D">
              <w:rPr>
                <w:spacing w:val="-2"/>
                <w:szCs w:val="20"/>
              </w:rPr>
              <w:t xml:space="preserve">lo již </w:t>
            </w:r>
            <w:r w:rsidR="00BC7833">
              <w:rPr>
                <w:spacing w:val="-2"/>
                <w:szCs w:val="20"/>
              </w:rPr>
              <w:t>o </w:t>
            </w:r>
            <w:r w:rsidR="0015045D">
              <w:rPr>
                <w:spacing w:val="-2"/>
                <w:szCs w:val="20"/>
              </w:rPr>
              <w:t>mírně nadpoloviční úroveň</w:t>
            </w:r>
            <w:r>
              <w:rPr>
                <w:spacing w:val="-2"/>
                <w:szCs w:val="20"/>
              </w:rPr>
              <w:t xml:space="preserve">. Zatímco </w:t>
            </w:r>
            <w:r w:rsidR="00BC7833">
              <w:rPr>
                <w:spacing w:val="-2"/>
                <w:szCs w:val="20"/>
              </w:rPr>
              <w:t>u </w:t>
            </w:r>
            <w:r>
              <w:rPr>
                <w:spacing w:val="-2"/>
                <w:szCs w:val="20"/>
              </w:rPr>
              <w:t xml:space="preserve">zaměstnanců docházelo v poslední dekádě k plynulému poklesu, mezi podnikateli váha takto pracujících po roce 2014 stagnovala. Mezi hlavními kvalifikačními třídami je dlouhá pracovní doba typická pro vedoucí </w:t>
            </w:r>
            <w:r w:rsidR="00BC7833">
              <w:rPr>
                <w:spacing w:val="-2"/>
                <w:szCs w:val="20"/>
              </w:rPr>
              <w:t>a </w:t>
            </w:r>
            <w:r>
              <w:rPr>
                <w:spacing w:val="-2"/>
                <w:szCs w:val="20"/>
              </w:rPr>
              <w:t>řídící pracovníky (</w:t>
            </w:r>
            <w:r w:rsidR="00BC7833">
              <w:rPr>
                <w:spacing w:val="-2"/>
                <w:szCs w:val="20"/>
              </w:rPr>
              <w:t>i </w:t>
            </w:r>
            <w:r>
              <w:rPr>
                <w:spacing w:val="-2"/>
                <w:szCs w:val="20"/>
              </w:rPr>
              <w:t xml:space="preserve">vlivem jejího vysokého podílu mezi zaměstnanci) </w:t>
            </w:r>
            <w:r w:rsidR="00BC7833">
              <w:rPr>
                <w:spacing w:val="-2"/>
                <w:szCs w:val="20"/>
              </w:rPr>
              <w:t>a </w:t>
            </w:r>
            <w:r>
              <w:rPr>
                <w:spacing w:val="-2"/>
                <w:szCs w:val="20"/>
              </w:rPr>
              <w:t>též pro kvalifikované pracovníky v zemědělství, lesnictví a rybářství (</w:t>
            </w:r>
            <w:r w:rsidR="00BC7833">
              <w:rPr>
                <w:spacing w:val="-2"/>
                <w:szCs w:val="20"/>
              </w:rPr>
              <w:t>s </w:t>
            </w:r>
            <w:r>
              <w:rPr>
                <w:spacing w:val="-2"/>
                <w:szCs w:val="20"/>
              </w:rPr>
              <w:t xml:space="preserve">citelným rozdílem mezi zaměstnanci </w:t>
            </w:r>
            <w:r w:rsidR="00BC7833">
              <w:rPr>
                <w:spacing w:val="-2"/>
                <w:szCs w:val="20"/>
              </w:rPr>
              <w:t>a </w:t>
            </w:r>
            <w:r>
              <w:rPr>
                <w:spacing w:val="-2"/>
                <w:szCs w:val="20"/>
              </w:rPr>
              <w:t xml:space="preserve">sebezaměstnanými). Jen okrajově je tato forma práce zastoupena mezi úředníky </w:t>
            </w:r>
            <w:r w:rsidR="00BC7833">
              <w:rPr>
                <w:spacing w:val="-2"/>
                <w:szCs w:val="20"/>
              </w:rPr>
              <w:t>a </w:t>
            </w:r>
            <w:r>
              <w:rPr>
                <w:spacing w:val="-2"/>
                <w:szCs w:val="20"/>
              </w:rPr>
              <w:t xml:space="preserve">také </w:t>
            </w:r>
            <w:r w:rsidR="00BC7833">
              <w:rPr>
                <w:spacing w:val="-2"/>
                <w:szCs w:val="20"/>
              </w:rPr>
              <w:t>u </w:t>
            </w:r>
            <w:r>
              <w:rPr>
                <w:spacing w:val="-2"/>
                <w:szCs w:val="20"/>
              </w:rPr>
              <w:t>nekvalifikovaných a pomocných pracovníků, což je způsobeno i tím, že v těchto třídách se vyskytují podnikající osoby jen minimálně. Zčásti překvapivé je podprůměrné zastoupení delší pracovní doby mezi specialisty (u zaměstnanců 8</w:t>
            </w:r>
            <w:r w:rsidR="006454CC">
              <w:rPr>
                <w:spacing w:val="-2"/>
                <w:szCs w:val="20"/>
              </w:rPr>
              <w:t> %</w:t>
            </w:r>
            <w:r>
              <w:rPr>
                <w:spacing w:val="-2"/>
                <w:szCs w:val="20"/>
              </w:rPr>
              <w:t xml:space="preserve"> </w:t>
            </w:r>
            <w:r w:rsidR="00BC7833">
              <w:rPr>
                <w:spacing w:val="-2"/>
                <w:szCs w:val="20"/>
              </w:rPr>
              <w:t>a </w:t>
            </w:r>
            <w:r>
              <w:rPr>
                <w:spacing w:val="-2"/>
                <w:szCs w:val="20"/>
              </w:rPr>
              <w:t xml:space="preserve">třetina </w:t>
            </w:r>
            <w:r w:rsidR="00BC7833">
              <w:rPr>
                <w:spacing w:val="-2"/>
                <w:szCs w:val="20"/>
              </w:rPr>
              <w:t>u </w:t>
            </w:r>
            <w:r>
              <w:rPr>
                <w:spacing w:val="-2"/>
                <w:szCs w:val="20"/>
              </w:rPr>
              <w:t xml:space="preserve">podnikajících bez ohledu na počet zaměstnanců). V poslední dekádě podíl zaměstnaných s dlouhou pracovní dobou klesal </w:t>
            </w:r>
            <w:r w:rsidR="00BC7833">
              <w:rPr>
                <w:spacing w:val="-2"/>
                <w:szCs w:val="20"/>
              </w:rPr>
              <w:t>u </w:t>
            </w:r>
            <w:r>
              <w:rPr>
                <w:spacing w:val="-2"/>
                <w:szCs w:val="20"/>
              </w:rPr>
              <w:t xml:space="preserve">zaměstnanců ve všech třídách kvalifikace vyjma pracovníků v zemědělství, lesnictví </w:t>
            </w:r>
            <w:r w:rsidR="00BC7833">
              <w:rPr>
                <w:spacing w:val="-2"/>
                <w:szCs w:val="20"/>
              </w:rPr>
              <w:t>a </w:t>
            </w:r>
            <w:r>
              <w:rPr>
                <w:spacing w:val="-2"/>
                <w:szCs w:val="20"/>
              </w:rPr>
              <w:t xml:space="preserve">rybářství. Mezi podnikajícími osobami byl trend méně zřejmý, což souvisí </w:t>
            </w:r>
            <w:r w:rsidR="00BC7833">
              <w:rPr>
                <w:spacing w:val="-2"/>
                <w:szCs w:val="20"/>
              </w:rPr>
              <w:t>i </w:t>
            </w:r>
            <w:r>
              <w:rPr>
                <w:spacing w:val="-2"/>
                <w:szCs w:val="20"/>
              </w:rPr>
              <w:t>s obtížnější kvantifikací odpracované doby (mj.</w:t>
            </w:r>
            <w:r w:rsidR="008832E3">
              <w:rPr>
                <w:spacing w:val="-2"/>
                <w:szCs w:val="20"/>
              </w:rPr>
              <w:t> </w:t>
            </w:r>
            <w:r w:rsidR="00BC7833">
              <w:rPr>
                <w:spacing w:val="-2"/>
                <w:szCs w:val="20"/>
              </w:rPr>
              <w:t>i </w:t>
            </w:r>
            <w:r>
              <w:rPr>
                <w:spacing w:val="-2"/>
                <w:szCs w:val="20"/>
              </w:rPr>
              <w:t xml:space="preserve">vlivem častých </w:t>
            </w:r>
            <w:r>
              <w:rPr>
                <w:spacing w:val="-2"/>
                <w:szCs w:val="20"/>
              </w:rPr>
              <w:lastRenderedPageBreak/>
              <w:t xml:space="preserve">změn místa pracoviště či vyššího podílu práce z domova). Navíc delší pracovní doba (podobně jako víkendová práce) </w:t>
            </w:r>
            <w:r w:rsidR="00BC7833">
              <w:rPr>
                <w:spacing w:val="-2"/>
                <w:szCs w:val="20"/>
              </w:rPr>
              <w:t>u </w:t>
            </w:r>
            <w:r>
              <w:rPr>
                <w:spacing w:val="-2"/>
                <w:szCs w:val="20"/>
              </w:rPr>
              <w:t>podnikatelů v době ekonomického růstu nutně nemusí být nevítaným fenoménem, nýbrž stavem vyjadřujícím také vysokou nedostatečně saturovanou poptávku po práci (např.</w:t>
            </w:r>
            <w:r w:rsidR="008832E3">
              <w:rPr>
                <w:spacing w:val="-2"/>
                <w:szCs w:val="20"/>
              </w:rPr>
              <w:t> </w:t>
            </w:r>
            <w:r>
              <w:rPr>
                <w:spacing w:val="-2"/>
                <w:szCs w:val="20"/>
              </w:rPr>
              <w:t xml:space="preserve">ve třídě řemeslníků </w:t>
            </w:r>
            <w:r w:rsidR="00BC7833">
              <w:rPr>
                <w:spacing w:val="-2"/>
                <w:szCs w:val="20"/>
              </w:rPr>
              <w:t>a </w:t>
            </w:r>
            <w:r>
              <w:rPr>
                <w:spacing w:val="-2"/>
                <w:szCs w:val="20"/>
              </w:rPr>
              <w:t>opravářů).</w:t>
            </w:r>
          </w:p>
        </w:tc>
      </w:tr>
    </w:tbl>
    <w:p w14:paraId="11E6C353" w14:textId="78E37987" w:rsidR="008B4CC2" w:rsidRPr="008B4CC2" w:rsidRDefault="008B4CC2" w:rsidP="008A78CA">
      <w:pPr>
        <w:spacing w:after="0"/>
        <w:rPr>
          <w:rFonts w:eastAsia="MS Gothic"/>
          <w:bCs/>
          <w:color w:val="71818C"/>
          <w:szCs w:val="20"/>
        </w:rPr>
      </w:pPr>
      <w:bookmarkStart w:id="1" w:name="_GoBack"/>
      <w:bookmarkEnd w:id="1"/>
    </w:p>
    <w:sectPr w:rsidR="008B4CC2" w:rsidRPr="008B4CC2" w:rsidSect="006F5416">
      <w:headerReference w:type="even" r:id="rId30"/>
      <w:headerReference w:type="default" r:id="rId31"/>
      <w:footerReference w:type="even" r:id="rId32"/>
      <w:footerReference w:type="default" r:id="rId33"/>
      <w:footnotePr>
        <w:pos w:val="beneathText"/>
      </w:footnotePr>
      <w:pgSz w:w="11906" w:h="16838" w:code="9"/>
      <w:pgMar w:top="1134" w:right="1134" w:bottom="1418" w:left="1134" w:header="680"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A571AD" w16cid:durableId="2112BAA4"/>
  <w16cid:commentId w16cid:paraId="797DF3BF" w16cid:durableId="2112C741"/>
  <w16cid:commentId w16cid:paraId="5D9BFD76" w16cid:durableId="2112CAF1"/>
  <w16cid:commentId w16cid:paraId="4D2643BC" w16cid:durableId="2112D015"/>
  <w16cid:commentId w16cid:paraId="64EAC988" w16cid:durableId="21137880"/>
  <w16cid:commentId w16cid:paraId="5446B628" w16cid:durableId="211389B5"/>
  <w16cid:commentId w16cid:paraId="368D907F" w16cid:durableId="2113CB61"/>
  <w16cid:commentId w16cid:paraId="2E75A395" w16cid:durableId="21138B79"/>
  <w16cid:commentId w16cid:paraId="4E2854D6" w16cid:durableId="21138CCC"/>
  <w16cid:commentId w16cid:paraId="6D7E8A28" w16cid:durableId="2113CA35"/>
  <w16cid:commentId w16cid:paraId="322B2F7D" w16cid:durableId="2113CBFB"/>
  <w16cid:commentId w16cid:paraId="149A838A" w16cid:durableId="2113DEC4"/>
  <w16cid:commentId w16cid:paraId="12349168" w16cid:durableId="2113E013"/>
  <w16cid:commentId w16cid:paraId="27C8990F" w16cid:durableId="2113DC11"/>
  <w16cid:commentId w16cid:paraId="04071B5F" w16cid:durableId="2113E16E"/>
  <w16cid:commentId w16cid:paraId="447DAD33" w16cid:durableId="2114CE72"/>
  <w16cid:commentId w16cid:paraId="6ECA3228" w16cid:durableId="2114DDC4"/>
  <w16cid:commentId w16cid:paraId="77FF6D81" w16cid:durableId="2114DFBA"/>
  <w16cid:commentId w16cid:paraId="0890F7F0" w16cid:durableId="2114DB9F"/>
  <w16cid:commentId w16cid:paraId="60A4E397" w16cid:durableId="21141192"/>
  <w16cid:commentId w16cid:paraId="4F3D94F7" w16cid:durableId="21152395"/>
  <w16cid:commentId w16cid:paraId="635721EC" w16cid:durableId="21152AA2"/>
  <w16cid:commentId w16cid:paraId="6ED35DA1" w16cid:durableId="2115337B"/>
  <w16cid:commentId w16cid:paraId="2E561FF0" w16cid:durableId="21175359"/>
  <w16cid:commentId w16cid:paraId="0833B399" w16cid:durableId="211776E6"/>
  <w16cid:commentId w16cid:paraId="7FB202E3" w16cid:durableId="21177A5E"/>
  <w16cid:commentId w16cid:paraId="77C610BB" w16cid:durableId="211785A9"/>
  <w16cid:commentId w16cid:paraId="5945CE27" w16cid:durableId="2117B660"/>
  <w16cid:commentId w16cid:paraId="65B5C048" w16cid:durableId="2117C193"/>
  <w16cid:commentId w16cid:paraId="64DEABC3" w16cid:durableId="2117CCC1"/>
  <w16cid:commentId w16cid:paraId="290BB16F" w16cid:durableId="2117BCE5"/>
  <w16cid:commentId w16cid:paraId="6737B076" w16cid:durableId="2117DCF9"/>
  <w16cid:commentId w16cid:paraId="26EA541D" w16cid:durableId="21180946"/>
  <w16cid:commentId w16cid:paraId="3E19951C" w16cid:durableId="21180DF8"/>
  <w16cid:commentId w16cid:paraId="1468C132" w16cid:durableId="21189FD4"/>
  <w16cid:commentId w16cid:paraId="554224F1" w16cid:durableId="2118A096"/>
  <w16cid:commentId w16cid:paraId="60D37C55" w16cid:durableId="2118B1E6"/>
  <w16cid:commentId w16cid:paraId="588B042A" w16cid:durableId="2118A2F3"/>
  <w16cid:commentId w16cid:paraId="5DE0CF6E" w16cid:durableId="2118B48C"/>
  <w16cid:commentId w16cid:paraId="581472C4" w16cid:durableId="2118A3E1"/>
  <w16cid:commentId w16cid:paraId="18133820" w16cid:durableId="2118A6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531F4" w14:textId="77777777" w:rsidR="008061D2" w:rsidRDefault="008061D2" w:rsidP="00E71A58">
      <w:r>
        <w:separator/>
      </w:r>
    </w:p>
  </w:endnote>
  <w:endnote w:type="continuationSeparator" w:id="0">
    <w:p w14:paraId="2C3EEEBD" w14:textId="77777777" w:rsidR="008061D2" w:rsidRDefault="008061D2"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00000003" w:usb1="00000000" w:usb2="00000000" w:usb3="00000000" w:csb0="00000001" w:csb1="00000000"/>
  </w:font>
  <w:font w:name="Times New Roman CE obyèejné">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684EF" w14:textId="2F4516CA" w:rsidR="004E684C" w:rsidRPr="00932443" w:rsidRDefault="004E684C" w:rsidP="00A418BC">
    <w:pPr>
      <w:pStyle w:val="Zpat"/>
      <w:rPr>
        <w:szCs w:val="16"/>
      </w:rPr>
    </w:pPr>
    <w:r>
      <w:rPr>
        <w:szCs w:val="16"/>
        <w:lang w:eastAsia="cs-CZ"/>
      </w:rPr>
      <w:drawing>
        <wp:anchor distT="0" distB="0" distL="114300" distR="114300" simplePos="0" relativeHeight="251658240" behindDoc="0" locked="0" layoutInCell="1" allowOverlap="1" wp14:anchorId="6E37B55D" wp14:editId="6A3597CF">
          <wp:simplePos x="0" y="0"/>
          <wp:positionH relativeFrom="column">
            <wp:align>right</wp:align>
          </wp:positionH>
          <wp:positionV relativeFrom="paragraph">
            <wp:posOffset>-64770</wp:posOffset>
          </wp:positionV>
          <wp:extent cx="428625" cy="201295"/>
          <wp:effectExtent l="0" t="0" r="3175" b="1905"/>
          <wp:wrapNone/>
          <wp:docPr id="113" name="Picture 15"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anchor>
      </w:drawing>
    </w:r>
    <w:r w:rsidRPr="00932443">
      <w:rPr>
        <w:szCs w:val="16"/>
      </w:rPr>
      <w:fldChar w:fldCharType="begin"/>
    </w:r>
    <w:r w:rsidRPr="00932443">
      <w:rPr>
        <w:szCs w:val="16"/>
      </w:rPr>
      <w:instrText>PAGE   \* MERGEFORMAT</w:instrText>
    </w:r>
    <w:r w:rsidRPr="00932443">
      <w:rPr>
        <w:szCs w:val="16"/>
      </w:rPr>
      <w:fldChar w:fldCharType="separate"/>
    </w:r>
    <w:r w:rsidR="008A78CA">
      <w:rPr>
        <w:szCs w:val="16"/>
      </w:rPr>
      <w:t>26</w:t>
    </w:r>
    <w:r w:rsidRPr="00932443">
      <w:rPr>
        <w:szCs w:val="16"/>
      </w:rPr>
      <w:fldChar w:fldCharType="end"/>
    </w:r>
    <w:r w:rsidRPr="00932443">
      <w:rPr>
        <w:szCs w:val="16"/>
      </w:rPr>
      <w:tab/>
    </w:r>
    <w:r>
      <w:rPr>
        <w:szCs w:val="16"/>
      </w:rPr>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86E2E" w14:textId="4260095E" w:rsidR="004E684C" w:rsidRPr="00932443" w:rsidRDefault="004E684C" w:rsidP="00A418BC">
    <w:pPr>
      <w:pStyle w:val="Zpat"/>
      <w:rPr>
        <w:szCs w:val="16"/>
      </w:rPr>
    </w:pPr>
    <w:r>
      <w:rPr>
        <w:szCs w:val="16"/>
        <w:lang w:eastAsia="cs-CZ"/>
      </w:rPr>
      <w:drawing>
        <wp:anchor distT="0" distB="0" distL="114300" distR="114300" simplePos="0" relativeHeight="251657216" behindDoc="0" locked="0" layoutInCell="1" allowOverlap="1" wp14:anchorId="250DD71D" wp14:editId="1F023121">
          <wp:simplePos x="0" y="0"/>
          <wp:positionH relativeFrom="column">
            <wp:align>left</wp:align>
          </wp:positionH>
          <wp:positionV relativeFrom="paragraph">
            <wp:posOffset>-122555</wp:posOffset>
          </wp:positionV>
          <wp:extent cx="510540" cy="272415"/>
          <wp:effectExtent l="0" t="0" r="0" b="6985"/>
          <wp:wrapNone/>
          <wp:docPr id="114" name="Picture 16"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2019</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8A78CA">
      <w:rPr>
        <w:rStyle w:val="ZpatChar"/>
        <w:szCs w:val="16"/>
      </w:rPr>
      <w:t>25</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E9D9E" w14:textId="77777777" w:rsidR="008061D2" w:rsidRDefault="008061D2" w:rsidP="0084727E">
      <w:pPr>
        <w:spacing w:after="0"/>
      </w:pPr>
      <w:r>
        <w:separator/>
      </w:r>
    </w:p>
  </w:footnote>
  <w:footnote w:type="continuationSeparator" w:id="0">
    <w:p w14:paraId="28F4C162" w14:textId="77777777" w:rsidR="008061D2" w:rsidRDefault="008061D2" w:rsidP="00E71A58">
      <w:r>
        <w:continuationSeparator/>
      </w:r>
    </w:p>
  </w:footnote>
  <w:footnote w:id="1">
    <w:p w14:paraId="2869A209" w14:textId="61F31BA4"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Počet ekonomicky aktivních obyvatel se v Česku zvyšoval dlouhodoběji. V letech 2000 až 2010 byl ale tažen téměř výhradně vlivem početního růstu celkového obyvatelstva v produktivním věku.</w:t>
      </w:r>
    </w:p>
  </w:footnote>
  <w:footnote w:id="2">
    <w:p w14:paraId="7779EFF5" w14:textId="11CEB736"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Dle propočtu autora pro účely této analýzy by při zachování měr ekonomické aktivity v pětiletých věkových skupinách na úrovni roku 2010 a zohlednění reálného vývoje počtu i věkové skladby obyvatel byl hypotetický počet ekonomicky aktivních v produktivním věku v roce 2018 oproti skutečně dosaženému nižší o 273 tis. (o 4,0 %).</w:t>
      </w:r>
    </w:p>
  </w:footnote>
  <w:footnote w:id="3">
    <w:p w14:paraId="1BF78F27" w14:textId="24F81FD3"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Dle propočtu autora pro účely této analýzy by při zachování věkové skladby obyvatel (dle pětiletých věkových skupin) na úrovni roku 2010 a zohlednění reálného (klesajícího) celkového počtu obyvatel v produktivním věku i reálné (rostoucí) míry jejich participace ve věkových skupinách byl hypotetický počet ekonomicky aktivních v produktivním věku v r. 2018 proti skutečně dosaženému nižší o 155 tis. osob (o 2,9 %).</w:t>
      </w:r>
    </w:p>
  </w:footnote>
  <w:footnote w:id="4">
    <w:p w14:paraId="033B9C78" w14:textId="4CBB0CCD"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Vývojové trendy u osob s nejnižším stupněm vzdělání je třeba interpretovat s obezřetností s ohledem na jejich nižší (a stále klesající) četnost mezi lidmi v produktivním věku.</w:t>
      </w:r>
    </w:p>
  </w:footnote>
  <w:footnote w:id="5">
    <w:p w14:paraId="20EE5E25" w14:textId="770F1347"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Dle údajů MPSV tvořili na konci loňského roku příjemci trvale krácených (předčasných) důchodů na celkovém počtu osob pobírajících starobní důchod u mužů 28,6 % a u žen 24,8 %. Mezi kraji měli nejnižší zastoupení v Praze (13,7 %, za obě pohlaví) a ve Středočeském kraji (22,7 %). Na opačném pólu figurovaly kraje Vysočina (33,1 %), Pardubický (31,2 %) a Moravskoslezský (30,8 %). Ve čtveřici okresů (Znojmo, Třebíč, Jihlava a Jeseník) dosahoval podíl dokonce okolo 40 %.</w:t>
      </w:r>
    </w:p>
  </w:footnote>
  <w:footnote w:id="6">
    <w:p w14:paraId="739E6DE8" w14:textId="3C0C3F14"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Čerpání rodičovského příspěvku bylo možné rozložit ve třech variantách, a to na dvouleté, tříleté či čtyřleté období.</w:t>
      </w:r>
    </w:p>
  </w:footnote>
  <w:footnote w:id="7">
    <w:p w14:paraId="1FEB6487" w14:textId="6B1FAB8D"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Není-li uvedeno jinak, vycházejí veškeré údaje v této podkapitole z národních účtů.</w:t>
      </w:r>
    </w:p>
  </w:footnote>
  <w:footnote w:id="8">
    <w:p w14:paraId="247C63A4" w14:textId="32B9FB7F"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Celková zaměstnanost se nacházela o 3,9 % (resp. 200 tis. osob) nad úrovní vrcholu konjunktury na pracovním trhu v minulé dekádě (4. čtvrtletí 2008).</w:t>
      </w:r>
    </w:p>
  </w:footnote>
  <w:footnote w:id="9">
    <w:p w14:paraId="530740D3" w14:textId="34CF84AC"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Jde o osoby </w:t>
      </w:r>
      <w:r w:rsidRPr="000F518F">
        <w:rPr>
          <w:spacing w:val="-4"/>
          <w:sz w:val="16"/>
          <w:szCs w:val="16"/>
        </w:rPr>
        <w:t xml:space="preserve">samostatně výdělečně </w:t>
      </w:r>
      <w:r>
        <w:rPr>
          <w:spacing w:val="-4"/>
          <w:sz w:val="16"/>
          <w:szCs w:val="16"/>
        </w:rPr>
        <w:t>činné, pro které toto podnikání představuje hlavní činnost (z hlediska pracovních příjmů, eventuálně odpracované doby). Jak pracující majitelé firem (zaměstnavatelé), tak pracovníci, pro které je podnikání pouze vedlejší činností, se řadí do kategorie zaměstnanců.</w:t>
      </w:r>
    </w:p>
  </w:footnote>
  <w:footnote w:id="10">
    <w:p w14:paraId="584ECBF9" w14:textId="77777777"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Zahrnuje všechna odvětví služeb vyjma odvětvových sekcí s převahou veřejného sektoru (</w:t>
      </w:r>
      <w:r w:rsidRPr="00C474FE">
        <w:rPr>
          <w:spacing w:val="-4"/>
          <w:sz w:val="16"/>
          <w:szCs w:val="16"/>
        </w:rPr>
        <w:t>Veřejná správa a</w:t>
      </w:r>
      <w:r>
        <w:rPr>
          <w:spacing w:val="-4"/>
          <w:sz w:val="16"/>
          <w:szCs w:val="16"/>
        </w:rPr>
        <w:t> </w:t>
      </w:r>
      <w:r w:rsidRPr="00C474FE">
        <w:rPr>
          <w:spacing w:val="-4"/>
          <w:sz w:val="16"/>
          <w:szCs w:val="16"/>
        </w:rPr>
        <w:t>obrana; povinné sociální zabezpečení; Vzdělávání; Zdravotní a</w:t>
      </w:r>
      <w:r>
        <w:rPr>
          <w:spacing w:val="-4"/>
          <w:sz w:val="16"/>
          <w:szCs w:val="16"/>
        </w:rPr>
        <w:t> </w:t>
      </w:r>
      <w:r w:rsidRPr="00C474FE">
        <w:rPr>
          <w:spacing w:val="-4"/>
          <w:sz w:val="16"/>
          <w:szCs w:val="16"/>
        </w:rPr>
        <w:t>sociální péče; Kulturní, zábavní a</w:t>
      </w:r>
      <w:r>
        <w:rPr>
          <w:spacing w:val="-4"/>
          <w:sz w:val="16"/>
          <w:szCs w:val="16"/>
        </w:rPr>
        <w:t> </w:t>
      </w:r>
      <w:r w:rsidRPr="00C474FE">
        <w:rPr>
          <w:spacing w:val="-4"/>
          <w:sz w:val="16"/>
          <w:szCs w:val="16"/>
        </w:rPr>
        <w:t>rekreační činnosti).</w:t>
      </w:r>
    </w:p>
  </w:footnote>
  <w:footnote w:id="11">
    <w:p w14:paraId="61F3E9D2" w14:textId="77777777"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Vyjadřuje skutečnost po zohlednění rozdílné délky pracovních úvazků.</w:t>
      </w:r>
    </w:p>
  </w:footnote>
  <w:footnote w:id="12">
    <w:p w14:paraId="655DF960" w14:textId="77777777" w:rsidR="004E684C" w:rsidRPr="00EE40CC" w:rsidRDefault="004E684C" w:rsidP="009E674A">
      <w:pPr>
        <w:pStyle w:val="Textpoznpodarou"/>
        <w:rPr>
          <w:spacing w:val="-2"/>
          <w:sz w:val="16"/>
          <w:szCs w:val="16"/>
        </w:rPr>
      </w:pPr>
      <w:r w:rsidRPr="00EE40CC">
        <w:rPr>
          <w:rStyle w:val="Znakapoznpodarou"/>
          <w:spacing w:val="-2"/>
          <w:sz w:val="16"/>
          <w:szCs w:val="16"/>
        </w:rPr>
        <w:footnoteRef/>
      </w:r>
      <w:r w:rsidRPr="00EE40CC">
        <w:rPr>
          <w:spacing w:val="-2"/>
          <w:sz w:val="16"/>
          <w:szCs w:val="16"/>
        </w:rPr>
        <w:t xml:space="preserve"> V odvětví výroby motorových vozidel působil loni každý osmý pracovník v průmyslu. Spolu s nejbližšími návaznými obory (ostatní dopravní prostředky, výroba elektrických zařízení, gumárenství) šlo o</w:t>
      </w:r>
      <w:r>
        <w:rPr>
          <w:spacing w:val="-2"/>
          <w:sz w:val="16"/>
          <w:szCs w:val="16"/>
        </w:rPr>
        <w:t> </w:t>
      </w:r>
      <w:r w:rsidRPr="00EE40CC">
        <w:rPr>
          <w:spacing w:val="-2"/>
          <w:sz w:val="16"/>
          <w:szCs w:val="16"/>
        </w:rPr>
        <w:t>28,5</w:t>
      </w:r>
      <w:r>
        <w:rPr>
          <w:spacing w:val="-2"/>
          <w:sz w:val="16"/>
          <w:szCs w:val="16"/>
        </w:rPr>
        <w:t> %</w:t>
      </w:r>
      <w:r w:rsidRPr="00EE40CC">
        <w:rPr>
          <w:spacing w:val="-2"/>
          <w:sz w:val="16"/>
          <w:szCs w:val="16"/>
        </w:rPr>
        <w:t>. Váha celého uskupení navíc v čase roste, v roce 2008 činil obdobný podíl 24,4</w:t>
      </w:r>
      <w:r>
        <w:rPr>
          <w:spacing w:val="-2"/>
          <w:sz w:val="16"/>
          <w:szCs w:val="16"/>
        </w:rPr>
        <w:t> %</w:t>
      </w:r>
      <w:r w:rsidRPr="00EE40CC">
        <w:rPr>
          <w:spacing w:val="-2"/>
          <w:sz w:val="16"/>
          <w:szCs w:val="16"/>
        </w:rPr>
        <w:t>.</w:t>
      </w:r>
    </w:p>
  </w:footnote>
  <w:footnote w:id="13">
    <w:p w14:paraId="6134BAC7" w14:textId="77777777"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Zahrnuje hlavně výrobu sportovních potřeb, her, hraček, hudebních nástrojů, </w:t>
      </w:r>
      <w:r w:rsidRPr="00DE13D5">
        <w:rPr>
          <w:spacing w:val="-4"/>
          <w:sz w:val="16"/>
          <w:szCs w:val="16"/>
        </w:rPr>
        <w:t>lékařských a</w:t>
      </w:r>
      <w:r>
        <w:rPr>
          <w:spacing w:val="-4"/>
          <w:sz w:val="16"/>
          <w:szCs w:val="16"/>
        </w:rPr>
        <w:t> </w:t>
      </w:r>
      <w:r w:rsidRPr="00DE13D5">
        <w:rPr>
          <w:spacing w:val="-4"/>
          <w:sz w:val="16"/>
          <w:szCs w:val="16"/>
        </w:rPr>
        <w:t>dentálních nástrojů</w:t>
      </w:r>
      <w:r>
        <w:rPr>
          <w:spacing w:val="-4"/>
          <w:sz w:val="16"/>
          <w:szCs w:val="16"/>
        </w:rPr>
        <w:t xml:space="preserve"> či výrobu klenotů a </w:t>
      </w:r>
      <w:r w:rsidRPr="00DE13D5">
        <w:rPr>
          <w:spacing w:val="-4"/>
          <w:sz w:val="16"/>
          <w:szCs w:val="16"/>
        </w:rPr>
        <w:t>bižuterie</w:t>
      </w:r>
      <w:r>
        <w:rPr>
          <w:spacing w:val="-4"/>
          <w:sz w:val="16"/>
          <w:szCs w:val="16"/>
        </w:rPr>
        <w:t>.</w:t>
      </w:r>
    </w:p>
  </w:footnote>
  <w:footnote w:id="14">
    <w:p w14:paraId="3EEE5B81" w14:textId="0A72DE48"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V tomto směru je zajímavé srovnání s konjunkturním obdobím 2005 až 2008, v němž při relativně svižném růstu zaměstnanosti podstatná část (zejména menších) průmyslových oborů pracovní místa výrazněji ztrácela (potravinářství, nápojový, textilní, oděvní, kožedělný, dřevozpracující, petrochemický průmysl, výroba stavebních hmot či energetika). Tyto výrazné pohyby vypovídaly o dosud neukončené transformaci tuzemského průmyslu, v němž sehrál důležitou roli příliv zahraničního kapitálu i zostření konkurenčního prostředí na jednotném evropském trhu po vstupu do EU (např. v oblasti zemědělské prvovýroby a s dopadem do potravinářského průmyslu).</w:t>
      </w:r>
    </w:p>
  </w:footnote>
  <w:footnote w:id="15">
    <w:p w14:paraId="59393D54" w14:textId="0D20F900"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Toto zvolnění bylo ovlivněno také specifickým vývojem v odvětví kulturních, zábavních a rekreačních činností, v němž celková zaměstnanost poprvé od roku 2010 poklesla (–4 %). K tomuto úbytku ale nedošlo v segmentech financových z veřejných rozpočtů a patrně souvisel s přísnější regulací hazardu na národní i místní úrovni.</w:t>
      </w:r>
    </w:p>
  </w:footnote>
  <w:footnote w:id="16">
    <w:p w14:paraId="03F294B7" w14:textId="77777777" w:rsidR="004E684C" w:rsidRPr="00AB5C0C" w:rsidRDefault="004E684C" w:rsidP="009E674A">
      <w:pPr>
        <w:pStyle w:val="Textpoznpodarou"/>
        <w:rPr>
          <w:spacing w:val="-4"/>
          <w:sz w:val="16"/>
          <w:szCs w:val="16"/>
        </w:rPr>
      </w:pPr>
      <w:r w:rsidRPr="00AB5C0C">
        <w:rPr>
          <w:rStyle w:val="Znakapoznpodarou"/>
          <w:spacing w:val="-4"/>
          <w:sz w:val="16"/>
          <w:szCs w:val="16"/>
        </w:rPr>
        <w:footnoteRef/>
      </w:r>
      <w:r w:rsidRPr="00AB5C0C">
        <w:rPr>
          <w:spacing w:val="-4"/>
          <w:sz w:val="16"/>
          <w:szCs w:val="16"/>
        </w:rPr>
        <w:t xml:space="preserve"> </w:t>
      </w:r>
      <w:r w:rsidRPr="00AB5C0C">
        <w:rPr>
          <w:rFonts w:cs="Arial"/>
          <w:sz w:val="16"/>
          <w:szCs w:val="16"/>
        </w:rPr>
        <w:t>Reálná produktivita práce vyjadřuje poměr HDP na zaměstnanou osobu. HDP je</w:t>
      </w:r>
      <w:r>
        <w:rPr>
          <w:rFonts w:cs="Arial"/>
          <w:sz w:val="16"/>
          <w:szCs w:val="16"/>
        </w:rPr>
        <w:t xml:space="preserve"> uved</w:t>
      </w:r>
      <w:r w:rsidRPr="00AB5C0C">
        <w:rPr>
          <w:rFonts w:cs="Arial"/>
          <w:sz w:val="16"/>
          <w:szCs w:val="16"/>
        </w:rPr>
        <w:t>en v cenách roku 2010, pracovníci pak ve fyzických osobách.</w:t>
      </w:r>
    </w:p>
  </w:footnote>
  <w:footnote w:id="17">
    <w:p w14:paraId="3B244E9A" w14:textId="77777777" w:rsidR="00744D09" w:rsidRPr="00E93575" w:rsidRDefault="00744D09" w:rsidP="00744D09">
      <w:pPr>
        <w:pStyle w:val="Textpoznpodarou"/>
        <w:rPr>
          <w:spacing w:val="-4"/>
          <w:sz w:val="16"/>
          <w:szCs w:val="16"/>
        </w:rPr>
      </w:pPr>
      <w:r w:rsidRPr="00E93575">
        <w:rPr>
          <w:rStyle w:val="Znakapoznpodarou"/>
          <w:spacing w:val="-4"/>
          <w:sz w:val="16"/>
          <w:szCs w:val="16"/>
        </w:rPr>
        <w:footnoteRef/>
      </w:r>
      <w:r>
        <w:rPr>
          <w:spacing w:val="-4"/>
          <w:sz w:val="16"/>
          <w:szCs w:val="16"/>
        </w:rPr>
        <w:t xml:space="preserve"> Výše zmíněná </w:t>
      </w:r>
      <w:r w:rsidRPr="00430C2B">
        <w:rPr>
          <w:spacing w:val="-4"/>
          <w:sz w:val="16"/>
          <w:szCs w:val="16"/>
        </w:rPr>
        <w:t xml:space="preserve">anomálie souvisela s nepravidelností v čerpání prostředků </w:t>
      </w:r>
      <w:r>
        <w:rPr>
          <w:spacing w:val="-4"/>
          <w:sz w:val="16"/>
          <w:szCs w:val="16"/>
        </w:rPr>
        <w:t>z </w:t>
      </w:r>
      <w:r w:rsidRPr="00430C2B">
        <w:rPr>
          <w:spacing w:val="-4"/>
          <w:sz w:val="16"/>
          <w:szCs w:val="16"/>
        </w:rPr>
        <w:t>rozpočtu EU, která</w:t>
      </w:r>
      <w:r>
        <w:rPr>
          <w:spacing w:val="-4"/>
          <w:sz w:val="16"/>
          <w:szCs w:val="16"/>
        </w:rPr>
        <w:t xml:space="preserve"> se obzvláště</w:t>
      </w:r>
      <w:r w:rsidRPr="00430C2B">
        <w:rPr>
          <w:spacing w:val="-4"/>
          <w:sz w:val="16"/>
          <w:szCs w:val="16"/>
        </w:rPr>
        <w:t xml:space="preserve"> viditelně projevila ve srovnání let </w:t>
      </w:r>
      <w:r>
        <w:rPr>
          <w:spacing w:val="-4"/>
          <w:sz w:val="16"/>
          <w:szCs w:val="16"/>
        </w:rPr>
        <w:t>2015 (intenzivní dočerpávání na konci programového období 2007 až 2013) a 2016 (pomalý rozběh na počátku nového období).</w:t>
      </w:r>
    </w:p>
  </w:footnote>
  <w:footnote w:id="18">
    <w:p w14:paraId="075E7F1B" w14:textId="72EF21EF" w:rsidR="004E684C" w:rsidRPr="00AB5C0C" w:rsidRDefault="004E684C" w:rsidP="009E674A">
      <w:pPr>
        <w:pStyle w:val="Textpoznpodarou"/>
        <w:rPr>
          <w:spacing w:val="-4"/>
          <w:sz w:val="16"/>
          <w:szCs w:val="16"/>
        </w:rPr>
      </w:pPr>
      <w:r w:rsidRPr="00AB5C0C">
        <w:rPr>
          <w:rStyle w:val="Znakapoznpodarou"/>
          <w:spacing w:val="-4"/>
          <w:sz w:val="16"/>
          <w:szCs w:val="16"/>
        </w:rPr>
        <w:footnoteRef/>
      </w:r>
      <w:r w:rsidRPr="00AB5C0C">
        <w:rPr>
          <w:spacing w:val="-4"/>
          <w:sz w:val="16"/>
          <w:szCs w:val="16"/>
        </w:rPr>
        <w:t xml:space="preserve"> </w:t>
      </w:r>
      <w:r>
        <w:rPr>
          <w:rFonts w:cs="Arial"/>
          <w:sz w:val="16"/>
          <w:szCs w:val="16"/>
        </w:rPr>
        <w:t>V</w:t>
      </w:r>
      <w:r w:rsidRPr="00AB5C0C">
        <w:rPr>
          <w:rFonts w:cs="Arial"/>
          <w:sz w:val="16"/>
          <w:szCs w:val="16"/>
        </w:rPr>
        <w:t xml:space="preserve">yjadřuje poměr HDP (na úrovni </w:t>
      </w:r>
      <w:r>
        <w:rPr>
          <w:rFonts w:cs="Arial"/>
          <w:sz w:val="16"/>
          <w:szCs w:val="16"/>
        </w:rPr>
        <w:t xml:space="preserve">jednotlivých </w:t>
      </w:r>
      <w:r w:rsidRPr="00AB5C0C">
        <w:rPr>
          <w:rFonts w:cs="Arial"/>
          <w:sz w:val="16"/>
          <w:szCs w:val="16"/>
        </w:rPr>
        <w:t>odvětví hrubé přidané hodnoty</w:t>
      </w:r>
      <w:r>
        <w:rPr>
          <w:rFonts w:cs="Arial"/>
          <w:sz w:val="16"/>
          <w:szCs w:val="16"/>
        </w:rPr>
        <w:t xml:space="preserve"> – </w:t>
      </w:r>
      <w:r w:rsidRPr="00AB5C0C">
        <w:rPr>
          <w:rFonts w:cs="Arial"/>
          <w:sz w:val="16"/>
          <w:szCs w:val="16"/>
        </w:rPr>
        <w:t>HPH) na odpracovanou hodinu. HDP</w:t>
      </w:r>
      <w:r>
        <w:rPr>
          <w:rFonts w:cs="Arial"/>
          <w:sz w:val="16"/>
          <w:szCs w:val="16"/>
        </w:rPr>
        <w:t xml:space="preserve"> (resp. HPH) jsou uved</w:t>
      </w:r>
      <w:r w:rsidRPr="00AB5C0C">
        <w:rPr>
          <w:rFonts w:cs="Arial"/>
          <w:sz w:val="16"/>
          <w:szCs w:val="16"/>
        </w:rPr>
        <w:t>en</w:t>
      </w:r>
      <w:r>
        <w:rPr>
          <w:rFonts w:cs="Arial"/>
          <w:sz w:val="16"/>
          <w:szCs w:val="16"/>
        </w:rPr>
        <w:t>y</w:t>
      </w:r>
      <w:r w:rsidRPr="00AB5C0C">
        <w:rPr>
          <w:rFonts w:cs="Arial"/>
          <w:sz w:val="16"/>
          <w:szCs w:val="16"/>
        </w:rPr>
        <w:t xml:space="preserve"> v cenách roku 2010.</w:t>
      </w:r>
    </w:p>
  </w:footnote>
  <w:footnote w:id="19">
    <w:p w14:paraId="4F3EE5CE" w14:textId="19D67C2D"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w:t>
      </w:r>
      <w:r w:rsidRPr="00385C8C">
        <w:rPr>
          <w:spacing w:val="-4"/>
          <w:sz w:val="16"/>
          <w:szCs w:val="16"/>
        </w:rPr>
        <w:t>Odvětví za</w:t>
      </w:r>
      <w:r>
        <w:rPr>
          <w:spacing w:val="-4"/>
          <w:sz w:val="16"/>
          <w:szCs w:val="16"/>
        </w:rPr>
        <w:t>hrnuje zejména o</w:t>
      </w:r>
      <w:r w:rsidRPr="00385C8C">
        <w:rPr>
          <w:spacing w:val="-4"/>
          <w:sz w:val="16"/>
          <w:szCs w:val="16"/>
        </w:rPr>
        <w:t>pravy počítačů a</w:t>
      </w:r>
      <w:r>
        <w:rPr>
          <w:spacing w:val="-4"/>
          <w:sz w:val="16"/>
          <w:szCs w:val="16"/>
        </w:rPr>
        <w:t> </w:t>
      </w:r>
      <w:r w:rsidRPr="00385C8C">
        <w:rPr>
          <w:spacing w:val="-4"/>
          <w:sz w:val="16"/>
          <w:szCs w:val="16"/>
        </w:rPr>
        <w:t>výrobků pro osobní potřebu a převážně pro</w:t>
      </w:r>
      <w:r>
        <w:rPr>
          <w:spacing w:val="-4"/>
          <w:sz w:val="16"/>
          <w:szCs w:val="16"/>
        </w:rPr>
        <w:t xml:space="preserve"> </w:t>
      </w:r>
      <w:r w:rsidRPr="00385C8C">
        <w:rPr>
          <w:spacing w:val="-4"/>
          <w:sz w:val="16"/>
          <w:szCs w:val="16"/>
        </w:rPr>
        <w:t>domácnost</w:t>
      </w:r>
      <w:r>
        <w:rPr>
          <w:spacing w:val="-4"/>
          <w:sz w:val="16"/>
          <w:szCs w:val="16"/>
        </w:rPr>
        <w:t xml:space="preserve"> (např. elektroniky, obuvi), p</w:t>
      </w:r>
      <w:r w:rsidRPr="00385C8C">
        <w:rPr>
          <w:spacing w:val="-4"/>
          <w:sz w:val="16"/>
          <w:szCs w:val="16"/>
        </w:rPr>
        <w:t>oskytování ostatních osobních služeb</w:t>
      </w:r>
      <w:r>
        <w:rPr>
          <w:spacing w:val="-4"/>
          <w:sz w:val="16"/>
          <w:szCs w:val="16"/>
        </w:rPr>
        <w:t xml:space="preserve"> (praní a čištění, kadeřnické i </w:t>
      </w:r>
      <w:r w:rsidRPr="00385C8C">
        <w:rPr>
          <w:spacing w:val="-4"/>
          <w:sz w:val="16"/>
          <w:szCs w:val="16"/>
        </w:rPr>
        <w:t>kosmetické</w:t>
      </w:r>
      <w:r>
        <w:rPr>
          <w:spacing w:val="-4"/>
          <w:sz w:val="16"/>
          <w:szCs w:val="16"/>
        </w:rPr>
        <w:t xml:space="preserve"> činnosti). Náležejí sem i aktivity </w:t>
      </w:r>
      <w:r w:rsidRPr="00385C8C">
        <w:rPr>
          <w:spacing w:val="-4"/>
          <w:sz w:val="16"/>
          <w:szCs w:val="16"/>
        </w:rPr>
        <w:t>podnikatelských, zaměstnavatelských a profesních organizací</w:t>
      </w:r>
      <w:r>
        <w:rPr>
          <w:spacing w:val="-4"/>
          <w:sz w:val="16"/>
          <w:szCs w:val="16"/>
        </w:rPr>
        <w:t>, odborových svazů či politických stran.</w:t>
      </w:r>
    </w:p>
  </w:footnote>
  <w:footnote w:id="20">
    <w:p w14:paraId="3B02F61D" w14:textId="1F32376C" w:rsidR="004E684C" w:rsidRPr="00E9776B" w:rsidRDefault="004E684C" w:rsidP="009E674A">
      <w:pPr>
        <w:spacing w:after="0" w:line="240" w:lineRule="auto"/>
        <w:rPr>
          <w:spacing w:val="-2"/>
        </w:rPr>
      </w:pPr>
      <w:r w:rsidRPr="00E93575">
        <w:rPr>
          <w:rStyle w:val="Znakapoznpodarou"/>
          <w:spacing w:val="-4"/>
          <w:sz w:val="16"/>
          <w:szCs w:val="16"/>
        </w:rPr>
        <w:footnoteRef/>
      </w:r>
      <w:r>
        <w:rPr>
          <w:spacing w:val="-4"/>
          <w:sz w:val="16"/>
          <w:szCs w:val="16"/>
        </w:rPr>
        <w:t xml:space="preserve"> </w:t>
      </w:r>
      <w:r w:rsidRPr="00E9776B">
        <w:rPr>
          <w:spacing w:val="-2"/>
          <w:sz w:val="16"/>
          <w:szCs w:val="16"/>
        </w:rPr>
        <w:t>Mzdy a</w:t>
      </w:r>
      <w:r>
        <w:rPr>
          <w:spacing w:val="-2"/>
          <w:sz w:val="16"/>
          <w:szCs w:val="16"/>
        </w:rPr>
        <w:t> </w:t>
      </w:r>
      <w:r w:rsidRPr="00E9776B">
        <w:rPr>
          <w:spacing w:val="-2"/>
          <w:sz w:val="16"/>
          <w:szCs w:val="16"/>
        </w:rPr>
        <w:t>platy jsou v pojetí národních účtů cháp</w:t>
      </w:r>
      <w:r>
        <w:rPr>
          <w:spacing w:val="-2"/>
          <w:sz w:val="16"/>
          <w:szCs w:val="16"/>
        </w:rPr>
        <w:t>á</w:t>
      </w:r>
      <w:r w:rsidRPr="00E9776B">
        <w:rPr>
          <w:spacing w:val="-2"/>
          <w:sz w:val="16"/>
          <w:szCs w:val="16"/>
        </w:rPr>
        <w:t>ny šířeji než v běžně používaných podnikových statistikách. Zahrnují vedle peněžních důchodů (kromě základního platu, příplatků, prémií, náhrad za dovolené obsahují i</w:t>
      </w:r>
      <w:r>
        <w:rPr>
          <w:spacing w:val="-2"/>
          <w:sz w:val="16"/>
          <w:szCs w:val="16"/>
        </w:rPr>
        <w:t> </w:t>
      </w:r>
      <w:r w:rsidRPr="00E9776B">
        <w:rPr>
          <w:spacing w:val="-2"/>
          <w:sz w:val="16"/>
          <w:szCs w:val="16"/>
        </w:rPr>
        <w:t>příspěvky na dopravu, bydlení či v rámci programů spoření) také nepeněžní, resp.</w:t>
      </w:r>
      <w:r>
        <w:rPr>
          <w:spacing w:val="-2"/>
          <w:sz w:val="16"/>
          <w:szCs w:val="16"/>
        </w:rPr>
        <w:t> </w:t>
      </w:r>
      <w:r w:rsidRPr="00E9776B">
        <w:rPr>
          <w:spacing w:val="-2"/>
          <w:sz w:val="16"/>
          <w:szCs w:val="16"/>
        </w:rPr>
        <w:t>naturální důchody (zejména závod</w:t>
      </w:r>
      <w:r>
        <w:rPr>
          <w:spacing w:val="-2"/>
          <w:sz w:val="16"/>
          <w:szCs w:val="16"/>
        </w:rPr>
        <w:t>ní stravování, stravenky, služební</w:t>
      </w:r>
      <w:r w:rsidRPr="00E9776B">
        <w:rPr>
          <w:spacing w:val="-2"/>
          <w:sz w:val="16"/>
          <w:szCs w:val="16"/>
        </w:rPr>
        <w:t xml:space="preserve"> automobily</w:t>
      </w:r>
      <w:r>
        <w:rPr>
          <w:spacing w:val="-2"/>
          <w:sz w:val="16"/>
          <w:szCs w:val="16"/>
        </w:rPr>
        <w:t xml:space="preserve"> i pro soukromé užití</w:t>
      </w:r>
      <w:r w:rsidRPr="00E9776B">
        <w:rPr>
          <w:spacing w:val="-2"/>
          <w:sz w:val="16"/>
          <w:szCs w:val="16"/>
        </w:rPr>
        <w:t>, možnost užívání sportovních a</w:t>
      </w:r>
      <w:r>
        <w:rPr>
          <w:spacing w:val="-2"/>
          <w:sz w:val="16"/>
          <w:szCs w:val="16"/>
        </w:rPr>
        <w:t> </w:t>
      </w:r>
      <w:r w:rsidRPr="00E9776B">
        <w:rPr>
          <w:spacing w:val="-2"/>
          <w:sz w:val="16"/>
          <w:szCs w:val="16"/>
        </w:rPr>
        <w:t>rekreačních zařízení, péče o</w:t>
      </w:r>
      <w:r>
        <w:rPr>
          <w:spacing w:val="-2"/>
          <w:sz w:val="16"/>
          <w:szCs w:val="16"/>
        </w:rPr>
        <w:t> </w:t>
      </w:r>
      <w:r w:rsidRPr="00E9776B">
        <w:rPr>
          <w:spacing w:val="-2"/>
          <w:sz w:val="16"/>
          <w:szCs w:val="16"/>
        </w:rPr>
        <w:t>děti zaměstnanců, pracovní oděvy, podnikové půjčky či prémiové akcie rozdělované zaměstnancům). Oproti podnikovým statistikám zahrnují údaje o</w:t>
      </w:r>
      <w:r>
        <w:rPr>
          <w:spacing w:val="-2"/>
          <w:sz w:val="16"/>
          <w:szCs w:val="16"/>
        </w:rPr>
        <w:t> </w:t>
      </w:r>
      <w:r w:rsidRPr="00E9776B">
        <w:rPr>
          <w:spacing w:val="-2"/>
          <w:sz w:val="16"/>
          <w:szCs w:val="16"/>
        </w:rPr>
        <w:t>mzdách i</w:t>
      </w:r>
      <w:r>
        <w:rPr>
          <w:spacing w:val="-2"/>
          <w:sz w:val="16"/>
          <w:szCs w:val="16"/>
        </w:rPr>
        <w:t> </w:t>
      </w:r>
      <w:r w:rsidRPr="00E9776B">
        <w:rPr>
          <w:spacing w:val="-2"/>
          <w:sz w:val="16"/>
          <w:szCs w:val="16"/>
        </w:rPr>
        <w:t>odhad za nezjištěnou (šedou) ekonomiku. Mzdy a</w:t>
      </w:r>
      <w:r>
        <w:rPr>
          <w:spacing w:val="-2"/>
          <w:sz w:val="16"/>
          <w:szCs w:val="16"/>
        </w:rPr>
        <w:t> </w:t>
      </w:r>
      <w:r w:rsidRPr="00E9776B">
        <w:rPr>
          <w:spacing w:val="-2"/>
          <w:sz w:val="16"/>
          <w:szCs w:val="16"/>
        </w:rPr>
        <w:t>platy obsahují daň z příjmu i</w:t>
      </w:r>
      <w:r>
        <w:rPr>
          <w:spacing w:val="-2"/>
          <w:sz w:val="16"/>
          <w:szCs w:val="16"/>
        </w:rPr>
        <w:t> </w:t>
      </w:r>
      <w:r w:rsidRPr="00E9776B">
        <w:rPr>
          <w:spacing w:val="-2"/>
          <w:sz w:val="16"/>
          <w:szCs w:val="16"/>
        </w:rPr>
        <w:t>sociální příspěvky placené zaměstnancem, lze je tedy chápat jako podstatně šířeji pojaté hrubé zaměstnanecké výdělky.</w:t>
      </w:r>
    </w:p>
  </w:footnote>
  <w:footnote w:id="21">
    <w:p w14:paraId="7BA88E0C" w14:textId="4562BA9F" w:rsidR="004E684C" w:rsidRPr="00E93575" w:rsidRDefault="004E684C" w:rsidP="009E674A">
      <w:pPr>
        <w:pStyle w:val="Textpoznpodarou"/>
        <w:rPr>
          <w:spacing w:val="-4"/>
          <w:sz w:val="16"/>
          <w:szCs w:val="16"/>
        </w:rPr>
      </w:pPr>
      <w:r w:rsidRPr="00E93575">
        <w:rPr>
          <w:rStyle w:val="Znakapoznpodarou"/>
          <w:spacing w:val="-4"/>
          <w:sz w:val="16"/>
          <w:szCs w:val="16"/>
        </w:rPr>
        <w:footnoteRef/>
      </w:r>
      <w:r>
        <w:rPr>
          <w:spacing w:val="-4"/>
          <w:sz w:val="16"/>
          <w:szCs w:val="16"/>
        </w:rPr>
        <w:t xml:space="preserve"> Nefinanční podniky vytvářely loni 61,7 % hrubé přidané hodnoty (HPH) národního hospodářství, poskytovaly obživu 3 237 tis. zaměstnanců (po zohlednění různé délky úvazků) a na celkovém objemu vyplacených mezd v ekonomice se podílely 69,7 %. Disproporce mezi HPH a mzdami je způsobena tím, že část odměn za vykonanou práci v ekonomice inkasují drobní podnikatelé nikoliv ve formě mezd, ale smíšeného důchodu.</w:t>
      </w:r>
    </w:p>
  </w:footnote>
  <w:footnote w:id="22">
    <w:p w14:paraId="294D8D20" w14:textId="77777777" w:rsidR="00744D09" w:rsidRPr="00EE200F" w:rsidRDefault="00744D09" w:rsidP="00744D09">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Dokládají to obecná míra nezaměstnanosti i počet ekonomicky neaktivních osob, které chtějí pracovat. Oba ukazatele v průběhu roku 2018 dále přepisovaly svá historická minima.</w:t>
      </w:r>
    </w:p>
  </w:footnote>
  <w:footnote w:id="23">
    <w:p w14:paraId="1F2BD194" w14:textId="77777777" w:rsidR="00744D09" w:rsidRPr="00EE200F" w:rsidRDefault="00744D09" w:rsidP="00744D09">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V průběhu roku 2018 došlo např. k navýšení kvóty pro kvalifikované pracovníky z Ukrajiny (z 9,6 tis. ročně na 19,6 tis.). Rozšířil se i okruh zemí, jejichž občané se mohou do režimů i projektů cílených na kvalifikované pracovníky zapojit (o Indii, Filipíny, Mongolsko a Srbsko).</w:t>
      </w:r>
    </w:p>
  </w:footnote>
  <w:footnote w:id="24">
    <w:p w14:paraId="6F13E325" w14:textId="77777777" w:rsidR="00744D09" w:rsidRPr="00EE200F" w:rsidRDefault="00744D09" w:rsidP="00744D09">
      <w:pPr>
        <w:pStyle w:val="Textpoznpodarou"/>
        <w:rPr>
          <w:rFonts w:cs="Arial"/>
          <w:spacing w:val="-2"/>
          <w:sz w:val="16"/>
          <w:szCs w:val="16"/>
        </w:rPr>
      </w:pPr>
      <w:r w:rsidRPr="001111FC">
        <w:rPr>
          <w:rStyle w:val="Znakapoznpodarou"/>
          <w:rFonts w:cs="Arial"/>
          <w:spacing w:val="-2"/>
          <w:sz w:val="16"/>
          <w:szCs w:val="16"/>
        </w:rPr>
        <w:footnoteRef/>
      </w:r>
      <w:r w:rsidRPr="001111FC">
        <w:rPr>
          <w:rFonts w:cs="Arial"/>
          <w:spacing w:val="-2"/>
          <w:sz w:val="16"/>
          <w:szCs w:val="16"/>
        </w:rPr>
        <w:t xml:space="preserve"> Tu</w:t>
      </w:r>
      <w:r>
        <w:rPr>
          <w:rFonts w:cs="Arial"/>
          <w:spacing w:val="-2"/>
          <w:sz w:val="16"/>
          <w:szCs w:val="16"/>
        </w:rPr>
        <w:t>to roli posilovaly i přetrvávající, byť nikterak vysoké rozdíly v průměrných výdělcích. Dle údajů národních účtů byla výše vyplacených mezd a platů (vyjádřených v eurech) připadající v průměru na jednoho zaměstnance v roce 2018 v Česku zhruba dvojnásobná než ve státě EU s nejhorším postavením (Bulharsko). Po přepočtu do srovnatelné cenové hladiny (dle parity kupní síly) se rozdíly snížily. Hrubé výdělky v Bulharsku vystoupaly na 73 % úrovně ČR, v Maďarsku na 90 % a např. na Slovensku na 93 %.</w:t>
      </w:r>
    </w:p>
  </w:footnote>
  <w:footnote w:id="25">
    <w:p w14:paraId="43D52286" w14:textId="3463F558"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Není bez zajímavosti, že tento přírůstek odpovídá počtu volných pracovních míst v evidenci úřadů práce ČR, která byla na konci roku 2017 klasifikována jako vhodná pro cizince (</w:t>
      </w:r>
      <w:r w:rsidRPr="00AA5EA1">
        <w:rPr>
          <w:sz w:val="16"/>
          <w:szCs w:val="16"/>
        </w:rPr>
        <w:t>103</w:t>
      </w:r>
      <w:r>
        <w:rPr>
          <w:sz w:val="16"/>
          <w:szCs w:val="16"/>
        </w:rPr>
        <w:t> tis. míst, v drtivé většině určených</w:t>
      </w:r>
      <w:r w:rsidRPr="00AA5EA1">
        <w:rPr>
          <w:sz w:val="16"/>
          <w:szCs w:val="16"/>
        </w:rPr>
        <w:t xml:space="preserve"> pro nízkokvalifikované</w:t>
      </w:r>
      <w:r>
        <w:rPr>
          <w:sz w:val="16"/>
          <w:szCs w:val="16"/>
        </w:rPr>
        <w:t xml:space="preserve"> zaměstnance: </w:t>
      </w:r>
      <w:r w:rsidRPr="00AA5EA1">
        <w:rPr>
          <w:sz w:val="16"/>
          <w:szCs w:val="16"/>
        </w:rPr>
        <w:t>55</w:t>
      </w:r>
      <w:r>
        <w:rPr>
          <w:sz w:val="16"/>
          <w:szCs w:val="16"/>
        </w:rPr>
        <w:t> %</w:t>
      </w:r>
      <w:r w:rsidRPr="00AA5EA1">
        <w:rPr>
          <w:sz w:val="16"/>
          <w:szCs w:val="16"/>
        </w:rPr>
        <w:t xml:space="preserve"> spadalo do kategorie </w:t>
      </w:r>
      <w:r w:rsidRPr="00AA5EA1">
        <w:rPr>
          <w:rFonts w:eastAsia="Times New Roman" w:cs="Arial"/>
          <w:color w:val="000000"/>
          <w:sz w:val="16"/>
          <w:szCs w:val="16"/>
        </w:rPr>
        <w:t>obsluhy strojů a</w:t>
      </w:r>
      <w:r>
        <w:rPr>
          <w:rFonts w:eastAsia="Times New Roman" w:cs="Arial"/>
          <w:color w:val="000000"/>
          <w:sz w:val="16"/>
          <w:szCs w:val="16"/>
        </w:rPr>
        <w:t> </w:t>
      </w:r>
      <w:r w:rsidRPr="00AA5EA1">
        <w:rPr>
          <w:rFonts w:eastAsia="Times New Roman" w:cs="Arial"/>
          <w:color w:val="000000"/>
          <w:sz w:val="16"/>
          <w:szCs w:val="16"/>
        </w:rPr>
        <w:t>zařízen</w:t>
      </w:r>
      <w:r>
        <w:rPr>
          <w:rFonts w:eastAsia="Times New Roman" w:cs="Arial"/>
          <w:color w:val="000000"/>
          <w:sz w:val="16"/>
          <w:szCs w:val="16"/>
        </w:rPr>
        <w:t>í</w:t>
      </w:r>
      <w:r w:rsidRPr="00AA5EA1">
        <w:rPr>
          <w:rFonts w:eastAsia="Times New Roman" w:cs="Arial"/>
          <w:color w:val="000000"/>
          <w:sz w:val="16"/>
          <w:szCs w:val="16"/>
        </w:rPr>
        <w:t xml:space="preserve"> či pomocn</w:t>
      </w:r>
      <w:r>
        <w:rPr>
          <w:rFonts w:eastAsia="Times New Roman" w:cs="Arial"/>
          <w:color w:val="000000"/>
          <w:sz w:val="16"/>
          <w:szCs w:val="16"/>
        </w:rPr>
        <w:t>ých</w:t>
      </w:r>
      <w:r w:rsidRPr="00AA5EA1">
        <w:rPr>
          <w:rFonts w:eastAsia="Times New Roman" w:cs="Arial"/>
          <w:color w:val="000000"/>
          <w:sz w:val="16"/>
          <w:szCs w:val="16"/>
        </w:rPr>
        <w:t xml:space="preserve"> a</w:t>
      </w:r>
      <w:r>
        <w:rPr>
          <w:rFonts w:eastAsia="Times New Roman" w:cs="Arial"/>
          <w:color w:val="000000"/>
          <w:sz w:val="16"/>
          <w:szCs w:val="16"/>
        </w:rPr>
        <w:t> </w:t>
      </w:r>
      <w:r w:rsidRPr="00AA5EA1">
        <w:rPr>
          <w:rFonts w:eastAsia="Times New Roman" w:cs="Arial"/>
          <w:color w:val="000000"/>
          <w:sz w:val="16"/>
          <w:szCs w:val="16"/>
        </w:rPr>
        <w:t>nekvalifikovan</w:t>
      </w:r>
      <w:r>
        <w:rPr>
          <w:rFonts w:eastAsia="Times New Roman" w:cs="Arial"/>
          <w:color w:val="000000"/>
          <w:sz w:val="16"/>
          <w:szCs w:val="16"/>
        </w:rPr>
        <w:t>ých</w:t>
      </w:r>
      <w:r w:rsidRPr="00AA5EA1">
        <w:rPr>
          <w:rFonts w:eastAsia="Times New Roman" w:cs="Arial"/>
          <w:color w:val="000000"/>
          <w:sz w:val="16"/>
          <w:szCs w:val="16"/>
        </w:rPr>
        <w:t xml:space="preserve"> pracovník</w:t>
      </w:r>
      <w:r>
        <w:rPr>
          <w:rFonts w:eastAsia="Times New Roman" w:cs="Arial"/>
          <w:color w:val="000000"/>
          <w:sz w:val="16"/>
          <w:szCs w:val="16"/>
        </w:rPr>
        <w:t>ů</w:t>
      </w:r>
      <w:r w:rsidRPr="00AA5EA1">
        <w:rPr>
          <w:rFonts w:eastAsia="Times New Roman" w:cs="Arial"/>
          <w:color w:val="000000"/>
          <w:sz w:val="16"/>
          <w:szCs w:val="16"/>
        </w:rPr>
        <w:t>, dalších 22</w:t>
      </w:r>
      <w:r>
        <w:rPr>
          <w:rFonts w:eastAsia="Times New Roman" w:cs="Arial"/>
          <w:color w:val="000000"/>
          <w:sz w:val="16"/>
          <w:szCs w:val="16"/>
        </w:rPr>
        <w:t> %</w:t>
      </w:r>
      <w:r w:rsidRPr="00AA5EA1">
        <w:rPr>
          <w:rFonts w:eastAsia="Times New Roman" w:cs="Arial"/>
          <w:color w:val="000000"/>
          <w:sz w:val="16"/>
          <w:szCs w:val="16"/>
        </w:rPr>
        <w:t xml:space="preserve"> do skupiny řemeslníci a</w:t>
      </w:r>
      <w:r>
        <w:rPr>
          <w:rFonts w:eastAsia="Times New Roman" w:cs="Arial"/>
          <w:color w:val="000000"/>
          <w:sz w:val="16"/>
          <w:szCs w:val="16"/>
        </w:rPr>
        <w:t> </w:t>
      </w:r>
      <w:r w:rsidRPr="00AA5EA1">
        <w:rPr>
          <w:rFonts w:eastAsia="Times New Roman" w:cs="Arial"/>
          <w:color w:val="000000"/>
          <w:sz w:val="16"/>
          <w:szCs w:val="16"/>
        </w:rPr>
        <w:t>opraváři</w:t>
      </w:r>
      <w:r>
        <w:rPr>
          <w:rFonts w:eastAsia="Times New Roman" w:cs="Arial"/>
          <w:color w:val="000000"/>
          <w:sz w:val="16"/>
          <w:szCs w:val="16"/>
        </w:rPr>
        <w:t>)</w:t>
      </w:r>
      <w:r w:rsidRPr="00AA5EA1">
        <w:rPr>
          <w:rFonts w:eastAsia="Times New Roman" w:cs="Arial"/>
          <w:color w:val="000000"/>
          <w:sz w:val="16"/>
          <w:szCs w:val="16"/>
        </w:rPr>
        <w:t>.</w:t>
      </w:r>
    </w:p>
  </w:footnote>
  <w:footnote w:id="26">
    <w:p w14:paraId="629A53FB" w14:textId="5776DA1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Zrychlení růstu objemu ekonomické migrace v letech 2017 a 2018 dokládá i sílící počet žádostí o dlouhodobá pobytová oprávnění (vízum k pobytu nad 90 dní a povolení k pobytu) podaných na zastupitelských úřadech ČR.</w:t>
      </w:r>
      <w:r w:rsidRPr="00067741">
        <w:rPr>
          <w:rFonts w:cs="Arial"/>
          <w:spacing w:val="-2"/>
          <w:sz w:val="16"/>
          <w:szCs w:val="16"/>
        </w:rPr>
        <w:t xml:space="preserve"> </w:t>
      </w:r>
      <w:r>
        <w:rPr>
          <w:rFonts w:cs="Arial"/>
          <w:spacing w:val="-2"/>
          <w:sz w:val="16"/>
          <w:szCs w:val="16"/>
        </w:rPr>
        <w:t>Z celkových 55,9 tis. loňských žádostí jich plných 60 % bylo podáno za účelem výdělečných aktivit (zaměstnání či podnikání), o rok dříve necelá polovina. Výdělečné aktivity tak byly již druhým rokem nejčastěji žádaným účelem při příchodu do ČR (v předchozích letech tuto roli plnily vzdělávací aktivity).</w:t>
      </w:r>
    </w:p>
  </w:footnote>
  <w:footnote w:id="27">
    <w:p w14:paraId="5594B433" w14:textId="79C7F1C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Náležejí sem vedle občanů států EU a jejich rodinných příslušníků i občané Švýcarska, Lichtenštejnska, Norska a Islandu (včetně jejich rodinných příslušníků).</w:t>
      </w:r>
    </w:p>
  </w:footnote>
  <w:footnote w:id="28">
    <w:p w14:paraId="44D1F792" w14:textId="5F6C4E8B"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Do této kategorie patří zejména cizinci s povolením k trvalému pobytu na území ČR, azylanti či osoby, jimž byla udělena doplňková ochrana, pedagogičtí, akademičtí a vědečtí pracovníci, sportovci, osoby studující na území ČR a dále také lidé, kteří pobývají na území ČR na základě povolení k dlouhodobému pobytu za účelem společného soužití rodiny.</w:t>
      </w:r>
    </w:p>
  </w:footnote>
  <w:footnote w:id="29">
    <w:p w14:paraId="46137D39" w14:textId="4EEE3AE2"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Tato kategorie zahrnuje platná povolení k zaměstnání (např. pro krátkodobá zaměstnání do tří měsíců či sezónní práce), zaměstnanecké karty (vydávané zastupitelskými úřady ČR v zahraniční na déle neobsazená volná místa evidovaná na úřadech práce v ČR), modré karty (na déle neobsazená volná místa evidovaná na úřadech práce v ČR vyžadující vzdělání na terciárním stupni) či karty vnitropodnikově převedených zaměstnanců.</w:t>
      </w:r>
    </w:p>
  </w:footnote>
  <w:footnote w:id="30">
    <w:p w14:paraId="74B7BDBC"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Jde o srovnání v rámci dvaceti nejčetnějších skupin pracujících cizinců v ČR.</w:t>
      </w:r>
    </w:p>
  </w:footnote>
  <w:footnote w:id="31">
    <w:p w14:paraId="47F6C0D2"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Občané Vietnamu tak loni ztratili pozici nejčetněji zastoupené skupiny cizinců s platným živnostenským oprávněním, neboť je těsně předčili Ukrajinci. I tak ale představovali Vietnamci bezmála čtvrtinu všech podnikajících cizinců v ČR.</w:t>
      </w:r>
    </w:p>
  </w:footnote>
  <w:footnote w:id="32">
    <w:p w14:paraId="12814F50" w14:textId="77777777" w:rsidR="00744D09" w:rsidRPr="00EE200F" w:rsidRDefault="00744D09"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Dle údajů MPSV bylo v roce 2018 evidováno 161,6 tis. cizinců v postavení zaměstnanců agentur práce, kteří byli dočasně přiděleni k výkonu práce u zaměstnavatele. Ze států EU pocházelo 62 % těchto pracovníků, zbylá část připadala na občany „třetích zemí“.</w:t>
      </w:r>
    </w:p>
  </w:footnote>
  <w:footnote w:id="33">
    <w:p w14:paraId="05CC58C1" w14:textId="77777777" w:rsidR="00744D09" w:rsidRPr="00EE200F" w:rsidRDefault="00744D09"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Např. mezi muži v zaměstnaneckých pozicích v celé ekonomice jich působilo v odvětví dopravy a skladování (dle údajů VŠPS za rok 2018) 9,1 %, u cizinců ale jen 5,9 %. Obdobně u žen v odvětví ubytování, stravování a pohostinství dosahoval podíl zaměstnanců jen 4,7 % (v případě celé ekonomiky), ale 6,8 % mezi všemi cizinci, a dokonce 10,5 % u žen ze zemí mimo EU.</w:t>
      </w:r>
    </w:p>
  </w:footnote>
  <w:footnote w:id="34">
    <w:p w14:paraId="6D4B5906" w14:textId="5F72B4EB" w:rsidR="00744D09" w:rsidRDefault="00744D09" w:rsidP="009E674A">
      <w:pPr>
        <w:pStyle w:val="Textpoznpodarou"/>
        <w:rPr>
          <w:rFonts w:cs="Arial"/>
          <w:spacing w:val="-4"/>
          <w:sz w:val="16"/>
          <w:szCs w:val="16"/>
        </w:rPr>
      </w:pPr>
      <w:r w:rsidRPr="006706AD">
        <w:rPr>
          <w:rStyle w:val="Znakapoznpodarou"/>
          <w:rFonts w:cs="Arial"/>
          <w:spacing w:val="-4"/>
          <w:sz w:val="16"/>
          <w:szCs w:val="16"/>
        </w:rPr>
        <w:footnoteRef/>
      </w:r>
      <w:r w:rsidRPr="006706AD">
        <w:rPr>
          <w:rFonts w:cs="Arial"/>
          <w:spacing w:val="-4"/>
          <w:sz w:val="16"/>
          <w:szCs w:val="16"/>
        </w:rPr>
        <w:t xml:space="preserve"> Následující údaje vycház</w:t>
      </w:r>
      <w:r>
        <w:rPr>
          <w:rFonts w:cs="Arial"/>
          <w:spacing w:val="-4"/>
          <w:sz w:val="16"/>
          <w:szCs w:val="16"/>
        </w:rPr>
        <w:t>ej</w:t>
      </w:r>
      <w:r w:rsidRPr="006706AD">
        <w:rPr>
          <w:rFonts w:cs="Arial"/>
          <w:spacing w:val="-4"/>
          <w:sz w:val="16"/>
          <w:szCs w:val="16"/>
        </w:rPr>
        <w:t>í z 21 nejčetněji zastoupených států (dle občanství pracujícího cizince k 31.</w:t>
      </w:r>
      <w:r>
        <w:rPr>
          <w:rFonts w:cs="Arial"/>
          <w:spacing w:val="-4"/>
          <w:sz w:val="16"/>
          <w:szCs w:val="16"/>
        </w:rPr>
        <w:t> </w:t>
      </w:r>
      <w:r w:rsidRPr="006706AD">
        <w:rPr>
          <w:rFonts w:cs="Arial"/>
          <w:spacing w:val="-4"/>
          <w:sz w:val="16"/>
          <w:szCs w:val="16"/>
        </w:rPr>
        <w:t>12.</w:t>
      </w:r>
      <w:r>
        <w:rPr>
          <w:rFonts w:cs="Arial"/>
          <w:spacing w:val="-4"/>
          <w:sz w:val="16"/>
          <w:szCs w:val="16"/>
        </w:rPr>
        <w:t> </w:t>
      </w:r>
      <w:r w:rsidRPr="006706AD">
        <w:rPr>
          <w:rFonts w:cs="Arial"/>
          <w:spacing w:val="-4"/>
          <w:sz w:val="16"/>
          <w:szCs w:val="16"/>
        </w:rPr>
        <w:t>2018). Tyto státy zahrnují 95</w:t>
      </w:r>
      <w:r>
        <w:rPr>
          <w:rFonts w:cs="Arial"/>
          <w:spacing w:val="-4"/>
          <w:sz w:val="16"/>
          <w:szCs w:val="16"/>
        </w:rPr>
        <w:t> %</w:t>
      </w:r>
      <w:r w:rsidRPr="006706AD">
        <w:rPr>
          <w:rFonts w:cs="Arial"/>
          <w:spacing w:val="-4"/>
          <w:sz w:val="16"/>
          <w:szCs w:val="16"/>
        </w:rPr>
        <w:t xml:space="preserve"> všech cizinců v postavení zaměstnanců v ČR. Pro cizince z</w:t>
      </w:r>
      <w:r>
        <w:rPr>
          <w:rFonts w:cs="Arial"/>
          <w:spacing w:val="-4"/>
          <w:sz w:val="16"/>
          <w:szCs w:val="16"/>
        </w:rPr>
        <w:t> </w:t>
      </w:r>
      <w:r w:rsidRPr="006706AD">
        <w:rPr>
          <w:rFonts w:cs="Arial"/>
          <w:spacing w:val="-4"/>
          <w:sz w:val="16"/>
          <w:szCs w:val="16"/>
        </w:rPr>
        <w:t>většiny států představoval v Česku nejvýznamnější odvětví zpracovatelský průmysl. Dominoval hlavně u</w:t>
      </w:r>
      <w:r>
        <w:rPr>
          <w:rFonts w:cs="Arial"/>
          <w:spacing w:val="-4"/>
          <w:sz w:val="16"/>
          <w:szCs w:val="16"/>
        </w:rPr>
        <w:t> </w:t>
      </w:r>
      <w:r w:rsidRPr="006706AD">
        <w:rPr>
          <w:rFonts w:cs="Arial"/>
          <w:spacing w:val="-4"/>
          <w:sz w:val="16"/>
          <w:szCs w:val="16"/>
        </w:rPr>
        <w:t>Mongolů (působilo zde 76</w:t>
      </w:r>
      <w:r>
        <w:rPr>
          <w:rFonts w:cs="Arial"/>
          <w:spacing w:val="-4"/>
          <w:sz w:val="16"/>
          <w:szCs w:val="16"/>
        </w:rPr>
        <w:t> %</w:t>
      </w:r>
      <w:r w:rsidRPr="006706AD">
        <w:rPr>
          <w:rFonts w:cs="Arial"/>
          <w:spacing w:val="-4"/>
          <w:sz w:val="16"/>
          <w:szCs w:val="16"/>
        </w:rPr>
        <w:t xml:space="preserve"> všech zaměstnanců s tímto občanstvím)</w:t>
      </w:r>
      <w:r>
        <w:rPr>
          <w:rFonts w:cs="Arial"/>
          <w:spacing w:val="-4"/>
          <w:sz w:val="16"/>
          <w:szCs w:val="16"/>
        </w:rPr>
        <w:t>, Poláků (45 %) a Rumunů (44 %)</w:t>
      </w:r>
      <w:r w:rsidRPr="006706AD">
        <w:rPr>
          <w:rFonts w:cs="Arial"/>
          <w:spacing w:val="-4"/>
          <w:sz w:val="16"/>
          <w:szCs w:val="16"/>
        </w:rPr>
        <w:t>. Naopak méně než desetinou se podílel na zaměstnanosti u</w:t>
      </w:r>
      <w:r>
        <w:rPr>
          <w:rFonts w:cs="Arial"/>
          <w:spacing w:val="-4"/>
          <w:sz w:val="16"/>
          <w:szCs w:val="16"/>
        </w:rPr>
        <w:t> </w:t>
      </w:r>
      <w:r w:rsidRPr="006706AD">
        <w:rPr>
          <w:rFonts w:cs="Arial"/>
          <w:spacing w:val="-4"/>
          <w:sz w:val="16"/>
          <w:szCs w:val="16"/>
        </w:rPr>
        <w:t>občanů Číny (kteří „vynikali</w:t>
      </w:r>
      <w:r>
        <w:rPr>
          <w:rFonts w:cs="Arial"/>
          <w:spacing w:val="-4"/>
          <w:sz w:val="16"/>
          <w:szCs w:val="16"/>
        </w:rPr>
        <w:t>“</w:t>
      </w:r>
      <w:r w:rsidRPr="006706AD">
        <w:rPr>
          <w:rFonts w:cs="Arial"/>
          <w:spacing w:val="-4"/>
          <w:sz w:val="16"/>
          <w:szCs w:val="16"/>
        </w:rPr>
        <w:t xml:space="preserve"> v</w:t>
      </w:r>
      <w:r>
        <w:rPr>
          <w:rFonts w:cs="Arial"/>
          <w:spacing w:val="-4"/>
          <w:sz w:val="16"/>
          <w:szCs w:val="16"/>
        </w:rPr>
        <w:t> </w:t>
      </w:r>
      <w:r w:rsidRPr="006706AD">
        <w:rPr>
          <w:rFonts w:cs="Arial"/>
          <w:spacing w:val="-4"/>
          <w:sz w:val="16"/>
          <w:szCs w:val="16"/>
        </w:rPr>
        <w:t>ubytování, stravování a</w:t>
      </w:r>
      <w:r>
        <w:rPr>
          <w:rFonts w:cs="Arial"/>
          <w:spacing w:val="-4"/>
          <w:sz w:val="16"/>
          <w:szCs w:val="16"/>
        </w:rPr>
        <w:t> </w:t>
      </w:r>
      <w:r w:rsidRPr="006706AD">
        <w:rPr>
          <w:rFonts w:cs="Arial"/>
          <w:spacing w:val="-4"/>
          <w:sz w:val="16"/>
          <w:szCs w:val="16"/>
        </w:rPr>
        <w:t>pohostinství</w:t>
      </w:r>
      <w:r>
        <w:rPr>
          <w:rFonts w:cs="Arial"/>
          <w:spacing w:val="-4"/>
          <w:sz w:val="16"/>
          <w:szCs w:val="16"/>
        </w:rPr>
        <w:t xml:space="preserve"> – </w:t>
      </w:r>
      <w:r w:rsidRPr="006706AD">
        <w:rPr>
          <w:rFonts w:cs="Arial"/>
          <w:spacing w:val="-4"/>
          <w:sz w:val="16"/>
          <w:szCs w:val="16"/>
        </w:rPr>
        <w:t>63</w:t>
      </w:r>
      <w:r>
        <w:rPr>
          <w:rFonts w:cs="Arial"/>
          <w:spacing w:val="-4"/>
          <w:sz w:val="16"/>
          <w:szCs w:val="16"/>
        </w:rPr>
        <w:t> %</w:t>
      </w:r>
      <w:r w:rsidRPr="006706AD">
        <w:rPr>
          <w:rFonts w:cs="Arial"/>
          <w:spacing w:val="-4"/>
          <w:sz w:val="16"/>
          <w:szCs w:val="16"/>
        </w:rPr>
        <w:t>), Ruska (obchod</w:t>
      </w:r>
      <w:r>
        <w:rPr>
          <w:rFonts w:cs="Arial"/>
          <w:spacing w:val="-4"/>
          <w:sz w:val="16"/>
          <w:szCs w:val="16"/>
        </w:rPr>
        <w:t xml:space="preserve"> a</w:t>
      </w:r>
      <w:r w:rsidRPr="006706AD">
        <w:rPr>
          <w:rFonts w:cs="Arial"/>
          <w:spacing w:val="-4"/>
          <w:sz w:val="16"/>
          <w:szCs w:val="16"/>
        </w:rPr>
        <w:t> adm</w:t>
      </w:r>
      <w:r>
        <w:rPr>
          <w:rFonts w:cs="Arial"/>
          <w:spacing w:val="-4"/>
          <w:sz w:val="16"/>
          <w:szCs w:val="16"/>
        </w:rPr>
        <w:t>inistrativní a podpůrné činnosti – </w:t>
      </w:r>
      <w:r w:rsidRPr="006706AD">
        <w:rPr>
          <w:rFonts w:cs="Arial"/>
          <w:spacing w:val="-4"/>
          <w:sz w:val="16"/>
          <w:szCs w:val="16"/>
        </w:rPr>
        <w:t xml:space="preserve">obě </w:t>
      </w:r>
      <w:r>
        <w:rPr>
          <w:rFonts w:cs="Arial"/>
          <w:spacing w:val="-4"/>
          <w:sz w:val="16"/>
          <w:szCs w:val="16"/>
        </w:rPr>
        <w:t xml:space="preserve">odvětví </w:t>
      </w:r>
      <w:r w:rsidRPr="006706AD">
        <w:rPr>
          <w:rFonts w:cs="Arial"/>
          <w:spacing w:val="-4"/>
          <w:sz w:val="16"/>
          <w:szCs w:val="16"/>
        </w:rPr>
        <w:t>shodně 16</w:t>
      </w:r>
      <w:r>
        <w:rPr>
          <w:rFonts w:cs="Arial"/>
          <w:spacing w:val="-4"/>
          <w:sz w:val="16"/>
          <w:szCs w:val="16"/>
        </w:rPr>
        <w:t> %</w:t>
      </w:r>
      <w:r w:rsidRPr="006706AD">
        <w:rPr>
          <w:rFonts w:cs="Arial"/>
          <w:spacing w:val="-4"/>
          <w:sz w:val="16"/>
          <w:szCs w:val="16"/>
        </w:rPr>
        <w:t xml:space="preserve">), </w:t>
      </w:r>
      <w:r>
        <w:rPr>
          <w:rFonts w:cs="Arial"/>
          <w:spacing w:val="-4"/>
          <w:sz w:val="16"/>
          <w:szCs w:val="16"/>
        </w:rPr>
        <w:t>V</w:t>
      </w:r>
      <w:r w:rsidRPr="006706AD">
        <w:rPr>
          <w:rFonts w:cs="Arial"/>
          <w:spacing w:val="-4"/>
          <w:sz w:val="16"/>
          <w:szCs w:val="16"/>
        </w:rPr>
        <w:t>elké Británie (vzdělávání</w:t>
      </w:r>
      <w:r>
        <w:rPr>
          <w:rFonts w:cs="Arial"/>
          <w:spacing w:val="-4"/>
          <w:sz w:val="16"/>
          <w:szCs w:val="16"/>
        </w:rPr>
        <w:t xml:space="preserve"> – </w:t>
      </w:r>
      <w:r w:rsidRPr="006706AD">
        <w:rPr>
          <w:rFonts w:cs="Arial"/>
          <w:spacing w:val="-4"/>
          <w:sz w:val="16"/>
          <w:szCs w:val="16"/>
        </w:rPr>
        <w:t>24</w:t>
      </w:r>
      <w:r>
        <w:rPr>
          <w:rFonts w:cs="Arial"/>
          <w:spacing w:val="-4"/>
          <w:sz w:val="16"/>
          <w:szCs w:val="16"/>
        </w:rPr>
        <w:t> %</w:t>
      </w:r>
      <w:r w:rsidRPr="006706AD">
        <w:rPr>
          <w:rFonts w:cs="Arial"/>
          <w:spacing w:val="-4"/>
          <w:sz w:val="16"/>
          <w:szCs w:val="16"/>
        </w:rPr>
        <w:t>)</w:t>
      </w:r>
      <w:r>
        <w:rPr>
          <w:rFonts w:cs="Arial"/>
          <w:spacing w:val="-4"/>
          <w:sz w:val="16"/>
          <w:szCs w:val="16"/>
        </w:rPr>
        <w:t xml:space="preserve"> a USA (</w:t>
      </w:r>
      <w:r w:rsidRPr="006706AD">
        <w:rPr>
          <w:rFonts w:cs="Arial"/>
          <w:spacing w:val="-4"/>
          <w:sz w:val="16"/>
          <w:szCs w:val="16"/>
        </w:rPr>
        <w:t>vzdělávání</w:t>
      </w:r>
      <w:r>
        <w:rPr>
          <w:rFonts w:cs="Arial"/>
          <w:spacing w:val="-4"/>
          <w:sz w:val="16"/>
          <w:szCs w:val="16"/>
        </w:rPr>
        <w:t xml:space="preserve"> – 31 %</w:t>
      </w:r>
      <w:r w:rsidRPr="006706AD">
        <w:rPr>
          <w:rFonts w:cs="Arial"/>
          <w:spacing w:val="-4"/>
          <w:sz w:val="16"/>
          <w:szCs w:val="16"/>
        </w:rPr>
        <w:t>)</w:t>
      </w:r>
      <w:r>
        <w:rPr>
          <w:rFonts w:cs="Arial"/>
          <w:spacing w:val="-4"/>
          <w:sz w:val="16"/>
          <w:szCs w:val="16"/>
        </w:rPr>
        <w:t>. Klíčovým odvětvím nebyl zpracovatelský průmysl ani pro občany Vietnamu (</w:t>
      </w:r>
      <w:r w:rsidRPr="006706AD">
        <w:rPr>
          <w:rFonts w:cs="Arial"/>
          <w:spacing w:val="-4"/>
          <w:sz w:val="16"/>
          <w:szCs w:val="16"/>
        </w:rPr>
        <w:t>obchod</w:t>
      </w:r>
      <w:r>
        <w:rPr>
          <w:rFonts w:cs="Arial"/>
          <w:spacing w:val="-4"/>
          <w:sz w:val="16"/>
          <w:szCs w:val="16"/>
        </w:rPr>
        <w:t xml:space="preserve"> – 31 %), Itálie (informační a komunikační činnosti – 16 %), Francie a Španělska (obě země a</w:t>
      </w:r>
      <w:r w:rsidRPr="00C6244C">
        <w:rPr>
          <w:rFonts w:cs="Arial"/>
          <w:spacing w:val="-4"/>
          <w:sz w:val="16"/>
          <w:szCs w:val="16"/>
        </w:rPr>
        <w:t>dm</w:t>
      </w:r>
      <w:r>
        <w:rPr>
          <w:rFonts w:cs="Arial"/>
          <w:spacing w:val="-4"/>
          <w:sz w:val="16"/>
          <w:szCs w:val="16"/>
        </w:rPr>
        <w:t>inistrativní a podpůrné činnosti – 19 %, těsně následované i</w:t>
      </w:r>
      <w:r w:rsidRPr="00C6244C">
        <w:rPr>
          <w:rFonts w:cs="Arial"/>
          <w:spacing w:val="-4"/>
          <w:sz w:val="16"/>
          <w:szCs w:val="16"/>
        </w:rPr>
        <w:t>nformační</w:t>
      </w:r>
      <w:r>
        <w:rPr>
          <w:rFonts w:cs="Arial"/>
          <w:spacing w:val="-4"/>
          <w:sz w:val="16"/>
          <w:szCs w:val="16"/>
        </w:rPr>
        <w:t>mi</w:t>
      </w:r>
      <w:r w:rsidRPr="00C6244C">
        <w:rPr>
          <w:rFonts w:cs="Arial"/>
          <w:spacing w:val="-4"/>
          <w:sz w:val="16"/>
          <w:szCs w:val="16"/>
        </w:rPr>
        <w:t xml:space="preserve"> a</w:t>
      </w:r>
      <w:r>
        <w:rPr>
          <w:rFonts w:cs="Arial"/>
          <w:spacing w:val="-4"/>
          <w:sz w:val="16"/>
          <w:szCs w:val="16"/>
        </w:rPr>
        <w:t> </w:t>
      </w:r>
      <w:r w:rsidRPr="00C6244C">
        <w:rPr>
          <w:rFonts w:cs="Arial"/>
          <w:spacing w:val="-4"/>
          <w:sz w:val="16"/>
          <w:szCs w:val="16"/>
        </w:rPr>
        <w:t>komunikační</w:t>
      </w:r>
      <w:r>
        <w:rPr>
          <w:rFonts w:cs="Arial"/>
          <w:spacing w:val="-4"/>
          <w:sz w:val="16"/>
          <w:szCs w:val="16"/>
        </w:rPr>
        <w:t xml:space="preserve">mi činnostmi), </w:t>
      </w:r>
      <w:r w:rsidRPr="00AB29F1">
        <w:rPr>
          <w:rFonts w:cs="Arial"/>
          <w:spacing w:val="-4"/>
          <w:sz w:val="16"/>
          <w:szCs w:val="16"/>
        </w:rPr>
        <w:t>Kazachstán</w:t>
      </w:r>
      <w:r>
        <w:rPr>
          <w:rFonts w:cs="Arial"/>
          <w:spacing w:val="-4"/>
          <w:sz w:val="16"/>
          <w:szCs w:val="16"/>
        </w:rPr>
        <w:t>u (a</w:t>
      </w:r>
      <w:r w:rsidRPr="00C6244C">
        <w:rPr>
          <w:rFonts w:cs="Arial"/>
          <w:spacing w:val="-4"/>
          <w:sz w:val="16"/>
          <w:szCs w:val="16"/>
        </w:rPr>
        <w:t>dm</w:t>
      </w:r>
      <w:r>
        <w:rPr>
          <w:rFonts w:cs="Arial"/>
          <w:spacing w:val="-4"/>
          <w:sz w:val="16"/>
          <w:szCs w:val="16"/>
        </w:rPr>
        <w:t>inistrativní a podpůrné činnosti – 21 %) a Indie (informační a</w:t>
      </w:r>
      <w:r w:rsidRPr="006706AD">
        <w:rPr>
          <w:rFonts w:cs="Arial"/>
          <w:spacing w:val="-4"/>
          <w:sz w:val="16"/>
          <w:szCs w:val="16"/>
        </w:rPr>
        <w:t> </w:t>
      </w:r>
      <w:r>
        <w:rPr>
          <w:rFonts w:cs="Arial"/>
          <w:spacing w:val="-4"/>
          <w:sz w:val="16"/>
          <w:szCs w:val="16"/>
        </w:rPr>
        <w:t>komunikační činnosti – 27 %).</w:t>
      </w:r>
    </w:p>
    <w:p w14:paraId="7EA33AA1" w14:textId="0C856D74" w:rsidR="00744D09" w:rsidRPr="006706AD" w:rsidRDefault="00744D09" w:rsidP="009E674A">
      <w:pPr>
        <w:pStyle w:val="Textpoznpodarou"/>
        <w:rPr>
          <w:rFonts w:cs="Arial"/>
          <w:spacing w:val="-4"/>
          <w:sz w:val="16"/>
          <w:szCs w:val="16"/>
        </w:rPr>
      </w:pPr>
      <w:r>
        <w:rPr>
          <w:rFonts w:cs="Arial"/>
          <w:spacing w:val="-4"/>
          <w:sz w:val="16"/>
          <w:szCs w:val="16"/>
        </w:rPr>
        <w:t>Odvětví z</w:t>
      </w:r>
      <w:r w:rsidRPr="001C4B1D">
        <w:rPr>
          <w:rFonts w:cs="Arial"/>
          <w:spacing w:val="-4"/>
          <w:sz w:val="16"/>
          <w:szCs w:val="16"/>
        </w:rPr>
        <w:t>emědělství, lesnictví a</w:t>
      </w:r>
      <w:r>
        <w:rPr>
          <w:rFonts w:cs="Arial"/>
          <w:spacing w:val="-4"/>
          <w:sz w:val="16"/>
          <w:szCs w:val="16"/>
        </w:rPr>
        <w:t> </w:t>
      </w:r>
      <w:r w:rsidRPr="001C4B1D">
        <w:rPr>
          <w:rFonts w:cs="Arial"/>
          <w:spacing w:val="-4"/>
          <w:sz w:val="16"/>
          <w:szCs w:val="16"/>
        </w:rPr>
        <w:t>rybářství</w:t>
      </w:r>
      <w:r>
        <w:rPr>
          <w:rFonts w:cs="Arial"/>
          <w:spacing w:val="-4"/>
          <w:sz w:val="16"/>
          <w:szCs w:val="16"/>
        </w:rPr>
        <w:t xml:space="preserve"> dosahovalo nejvyššího podílu na celkové zaměstnanosti mezi Rumuny (5</w:t>
      </w:r>
      <w:r w:rsidRPr="006706AD">
        <w:rPr>
          <w:rFonts w:cs="Arial"/>
          <w:spacing w:val="-4"/>
          <w:sz w:val="16"/>
          <w:szCs w:val="16"/>
        </w:rPr>
        <w:t> </w:t>
      </w:r>
      <w:r>
        <w:rPr>
          <w:rFonts w:cs="Arial"/>
          <w:spacing w:val="-4"/>
          <w:sz w:val="16"/>
          <w:szCs w:val="16"/>
        </w:rPr>
        <w:t>%), těžba a dobývání u Poláků (4 %), stavebnictví u Ukrajinců (17 %), obchod u Vietnamců (31 %), d</w:t>
      </w:r>
      <w:r w:rsidRPr="00374C8A">
        <w:rPr>
          <w:rFonts w:cs="Arial"/>
          <w:spacing w:val="-4"/>
          <w:sz w:val="16"/>
          <w:szCs w:val="16"/>
        </w:rPr>
        <w:t>oprava a</w:t>
      </w:r>
      <w:r>
        <w:rPr>
          <w:rFonts w:cs="Arial"/>
          <w:spacing w:val="-4"/>
          <w:sz w:val="16"/>
          <w:szCs w:val="16"/>
        </w:rPr>
        <w:t> </w:t>
      </w:r>
      <w:r w:rsidRPr="00374C8A">
        <w:rPr>
          <w:rFonts w:cs="Arial"/>
          <w:spacing w:val="-4"/>
          <w:sz w:val="16"/>
          <w:szCs w:val="16"/>
        </w:rPr>
        <w:t>skladování</w:t>
      </w:r>
      <w:r>
        <w:rPr>
          <w:rFonts w:cs="Arial"/>
          <w:spacing w:val="-4"/>
          <w:sz w:val="16"/>
          <w:szCs w:val="16"/>
        </w:rPr>
        <w:t xml:space="preserve"> u Bělorusů (10 %), ub</w:t>
      </w:r>
      <w:r w:rsidRPr="00374C8A">
        <w:rPr>
          <w:rFonts w:cs="Arial"/>
          <w:spacing w:val="-4"/>
          <w:sz w:val="16"/>
          <w:szCs w:val="16"/>
        </w:rPr>
        <w:t>ytování, stravování a</w:t>
      </w:r>
      <w:r>
        <w:rPr>
          <w:rFonts w:cs="Arial"/>
          <w:spacing w:val="-4"/>
          <w:sz w:val="16"/>
          <w:szCs w:val="16"/>
        </w:rPr>
        <w:t> </w:t>
      </w:r>
      <w:r w:rsidRPr="00374C8A">
        <w:rPr>
          <w:rFonts w:cs="Arial"/>
          <w:spacing w:val="-4"/>
          <w:sz w:val="16"/>
          <w:szCs w:val="16"/>
        </w:rPr>
        <w:t>pohostinství</w:t>
      </w:r>
      <w:r>
        <w:rPr>
          <w:rFonts w:cs="Arial"/>
          <w:spacing w:val="-4"/>
          <w:sz w:val="16"/>
          <w:szCs w:val="16"/>
        </w:rPr>
        <w:t xml:space="preserve"> u Číňanů (63 %), inf</w:t>
      </w:r>
      <w:r w:rsidRPr="003B1037">
        <w:rPr>
          <w:rFonts w:cs="Arial"/>
          <w:spacing w:val="-4"/>
          <w:sz w:val="16"/>
          <w:szCs w:val="16"/>
        </w:rPr>
        <w:t>ormační a</w:t>
      </w:r>
      <w:r>
        <w:rPr>
          <w:rFonts w:cs="Arial"/>
          <w:spacing w:val="-4"/>
          <w:sz w:val="16"/>
          <w:szCs w:val="16"/>
        </w:rPr>
        <w:t> </w:t>
      </w:r>
      <w:r w:rsidRPr="003B1037">
        <w:rPr>
          <w:rFonts w:cs="Arial"/>
          <w:spacing w:val="-4"/>
          <w:sz w:val="16"/>
          <w:szCs w:val="16"/>
        </w:rPr>
        <w:t>komunikační činnosti</w:t>
      </w:r>
      <w:r>
        <w:rPr>
          <w:rFonts w:cs="Arial"/>
          <w:spacing w:val="-4"/>
          <w:sz w:val="16"/>
          <w:szCs w:val="16"/>
        </w:rPr>
        <w:t xml:space="preserve"> u Indů (27 %), p</w:t>
      </w:r>
      <w:r w:rsidRPr="003B1037">
        <w:rPr>
          <w:rFonts w:cs="Arial"/>
          <w:spacing w:val="-4"/>
          <w:sz w:val="16"/>
          <w:szCs w:val="16"/>
        </w:rPr>
        <w:t>eněžnictví a</w:t>
      </w:r>
      <w:r>
        <w:rPr>
          <w:rFonts w:cs="Arial"/>
          <w:spacing w:val="-4"/>
          <w:sz w:val="16"/>
          <w:szCs w:val="16"/>
        </w:rPr>
        <w:t> </w:t>
      </w:r>
      <w:r w:rsidRPr="003B1037">
        <w:rPr>
          <w:rFonts w:cs="Arial"/>
          <w:spacing w:val="-4"/>
          <w:sz w:val="16"/>
          <w:szCs w:val="16"/>
        </w:rPr>
        <w:t>pojišťovnictví</w:t>
      </w:r>
      <w:r>
        <w:rPr>
          <w:rFonts w:cs="Arial"/>
          <w:spacing w:val="-4"/>
          <w:sz w:val="16"/>
          <w:szCs w:val="16"/>
        </w:rPr>
        <w:t xml:space="preserve"> u Francouzů (5 %), č</w:t>
      </w:r>
      <w:r w:rsidRPr="003B1037">
        <w:rPr>
          <w:rFonts w:cs="Arial"/>
          <w:spacing w:val="-4"/>
          <w:sz w:val="16"/>
          <w:szCs w:val="16"/>
        </w:rPr>
        <w:t>innosti v</w:t>
      </w:r>
      <w:r>
        <w:rPr>
          <w:rFonts w:cs="Arial"/>
          <w:spacing w:val="-4"/>
          <w:sz w:val="16"/>
          <w:szCs w:val="16"/>
        </w:rPr>
        <w:t> </w:t>
      </w:r>
      <w:r w:rsidRPr="003B1037">
        <w:rPr>
          <w:rFonts w:cs="Arial"/>
          <w:spacing w:val="-4"/>
          <w:sz w:val="16"/>
          <w:szCs w:val="16"/>
        </w:rPr>
        <w:t>oblasti nemovitostí</w:t>
      </w:r>
      <w:r>
        <w:rPr>
          <w:rFonts w:cs="Arial"/>
          <w:spacing w:val="-4"/>
          <w:sz w:val="16"/>
          <w:szCs w:val="16"/>
        </w:rPr>
        <w:t xml:space="preserve"> a také p</w:t>
      </w:r>
      <w:r w:rsidRPr="003B1037">
        <w:rPr>
          <w:rFonts w:cs="Arial"/>
          <w:spacing w:val="-4"/>
          <w:sz w:val="16"/>
          <w:szCs w:val="16"/>
        </w:rPr>
        <w:t>rofesní, vědecké a</w:t>
      </w:r>
      <w:r>
        <w:rPr>
          <w:rFonts w:cs="Arial"/>
          <w:spacing w:val="-4"/>
          <w:sz w:val="16"/>
          <w:szCs w:val="16"/>
        </w:rPr>
        <w:t> </w:t>
      </w:r>
      <w:r w:rsidRPr="003B1037">
        <w:rPr>
          <w:rFonts w:cs="Arial"/>
          <w:spacing w:val="-4"/>
          <w:sz w:val="16"/>
          <w:szCs w:val="16"/>
        </w:rPr>
        <w:t xml:space="preserve">technické činnosti </w:t>
      </w:r>
      <w:r>
        <w:rPr>
          <w:rFonts w:cs="Arial"/>
          <w:spacing w:val="-4"/>
          <w:sz w:val="16"/>
          <w:szCs w:val="16"/>
        </w:rPr>
        <w:t>u občanů Velké Británie (4 %, resp. 16 %), administrativní a</w:t>
      </w:r>
      <w:r w:rsidRPr="006706AD">
        <w:rPr>
          <w:rFonts w:cs="Arial"/>
          <w:spacing w:val="-4"/>
          <w:sz w:val="16"/>
          <w:szCs w:val="16"/>
        </w:rPr>
        <w:t> </w:t>
      </w:r>
      <w:r w:rsidRPr="003B1037">
        <w:rPr>
          <w:rFonts w:cs="Arial"/>
          <w:spacing w:val="-4"/>
          <w:sz w:val="16"/>
          <w:szCs w:val="16"/>
        </w:rPr>
        <w:t>podpůrné činnosti</w:t>
      </w:r>
      <w:r>
        <w:rPr>
          <w:rFonts w:cs="Arial"/>
          <w:spacing w:val="-4"/>
          <w:sz w:val="16"/>
          <w:szCs w:val="16"/>
        </w:rPr>
        <w:t xml:space="preserve"> u Bulharů (28 %), veřejná správa, obrana a </w:t>
      </w:r>
      <w:r w:rsidRPr="003B1037">
        <w:rPr>
          <w:rFonts w:cs="Arial"/>
          <w:spacing w:val="-4"/>
          <w:sz w:val="16"/>
          <w:szCs w:val="16"/>
        </w:rPr>
        <w:t>sociální zabezpečení</w:t>
      </w:r>
      <w:r>
        <w:rPr>
          <w:rFonts w:cs="Arial"/>
          <w:spacing w:val="-4"/>
          <w:sz w:val="16"/>
          <w:szCs w:val="16"/>
        </w:rPr>
        <w:t xml:space="preserve"> u Slováků (0,4 %), vzdělávání u Američanů (31</w:t>
      </w:r>
      <w:r w:rsidRPr="006706AD">
        <w:rPr>
          <w:rFonts w:cs="Arial"/>
          <w:spacing w:val="-4"/>
          <w:sz w:val="16"/>
          <w:szCs w:val="16"/>
        </w:rPr>
        <w:t> </w:t>
      </w:r>
      <w:r>
        <w:rPr>
          <w:rFonts w:cs="Arial"/>
          <w:spacing w:val="-4"/>
          <w:sz w:val="16"/>
          <w:szCs w:val="16"/>
        </w:rPr>
        <w:t>%), z</w:t>
      </w:r>
      <w:r w:rsidRPr="005664B1">
        <w:rPr>
          <w:rFonts w:cs="Arial"/>
          <w:spacing w:val="-4"/>
          <w:sz w:val="16"/>
          <w:szCs w:val="16"/>
        </w:rPr>
        <w:t>dravotní a</w:t>
      </w:r>
      <w:r>
        <w:rPr>
          <w:rFonts w:cs="Arial"/>
          <w:spacing w:val="-4"/>
          <w:sz w:val="16"/>
          <w:szCs w:val="16"/>
        </w:rPr>
        <w:t> </w:t>
      </w:r>
      <w:r w:rsidRPr="005664B1">
        <w:rPr>
          <w:rFonts w:cs="Arial"/>
          <w:spacing w:val="-4"/>
          <w:sz w:val="16"/>
          <w:szCs w:val="16"/>
        </w:rPr>
        <w:t>sociální péče</w:t>
      </w:r>
      <w:r>
        <w:rPr>
          <w:rFonts w:cs="Arial"/>
          <w:spacing w:val="-4"/>
          <w:sz w:val="16"/>
          <w:szCs w:val="16"/>
        </w:rPr>
        <w:t xml:space="preserve"> u Slováků (4,7 %), k</w:t>
      </w:r>
      <w:r w:rsidRPr="00D07AAB">
        <w:rPr>
          <w:rFonts w:cs="Arial"/>
          <w:spacing w:val="-4"/>
          <w:sz w:val="16"/>
          <w:szCs w:val="16"/>
        </w:rPr>
        <w:t>ulturní, zábavní a</w:t>
      </w:r>
      <w:r>
        <w:rPr>
          <w:rFonts w:cs="Arial"/>
          <w:spacing w:val="-4"/>
          <w:sz w:val="16"/>
          <w:szCs w:val="16"/>
        </w:rPr>
        <w:t> </w:t>
      </w:r>
      <w:r w:rsidRPr="00D07AAB">
        <w:rPr>
          <w:rFonts w:cs="Arial"/>
          <w:spacing w:val="-4"/>
          <w:sz w:val="16"/>
          <w:szCs w:val="16"/>
        </w:rPr>
        <w:t>rekreační činnosti</w:t>
      </w:r>
      <w:r>
        <w:rPr>
          <w:rFonts w:cs="Arial"/>
          <w:spacing w:val="-4"/>
          <w:sz w:val="16"/>
          <w:szCs w:val="16"/>
        </w:rPr>
        <w:t xml:space="preserve"> u Američanů (1,8 %) a ostatní činnosti služeb, kam patří například kosmetické činnosti, u Vietnamců (5,6 %).</w:t>
      </w:r>
    </w:p>
  </w:footnote>
  <w:footnote w:id="35">
    <w:p w14:paraId="617573F5" w14:textId="77777777" w:rsidR="00F36104" w:rsidRPr="00EE200F" w:rsidRDefault="00F36104"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Počet všech pracujících cizinců registrovaných v okresech Ostrava</w:t>
      </w:r>
      <w:r>
        <w:rPr>
          <w:rFonts w:cs="Arial"/>
          <w:spacing w:val="-2"/>
          <w:sz w:val="16"/>
          <w:szCs w:val="16"/>
        </w:rPr>
        <w:noBreakHyphen/>
        <w:t>město, Karviná, Frýdek</w:t>
      </w:r>
      <w:r>
        <w:rPr>
          <w:rFonts w:cs="Arial"/>
          <w:spacing w:val="-2"/>
          <w:sz w:val="16"/>
          <w:szCs w:val="16"/>
        </w:rPr>
        <w:noBreakHyphen/>
        <w:t xml:space="preserve">Místek se proti roku 2011 zvýšil jen mírně nad třetinu (ze 16,8 tis. na 23,2 tis.). Tento vývoj souvisel s prudkým rozvojem automobilového průmyslu v nedaleké Žilině a také s pokračující transformací těžkého průmyslu v ostravské aglomeraci. </w:t>
      </w:r>
    </w:p>
  </w:footnote>
  <w:footnote w:id="36">
    <w:p w14:paraId="303643DC" w14:textId="0B6222BF" w:rsidR="00F36104" w:rsidRPr="00EE200F" w:rsidRDefault="00F36104"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Včetně cizinců (a jejich rodinných příslušníků), kteří jsou občany zemí Evropského hospodářského prostoru.</w:t>
      </w:r>
    </w:p>
  </w:footnote>
  <w:footnote w:id="37">
    <w:p w14:paraId="2CD61C40" w14:textId="6F992969" w:rsidR="004E684C" w:rsidRPr="00347C5D" w:rsidRDefault="004E684C" w:rsidP="009E674A">
      <w:pPr>
        <w:pStyle w:val="Textpoznpodarou"/>
        <w:rPr>
          <w:rFonts w:cs="Arial"/>
          <w:color w:val="0D0D0D" w:themeColor="text1" w:themeTint="F2"/>
          <w:spacing w:val="-4"/>
          <w:sz w:val="16"/>
          <w:szCs w:val="16"/>
        </w:rPr>
      </w:pPr>
      <w:r w:rsidRPr="00347C5D">
        <w:rPr>
          <w:rStyle w:val="Znakapoznpodarou"/>
          <w:rFonts w:cs="Arial"/>
          <w:color w:val="0D0D0D" w:themeColor="text1" w:themeTint="F2"/>
          <w:spacing w:val="-4"/>
          <w:sz w:val="16"/>
          <w:szCs w:val="16"/>
        </w:rPr>
        <w:footnoteRef/>
      </w:r>
      <w:r w:rsidRPr="00347C5D">
        <w:rPr>
          <w:rFonts w:cs="Arial"/>
          <w:color w:val="0D0D0D" w:themeColor="text1" w:themeTint="F2"/>
          <w:spacing w:val="-4"/>
          <w:sz w:val="16"/>
          <w:szCs w:val="16"/>
        </w:rPr>
        <w:t xml:space="preserve"> </w:t>
      </w:r>
      <w:r w:rsidRPr="00347C5D">
        <w:rPr>
          <w:rFonts w:cs="Arial"/>
          <w:color w:val="0D0D0D" w:themeColor="text1" w:themeTint="F2"/>
          <w:sz w:val="16"/>
          <w:szCs w:val="16"/>
        </w:rPr>
        <w:t>Detailní aktuální údaje o</w:t>
      </w:r>
      <w:r>
        <w:rPr>
          <w:rFonts w:cs="Arial"/>
          <w:color w:val="0D0D0D" w:themeColor="text1" w:themeTint="F2"/>
          <w:sz w:val="16"/>
          <w:szCs w:val="16"/>
        </w:rPr>
        <w:t> </w:t>
      </w:r>
      <w:r w:rsidRPr="00347C5D">
        <w:rPr>
          <w:rFonts w:cs="Arial"/>
          <w:color w:val="0D0D0D" w:themeColor="text1" w:themeTint="F2"/>
          <w:sz w:val="16"/>
          <w:szCs w:val="16"/>
        </w:rPr>
        <w:t>úrovni a</w:t>
      </w:r>
      <w:r>
        <w:rPr>
          <w:rFonts w:cs="Arial"/>
          <w:color w:val="0D0D0D" w:themeColor="text1" w:themeTint="F2"/>
          <w:sz w:val="16"/>
          <w:szCs w:val="16"/>
        </w:rPr>
        <w:t> </w:t>
      </w:r>
      <w:r w:rsidRPr="00347C5D">
        <w:rPr>
          <w:rFonts w:cs="Arial"/>
          <w:color w:val="0D0D0D" w:themeColor="text1" w:themeTint="F2"/>
          <w:sz w:val="16"/>
          <w:szCs w:val="16"/>
        </w:rPr>
        <w:t>struktuře úplných nákladů práce (představující</w:t>
      </w:r>
      <w:r>
        <w:rPr>
          <w:rFonts w:cs="Arial"/>
          <w:color w:val="0D0D0D" w:themeColor="text1" w:themeTint="F2"/>
          <w:sz w:val="16"/>
          <w:szCs w:val="16"/>
        </w:rPr>
        <w:t>ch</w:t>
      </w:r>
      <w:r w:rsidRPr="00347C5D">
        <w:rPr>
          <w:rFonts w:cs="Arial"/>
          <w:color w:val="0D0D0D" w:themeColor="text1" w:themeTint="F2"/>
          <w:sz w:val="16"/>
          <w:szCs w:val="16"/>
        </w:rPr>
        <w:t xml:space="preserve"> celkové náklady zaměstnavatele, které musí vynaložit k</w:t>
      </w:r>
      <w:r w:rsidRPr="00347C5D">
        <w:rPr>
          <w:color w:val="0D0D0D" w:themeColor="text1" w:themeTint="F2"/>
          <w:spacing w:val="-4"/>
          <w:sz w:val="16"/>
          <w:szCs w:val="16"/>
        </w:rPr>
        <w:t> </w:t>
      </w:r>
      <w:r w:rsidRPr="00347C5D">
        <w:rPr>
          <w:rFonts w:cs="Arial"/>
          <w:color w:val="0D0D0D" w:themeColor="text1" w:themeTint="F2"/>
          <w:sz w:val="16"/>
          <w:szCs w:val="16"/>
        </w:rPr>
        <w:t>získání a</w:t>
      </w:r>
      <w:r>
        <w:rPr>
          <w:rFonts w:cs="Arial"/>
          <w:color w:val="0D0D0D" w:themeColor="text1" w:themeTint="F2"/>
          <w:sz w:val="16"/>
          <w:szCs w:val="16"/>
        </w:rPr>
        <w:t> </w:t>
      </w:r>
      <w:r w:rsidRPr="00347C5D">
        <w:rPr>
          <w:rFonts w:cs="Arial"/>
          <w:color w:val="0D0D0D" w:themeColor="text1" w:themeTint="F2"/>
          <w:sz w:val="16"/>
          <w:szCs w:val="16"/>
        </w:rPr>
        <w:t>výchově zaměstnanců, k</w:t>
      </w:r>
      <w:r>
        <w:rPr>
          <w:rFonts w:cs="Arial"/>
          <w:color w:val="0D0D0D" w:themeColor="text1" w:themeTint="F2"/>
          <w:sz w:val="16"/>
          <w:szCs w:val="16"/>
        </w:rPr>
        <w:t> </w:t>
      </w:r>
      <w:r w:rsidRPr="00347C5D">
        <w:rPr>
          <w:rFonts w:cs="Arial"/>
          <w:color w:val="0D0D0D" w:themeColor="text1" w:themeTint="F2"/>
          <w:sz w:val="16"/>
          <w:szCs w:val="16"/>
        </w:rPr>
        <w:t>odměňování za práci a</w:t>
      </w:r>
      <w:r>
        <w:rPr>
          <w:rFonts w:cs="Arial"/>
          <w:color w:val="0D0D0D" w:themeColor="text1" w:themeTint="F2"/>
          <w:sz w:val="16"/>
          <w:szCs w:val="16"/>
        </w:rPr>
        <w:t> </w:t>
      </w:r>
      <w:r w:rsidRPr="00347C5D">
        <w:rPr>
          <w:rFonts w:cs="Arial"/>
          <w:color w:val="0D0D0D" w:themeColor="text1" w:themeTint="F2"/>
          <w:sz w:val="16"/>
          <w:szCs w:val="16"/>
        </w:rPr>
        <w:t>k</w:t>
      </w:r>
      <w:r>
        <w:rPr>
          <w:rFonts w:cs="Arial"/>
          <w:color w:val="0D0D0D" w:themeColor="text1" w:themeTint="F2"/>
          <w:sz w:val="16"/>
          <w:szCs w:val="16"/>
        </w:rPr>
        <w:t> </w:t>
      </w:r>
      <w:r w:rsidRPr="00347C5D">
        <w:rPr>
          <w:rFonts w:cs="Arial"/>
          <w:color w:val="0D0D0D" w:themeColor="text1" w:themeTint="F2"/>
          <w:sz w:val="16"/>
          <w:szCs w:val="16"/>
        </w:rPr>
        <w:t>zabezpečení sociálních potřeb zaměstnanců) za rok 2018 nebyly v době zpracování tohoto rozboru k dispozici (jejich vydání je plánováno na 20.</w:t>
      </w:r>
      <w:r>
        <w:rPr>
          <w:rFonts w:cs="Arial"/>
          <w:color w:val="0D0D0D" w:themeColor="text1" w:themeTint="F2"/>
          <w:sz w:val="16"/>
          <w:szCs w:val="16"/>
        </w:rPr>
        <w:t> </w:t>
      </w:r>
      <w:r w:rsidRPr="00347C5D">
        <w:rPr>
          <w:rFonts w:cs="Arial"/>
          <w:color w:val="0D0D0D" w:themeColor="text1" w:themeTint="F2"/>
          <w:sz w:val="16"/>
          <w:szCs w:val="16"/>
        </w:rPr>
        <w:t>listopad 2018).</w:t>
      </w:r>
    </w:p>
  </w:footnote>
  <w:footnote w:id="38">
    <w:p w14:paraId="2D06881C" w14:textId="5D743762"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I mezi ženami, kde je vy</w:t>
      </w:r>
      <w:r w:rsidRPr="00EE200F">
        <w:rPr>
          <w:rFonts w:cs="Arial"/>
          <w:spacing w:val="-2"/>
          <w:sz w:val="16"/>
          <w:szCs w:val="16"/>
        </w:rPr>
        <w:t xml:space="preserve">užívání těchto úvazků tradičně silnější, </w:t>
      </w:r>
      <w:r>
        <w:rPr>
          <w:rFonts w:cs="Arial"/>
          <w:spacing w:val="-2"/>
          <w:sz w:val="16"/>
          <w:szCs w:val="16"/>
        </w:rPr>
        <w:t>jich loni</w:t>
      </w:r>
      <w:r w:rsidRPr="00EE200F">
        <w:rPr>
          <w:rFonts w:cs="Arial"/>
          <w:spacing w:val="-2"/>
          <w:sz w:val="16"/>
          <w:szCs w:val="16"/>
        </w:rPr>
        <w:t xml:space="preserve"> v primárním i</w:t>
      </w:r>
      <w:r>
        <w:rPr>
          <w:rFonts w:cs="Arial"/>
          <w:spacing w:val="-2"/>
          <w:sz w:val="16"/>
          <w:szCs w:val="16"/>
        </w:rPr>
        <w:t> </w:t>
      </w:r>
      <w:r w:rsidRPr="00EE200F">
        <w:rPr>
          <w:rFonts w:cs="Arial"/>
          <w:spacing w:val="-2"/>
          <w:sz w:val="16"/>
          <w:szCs w:val="16"/>
        </w:rPr>
        <w:t>sekundárním sektoru</w:t>
      </w:r>
      <w:r>
        <w:rPr>
          <w:rFonts w:cs="Arial"/>
          <w:spacing w:val="-2"/>
          <w:sz w:val="16"/>
          <w:szCs w:val="16"/>
        </w:rPr>
        <w:t xml:space="preserve"> takto </w:t>
      </w:r>
      <w:r w:rsidRPr="00EE200F">
        <w:rPr>
          <w:rFonts w:cs="Arial"/>
          <w:spacing w:val="-2"/>
          <w:sz w:val="16"/>
          <w:szCs w:val="16"/>
        </w:rPr>
        <w:t>pracovalo  jen</w:t>
      </w:r>
      <w:r>
        <w:rPr>
          <w:rFonts w:cs="Arial"/>
          <w:spacing w:val="-2"/>
          <w:sz w:val="16"/>
          <w:szCs w:val="16"/>
        </w:rPr>
        <w:t xml:space="preserve"> 5 až 7</w:t>
      </w:r>
      <w:r w:rsidRPr="00EE200F">
        <w:rPr>
          <w:rFonts w:cs="Arial"/>
          <w:spacing w:val="-2"/>
          <w:sz w:val="16"/>
          <w:szCs w:val="16"/>
        </w:rPr>
        <w:t> %</w:t>
      </w:r>
      <w:r>
        <w:rPr>
          <w:rFonts w:cs="Arial"/>
          <w:spacing w:val="-2"/>
          <w:sz w:val="16"/>
          <w:szCs w:val="16"/>
        </w:rPr>
        <w:t>.</w:t>
      </w:r>
    </w:p>
  </w:footnote>
  <w:footnote w:id="39">
    <w:p w14:paraId="6EA0713C"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Vyjma odvětví veřejné správy, obrany a sociálního zabezpečení, kde podíl takto zaměstnaných dlouhodobě stagnuje mírně pod 5 %.</w:t>
      </w:r>
    </w:p>
  </w:footnote>
  <w:footnote w:id="40">
    <w:p w14:paraId="1C250D8D" w14:textId="00870B32"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K významnějšímu poklesu četnosti práce z domova mezi lety 2003 až 2007 došlo zejména vlivem snížení v kategorii „občas“. Naopak podíl osob, které uvedly, že touto formou pracují obvykle, se zredukoval jen mírně.</w:t>
      </w:r>
    </w:p>
  </w:footnote>
  <w:footnote w:id="41">
    <w:p w14:paraId="54858C59"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Jestliže v roce 2008 tvořily z celkového počtu osob podnikajících na vlastní účet ženy 28 %, v roce 2018 již 33 %. Podíl žen v rámci kategorie podnikatelů se zaměstnanci se přitom za stejné období prakticky nezměnil (osciloval okolo 23 %).</w:t>
      </w:r>
    </w:p>
  </w:footnote>
  <w:footnote w:id="42">
    <w:p w14:paraId="22662007" w14:textId="75C4AFE3"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Nebývale vysoký podíl byl způsoben tím, že trh práce v roce 2015 postupně vstřebával v té době ještě vysoký počet nezaměstnaných. Nová pracovní místa vytvářel především průmysl, kam se také soustřeďovala velká část agenturních pracovníků.</w:t>
      </w:r>
    </w:p>
  </w:footnote>
  <w:footnote w:id="43">
    <w:p w14:paraId="42E78363" w14:textId="77777777" w:rsidR="004E684C" w:rsidRPr="00EE200F" w:rsidRDefault="004E684C" w:rsidP="009E674A">
      <w:pPr>
        <w:pStyle w:val="Textpoznpodarou"/>
        <w:rPr>
          <w:rFonts w:cs="Arial"/>
          <w:spacing w:val="-2"/>
          <w:sz w:val="16"/>
          <w:szCs w:val="16"/>
        </w:rPr>
      </w:pPr>
      <w:r w:rsidRPr="00EE200F">
        <w:rPr>
          <w:rStyle w:val="Znakapoznpodarou"/>
          <w:rFonts w:cs="Arial"/>
          <w:spacing w:val="-2"/>
          <w:sz w:val="16"/>
          <w:szCs w:val="16"/>
        </w:rPr>
        <w:footnoteRef/>
      </w:r>
      <w:r>
        <w:rPr>
          <w:rFonts w:cs="Arial"/>
          <w:spacing w:val="-2"/>
          <w:sz w:val="16"/>
          <w:szCs w:val="16"/>
        </w:rPr>
        <w:t xml:space="preserve"> V roce 2018 tvořily 57 % všech zaměstnaných na dobu určitou (v roce 2015 pak 80 %). Skoro 30 % tvořily osoby, které takto pracovaly dobrovolně (vč. studentů), a 13 % lidé, kteří byli ve standardní zkušební lhůtě. Tyto podíly se mezi muži a ženami</w:t>
      </w:r>
      <w:r w:rsidRPr="00306042">
        <w:rPr>
          <w:rFonts w:cs="Arial"/>
          <w:spacing w:val="-2"/>
          <w:sz w:val="16"/>
          <w:szCs w:val="16"/>
        </w:rPr>
        <w:t xml:space="preserve"> </w:t>
      </w:r>
      <w:r>
        <w:rPr>
          <w:rFonts w:cs="Arial"/>
          <w:spacing w:val="-2"/>
          <w:sz w:val="16"/>
          <w:szCs w:val="16"/>
        </w:rPr>
        <w:t>téměř nelišily.</w:t>
      </w:r>
    </w:p>
  </w:footnote>
  <w:footnote w:id="44">
    <w:p w14:paraId="46A83472" w14:textId="725D0B35" w:rsidR="004E684C" w:rsidRPr="00E97456" w:rsidRDefault="004E684C" w:rsidP="009E674A">
      <w:pPr>
        <w:pStyle w:val="Textpoznpodarou"/>
        <w:rPr>
          <w:rFonts w:cs="Arial"/>
          <w:spacing w:val="-3"/>
          <w:sz w:val="16"/>
          <w:szCs w:val="16"/>
        </w:rPr>
      </w:pPr>
      <w:r w:rsidRPr="00E97456">
        <w:rPr>
          <w:rStyle w:val="Znakapoznpodarou"/>
          <w:rFonts w:cs="Arial"/>
          <w:spacing w:val="-3"/>
          <w:sz w:val="16"/>
          <w:szCs w:val="16"/>
        </w:rPr>
        <w:footnoteRef/>
      </w:r>
      <w:r w:rsidRPr="00E97456">
        <w:rPr>
          <w:rFonts w:cs="Arial"/>
          <w:spacing w:val="-3"/>
          <w:sz w:val="16"/>
          <w:szCs w:val="16"/>
        </w:rPr>
        <w:t xml:space="preserve"> Mezi pracovníky do 25 let jich pracovalo loni obvykle v sobotu 22</w:t>
      </w:r>
      <w:r>
        <w:rPr>
          <w:rFonts w:cs="Arial"/>
          <w:spacing w:val="-3"/>
          <w:sz w:val="16"/>
          <w:szCs w:val="16"/>
        </w:rPr>
        <w:t> %</w:t>
      </w:r>
      <w:r w:rsidRPr="00E97456">
        <w:rPr>
          <w:rFonts w:cs="Arial"/>
          <w:spacing w:val="-3"/>
          <w:sz w:val="16"/>
          <w:szCs w:val="16"/>
        </w:rPr>
        <w:t>, v neděli 18</w:t>
      </w:r>
      <w:r>
        <w:rPr>
          <w:rFonts w:cs="Arial"/>
          <w:spacing w:val="-3"/>
          <w:sz w:val="16"/>
          <w:szCs w:val="16"/>
        </w:rPr>
        <w:t> %</w:t>
      </w:r>
      <w:r w:rsidRPr="00E97456">
        <w:rPr>
          <w:rFonts w:cs="Arial"/>
          <w:spacing w:val="-3"/>
          <w:sz w:val="16"/>
          <w:szCs w:val="16"/>
        </w:rPr>
        <w:t>, u</w:t>
      </w:r>
      <w:r>
        <w:rPr>
          <w:rFonts w:cs="Arial"/>
          <w:spacing w:val="-3"/>
          <w:sz w:val="16"/>
          <w:szCs w:val="16"/>
        </w:rPr>
        <w:t> </w:t>
      </w:r>
      <w:r w:rsidRPr="00E97456">
        <w:rPr>
          <w:rFonts w:cs="Arial"/>
          <w:spacing w:val="-3"/>
          <w:sz w:val="16"/>
          <w:szCs w:val="16"/>
        </w:rPr>
        <w:t>pracujících seniorů (nad 64</w:t>
      </w:r>
      <w:r>
        <w:rPr>
          <w:rFonts w:cs="Arial"/>
          <w:spacing w:val="-3"/>
          <w:sz w:val="16"/>
          <w:szCs w:val="16"/>
        </w:rPr>
        <w:t> </w:t>
      </w:r>
      <w:r w:rsidRPr="00E97456">
        <w:rPr>
          <w:rFonts w:cs="Arial"/>
          <w:spacing w:val="-3"/>
          <w:sz w:val="16"/>
          <w:szCs w:val="16"/>
        </w:rPr>
        <w:t>let) pak 12</w:t>
      </w:r>
      <w:r>
        <w:rPr>
          <w:rFonts w:cs="Arial"/>
          <w:spacing w:val="-3"/>
          <w:sz w:val="16"/>
          <w:szCs w:val="16"/>
        </w:rPr>
        <w:t> %</w:t>
      </w:r>
      <w:r w:rsidRPr="00E97456">
        <w:rPr>
          <w:rFonts w:cs="Arial"/>
          <w:spacing w:val="-3"/>
          <w:sz w:val="16"/>
          <w:szCs w:val="16"/>
        </w:rPr>
        <w:t>, resp.</w:t>
      </w:r>
      <w:r>
        <w:rPr>
          <w:rFonts w:cs="Arial"/>
          <w:spacing w:val="-3"/>
          <w:sz w:val="16"/>
          <w:szCs w:val="16"/>
        </w:rPr>
        <w:t> </w:t>
      </w:r>
      <w:r w:rsidRPr="00E97456">
        <w:rPr>
          <w:rFonts w:cs="Arial"/>
          <w:spacing w:val="-3"/>
          <w:sz w:val="16"/>
          <w:szCs w:val="16"/>
        </w:rPr>
        <w:t>9</w:t>
      </w:r>
      <w:r>
        <w:rPr>
          <w:rFonts w:cs="Arial"/>
          <w:spacing w:val="-3"/>
          <w:sz w:val="16"/>
          <w:szCs w:val="16"/>
        </w:rPr>
        <w:t> %</w:t>
      </w:r>
      <w:r w:rsidRPr="00E97456">
        <w:rPr>
          <w:rFonts w:cs="Arial"/>
          <w:spacing w:val="-3"/>
          <w:sz w:val="16"/>
          <w:szCs w:val="16"/>
        </w:rPr>
        <w:t>.</w:t>
      </w:r>
    </w:p>
  </w:footnote>
  <w:footnote w:id="45">
    <w:p w14:paraId="3DF0DE31" w14:textId="77777777" w:rsidR="004E684C" w:rsidRPr="00E97456" w:rsidRDefault="004E684C" w:rsidP="009E674A">
      <w:pPr>
        <w:pStyle w:val="Textpoznpodarou"/>
        <w:rPr>
          <w:rFonts w:cs="Arial"/>
          <w:spacing w:val="-3"/>
          <w:sz w:val="16"/>
          <w:szCs w:val="16"/>
        </w:rPr>
      </w:pPr>
      <w:r w:rsidRPr="00E97456">
        <w:rPr>
          <w:rStyle w:val="Znakapoznpodarou"/>
          <w:rFonts w:cs="Arial"/>
          <w:spacing w:val="-3"/>
          <w:sz w:val="16"/>
          <w:szCs w:val="16"/>
        </w:rPr>
        <w:footnoteRef/>
      </w:r>
      <w:r>
        <w:rPr>
          <w:rFonts w:cs="Arial"/>
          <w:spacing w:val="-3"/>
          <w:sz w:val="16"/>
          <w:szCs w:val="16"/>
        </w:rPr>
        <w:t xml:space="preserve"> Výjimkou byli podnikatelé pracující jako vedoucí a řídící pracovníci, u nichž obvykle o víkendu pracovala čtvrtina z nich.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E6EC7" w14:textId="77777777" w:rsidR="004E684C" w:rsidRPr="0060093C" w:rsidRDefault="004E684C" w:rsidP="0060093C">
    <w:pPr>
      <w:pStyle w:val="Zhlav"/>
    </w:pPr>
    <w:r w:rsidRPr="0060093C">
      <w:t>Trendy na trhu práce v</w:t>
    </w:r>
    <w:r>
      <w:t> </w:t>
    </w:r>
    <w:r w:rsidRPr="0060093C">
      <w:t>ČR v</w:t>
    </w:r>
    <w:r>
      <w:t> </w:t>
    </w:r>
    <w:r w:rsidRPr="0060093C">
      <w:t>roce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011D9" w14:textId="77777777" w:rsidR="004E684C" w:rsidRPr="006F5416" w:rsidRDefault="004E684C" w:rsidP="00937AE2">
    <w:pPr>
      <w:pStyle w:val="Zhlav"/>
    </w:pPr>
    <w:r w:rsidRPr="0060093C">
      <w:t>Trendy na trhu práce v</w:t>
    </w:r>
    <w:r>
      <w:t> </w:t>
    </w:r>
    <w:r w:rsidRPr="0060093C">
      <w:t>ČR v</w:t>
    </w:r>
    <w:r>
      <w:t> </w:t>
    </w:r>
    <w:r w:rsidRPr="0060093C">
      <w:t>roce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C6842"/>
    <w:multiLevelType w:val="multilevel"/>
    <w:tmpl w:val="D102C43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B35353"/>
    <w:multiLevelType w:val="multilevel"/>
    <w:tmpl w:val="1C0E9EAE"/>
    <w:name w:val="Analyz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Nadpis5"/>
      <w:suff w:val="space"/>
      <w:lvlText w:val="%1.%2.%3.%4.%5"/>
      <w:lvlJc w:val="left"/>
      <w:pPr>
        <w:ind w:left="1008" w:hanging="1008"/>
      </w:pPr>
      <w:rPr>
        <w:rFonts w:hint="default"/>
      </w:rPr>
    </w:lvl>
    <w:lvl w:ilvl="5">
      <w:start w:val="1"/>
      <w:numFmt w:val="decimal"/>
      <w:pStyle w:val="Nadpis6"/>
      <w:suff w:val="space"/>
      <w:lvlText w:val="%1.%2.%3.%4.%5.%6"/>
      <w:lvlJc w:val="left"/>
      <w:pPr>
        <w:ind w:left="1152" w:hanging="1152"/>
      </w:pPr>
      <w:rPr>
        <w:rFonts w:hint="default"/>
      </w:rPr>
    </w:lvl>
    <w:lvl w:ilvl="6">
      <w:start w:val="1"/>
      <w:numFmt w:val="decimal"/>
      <w:pStyle w:val="Nadpis7"/>
      <w:suff w:val="space"/>
      <w:lvlText w:val="%1.%2.%3.%4.%5.%6.%7"/>
      <w:lvlJc w:val="left"/>
      <w:pPr>
        <w:ind w:left="1296" w:hanging="1296"/>
      </w:pPr>
      <w:rPr>
        <w:rFonts w:hint="default"/>
      </w:rPr>
    </w:lvl>
    <w:lvl w:ilvl="7">
      <w:start w:val="1"/>
      <w:numFmt w:val="decimal"/>
      <w:pStyle w:val="Nadpis8"/>
      <w:suff w:val="space"/>
      <w:lvlText w:val="%1.%2.%3.%4.%5.%6.%7.%8"/>
      <w:lvlJc w:val="left"/>
      <w:pPr>
        <w:ind w:left="1440" w:hanging="1440"/>
      </w:pPr>
      <w:rPr>
        <w:rFonts w:hint="default"/>
      </w:rPr>
    </w:lvl>
    <w:lvl w:ilvl="8">
      <w:start w:val="1"/>
      <w:numFmt w:val="decimal"/>
      <w:pStyle w:val="Nadpis9"/>
      <w:suff w:val="space"/>
      <w:lvlText w:val="%1.%2.%3.%4.%5.%6.%7.%8.%9"/>
      <w:lvlJc w:val="left"/>
      <w:pPr>
        <w:ind w:left="1584" w:hanging="1584"/>
      </w:pPr>
      <w:rPr>
        <w:rFonts w:hint="default"/>
      </w:rPr>
    </w:lvl>
  </w:abstractNum>
  <w:abstractNum w:abstractNumId="12"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8352333"/>
    <w:multiLevelType w:val="multilevel"/>
    <w:tmpl w:val="D0ACFA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A5A7A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2420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106E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1355C0"/>
    <w:multiLevelType w:val="multilevel"/>
    <w:tmpl w:val="697E8B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9914012"/>
    <w:multiLevelType w:val="multilevel"/>
    <w:tmpl w:val="F380FB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ADA4287"/>
    <w:multiLevelType w:val="multilevel"/>
    <w:tmpl w:val="1C0E9EA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1"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D603319"/>
    <w:multiLevelType w:val="multilevel"/>
    <w:tmpl w:val="37F4F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E490F3B"/>
    <w:multiLevelType w:val="hybridMultilevel"/>
    <w:tmpl w:val="D64CB604"/>
    <w:lvl w:ilvl="0" w:tplc="67AC8A1C">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8771FD"/>
    <w:multiLevelType w:val="hybridMultilevel"/>
    <w:tmpl w:val="4D96FC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8CB210F"/>
    <w:multiLevelType w:val="multilevel"/>
    <w:tmpl w:val="D64CB604"/>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70320B"/>
    <w:multiLevelType w:val="hybridMultilevel"/>
    <w:tmpl w:val="AAB2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C234F43"/>
    <w:multiLevelType w:val="hybridMultilevel"/>
    <w:tmpl w:val="0468458A"/>
    <w:lvl w:ilvl="0" w:tplc="A7BC4150">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B651B2D"/>
    <w:multiLevelType w:val="hybridMultilevel"/>
    <w:tmpl w:val="4C1C2D78"/>
    <w:lvl w:ilvl="0" w:tplc="B01A5632">
      <w:start w:val="1"/>
      <w:numFmt w:val="bullet"/>
      <w:pStyle w:val="Normalodrk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2"/>
  </w:num>
  <w:num w:numId="13">
    <w:abstractNumId w:val="21"/>
  </w:num>
  <w:num w:numId="14">
    <w:abstractNumId w:val="11"/>
  </w:num>
  <w:num w:numId="15">
    <w:abstractNumId w:val="17"/>
  </w:num>
  <w:num w:numId="16">
    <w:abstractNumId w:val="13"/>
  </w:num>
  <w:num w:numId="17">
    <w:abstractNumId w:val="23"/>
  </w:num>
  <w:num w:numId="18">
    <w:abstractNumId w:val="18"/>
  </w:num>
  <w:num w:numId="19">
    <w:abstractNumId w:val="25"/>
  </w:num>
  <w:num w:numId="20">
    <w:abstractNumId w:val="28"/>
  </w:num>
  <w:num w:numId="21">
    <w:abstractNumId w:val="20"/>
  </w:num>
  <w:num w:numId="22">
    <w:abstractNumId w:val="16"/>
  </w:num>
  <w:num w:numId="23">
    <w:abstractNumId w:val="14"/>
  </w:num>
  <w:num w:numId="24">
    <w:abstractNumId w:val="15"/>
  </w:num>
  <w:num w:numId="25">
    <w:abstractNumId w:val="27"/>
  </w:num>
  <w:num w:numId="26">
    <w:abstractNumId w:val="10"/>
  </w:num>
  <w:num w:numId="27">
    <w:abstractNumId w:val="24"/>
  </w:num>
  <w:num w:numId="28">
    <w:abstractNumId w:val="2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502"/>
    <w:rsid w:val="0000209D"/>
    <w:rsid w:val="00002937"/>
    <w:rsid w:val="00002FED"/>
    <w:rsid w:val="00004D5A"/>
    <w:rsid w:val="000056D5"/>
    <w:rsid w:val="00006ABD"/>
    <w:rsid w:val="0000767A"/>
    <w:rsid w:val="00007BEF"/>
    <w:rsid w:val="00010256"/>
    <w:rsid w:val="00010702"/>
    <w:rsid w:val="00011912"/>
    <w:rsid w:val="00012408"/>
    <w:rsid w:val="00014537"/>
    <w:rsid w:val="000157D5"/>
    <w:rsid w:val="00017762"/>
    <w:rsid w:val="0002195D"/>
    <w:rsid w:val="00023162"/>
    <w:rsid w:val="000234D6"/>
    <w:rsid w:val="00023D29"/>
    <w:rsid w:val="00026389"/>
    <w:rsid w:val="00031AE0"/>
    <w:rsid w:val="000322EF"/>
    <w:rsid w:val="000333B9"/>
    <w:rsid w:val="00033F92"/>
    <w:rsid w:val="00033FCD"/>
    <w:rsid w:val="000402E5"/>
    <w:rsid w:val="0004062C"/>
    <w:rsid w:val="00041CEC"/>
    <w:rsid w:val="0004694F"/>
    <w:rsid w:val="000500AB"/>
    <w:rsid w:val="000522E4"/>
    <w:rsid w:val="00052501"/>
    <w:rsid w:val="00054BC9"/>
    <w:rsid w:val="000610E1"/>
    <w:rsid w:val="00061F73"/>
    <w:rsid w:val="00062EC5"/>
    <w:rsid w:val="00062F22"/>
    <w:rsid w:val="00067A82"/>
    <w:rsid w:val="000712B3"/>
    <w:rsid w:val="0008263E"/>
    <w:rsid w:val="00082A55"/>
    <w:rsid w:val="00082C19"/>
    <w:rsid w:val="00083234"/>
    <w:rsid w:val="00085395"/>
    <w:rsid w:val="00087634"/>
    <w:rsid w:val="00087F2B"/>
    <w:rsid w:val="00090C18"/>
    <w:rsid w:val="00093E3F"/>
    <w:rsid w:val="00093E53"/>
    <w:rsid w:val="00095135"/>
    <w:rsid w:val="00096085"/>
    <w:rsid w:val="000974D1"/>
    <w:rsid w:val="0009799E"/>
    <w:rsid w:val="000A1183"/>
    <w:rsid w:val="000A256D"/>
    <w:rsid w:val="000A3A2C"/>
    <w:rsid w:val="000A52EF"/>
    <w:rsid w:val="000B305D"/>
    <w:rsid w:val="000B525B"/>
    <w:rsid w:val="000B7AC5"/>
    <w:rsid w:val="000C1D78"/>
    <w:rsid w:val="000C3408"/>
    <w:rsid w:val="000C517B"/>
    <w:rsid w:val="000C6AFD"/>
    <w:rsid w:val="000D17A1"/>
    <w:rsid w:val="000D5637"/>
    <w:rsid w:val="000E6C04"/>
    <w:rsid w:val="000E6FBD"/>
    <w:rsid w:val="000F6340"/>
    <w:rsid w:val="000F7663"/>
    <w:rsid w:val="00100F5C"/>
    <w:rsid w:val="0010106F"/>
    <w:rsid w:val="00101CDA"/>
    <w:rsid w:val="0010418A"/>
    <w:rsid w:val="00104C4C"/>
    <w:rsid w:val="00110555"/>
    <w:rsid w:val="00117623"/>
    <w:rsid w:val="00120BC1"/>
    <w:rsid w:val="0012192F"/>
    <w:rsid w:val="00125A9C"/>
    <w:rsid w:val="00125D69"/>
    <w:rsid w:val="00136371"/>
    <w:rsid w:val="00137548"/>
    <w:rsid w:val="001405FA"/>
    <w:rsid w:val="00141782"/>
    <w:rsid w:val="001425C3"/>
    <w:rsid w:val="001435B3"/>
    <w:rsid w:val="0015045D"/>
    <w:rsid w:val="001528B9"/>
    <w:rsid w:val="001612F4"/>
    <w:rsid w:val="00162312"/>
    <w:rsid w:val="0016256B"/>
    <w:rsid w:val="00163793"/>
    <w:rsid w:val="001671FF"/>
    <w:rsid w:val="001706D6"/>
    <w:rsid w:val="001714F2"/>
    <w:rsid w:val="00175B9F"/>
    <w:rsid w:val="00176A60"/>
    <w:rsid w:val="00181BBC"/>
    <w:rsid w:val="00182799"/>
    <w:rsid w:val="00184B08"/>
    <w:rsid w:val="00185010"/>
    <w:rsid w:val="00186919"/>
    <w:rsid w:val="001916DB"/>
    <w:rsid w:val="0019361E"/>
    <w:rsid w:val="00193818"/>
    <w:rsid w:val="001A0487"/>
    <w:rsid w:val="001A0D6B"/>
    <w:rsid w:val="001A5387"/>
    <w:rsid w:val="001A552F"/>
    <w:rsid w:val="001A6DB4"/>
    <w:rsid w:val="001B11D8"/>
    <w:rsid w:val="001B28D3"/>
    <w:rsid w:val="001B2CA9"/>
    <w:rsid w:val="001B3110"/>
    <w:rsid w:val="001B4729"/>
    <w:rsid w:val="001B6310"/>
    <w:rsid w:val="001B6C09"/>
    <w:rsid w:val="001C04EF"/>
    <w:rsid w:val="001C05CD"/>
    <w:rsid w:val="001C1B66"/>
    <w:rsid w:val="001D198A"/>
    <w:rsid w:val="001D37E6"/>
    <w:rsid w:val="001D463E"/>
    <w:rsid w:val="001D68B2"/>
    <w:rsid w:val="001D70E9"/>
    <w:rsid w:val="001E23AF"/>
    <w:rsid w:val="001E504C"/>
    <w:rsid w:val="001F4597"/>
    <w:rsid w:val="00203390"/>
    <w:rsid w:val="00203DA4"/>
    <w:rsid w:val="002052C6"/>
    <w:rsid w:val="002118B9"/>
    <w:rsid w:val="00212D83"/>
    <w:rsid w:val="00217C5B"/>
    <w:rsid w:val="0022069C"/>
    <w:rsid w:val="0022139E"/>
    <w:rsid w:val="00222729"/>
    <w:rsid w:val="00222FFB"/>
    <w:rsid w:val="002252E0"/>
    <w:rsid w:val="002255F6"/>
    <w:rsid w:val="00227850"/>
    <w:rsid w:val="00227A53"/>
    <w:rsid w:val="00230C6E"/>
    <w:rsid w:val="00236443"/>
    <w:rsid w:val="00241B06"/>
    <w:rsid w:val="002436BA"/>
    <w:rsid w:val="00244A15"/>
    <w:rsid w:val="00247319"/>
    <w:rsid w:val="0024799E"/>
    <w:rsid w:val="00253487"/>
    <w:rsid w:val="00253C0F"/>
    <w:rsid w:val="002558C1"/>
    <w:rsid w:val="002634D9"/>
    <w:rsid w:val="002660F5"/>
    <w:rsid w:val="002672CB"/>
    <w:rsid w:val="002677BC"/>
    <w:rsid w:val="00271465"/>
    <w:rsid w:val="00274008"/>
    <w:rsid w:val="00274037"/>
    <w:rsid w:val="00276B4C"/>
    <w:rsid w:val="002823F7"/>
    <w:rsid w:val="00285412"/>
    <w:rsid w:val="0028610D"/>
    <w:rsid w:val="00290156"/>
    <w:rsid w:val="00291640"/>
    <w:rsid w:val="002A16D4"/>
    <w:rsid w:val="002A230C"/>
    <w:rsid w:val="002A5D97"/>
    <w:rsid w:val="002B2127"/>
    <w:rsid w:val="002B213A"/>
    <w:rsid w:val="002B4845"/>
    <w:rsid w:val="002B6B06"/>
    <w:rsid w:val="002C2A89"/>
    <w:rsid w:val="002C43BD"/>
    <w:rsid w:val="002C4CD2"/>
    <w:rsid w:val="002D0A4D"/>
    <w:rsid w:val="002D0E59"/>
    <w:rsid w:val="002D4854"/>
    <w:rsid w:val="002E02A1"/>
    <w:rsid w:val="002E4E4C"/>
    <w:rsid w:val="00302262"/>
    <w:rsid w:val="00303533"/>
    <w:rsid w:val="00304771"/>
    <w:rsid w:val="003052D4"/>
    <w:rsid w:val="00306AD7"/>
    <w:rsid w:val="00306C5B"/>
    <w:rsid w:val="00307BEA"/>
    <w:rsid w:val="00310579"/>
    <w:rsid w:val="00313C7F"/>
    <w:rsid w:val="003209D6"/>
    <w:rsid w:val="00321924"/>
    <w:rsid w:val="0032656E"/>
    <w:rsid w:val="003279BA"/>
    <w:rsid w:val="00327B04"/>
    <w:rsid w:val="00330060"/>
    <w:rsid w:val="00332190"/>
    <w:rsid w:val="0033250B"/>
    <w:rsid w:val="00333BE7"/>
    <w:rsid w:val="0034335E"/>
    <w:rsid w:val="00344668"/>
    <w:rsid w:val="003462D9"/>
    <w:rsid w:val="00347378"/>
    <w:rsid w:val="0034748B"/>
    <w:rsid w:val="003557D2"/>
    <w:rsid w:val="003601D9"/>
    <w:rsid w:val="00360C86"/>
    <w:rsid w:val="00360DE3"/>
    <w:rsid w:val="00360FBC"/>
    <w:rsid w:val="00362E90"/>
    <w:rsid w:val="00364C32"/>
    <w:rsid w:val="00364FA0"/>
    <w:rsid w:val="003657F3"/>
    <w:rsid w:val="00372620"/>
    <w:rsid w:val="0037734D"/>
    <w:rsid w:val="0037785F"/>
    <w:rsid w:val="003818DC"/>
    <w:rsid w:val="00381A3E"/>
    <w:rsid w:val="00384327"/>
    <w:rsid w:val="00384E62"/>
    <w:rsid w:val="00385D98"/>
    <w:rsid w:val="003870EE"/>
    <w:rsid w:val="00392364"/>
    <w:rsid w:val="003A2B4D"/>
    <w:rsid w:val="003A2D12"/>
    <w:rsid w:val="003A478C"/>
    <w:rsid w:val="003A5473"/>
    <w:rsid w:val="003A5525"/>
    <w:rsid w:val="003A69A0"/>
    <w:rsid w:val="003A6B38"/>
    <w:rsid w:val="003B307A"/>
    <w:rsid w:val="003B461F"/>
    <w:rsid w:val="003B5A32"/>
    <w:rsid w:val="003C3490"/>
    <w:rsid w:val="003C3D7F"/>
    <w:rsid w:val="003C4BE8"/>
    <w:rsid w:val="003C7E62"/>
    <w:rsid w:val="003D6920"/>
    <w:rsid w:val="003E38BA"/>
    <w:rsid w:val="003E4C91"/>
    <w:rsid w:val="003F313C"/>
    <w:rsid w:val="003F366D"/>
    <w:rsid w:val="003F37FC"/>
    <w:rsid w:val="003F3890"/>
    <w:rsid w:val="003F4B2C"/>
    <w:rsid w:val="003F551C"/>
    <w:rsid w:val="003F72ED"/>
    <w:rsid w:val="003F7D23"/>
    <w:rsid w:val="00400C29"/>
    <w:rsid w:val="0040200B"/>
    <w:rsid w:val="00407C13"/>
    <w:rsid w:val="00410638"/>
    <w:rsid w:val="0041501E"/>
    <w:rsid w:val="004159C3"/>
    <w:rsid w:val="00425F45"/>
    <w:rsid w:val="00432A58"/>
    <w:rsid w:val="00433C0C"/>
    <w:rsid w:val="00434617"/>
    <w:rsid w:val="00436778"/>
    <w:rsid w:val="00440900"/>
    <w:rsid w:val="00441BF6"/>
    <w:rsid w:val="004441A0"/>
    <w:rsid w:val="0045078A"/>
    <w:rsid w:val="0045086D"/>
    <w:rsid w:val="00460FB3"/>
    <w:rsid w:val="0046496B"/>
    <w:rsid w:val="00476240"/>
    <w:rsid w:val="00476439"/>
    <w:rsid w:val="0047735C"/>
    <w:rsid w:val="00477581"/>
    <w:rsid w:val="004776BC"/>
    <w:rsid w:val="0048139F"/>
    <w:rsid w:val="00481E40"/>
    <w:rsid w:val="00483AD8"/>
    <w:rsid w:val="00484ECE"/>
    <w:rsid w:val="004915CB"/>
    <w:rsid w:val="004924DC"/>
    <w:rsid w:val="004966B2"/>
    <w:rsid w:val="004A1423"/>
    <w:rsid w:val="004A14E4"/>
    <w:rsid w:val="004A3212"/>
    <w:rsid w:val="004A5494"/>
    <w:rsid w:val="004A61C5"/>
    <w:rsid w:val="004A77DF"/>
    <w:rsid w:val="004B1417"/>
    <w:rsid w:val="004B48DF"/>
    <w:rsid w:val="004B55B7"/>
    <w:rsid w:val="004B6468"/>
    <w:rsid w:val="004B7125"/>
    <w:rsid w:val="004C26B0"/>
    <w:rsid w:val="004C384C"/>
    <w:rsid w:val="004C3867"/>
    <w:rsid w:val="004C4CD0"/>
    <w:rsid w:val="004C5FBF"/>
    <w:rsid w:val="004C70DC"/>
    <w:rsid w:val="004D0211"/>
    <w:rsid w:val="004D0794"/>
    <w:rsid w:val="004D3177"/>
    <w:rsid w:val="004E1A7F"/>
    <w:rsid w:val="004E326C"/>
    <w:rsid w:val="004E684C"/>
    <w:rsid w:val="004F06F5"/>
    <w:rsid w:val="004F16F7"/>
    <w:rsid w:val="004F33A0"/>
    <w:rsid w:val="004F534A"/>
    <w:rsid w:val="0050689D"/>
    <w:rsid w:val="0051062C"/>
    <w:rsid w:val="005108C0"/>
    <w:rsid w:val="00511873"/>
    <w:rsid w:val="005123B5"/>
    <w:rsid w:val="005127B1"/>
    <w:rsid w:val="00512A2F"/>
    <w:rsid w:val="00513B7E"/>
    <w:rsid w:val="00514207"/>
    <w:rsid w:val="005152D9"/>
    <w:rsid w:val="00515C74"/>
    <w:rsid w:val="00515E0F"/>
    <w:rsid w:val="00515FFA"/>
    <w:rsid w:val="005173AF"/>
    <w:rsid w:val="0052007E"/>
    <w:rsid w:val="0052337A"/>
    <w:rsid w:val="00525137"/>
    <w:rsid w:val="005251DD"/>
    <w:rsid w:val="00525824"/>
    <w:rsid w:val="005329A1"/>
    <w:rsid w:val="00532CE7"/>
    <w:rsid w:val="0053324C"/>
    <w:rsid w:val="00534A28"/>
    <w:rsid w:val="00537E4B"/>
    <w:rsid w:val="005406DD"/>
    <w:rsid w:val="00541508"/>
    <w:rsid w:val="00541E53"/>
    <w:rsid w:val="0054270C"/>
    <w:rsid w:val="00543498"/>
    <w:rsid w:val="00551238"/>
    <w:rsid w:val="00552CBA"/>
    <w:rsid w:val="0055599F"/>
    <w:rsid w:val="00556D68"/>
    <w:rsid w:val="00563EB8"/>
    <w:rsid w:val="005647BF"/>
    <w:rsid w:val="00564AF1"/>
    <w:rsid w:val="0057364B"/>
    <w:rsid w:val="00574773"/>
    <w:rsid w:val="00581AC8"/>
    <w:rsid w:val="00583FFD"/>
    <w:rsid w:val="00590429"/>
    <w:rsid w:val="005911BE"/>
    <w:rsid w:val="00591887"/>
    <w:rsid w:val="0059286B"/>
    <w:rsid w:val="00593152"/>
    <w:rsid w:val="00596F92"/>
    <w:rsid w:val="005A10F2"/>
    <w:rsid w:val="005A21E0"/>
    <w:rsid w:val="005A28FF"/>
    <w:rsid w:val="005A2A19"/>
    <w:rsid w:val="005A2C7B"/>
    <w:rsid w:val="005A3DF8"/>
    <w:rsid w:val="005A5549"/>
    <w:rsid w:val="005A655B"/>
    <w:rsid w:val="005A673F"/>
    <w:rsid w:val="005A7666"/>
    <w:rsid w:val="005B121D"/>
    <w:rsid w:val="005C06ED"/>
    <w:rsid w:val="005C2609"/>
    <w:rsid w:val="005C35A1"/>
    <w:rsid w:val="005C6D7F"/>
    <w:rsid w:val="005D0DB2"/>
    <w:rsid w:val="005D3386"/>
    <w:rsid w:val="005D5802"/>
    <w:rsid w:val="005D7119"/>
    <w:rsid w:val="005D7890"/>
    <w:rsid w:val="005E2A7C"/>
    <w:rsid w:val="005E619A"/>
    <w:rsid w:val="005E7C78"/>
    <w:rsid w:val="005F18C5"/>
    <w:rsid w:val="005F21D8"/>
    <w:rsid w:val="005F3C03"/>
    <w:rsid w:val="005F3EB1"/>
    <w:rsid w:val="005F46D8"/>
    <w:rsid w:val="005F5469"/>
    <w:rsid w:val="00600079"/>
    <w:rsid w:val="006003D1"/>
    <w:rsid w:val="0060093C"/>
    <w:rsid w:val="00601A2E"/>
    <w:rsid w:val="00601AFA"/>
    <w:rsid w:val="00603030"/>
    <w:rsid w:val="0060404F"/>
    <w:rsid w:val="00604307"/>
    <w:rsid w:val="0060487F"/>
    <w:rsid w:val="00604EAD"/>
    <w:rsid w:val="006104FB"/>
    <w:rsid w:val="0061249B"/>
    <w:rsid w:val="00612A2F"/>
    <w:rsid w:val="006169F2"/>
    <w:rsid w:val="00616E05"/>
    <w:rsid w:val="006220C1"/>
    <w:rsid w:val="00624093"/>
    <w:rsid w:val="006254CB"/>
    <w:rsid w:val="00626D21"/>
    <w:rsid w:val="00630D9E"/>
    <w:rsid w:val="0063201A"/>
    <w:rsid w:val="006350D5"/>
    <w:rsid w:val="006404A7"/>
    <w:rsid w:val="0064464B"/>
    <w:rsid w:val="006451E4"/>
    <w:rsid w:val="006454CC"/>
    <w:rsid w:val="00645B33"/>
    <w:rsid w:val="00650330"/>
    <w:rsid w:val="006516CB"/>
    <w:rsid w:val="006558BD"/>
    <w:rsid w:val="00657E87"/>
    <w:rsid w:val="00664803"/>
    <w:rsid w:val="00665BA4"/>
    <w:rsid w:val="00666D91"/>
    <w:rsid w:val="00667AF2"/>
    <w:rsid w:val="006710C9"/>
    <w:rsid w:val="00674D89"/>
    <w:rsid w:val="00675E37"/>
    <w:rsid w:val="00680001"/>
    <w:rsid w:val="0068174E"/>
    <w:rsid w:val="00681DCE"/>
    <w:rsid w:val="0068260E"/>
    <w:rsid w:val="006863B2"/>
    <w:rsid w:val="006901FF"/>
    <w:rsid w:val="00695BEF"/>
    <w:rsid w:val="006977F6"/>
    <w:rsid w:val="00697A13"/>
    <w:rsid w:val="006A109C"/>
    <w:rsid w:val="006A3E08"/>
    <w:rsid w:val="006A73A6"/>
    <w:rsid w:val="006B0F92"/>
    <w:rsid w:val="006B344A"/>
    <w:rsid w:val="006B4B7B"/>
    <w:rsid w:val="006B5F4A"/>
    <w:rsid w:val="006B78D8"/>
    <w:rsid w:val="006C113F"/>
    <w:rsid w:val="006C123E"/>
    <w:rsid w:val="006C1752"/>
    <w:rsid w:val="006C33B2"/>
    <w:rsid w:val="006C56D4"/>
    <w:rsid w:val="006C6924"/>
    <w:rsid w:val="006C7CA6"/>
    <w:rsid w:val="006D3E8A"/>
    <w:rsid w:val="006D61F6"/>
    <w:rsid w:val="006D64C2"/>
    <w:rsid w:val="006E1673"/>
    <w:rsid w:val="006E279A"/>
    <w:rsid w:val="006E313B"/>
    <w:rsid w:val="006E7227"/>
    <w:rsid w:val="006F0603"/>
    <w:rsid w:val="006F14C9"/>
    <w:rsid w:val="006F2595"/>
    <w:rsid w:val="006F438E"/>
    <w:rsid w:val="006F4BFC"/>
    <w:rsid w:val="006F5416"/>
    <w:rsid w:val="006F668F"/>
    <w:rsid w:val="00701199"/>
    <w:rsid w:val="00705242"/>
    <w:rsid w:val="00706AD4"/>
    <w:rsid w:val="00707150"/>
    <w:rsid w:val="007079A6"/>
    <w:rsid w:val="007140BE"/>
    <w:rsid w:val="00716E3F"/>
    <w:rsid w:val="00720499"/>
    <w:rsid w:val="007211F5"/>
    <w:rsid w:val="00723859"/>
    <w:rsid w:val="007240E2"/>
    <w:rsid w:val="00725BB5"/>
    <w:rsid w:val="00730AE8"/>
    <w:rsid w:val="00730F1B"/>
    <w:rsid w:val="00741493"/>
    <w:rsid w:val="0074369B"/>
    <w:rsid w:val="00744D09"/>
    <w:rsid w:val="00744EE6"/>
    <w:rsid w:val="00745062"/>
    <w:rsid w:val="00746484"/>
    <w:rsid w:val="00750EF8"/>
    <w:rsid w:val="00752180"/>
    <w:rsid w:val="00753CAB"/>
    <w:rsid w:val="00755202"/>
    <w:rsid w:val="00755D3A"/>
    <w:rsid w:val="007578D3"/>
    <w:rsid w:val="007609C6"/>
    <w:rsid w:val="0076175D"/>
    <w:rsid w:val="00763B85"/>
    <w:rsid w:val="0076521E"/>
    <w:rsid w:val="00765565"/>
    <w:rsid w:val="007661E9"/>
    <w:rsid w:val="00772DA9"/>
    <w:rsid w:val="00775417"/>
    <w:rsid w:val="00775F45"/>
    <w:rsid w:val="00776169"/>
    <w:rsid w:val="00776527"/>
    <w:rsid w:val="00780EF1"/>
    <w:rsid w:val="00785232"/>
    <w:rsid w:val="00790764"/>
    <w:rsid w:val="0079453C"/>
    <w:rsid w:val="00794677"/>
    <w:rsid w:val="007A4167"/>
    <w:rsid w:val="007A4761"/>
    <w:rsid w:val="007A516D"/>
    <w:rsid w:val="007B1C79"/>
    <w:rsid w:val="007B6689"/>
    <w:rsid w:val="007C13A4"/>
    <w:rsid w:val="007C6BBD"/>
    <w:rsid w:val="007C7BAE"/>
    <w:rsid w:val="007D0C24"/>
    <w:rsid w:val="007D40DF"/>
    <w:rsid w:val="007E29B4"/>
    <w:rsid w:val="007E2E62"/>
    <w:rsid w:val="007E435A"/>
    <w:rsid w:val="007E6AD9"/>
    <w:rsid w:val="007E7E61"/>
    <w:rsid w:val="007F0845"/>
    <w:rsid w:val="007F4B7E"/>
    <w:rsid w:val="007F554F"/>
    <w:rsid w:val="007F661C"/>
    <w:rsid w:val="007F708D"/>
    <w:rsid w:val="00800B3F"/>
    <w:rsid w:val="008018FD"/>
    <w:rsid w:val="00801E13"/>
    <w:rsid w:val="00802137"/>
    <w:rsid w:val="008061D2"/>
    <w:rsid w:val="00807204"/>
    <w:rsid w:val="00807C82"/>
    <w:rsid w:val="008103DB"/>
    <w:rsid w:val="008115FD"/>
    <w:rsid w:val="00816905"/>
    <w:rsid w:val="008173F8"/>
    <w:rsid w:val="00821FF6"/>
    <w:rsid w:val="00822574"/>
    <w:rsid w:val="00825C4D"/>
    <w:rsid w:val="00826E60"/>
    <w:rsid w:val="0083143E"/>
    <w:rsid w:val="00831CDE"/>
    <w:rsid w:val="008329A1"/>
    <w:rsid w:val="00833BF2"/>
    <w:rsid w:val="00834304"/>
    <w:rsid w:val="00834FAA"/>
    <w:rsid w:val="00836086"/>
    <w:rsid w:val="00846121"/>
    <w:rsid w:val="0084708F"/>
    <w:rsid w:val="0084727E"/>
    <w:rsid w:val="008477C8"/>
    <w:rsid w:val="00847931"/>
    <w:rsid w:val="0085114D"/>
    <w:rsid w:val="00852217"/>
    <w:rsid w:val="00855408"/>
    <w:rsid w:val="00856D65"/>
    <w:rsid w:val="00861B41"/>
    <w:rsid w:val="00861BE3"/>
    <w:rsid w:val="00863434"/>
    <w:rsid w:val="008637A2"/>
    <w:rsid w:val="0086457A"/>
    <w:rsid w:val="00865E4C"/>
    <w:rsid w:val="00865ED7"/>
    <w:rsid w:val="008701E4"/>
    <w:rsid w:val="00875A32"/>
    <w:rsid w:val="00876086"/>
    <w:rsid w:val="008832E3"/>
    <w:rsid w:val="008849B4"/>
    <w:rsid w:val="00884A6F"/>
    <w:rsid w:val="008856A3"/>
    <w:rsid w:val="008873D4"/>
    <w:rsid w:val="0089296D"/>
    <w:rsid w:val="00893E85"/>
    <w:rsid w:val="00894031"/>
    <w:rsid w:val="00895508"/>
    <w:rsid w:val="00896990"/>
    <w:rsid w:val="008A4C18"/>
    <w:rsid w:val="008A78CA"/>
    <w:rsid w:val="008B0AE2"/>
    <w:rsid w:val="008B4CC2"/>
    <w:rsid w:val="008B685F"/>
    <w:rsid w:val="008B7C02"/>
    <w:rsid w:val="008B7D2B"/>
    <w:rsid w:val="008C0049"/>
    <w:rsid w:val="008C0E88"/>
    <w:rsid w:val="008C6124"/>
    <w:rsid w:val="008C72C8"/>
    <w:rsid w:val="008D0DBD"/>
    <w:rsid w:val="008D1E6A"/>
    <w:rsid w:val="008D2A16"/>
    <w:rsid w:val="008E01D1"/>
    <w:rsid w:val="008E0DC9"/>
    <w:rsid w:val="008E0EB6"/>
    <w:rsid w:val="008E1DA4"/>
    <w:rsid w:val="008E1F66"/>
    <w:rsid w:val="008E2C57"/>
    <w:rsid w:val="008E31FF"/>
    <w:rsid w:val="008E69C0"/>
    <w:rsid w:val="008E6F06"/>
    <w:rsid w:val="008E7FC9"/>
    <w:rsid w:val="008F029B"/>
    <w:rsid w:val="008F3BB8"/>
    <w:rsid w:val="008F3FC9"/>
    <w:rsid w:val="008F585B"/>
    <w:rsid w:val="008F75E8"/>
    <w:rsid w:val="009003A8"/>
    <w:rsid w:val="00901B0D"/>
    <w:rsid w:val="00902500"/>
    <w:rsid w:val="00902EFF"/>
    <w:rsid w:val="009055BC"/>
    <w:rsid w:val="00906401"/>
    <w:rsid w:val="0091155E"/>
    <w:rsid w:val="00912A92"/>
    <w:rsid w:val="00915CF4"/>
    <w:rsid w:val="0091728D"/>
    <w:rsid w:val="0092180B"/>
    <w:rsid w:val="00921F14"/>
    <w:rsid w:val="00924AC8"/>
    <w:rsid w:val="0092597A"/>
    <w:rsid w:val="00930FB1"/>
    <w:rsid w:val="0093139F"/>
    <w:rsid w:val="00932443"/>
    <w:rsid w:val="00935F39"/>
    <w:rsid w:val="00937AE2"/>
    <w:rsid w:val="00942C19"/>
    <w:rsid w:val="0094427A"/>
    <w:rsid w:val="00945245"/>
    <w:rsid w:val="00947BA9"/>
    <w:rsid w:val="00953F28"/>
    <w:rsid w:val="009540B7"/>
    <w:rsid w:val="0095759C"/>
    <w:rsid w:val="0096154D"/>
    <w:rsid w:val="0096221A"/>
    <w:rsid w:val="009675EE"/>
    <w:rsid w:val="00971612"/>
    <w:rsid w:val="00972309"/>
    <w:rsid w:val="00974923"/>
    <w:rsid w:val="00980D3D"/>
    <w:rsid w:val="00987A30"/>
    <w:rsid w:val="00992CF3"/>
    <w:rsid w:val="00992F70"/>
    <w:rsid w:val="00993148"/>
    <w:rsid w:val="00993D73"/>
    <w:rsid w:val="009942B6"/>
    <w:rsid w:val="00994868"/>
    <w:rsid w:val="009968D6"/>
    <w:rsid w:val="009A1CAB"/>
    <w:rsid w:val="009A4901"/>
    <w:rsid w:val="009A4F91"/>
    <w:rsid w:val="009A60D1"/>
    <w:rsid w:val="009B654B"/>
    <w:rsid w:val="009B6FD3"/>
    <w:rsid w:val="009C03C8"/>
    <w:rsid w:val="009C1750"/>
    <w:rsid w:val="009C1EEA"/>
    <w:rsid w:val="009C2E29"/>
    <w:rsid w:val="009C554B"/>
    <w:rsid w:val="009C719E"/>
    <w:rsid w:val="009D3ACD"/>
    <w:rsid w:val="009D3F3E"/>
    <w:rsid w:val="009D78F8"/>
    <w:rsid w:val="009E5273"/>
    <w:rsid w:val="009E5DDB"/>
    <w:rsid w:val="009E674A"/>
    <w:rsid w:val="009F46EA"/>
    <w:rsid w:val="009F47E7"/>
    <w:rsid w:val="009F4CA7"/>
    <w:rsid w:val="00A10D66"/>
    <w:rsid w:val="00A14114"/>
    <w:rsid w:val="00A16413"/>
    <w:rsid w:val="00A16E1D"/>
    <w:rsid w:val="00A17969"/>
    <w:rsid w:val="00A17D5B"/>
    <w:rsid w:val="00A20028"/>
    <w:rsid w:val="00A230A8"/>
    <w:rsid w:val="00A23E43"/>
    <w:rsid w:val="00A25216"/>
    <w:rsid w:val="00A27420"/>
    <w:rsid w:val="00A27C85"/>
    <w:rsid w:val="00A30F65"/>
    <w:rsid w:val="00A329DF"/>
    <w:rsid w:val="00A34FB5"/>
    <w:rsid w:val="00A35142"/>
    <w:rsid w:val="00A35EA6"/>
    <w:rsid w:val="00A365AC"/>
    <w:rsid w:val="00A36682"/>
    <w:rsid w:val="00A3694E"/>
    <w:rsid w:val="00A40EAC"/>
    <w:rsid w:val="00A418BC"/>
    <w:rsid w:val="00A46DE0"/>
    <w:rsid w:val="00A4750C"/>
    <w:rsid w:val="00A479A4"/>
    <w:rsid w:val="00A500A7"/>
    <w:rsid w:val="00A50D73"/>
    <w:rsid w:val="00A51F19"/>
    <w:rsid w:val="00A52CAD"/>
    <w:rsid w:val="00A537F0"/>
    <w:rsid w:val="00A53FC7"/>
    <w:rsid w:val="00A54250"/>
    <w:rsid w:val="00A55161"/>
    <w:rsid w:val="00A55593"/>
    <w:rsid w:val="00A62B23"/>
    <w:rsid w:val="00A62CE1"/>
    <w:rsid w:val="00A6741E"/>
    <w:rsid w:val="00A67D62"/>
    <w:rsid w:val="00A67EA4"/>
    <w:rsid w:val="00A75E40"/>
    <w:rsid w:val="00A77D1D"/>
    <w:rsid w:val="00A83DE7"/>
    <w:rsid w:val="00A84923"/>
    <w:rsid w:val="00A857C0"/>
    <w:rsid w:val="00A90FED"/>
    <w:rsid w:val="00AA1FBF"/>
    <w:rsid w:val="00AA2996"/>
    <w:rsid w:val="00AA4A77"/>
    <w:rsid w:val="00AA4F0A"/>
    <w:rsid w:val="00AA52BF"/>
    <w:rsid w:val="00AA559A"/>
    <w:rsid w:val="00AA6B9B"/>
    <w:rsid w:val="00AB2AF1"/>
    <w:rsid w:val="00AB5421"/>
    <w:rsid w:val="00AC0FD3"/>
    <w:rsid w:val="00AC45BD"/>
    <w:rsid w:val="00AC6433"/>
    <w:rsid w:val="00AC7A05"/>
    <w:rsid w:val="00AC7F4D"/>
    <w:rsid w:val="00AD168E"/>
    <w:rsid w:val="00AD306C"/>
    <w:rsid w:val="00AD68C4"/>
    <w:rsid w:val="00AE09B3"/>
    <w:rsid w:val="00AE1A83"/>
    <w:rsid w:val="00AE538C"/>
    <w:rsid w:val="00AE7FB2"/>
    <w:rsid w:val="00AF0063"/>
    <w:rsid w:val="00AF7180"/>
    <w:rsid w:val="00B00913"/>
    <w:rsid w:val="00B01593"/>
    <w:rsid w:val="00B02051"/>
    <w:rsid w:val="00B023F2"/>
    <w:rsid w:val="00B10A4D"/>
    <w:rsid w:val="00B120A1"/>
    <w:rsid w:val="00B14BC1"/>
    <w:rsid w:val="00B17E71"/>
    <w:rsid w:val="00B17FDE"/>
    <w:rsid w:val="00B20632"/>
    <w:rsid w:val="00B23055"/>
    <w:rsid w:val="00B2379C"/>
    <w:rsid w:val="00B2687D"/>
    <w:rsid w:val="00B32DDB"/>
    <w:rsid w:val="00B336D6"/>
    <w:rsid w:val="00B34528"/>
    <w:rsid w:val="00B34CC9"/>
    <w:rsid w:val="00B37579"/>
    <w:rsid w:val="00B37A30"/>
    <w:rsid w:val="00B402FC"/>
    <w:rsid w:val="00B40FF9"/>
    <w:rsid w:val="00B42470"/>
    <w:rsid w:val="00B439DA"/>
    <w:rsid w:val="00B46604"/>
    <w:rsid w:val="00B530CD"/>
    <w:rsid w:val="00B53AB0"/>
    <w:rsid w:val="00B55F5E"/>
    <w:rsid w:val="00B57338"/>
    <w:rsid w:val="00B5752E"/>
    <w:rsid w:val="00B62D21"/>
    <w:rsid w:val="00B63A11"/>
    <w:rsid w:val="00B64C24"/>
    <w:rsid w:val="00B6608F"/>
    <w:rsid w:val="00B679FB"/>
    <w:rsid w:val="00B76D1E"/>
    <w:rsid w:val="00B77AF4"/>
    <w:rsid w:val="00B80EC6"/>
    <w:rsid w:val="00B84CF6"/>
    <w:rsid w:val="00B86F03"/>
    <w:rsid w:val="00B92D1D"/>
    <w:rsid w:val="00B936B1"/>
    <w:rsid w:val="00B938C5"/>
    <w:rsid w:val="00B95940"/>
    <w:rsid w:val="00B97434"/>
    <w:rsid w:val="00BA0DD3"/>
    <w:rsid w:val="00BA35F3"/>
    <w:rsid w:val="00BA6C2B"/>
    <w:rsid w:val="00BB2F03"/>
    <w:rsid w:val="00BB46F3"/>
    <w:rsid w:val="00BB4CB1"/>
    <w:rsid w:val="00BB4F98"/>
    <w:rsid w:val="00BB5D2C"/>
    <w:rsid w:val="00BC09D5"/>
    <w:rsid w:val="00BC0E31"/>
    <w:rsid w:val="00BC2C16"/>
    <w:rsid w:val="00BC5C12"/>
    <w:rsid w:val="00BC7154"/>
    <w:rsid w:val="00BC731E"/>
    <w:rsid w:val="00BC7833"/>
    <w:rsid w:val="00BD163C"/>
    <w:rsid w:val="00BD366B"/>
    <w:rsid w:val="00BD3695"/>
    <w:rsid w:val="00BD6D50"/>
    <w:rsid w:val="00BE18B9"/>
    <w:rsid w:val="00BE2495"/>
    <w:rsid w:val="00BE468E"/>
    <w:rsid w:val="00BE5FAF"/>
    <w:rsid w:val="00BE6186"/>
    <w:rsid w:val="00BF1578"/>
    <w:rsid w:val="00BF67DD"/>
    <w:rsid w:val="00C21405"/>
    <w:rsid w:val="00C218F1"/>
    <w:rsid w:val="00C21F94"/>
    <w:rsid w:val="00C27913"/>
    <w:rsid w:val="00C3031A"/>
    <w:rsid w:val="00C31510"/>
    <w:rsid w:val="00C33B68"/>
    <w:rsid w:val="00C36A79"/>
    <w:rsid w:val="00C37A78"/>
    <w:rsid w:val="00C401D2"/>
    <w:rsid w:val="00C405D4"/>
    <w:rsid w:val="00C4513B"/>
    <w:rsid w:val="00C466D2"/>
    <w:rsid w:val="00C5203D"/>
    <w:rsid w:val="00C5354E"/>
    <w:rsid w:val="00C5390B"/>
    <w:rsid w:val="00C54697"/>
    <w:rsid w:val="00C60191"/>
    <w:rsid w:val="00C6152B"/>
    <w:rsid w:val="00C653FE"/>
    <w:rsid w:val="00C73885"/>
    <w:rsid w:val="00C747B1"/>
    <w:rsid w:val="00C82191"/>
    <w:rsid w:val="00C83134"/>
    <w:rsid w:val="00C8418E"/>
    <w:rsid w:val="00C85545"/>
    <w:rsid w:val="00C86B84"/>
    <w:rsid w:val="00C90CF4"/>
    <w:rsid w:val="00C923DF"/>
    <w:rsid w:val="00C92EB6"/>
    <w:rsid w:val="00C93389"/>
    <w:rsid w:val="00C936C3"/>
    <w:rsid w:val="00C96D08"/>
    <w:rsid w:val="00CA28BC"/>
    <w:rsid w:val="00CA4551"/>
    <w:rsid w:val="00CA4CF2"/>
    <w:rsid w:val="00CA4E9E"/>
    <w:rsid w:val="00CA6AB4"/>
    <w:rsid w:val="00CB259D"/>
    <w:rsid w:val="00CB272C"/>
    <w:rsid w:val="00CB4930"/>
    <w:rsid w:val="00CC0F9A"/>
    <w:rsid w:val="00CC2E7D"/>
    <w:rsid w:val="00CC71EC"/>
    <w:rsid w:val="00CD10A5"/>
    <w:rsid w:val="00CD2076"/>
    <w:rsid w:val="00CD29B5"/>
    <w:rsid w:val="00CD3171"/>
    <w:rsid w:val="00CD6331"/>
    <w:rsid w:val="00CE153B"/>
    <w:rsid w:val="00CE670B"/>
    <w:rsid w:val="00CE760D"/>
    <w:rsid w:val="00CF1C4C"/>
    <w:rsid w:val="00CF4908"/>
    <w:rsid w:val="00CF51EC"/>
    <w:rsid w:val="00CF73AE"/>
    <w:rsid w:val="00D0260C"/>
    <w:rsid w:val="00D040DD"/>
    <w:rsid w:val="00D050F8"/>
    <w:rsid w:val="00D06297"/>
    <w:rsid w:val="00D075BE"/>
    <w:rsid w:val="00D1005A"/>
    <w:rsid w:val="00D11854"/>
    <w:rsid w:val="00D13986"/>
    <w:rsid w:val="00D21D83"/>
    <w:rsid w:val="00D235B7"/>
    <w:rsid w:val="00D25F28"/>
    <w:rsid w:val="00D26071"/>
    <w:rsid w:val="00D27973"/>
    <w:rsid w:val="00D30575"/>
    <w:rsid w:val="00D32F90"/>
    <w:rsid w:val="00D35E1A"/>
    <w:rsid w:val="00D37034"/>
    <w:rsid w:val="00D42E82"/>
    <w:rsid w:val="00D45615"/>
    <w:rsid w:val="00D50F46"/>
    <w:rsid w:val="00D52BE2"/>
    <w:rsid w:val="00D57677"/>
    <w:rsid w:val="00D64026"/>
    <w:rsid w:val="00D66223"/>
    <w:rsid w:val="00D8084C"/>
    <w:rsid w:val="00D82A1E"/>
    <w:rsid w:val="00D83062"/>
    <w:rsid w:val="00D83229"/>
    <w:rsid w:val="00D86490"/>
    <w:rsid w:val="00D86712"/>
    <w:rsid w:val="00D915EA"/>
    <w:rsid w:val="00D92FD1"/>
    <w:rsid w:val="00D93CE2"/>
    <w:rsid w:val="00D943C6"/>
    <w:rsid w:val="00D965EC"/>
    <w:rsid w:val="00DA7C0C"/>
    <w:rsid w:val="00DB08A9"/>
    <w:rsid w:val="00DB2EC8"/>
    <w:rsid w:val="00DB5913"/>
    <w:rsid w:val="00DC37E3"/>
    <w:rsid w:val="00DC4EC8"/>
    <w:rsid w:val="00DC5B3B"/>
    <w:rsid w:val="00DD129F"/>
    <w:rsid w:val="00DD2B66"/>
    <w:rsid w:val="00DD3A2C"/>
    <w:rsid w:val="00DE0F63"/>
    <w:rsid w:val="00DE4C19"/>
    <w:rsid w:val="00DF42FF"/>
    <w:rsid w:val="00DF7AD4"/>
    <w:rsid w:val="00E01C0E"/>
    <w:rsid w:val="00E03F9A"/>
    <w:rsid w:val="00E04694"/>
    <w:rsid w:val="00E04F27"/>
    <w:rsid w:val="00E06182"/>
    <w:rsid w:val="00E102BD"/>
    <w:rsid w:val="00E11DE1"/>
    <w:rsid w:val="00E12B1E"/>
    <w:rsid w:val="00E141B6"/>
    <w:rsid w:val="00E17262"/>
    <w:rsid w:val="00E212C9"/>
    <w:rsid w:val="00E22969"/>
    <w:rsid w:val="00E253A2"/>
    <w:rsid w:val="00E32880"/>
    <w:rsid w:val="00E3309D"/>
    <w:rsid w:val="00E402A5"/>
    <w:rsid w:val="00E424F6"/>
    <w:rsid w:val="00E453F9"/>
    <w:rsid w:val="00E47EBA"/>
    <w:rsid w:val="00E50156"/>
    <w:rsid w:val="00E53470"/>
    <w:rsid w:val="00E539F6"/>
    <w:rsid w:val="00E567D6"/>
    <w:rsid w:val="00E56FE9"/>
    <w:rsid w:val="00E61EEF"/>
    <w:rsid w:val="00E6519D"/>
    <w:rsid w:val="00E67696"/>
    <w:rsid w:val="00E711D1"/>
    <w:rsid w:val="00E71A58"/>
    <w:rsid w:val="00E72A7A"/>
    <w:rsid w:val="00E733C7"/>
    <w:rsid w:val="00E75C94"/>
    <w:rsid w:val="00E76AC9"/>
    <w:rsid w:val="00E76E61"/>
    <w:rsid w:val="00E85E6D"/>
    <w:rsid w:val="00E924B2"/>
    <w:rsid w:val="00E9274D"/>
    <w:rsid w:val="00E93820"/>
    <w:rsid w:val="00E94A86"/>
    <w:rsid w:val="00E96143"/>
    <w:rsid w:val="00E972A9"/>
    <w:rsid w:val="00EA0840"/>
    <w:rsid w:val="00EA0C68"/>
    <w:rsid w:val="00EA17B0"/>
    <w:rsid w:val="00EA2A43"/>
    <w:rsid w:val="00EA32BC"/>
    <w:rsid w:val="00EA3580"/>
    <w:rsid w:val="00EA383F"/>
    <w:rsid w:val="00EA405F"/>
    <w:rsid w:val="00EA637E"/>
    <w:rsid w:val="00EB269A"/>
    <w:rsid w:val="00EB4511"/>
    <w:rsid w:val="00EC03D7"/>
    <w:rsid w:val="00EC25F0"/>
    <w:rsid w:val="00ED162F"/>
    <w:rsid w:val="00ED62C6"/>
    <w:rsid w:val="00ED64C1"/>
    <w:rsid w:val="00EE2A8D"/>
    <w:rsid w:val="00EE3446"/>
    <w:rsid w:val="00EE3E78"/>
    <w:rsid w:val="00EE4B1B"/>
    <w:rsid w:val="00EE4DEF"/>
    <w:rsid w:val="00EF08D5"/>
    <w:rsid w:val="00EF0FC4"/>
    <w:rsid w:val="00EF150D"/>
    <w:rsid w:val="00EF1F5A"/>
    <w:rsid w:val="00EF47BF"/>
    <w:rsid w:val="00F03FDE"/>
    <w:rsid w:val="00F04811"/>
    <w:rsid w:val="00F0488C"/>
    <w:rsid w:val="00F10F11"/>
    <w:rsid w:val="00F15AAA"/>
    <w:rsid w:val="00F15ABF"/>
    <w:rsid w:val="00F15BEF"/>
    <w:rsid w:val="00F160CE"/>
    <w:rsid w:val="00F162B3"/>
    <w:rsid w:val="00F24407"/>
    <w:rsid w:val="00F24FAA"/>
    <w:rsid w:val="00F3364D"/>
    <w:rsid w:val="00F33E56"/>
    <w:rsid w:val="00F36104"/>
    <w:rsid w:val="00F37A7D"/>
    <w:rsid w:val="00F433FE"/>
    <w:rsid w:val="00F437CC"/>
    <w:rsid w:val="00F44537"/>
    <w:rsid w:val="00F4530D"/>
    <w:rsid w:val="00F46502"/>
    <w:rsid w:val="00F47067"/>
    <w:rsid w:val="00F51F81"/>
    <w:rsid w:val="00F525EB"/>
    <w:rsid w:val="00F55E08"/>
    <w:rsid w:val="00F57510"/>
    <w:rsid w:val="00F61836"/>
    <w:rsid w:val="00F63DDE"/>
    <w:rsid w:val="00F63FB7"/>
    <w:rsid w:val="00F6421B"/>
    <w:rsid w:val="00F649D2"/>
    <w:rsid w:val="00F6602B"/>
    <w:rsid w:val="00F724F9"/>
    <w:rsid w:val="00F73A0C"/>
    <w:rsid w:val="00F756DB"/>
    <w:rsid w:val="00F77285"/>
    <w:rsid w:val="00F84E7D"/>
    <w:rsid w:val="00F85066"/>
    <w:rsid w:val="00F859D0"/>
    <w:rsid w:val="00F87A4D"/>
    <w:rsid w:val="00F927E6"/>
    <w:rsid w:val="00F9647C"/>
    <w:rsid w:val="00FA5D4D"/>
    <w:rsid w:val="00FB0EE2"/>
    <w:rsid w:val="00FB42A1"/>
    <w:rsid w:val="00FB542E"/>
    <w:rsid w:val="00FC0359"/>
    <w:rsid w:val="00FC0E5F"/>
    <w:rsid w:val="00FC1A95"/>
    <w:rsid w:val="00FC56DE"/>
    <w:rsid w:val="00FC5F49"/>
    <w:rsid w:val="00FC684B"/>
    <w:rsid w:val="00FD3265"/>
    <w:rsid w:val="00FD4916"/>
    <w:rsid w:val="00FE2F78"/>
    <w:rsid w:val="00FE4B2F"/>
    <w:rsid w:val="00FE7B95"/>
    <w:rsid w:val="00FF3EEC"/>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655E1B12"/>
  <w15:docId w15:val="{A4C7AF56-5B51-4067-BDB9-17A6C364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64FA0"/>
    <w:pPr>
      <w:spacing w:after="240" w:line="276" w:lineRule="auto"/>
      <w:jc w:val="both"/>
    </w:pPr>
    <w:rPr>
      <w:rFonts w:ascii="Arial" w:eastAsia="Times New Roman" w:hAnsi="Arial"/>
      <w:szCs w:val="24"/>
      <w:lang w:eastAsia="cs-CZ"/>
    </w:rPr>
  </w:style>
  <w:style w:type="paragraph" w:styleId="Nadpis1">
    <w:name w:val="heading 1"/>
    <w:next w:val="Normln"/>
    <w:link w:val="Nadpis1Char"/>
    <w:uiPriority w:val="9"/>
    <w:qFormat/>
    <w:rsid w:val="00A25216"/>
    <w:pPr>
      <w:keepNext/>
      <w:keepLines/>
      <w:spacing w:after="100" w:line="276" w:lineRule="auto"/>
      <w:contextualSpacing/>
      <w:outlineLvl w:val="0"/>
    </w:pPr>
    <w:rPr>
      <w:rFonts w:ascii="Arial" w:eastAsia="MS Gothic" w:hAnsi="Arial"/>
      <w:b/>
      <w:bCs/>
      <w:color w:val="71818C"/>
      <w:sz w:val="32"/>
      <w:szCs w:val="28"/>
      <w:lang w:eastAsia="cs-CZ"/>
    </w:rPr>
  </w:style>
  <w:style w:type="paragraph" w:styleId="Nadpis2">
    <w:name w:val="heading 2"/>
    <w:next w:val="Normln"/>
    <w:link w:val="Nadpis2Char"/>
    <w:uiPriority w:val="9"/>
    <w:qFormat/>
    <w:rsid w:val="00A25216"/>
    <w:pPr>
      <w:keepNext/>
      <w:keepLines/>
      <w:spacing w:line="276" w:lineRule="auto"/>
      <w:outlineLvl w:val="1"/>
    </w:pPr>
    <w:rPr>
      <w:rFonts w:ascii="Arial" w:eastAsia="MS Gothic" w:hAnsi="Arial"/>
      <w:b/>
      <w:bCs/>
      <w:color w:val="71818C"/>
      <w:sz w:val="28"/>
      <w:szCs w:val="26"/>
      <w:lang w:eastAsia="cs-CZ"/>
    </w:rPr>
  </w:style>
  <w:style w:type="paragraph" w:styleId="Nadpis3">
    <w:name w:val="heading 3"/>
    <w:next w:val="Normln"/>
    <w:link w:val="Nadpis3Char"/>
    <w:uiPriority w:val="9"/>
    <w:qFormat/>
    <w:rsid w:val="00A25216"/>
    <w:pPr>
      <w:keepNext/>
      <w:keepLines/>
      <w:spacing w:line="276" w:lineRule="auto"/>
      <w:outlineLvl w:val="2"/>
    </w:pPr>
    <w:rPr>
      <w:rFonts w:ascii="Arial" w:eastAsia="MS Gothic" w:hAnsi="Arial"/>
      <w:b/>
      <w:bCs/>
      <w:color w:val="71818C"/>
      <w:sz w:val="24"/>
      <w:szCs w:val="24"/>
      <w:lang w:eastAsia="cs-CZ"/>
    </w:rPr>
  </w:style>
  <w:style w:type="paragraph" w:styleId="Nadpis4">
    <w:name w:val="heading 4"/>
    <w:next w:val="Normln"/>
    <w:link w:val="Nadpis4Char"/>
    <w:uiPriority w:val="9"/>
    <w:qFormat/>
    <w:rsid w:val="00A25216"/>
    <w:pPr>
      <w:keepNext/>
      <w:keepLines/>
      <w:spacing w:line="276" w:lineRule="auto"/>
      <w:outlineLvl w:val="3"/>
    </w:pPr>
    <w:rPr>
      <w:rFonts w:ascii="Arial" w:eastAsia="MS Gothic" w:hAnsi="Arial"/>
      <w:b/>
      <w:bCs/>
      <w:iCs/>
      <w:color w:val="71818C"/>
      <w:szCs w:val="24"/>
      <w:lang w:eastAsia="cs-CZ"/>
    </w:rPr>
  </w:style>
  <w:style w:type="paragraph" w:styleId="Nadpis5">
    <w:name w:val="heading 5"/>
    <w:basedOn w:val="Normln"/>
    <w:next w:val="Normln"/>
    <w:link w:val="Nadpis5Char"/>
    <w:uiPriority w:val="9"/>
    <w:semiHidden/>
    <w:unhideWhenUsed/>
    <w:rsid w:val="007A516D"/>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A516D"/>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A516D"/>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A516D"/>
    <w:pPr>
      <w:keepNext/>
      <w:keepLines/>
      <w:numPr>
        <w:ilvl w:val="7"/>
        <w:numId w:val="14"/>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7A516D"/>
    <w:pPr>
      <w:numPr>
        <w:ilvl w:val="8"/>
        <w:numId w:val="14"/>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qFormat/>
    <w:rsid w:val="00364FA0"/>
    <w:rPr>
      <w:rFonts w:ascii="Arial" w:eastAsia="MS Gothic" w:hAnsi="Arial"/>
      <w:b/>
      <w:bCs/>
      <w:color w:val="71818C"/>
      <w:sz w:val="32"/>
      <w:szCs w:val="28"/>
      <w:lang w:eastAsia="cs-CZ"/>
    </w:rPr>
  </w:style>
  <w:style w:type="character" w:customStyle="1" w:styleId="Nadpis2Char">
    <w:name w:val="Nadpis 2 Char"/>
    <w:link w:val="Nadpis2"/>
    <w:uiPriority w:val="9"/>
    <w:qFormat/>
    <w:rsid w:val="00364FA0"/>
    <w:rPr>
      <w:rFonts w:ascii="Arial" w:eastAsia="MS Gothic" w:hAnsi="Arial"/>
      <w:b/>
      <w:bCs/>
      <w:color w:val="71818C"/>
      <w:sz w:val="28"/>
      <w:szCs w:val="26"/>
      <w:lang w:eastAsia="cs-CZ"/>
    </w:rPr>
  </w:style>
  <w:style w:type="character" w:customStyle="1" w:styleId="Nadpis3Char">
    <w:name w:val="Nadpis 3 Char"/>
    <w:link w:val="Nadpis3"/>
    <w:uiPriority w:val="9"/>
    <w:rsid w:val="00364FA0"/>
    <w:rPr>
      <w:rFonts w:ascii="Arial" w:eastAsia="MS Gothic" w:hAnsi="Arial"/>
      <w:b/>
      <w:bCs/>
      <w:color w:val="71818C"/>
      <w:sz w:val="24"/>
      <w:szCs w:val="24"/>
      <w:lang w:eastAsia="cs-CZ"/>
    </w:rPr>
  </w:style>
  <w:style w:type="character" w:customStyle="1" w:styleId="Nadpis4Char">
    <w:name w:val="Nadpis 4 Char"/>
    <w:link w:val="Nadpis4"/>
    <w:uiPriority w:val="9"/>
    <w:rsid w:val="00364FA0"/>
    <w:rPr>
      <w:rFonts w:ascii="Arial" w:eastAsia="MS Gothic" w:hAnsi="Arial"/>
      <w:b/>
      <w:bCs/>
      <w:iCs/>
      <w:color w:val="71818C"/>
      <w:szCs w:val="24"/>
      <w:lang w:eastAsia="cs-CZ"/>
    </w:rPr>
  </w:style>
  <w:style w:type="character" w:customStyle="1" w:styleId="Nadpis9Char">
    <w:name w:val="Nadpis 9 Char"/>
    <w:link w:val="Nadpis9"/>
    <w:uiPriority w:val="9"/>
    <w:semiHidden/>
    <w:rsid w:val="007A516D"/>
    <w:rPr>
      <w:rFonts w:ascii="Cambria" w:eastAsia="Times New Roman" w:hAnsi="Cambria"/>
      <w:sz w:val="22"/>
      <w:szCs w:val="22"/>
      <w:lang w:eastAsia="cs-CZ"/>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EA0840"/>
    <w:rPr>
      <w:noProof/>
      <w:lang w:eastAsia="en-US"/>
    </w:r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846121"/>
    <w:pPr>
      <w:spacing w:after="80" w:line="288" w:lineRule="auto"/>
    </w:pPr>
    <w:rPr>
      <w:rFonts w:ascii="Arial" w:eastAsia="Times New Roman" w:hAnsi="Arial"/>
      <w:b/>
      <w:color w:val="71818C"/>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A-Box1">
    <w:name w:val="A-Box 1"/>
    <w:next w:val="Normln"/>
    <w:qFormat/>
    <w:rsid w:val="00F84E7D"/>
    <w:pPr>
      <w:shd w:val="clear" w:color="auto" w:fill="EAECEE"/>
      <w:spacing w:before="240" w:after="240" w:line="276" w:lineRule="auto"/>
      <w:contextualSpacing/>
      <w:jc w:val="both"/>
    </w:pPr>
    <w:rPr>
      <w:rFonts w:ascii="Arial" w:hAnsi="Arial" w:cs="Arial"/>
      <w:lang w:eastAsia="cs-CZ"/>
    </w:rPr>
  </w:style>
  <w:style w:type="paragraph" w:customStyle="1" w:styleId="A-Box2">
    <w:name w:val="A-Box 2"/>
    <w:next w:val="Normln"/>
    <w:qFormat/>
    <w:rsid w:val="00D075BE"/>
    <w:pPr>
      <w:spacing w:before="240" w:after="240" w:line="276" w:lineRule="auto"/>
      <w:contextualSpacing/>
      <w:jc w:val="both"/>
    </w:pPr>
    <w:rPr>
      <w:rFonts w:ascii="Arial" w:hAnsi="Arial" w:cs="Arial"/>
      <w:color w:val="71818C"/>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846121"/>
    <w:pPr>
      <w:spacing w:line="288" w:lineRule="auto"/>
    </w:pPr>
    <w:rPr>
      <w:rFonts w:ascii="Arial" w:eastAsia="Times New Roman" w:hAnsi="Arial"/>
      <w:b/>
      <w:bCs/>
      <w:caps/>
      <w:color w:val="71818C"/>
      <w:kern w:val="28"/>
      <w:sz w:val="56"/>
      <w:szCs w:val="32"/>
      <w:lang w:eastAsia="cs-CZ"/>
    </w:rPr>
  </w:style>
  <w:style w:type="character" w:customStyle="1" w:styleId="NzevChar">
    <w:name w:val="Název Char"/>
    <w:link w:val="Nzev"/>
    <w:uiPriority w:val="10"/>
    <w:rsid w:val="00846121"/>
    <w:rPr>
      <w:rFonts w:ascii="Arial" w:eastAsia="Times New Roman" w:hAnsi="Arial"/>
      <w:b/>
      <w:bCs/>
      <w:caps/>
      <w:color w:val="71818C"/>
      <w:kern w:val="28"/>
      <w:sz w:val="56"/>
      <w:szCs w:val="32"/>
    </w:rPr>
  </w:style>
  <w:style w:type="paragraph" w:styleId="Podnadpis">
    <w:name w:val="Subtitle"/>
    <w:link w:val="PodnadpisChar"/>
    <w:uiPriority w:val="11"/>
    <w:qFormat/>
    <w:rsid w:val="00846121"/>
    <w:pPr>
      <w:spacing w:line="288" w:lineRule="auto"/>
    </w:pPr>
    <w:rPr>
      <w:rFonts w:ascii="Arial" w:eastAsia="Times New Roman" w:hAnsi="Arial" w:cs="Arial"/>
      <w:b/>
      <w:color w:val="71818C"/>
      <w:sz w:val="28"/>
      <w:szCs w:val="24"/>
      <w:lang w:eastAsia="cs-CZ"/>
    </w:rPr>
  </w:style>
  <w:style w:type="character" w:customStyle="1" w:styleId="PodnadpisChar">
    <w:name w:val="Podnadpis Char"/>
    <w:link w:val="Podnadpis"/>
    <w:uiPriority w:val="11"/>
    <w:rsid w:val="00846121"/>
    <w:rPr>
      <w:rFonts w:ascii="Arial" w:eastAsia="Times New Roman" w:hAnsi="Arial" w:cs="Arial"/>
      <w:b/>
      <w:color w:val="71818C"/>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Nadpis5Char">
    <w:name w:val="Nadpis 5 Char"/>
    <w:basedOn w:val="Standardnpsmoodstavce"/>
    <w:link w:val="Nadpis5"/>
    <w:uiPriority w:val="9"/>
    <w:semiHidden/>
    <w:rsid w:val="007A516D"/>
    <w:rPr>
      <w:rFonts w:asciiTheme="majorHAnsi" w:eastAsiaTheme="majorEastAsia" w:hAnsiTheme="majorHAnsi" w:cstheme="majorBidi"/>
      <w:color w:val="243F60" w:themeColor="accent1" w:themeShade="7F"/>
      <w:szCs w:val="24"/>
      <w:lang w:eastAsia="cs-CZ"/>
    </w:rPr>
  </w:style>
  <w:style w:type="character" w:customStyle="1" w:styleId="Nadpis6Char">
    <w:name w:val="Nadpis 6 Char"/>
    <w:basedOn w:val="Standardnpsmoodstavce"/>
    <w:link w:val="Nadpis6"/>
    <w:uiPriority w:val="9"/>
    <w:semiHidden/>
    <w:rsid w:val="007A516D"/>
    <w:rPr>
      <w:rFonts w:asciiTheme="majorHAnsi" w:eastAsiaTheme="majorEastAsia" w:hAnsiTheme="majorHAnsi" w:cstheme="majorBidi"/>
      <w:i/>
      <w:iCs/>
      <w:color w:val="243F60" w:themeColor="accent1" w:themeShade="7F"/>
      <w:szCs w:val="24"/>
      <w:lang w:eastAsia="cs-CZ"/>
    </w:rPr>
  </w:style>
  <w:style w:type="character" w:customStyle="1" w:styleId="Nadpis7Char">
    <w:name w:val="Nadpis 7 Char"/>
    <w:basedOn w:val="Standardnpsmoodstavce"/>
    <w:link w:val="Nadpis7"/>
    <w:uiPriority w:val="9"/>
    <w:semiHidden/>
    <w:rsid w:val="007A516D"/>
    <w:rPr>
      <w:rFonts w:asciiTheme="majorHAnsi" w:eastAsiaTheme="majorEastAsia" w:hAnsiTheme="majorHAnsi" w:cstheme="majorBidi"/>
      <w:i/>
      <w:iCs/>
      <w:color w:val="404040" w:themeColor="text1" w:themeTint="BF"/>
      <w:szCs w:val="24"/>
      <w:lang w:eastAsia="cs-CZ"/>
    </w:rPr>
  </w:style>
  <w:style w:type="character" w:customStyle="1" w:styleId="Nadpis8Char">
    <w:name w:val="Nadpis 8 Char"/>
    <w:basedOn w:val="Standardnpsmoodstavce"/>
    <w:link w:val="Nadpis8"/>
    <w:uiPriority w:val="9"/>
    <w:semiHidden/>
    <w:rsid w:val="007A516D"/>
    <w:rPr>
      <w:rFonts w:asciiTheme="majorHAnsi" w:eastAsiaTheme="majorEastAsia" w:hAnsiTheme="majorHAnsi" w:cstheme="majorBidi"/>
      <w:color w:val="404040" w:themeColor="text1" w:themeTint="BF"/>
      <w:lang w:eastAsia="cs-CZ"/>
    </w:rPr>
  </w:style>
  <w:style w:type="paragraph" w:styleId="Textpoznpodarou">
    <w:name w:val="footnote text"/>
    <w:aliases w:val="Text pozn. pod čarou_martin_ang"/>
    <w:basedOn w:val="Normln"/>
    <w:link w:val="TextpoznpodarouChar"/>
    <w:qFormat/>
    <w:rsid w:val="008E7FC9"/>
    <w:pPr>
      <w:spacing w:after="0" w:line="240" w:lineRule="auto"/>
      <w:jc w:val="left"/>
    </w:pPr>
    <w:rPr>
      <w:rFonts w:eastAsia="Calibri"/>
      <w:szCs w:val="20"/>
    </w:rPr>
  </w:style>
  <w:style w:type="character" w:customStyle="1" w:styleId="TextpoznpodarouChar">
    <w:name w:val="Text pozn. pod čarou Char"/>
    <w:aliases w:val="Text pozn. pod čarou_martin_ang Char"/>
    <w:basedOn w:val="Standardnpsmoodstavce"/>
    <w:link w:val="Textpoznpodarou"/>
    <w:qFormat/>
    <w:rsid w:val="008E7FC9"/>
    <w:rPr>
      <w:rFonts w:ascii="Arial" w:hAnsi="Arial"/>
      <w:lang w:eastAsia="cs-CZ"/>
    </w:rPr>
  </w:style>
  <w:style w:type="paragraph" w:styleId="Bezmezer">
    <w:name w:val="No Spacing"/>
    <w:uiPriority w:val="1"/>
    <w:qFormat/>
    <w:rsid w:val="00AD68C4"/>
    <w:pPr>
      <w:jc w:val="both"/>
    </w:pPr>
    <w:rPr>
      <w:rFonts w:ascii="Arial" w:eastAsia="Times New Roman" w:hAnsi="Arial"/>
      <w:szCs w:val="24"/>
      <w:lang w:eastAsia="cs-CZ"/>
    </w:rPr>
  </w:style>
  <w:style w:type="paragraph" w:customStyle="1" w:styleId="Marginlie">
    <w:name w:val="Marginálie"/>
    <w:basedOn w:val="Normln"/>
    <w:qFormat/>
    <w:rsid w:val="0089296D"/>
    <w:pPr>
      <w:spacing w:after="0"/>
      <w:jc w:val="left"/>
    </w:pPr>
    <w:rPr>
      <w:spacing w:val="-2"/>
      <w:sz w:val="16"/>
      <w:szCs w:val="16"/>
    </w:rPr>
  </w:style>
  <w:style w:type="paragraph" w:styleId="Odstavecseseznamem">
    <w:name w:val="List Paragraph"/>
    <w:basedOn w:val="Normln"/>
    <w:uiPriority w:val="34"/>
    <w:qFormat/>
    <w:rsid w:val="006B0F92"/>
    <w:pPr>
      <w:ind w:left="720"/>
      <w:contextualSpacing/>
    </w:pPr>
  </w:style>
  <w:style w:type="paragraph" w:customStyle="1" w:styleId="Normalodrka">
    <w:name w:val="Normal odrážka"/>
    <w:qFormat/>
    <w:rsid w:val="006B0F92"/>
    <w:pPr>
      <w:numPr>
        <w:numId w:val="20"/>
      </w:numPr>
      <w:spacing w:after="240" w:line="276" w:lineRule="auto"/>
      <w:ind w:left="357" w:hanging="357"/>
      <w:jc w:val="both"/>
    </w:pPr>
    <w:rPr>
      <w:rFonts w:ascii="Arial" w:eastAsia="Times New Roman" w:hAnsi="Arial"/>
      <w:szCs w:val="24"/>
      <w:lang w:eastAsia="cs-CZ"/>
    </w:rPr>
  </w:style>
  <w:style w:type="paragraph" w:customStyle="1" w:styleId="Box1">
    <w:name w:val="Box 1"/>
    <w:next w:val="Normln"/>
    <w:qFormat/>
    <w:rsid w:val="00A17D5B"/>
    <w:pPr>
      <w:shd w:val="clear" w:color="auto" w:fill="EBEBEB"/>
      <w:spacing w:before="240" w:after="240" w:line="276" w:lineRule="auto"/>
      <w:ind w:left="709"/>
      <w:contextualSpacing/>
    </w:pPr>
    <w:rPr>
      <w:rFonts w:ascii="Arial" w:hAnsi="Arial" w:cs="Arial"/>
      <w:lang w:eastAsia="cs-CZ"/>
    </w:rPr>
  </w:style>
  <w:style w:type="paragraph" w:customStyle="1" w:styleId="Box2">
    <w:name w:val="Box 2"/>
    <w:next w:val="Normln"/>
    <w:qFormat/>
    <w:rsid w:val="00A17D5B"/>
    <w:pPr>
      <w:spacing w:before="240" w:after="240" w:line="276" w:lineRule="auto"/>
      <w:ind w:left="709"/>
      <w:contextualSpacing/>
    </w:pPr>
    <w:rPr>
      <w:rFonts w:ascii="Arial" w:hAnsi="Arial" w:cs="Arial"/>
      <w:b/>
      <w:color w:val="71818C"/>
      <w:lang w:eastAsia="cs-CZ"/>
    </w:rPr>
  </w:style>
  <w:style w:type="character" w:styleId="Odkaznakoment">
    <w:name w:val="annotation reference"/>
    <w:basedOn w:val="Standardnpsmoodstavce"/>
    <w:uiPriority w:val="99"/>
    <w:semiHidden/>
    <w:unhideWhenUsed/>
    <w:rsid w:val="00E76E61"/>
    <w:rPr>
      <w:sz w:val="16"/>
      <w:szCs w:val="16"/>
    </w:rPr>
  </w:style>
  <w:style w:type="paragraph" w:styleId="Textkomente">
    <w:name w:val="annotation text"/>
    <w:basedOn w:val="Normln"/>
    <w:link w:val="TextkomenteChar"/>
    <w:uiPriority w:val="99"/>
    <w:semiHidden/>
    <w:unhideWhenUsed/>
    <w:rsid w:val="00E76E61"/>
    <w:pPr>
      <w:spacing w:line="240" w:lineRule="auto"/>
    </w:pPr>
    <w:rPr>
      <w:szCs w:val="20"/>
    </w:rPr>
  </w:style>
  <w:style w:type="character" w:customStyle="1" w:styleId="TextkomenteChar">
    <w:name w:val="Text komentáře Char"/>
    <w:basedOn w:val="Standardnpsmoodstavce"/>
    <w:link w:val="Textkomente"/>
    <w:uiPriority w:val="99"/>
    <w:semiHidden/>
    <w:rsid w:val="00E76E61"/>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E76E61"/>
    <w:rPr>
      <w:b/>
      <w:bCs/>
    </w:rPr>
  </w:style>
  <w:style w:type="character" w:customStyle="1" w:styleId="PedmtkomenteChar">
    <w:name w:val="Předmět komentáře Char"/>
    <w:basedOn w:val="TextkomenteChar"/>
    <w:link w:val="Pedmtkomente"/>
    <w:uiPriority w:val="99"/>
    <w:semiHidden/>
    <w:rsid w:val="00E76E61"/>
    <w:rPr>
      <w:rFonts w:ascii="Arial" w:eastAsia="Times New Roman" w:hAnsi="Arial"/>
      <w:b/>
      <w:bCs/>
      <w:lang w:eastAsia="cs-CZ"/>
    </w:rPr>
  </w:style>
  <w:style w:type="paragraph" w:customStyle="1" w:styleId="Nadpis11">
    <w:name w:val="Nadpis 11"/>
    <w:basedOn w:val="Normln"/>
    <w:uiPriority w:val="9"/>
    <w:qFormat/>
    <w:rsid w:val="00F46502"/>
    <w:pPr>
      <w:keepNext/>
      <w:keepLines/>
      <w:spacing w:after="100"/>
      <w:contextualSpacing/>
      <w:jc w:val="left"/>
      <w:outlineLvl w:val="0"/>
    </w:pPr>
    <w:rPr>
      <w:rFonts w:eastAsia="MS Gothic"/>
      <w:b/>
      <w:bCs/>
      <w:color w:val="71818C"/>
      <w:sz w:val="32"/>
      <w:szCs w:val="28"/>
    </w:rPr>
  </w:style>
  <w:style w:type="paragraph" w:customStyle="1" w:styleId="Nadpis21">
    <w:name w:val="Nadpis 21"/>
    <w:basedOn w:val="Normln"/>
    <w:uiPriority w:val="9"/>
    <w:qFormat/>
    <w:rsid w:val="00F46502"/>
    <w:pPr>
      <w:keepNext/>
      <w:keepLines/>
      <w:spacing w:after="0"/>
      <w:jc w:val="left"/>
      <w:outlineLvl w:val="1"/>
    </w:pPr>
    <w:rPr>
      <w:rFonts w:eastAsia="MS Gothic"/>
      <w:b/>
      <w:bCs/>
      <w:color w:val="71818C"/>
      <w:sz w:val="28"/>
      <w:szCs w:val="26"/>
    </w:rPr>
  </w:style>
  <w:style w:type="paragraph" w:customStyle="1" w:styleId="Textpoznpodarou1">
    <w:name w:val="Text pozn. pod čarou1"/>
    <w:basedOn w:val="Normln"/>
    <w:rsid w:val="00F46502"/>
    <w:pPr>
      <w:spacing w:after="0" w:line="240" w:lineRule="auto"/>
      <w:jc w:val="left"/>
    </w:pPr>
    <w:rPr>
      <w:rFonts w:eastAsia="Calibri"/>
      <w:color w:val="00000A"/>
      <w:szCs w:val="20"/>
    </w:rPr>
  </w:style>
  <w:style w:type="character" w:customStyle="1" w:styleId="TextpoznpodarouChar1">
    <w:name w:val="Text pozn. pod čarou Char1"/>
    <w:aliases w:val="Text pozn. pod čarou_martin_ang Char1"/>
    <w:basedOn w:val="Standardnpsmoodstavce"/>
    <w:semiHidden/>
    <w:rsid w:val="00F46502"/>
    <w:rPr>
      <w:rFonts w:ascii="Arial" w:eastAsia="Times New Roman" w:hAnsi="Arial" w:cs="Times New Roman"/>
      <w:color w:val="00000A"/>
      <w:szCs w:val="20"/>
      <w:lang w:eastAsia="cs-CZ"/>
    </w:rPr>
  </w:style>
  <w:style w:type="character" w:styleId="Znakapoznpodarou">
    <w:name w:val="footnote reference"/>
    <w:basedOn w:val="Standardnpsmoodstavce"/>
    <w:rsid w:val="00F46502"/>
    <w:rPr>
      <w:rFonts w:cs="Times New Roman"/>
      <w:vertAlign w:val="superscript"/>
    </w:rPr>
  </w:style>
  <w:style w:type="character" w:customStyle="1" w:styleId="odkaz-style-wrapper">
    <w:name w:val="odkaz-style-wrapper"/>
    <w:basedOn w:val="Standardnpsmoodstavce"/>
    <w:rsid w:val="00BE6186"/>
  </w:style>
  <w:style w:type="paragraph" w:customStyle="1" w:styleId="Nadpis110">
    <w:name w:val="Nadpis 11"/>
    <w:basedOn w:val="Normln"/>
    <w:uiPriority w:val="9"/>
    <w:qFormat/>
    <w:rsid w:val="00BE6186"/>
    <w:pPr>
      <w:keepNext/>
      <w:keepLines/>
      <w:spacing w:after="100"/>
      <w:contextualSpacing/>
      <w:jc w:val="left"/>
      <w:outlineLvl w:val="0"/>
    </w:pPr>
    <w:rPr>
      <w:rFonts w:eastAsia="MS Gothic"/>
      <w:b/>
      <w:bCs/>
      <w:color w:val="71818C"/>
      <w:sz w:val="32"/>
      <w:szCs w:val="28"/>
    </w:rPr>
  </w:style>
  <w:style w:type="paragraph" w:customStyle="1" w:styleId="Nadpis210">
    <w:name w:val="Nadpis 21"/>
    <w:basedOn w:val="Normln"/>
    <w:uiPriority w:val="9"/>
    <w:qFormat/>
    <w:rsid w:val="00BE6186"/>
    <w:pPr>
      <w:keepNext/>
      <w:keepLines/>
      <w:spacing w:after="0"/>
      <w:jc w:val="left"/>
      <w:outlineLvl w:val="1"/>
    </w:pPr>
    <w:rPr>
      <w:rFonts w:eastAsia="MS Gothic"/>
      <w:b/>
      <w:bCs/>
      <w:color w:val="71818C"/>
      <w:sz w:val="28"/>
      <w:szCs w:val="26"/>
    </w:rPr>
  </w:style>
  <w:style w:type="paragraph" w:customStyle="1" w:styleId="Textpoznpodarou10">
    <w:name w:val="Text pozn. pod čarou1"/>
    <w:basedOn w:val="Normln"/>
    <w:rsid w:val="00BE6186"/>
    <w:pPr>
      <w:spacing w:after="0" w:line="240" w:lineRule="auto"/>
      <w:jc w:val="left"/>
    </w:pPr>
    <w:rPr>
      <w:rFonts w:eastAsia="Calibri"/>
      <w:color w:val="00000A"/>
      <w:szCs w:val="20"/>
    </w:rPr>
  </w:style>
  <w:style w:type="paragraph" w:styleId="Normlnweb">
    <w:name w:val="Normal (Web)"/>
    <w:basedOn w:val="Normln"/>
    <w:uiPriority w:val="99"/>
    <w:unhideWhenUsed/>
    <w:rsid w:val="00C96D08"/>
    <w:pPr>
      <w:spacing w:before="100" w:beforeAutospacing="1" w:after="100" w:afterAutospacing="1" w:line="240" w:lineRule="auto"/>
      <w:jc w:val="left"/>
    </w:pPr>
    <w:rPr>
      <w:rFonts w:ascii="Times New Roman" w:hAnsi="Times New Roman"/>
      <w:sz w:val="24"/>
    </w:rPr>
  </w:style>
  <w:style w:type="paragraph" w:styleId="Zkladntext">
    <w:name w:val="Body Text"/>
    <w:basedOn w:val="Normln"/>
    <w:link w:val="ZkladntextChar"/>
    <w:semiHidden/>
    <w:rsid w:val="004C5FBF"/>
    <w:pPr>
      <w:widowControl w:val="0"/>
      <w:suppressAutoHyphens/>
      <w:autoSpaceDE w:val="0"/>
      <w:autoSpaceDN w:val="0"/>
      <w:adjustRightInd w:val="0"/>
      <w:spacing w:before="120" w:after="0" w:line="215" w:lineRule="exact"/>
    </w:pPr>
    <w:rPr>
      <w:rFonts w:ascii="Times New Roman CE obyèejné" w:hAnsi="Times New Roman CE obyèejné"/>
      <w:szCs w:val="20"/>
    </w:rPr>
  </w:style>
  <w:style w:type="character" w:customStyle="1" w:styleId="ZkladntextChar">
    <w:name w:val="Základní text Char"/>
    <w:basedOn w:val="Standardnpsmoodstavce"/>
    <w:link w:val="Zkladntext"/>
    <w:semiHidden/>
    <w:rsid w:val="004C5FBF"/>
    <w:rPr>
      <w:rFonts w:ascii="Times New Roman CE obyèejné" w:eastAsia="Times New Roman" w:hAnsi="Times New Roman CE obyèejné"/>
      <w:lang w:eastAsia="cs-CZ"/>
    </w:rPr>
  </w:style>
  <w:style w:type="character" w:customStyle="1" w:styleId="content">
    <w:name w:val="content"/>
    <w:basedOn w:val="Standardnpsmoodstavce"/>
    <w:rsid w:val="003C4BE8"/>
  </w:style>
  <w:style w:type="paragraph" w:styleId="Textvysvtlivek">
    <w:name w:val="endnote text"/>
    <w:basedOn w:val="Normln"/>
    <w:link w:val="TextvysvtlivekChar"/>
    <w:uiPriority w:val="99"/>
    <w:semiHidden/>
    <w:unhideWhenUsed/>
    <w:rsid w:val="00744EE6"/>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744EE6"/>
    <w:rPr>
      <w:rFonts w:ascii="Arial" w:eastAsia="Times New Roman" w:hAnsi="Arial"/>
      <w:lang w:eastAsia="cs-CZ"/>
    </w:rPr>
  </w:style>
  <w:style w:type="character" w:styleId="Odkaznavysvtlivky">
    <w:name w:val="endnote reference"/>
    <w:basedOn w:val="Standardnpsmoodstavce"/>
    <w:uiPriority w:val="99"/>
    <w:semiHidden/>
    <w:unhideWhenUsed/>
    <w:rsid w:val="00744E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615720">
      <w:bodyDiv w:val="1"/>
      <w:marLeft w:val="60"/>
      <w:marRight w:val="60"/>
      <w:marTop w:val="60"/>
      <w:marBottom w:val="15"/>
      <w:divBdr>
        <w:top w:val="none" w:sz="0" w:space="0" w:color="auto"/>
        <w:left w:val="none" w:sz="0" w:space="0" w:color="auto"/>
        <w:bottom w:val="none" w:sz="0" w:space="0" w:color="auto"/>
        <w:right w:val="none" w:sz="0" w:space="0" w:color="auto"/>
      </w:divBdr>
      <w:divsChild>
        <w:div w:id="658968227">
          <w:marLeft w:val="0"/>
          <w:marRight w:val="0"/>
          <w:marTop w:val="0"/>
          <w:marBottom w:val="0"/>
          <w:divBdr>
            <w:top w:val="none" w:sz="0" w:space="0" w:color="auto"/>
            <w:left w:val="none" w:sz="0" w:space="0" w:color="auto"/>
            <w:bottom w:val="none" w:sz="0" w:space="0" w:color="auto"/>
            <w:right w:val="none" w:sz="0" w:space="0" w:color="auto"/>
          </w:divBdr>
        </w:div>
      </w:divsChild>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932319695">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3535664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42060051">
          <w:marLeft w:val="0"/>
          <w:marRight w:val="0"/>
          <w:marTop w:val="0"/>
          <w:marBottom w:val="0"/>
          <w:divBdr>
            <w:top w:val="none" w:sz="0" w:space="0" w:color="auto"/>
            <w:left w:val="none" w:sz="0" w:space="0" w:color="auto"/>
            <w:bottom w:val="none" w:sz="0" w:space="0" w:color="auto"/>
            <w:right w:val="none" w:sz="0" w:space="0" w:color="auto"/>
          </w:divBdr>
          <w:divsChild>
            <w:div w:id="1352418194">
              <w:marLeft w:val="0"/>
              <w:marRight w:val="0"/>
              <w:marTop w:val="0"/>
              <w:marBottom w:val="0"/>
              <w:divBdr>
                <w:top w:val="none" w:sz="0" w:space="0" w:color="auto"/>
                <w:left w:val="none" w:sz="0" w:space="0" w:color="auto"/>
                <w:bottom w:val="none" w:sz="0" w:space="0" w:color="auto"/>
                <w:right w:val="none" w:sz="0" w:space="0" w:color="auto"/>
              </w:divBdr>
            </w:div>
            <w:div w:id="1419256889">
              <w:marLeft w:val="0"/>
              <w:marRight w:val="0"/>
              <w:marTop w:val="0"/>
              <w:marBottom w:val="0"/>
              <w:divBdr>
                <w:top w:val="none" w:sz="0" w:space="0" w:color="auto"/>
                <w:left w:val="none" w:sz="0" w:space="0" w:color="auto"/>
                <w:bottom w:val="none" w:sz="0" w:space="0" w:color="auto"/>
                <w:right w:val="none" w:sz="0" w:space="0" w:color="auto"/>
              </w:divBdr>
            </w:div>
            <w:div w:id="1012336419">
              <w:marLeft w:val="0"/>
              <w:marRight w:val="0"/>
              <w:marTop w:val="0"/>
              <w:marBottom w:val="0"/>
              <w:divBdr>
                <w:top w:val="none" w:sz="0" w:space="0" w:color="auto"/>
                <w:left w:val="none" w:sz="0" w:space="0" w:color="auto"/>
                <w:bottom w:val="none" w:sz="0" w:space="0" w:color="auto"/>
                <w:right w:val="none" w:sz="0" w:space="0" w:color="auto"/>
              </w:divBdr>
            </w:div>
            <w:div w:id="1187673128">
              <w:marLeft w:val="0"/>
              <w:marRight w:val="0"/>
              <w:marTop w:val="0"/>
              <w:marBottom w:val="0"/>
              <w:divBdr>
                <w:top w:val="none" w:sz="0" w:space="0" w:color="auto"/>
                <w:left w:val="none" w:sz="0" w:space="0" w:color="auto"/>
                <w:bottom w:val="none" w:sz="0" w:space="0" w:color="auto"/>
                <w:right w:val="none" w:sz="0" w:space="0" w:color="auto"/>
              </w:divBdr>
            </w:div>
            <w:div w:id="13251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12266825">
      <w:bodyDiv w:val="1"/>
      <w:marLeft w:val="60"/>
      <w:marRight w:val="60"/>
      <w:marTop w:val="60"/>
      <w:marBottom w:val="15"/>
      <w:divBdr>
        <w:top w:val="none" w:sz="0" w:space="0" w:color="auto"/>
        <w:left w:val="none" w:sz="0" w:space="0" w:color="auto"/>
        <w:bottom w:val="none" w:sz="0" w:space="0" w:color="auto"/>
        <w:right w:val="none" w:sz="0" w:space="0" w:color="auto"/>
      </w:divBdr>
      <w:divsChild>
        <w:div w:id="1418138374">
          <w:marLeft w:val="0"/>
          <w:marRight w:val="0"/>
          <w:marTop w:val="0"/>
          <w:marBottom w:val="0"/>
          <w:divBdr>
            <w:top w:val="none" w:sz="0" w:space="0" w:color="auto"/>
            <w:left w:val="none" w:sz="0" w:space="0" w:color="auto"/>
            <w:bottom w:val="none" w:sz="0" w:space="0" w:color="auto"/>
            <w:right w:val="none" w:sz="0" w:space="0" w:color="auto"/>
          </w:divBdr>
        </w:div>
      </w:divsChild>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7548519">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6.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2.emf"/><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4.jpeg"/><Relationship Id="rId28" Type="http://schemas.openxmlformats.org/officeDocument/2006/relationships/chart" Target="charts/chart16.xml"/><Relationship Id="rId57" Type="http://schemas.microsoft.com/office/2016/09/relationships/commentsIds" Target="commentsIds.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jpeg"/><Relationship Id="rId27" Type="http://schemas.openxmlformats.org/officeDocument/2006/relationships/chart" Target="charts/chart15.xm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y\Anal&#253;za\Ro&#269;n&#237;%20anal&#253;za%202018\Ana&#253;za%20ekonomick&#233;ho%20v&#253;voje%20v%20roce%2020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V&#352;PS-zam&#283;stanost-&#268;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Velk&#225;%20makro-trh%20pr&#225;ce-2019\Cizinci-skaldby%20zam&#283;stnanosti.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JKAM%20CSU\PUBLIKACE\PUBLIKACE\2019\Velk&#225;%20makro-Trh%20pr&#225;ce\Grafy-Cizinci-skladby%20zam&#283;stnanosti.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JKAM%20CSU\PUBLIKACE\PUBLIKACE\2019\Velk&#225;%20makro-Trh%20pr&#225;ce\Grafy-Cizinci-skladby%20zam&#283;stnanost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Velk&#225;%20makro-trh%20pr&#225;ce-2019\Cizinci-skaldby%20zam&#283;stnanost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JKAM%20CSU\PUBLIKACE\PUBLIKACE\2019\Velk&#225;%20makro-Trh%20pr&#225;ce\Grafy-Cizinci-skladby%20zam&#283;stnanosti.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JKAM%20CSU\PUBLIKACE\PUBLIKACE\2019\Velk&#225;%20makro-Trh%20pr&#225;ce\V&#352;PS-zam&#283;stanost-&#268;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V&#352;PS-zam&#283;stanost-&#268;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Cizinci-skaldby%20zam&#283;stnanos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Velk&#225;%20makro-trh%20pr&#225;ce-2019\Cizinci-skaldby%20zam&#283;stnanost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JKAM%20CSU\PUBLIKACE\PUBLIKACE\2019\Velk&#225;%20makro-Trh%20pr&#225;ce\Grafy-Cizinci-skladby%20zam&#283;stnanos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2.0121757685483778E-2"/>
          <c:w val="0.88871470762549365"/>
          <c:h val="0.7093741990457415"/>
        </c:manualLayout>
      </c:layout>
      <c:barChart>
        <c:barDir val="col"/>
        <c:grouping val="clustered"/>
        <c:varyColors val="0"/>
        <c:ser>
          <c:idx val="8"/>
          <c:order val="8"/>
          <c:tx>
            <c:strRef>
              <c:f>'Graf-1-Míry EA-věk'!$A$25</c:f>
              <c:strCache>
                <c:ptCount val="1"/>
                <c:pt idx="0">
                  <c:v>Obyvatel ve věku 15–64 let (pr. osa)</c:v>
                </c:pt>
              </c:strCache>
            </c:strRef>
          </c:tx>
          <c:spPr>
            <a:solidFill>
              <a:schemeClr val="bg1">
                <a:lumMod val="95000"/>
              </a:schemeClr>
            </a:solidFill>
            <a:ln>
              <a:solidFill>
                <a:schemeClr val="bg1">
                  <a:lumMod val="85000"/>
                </a:schemeClr>
              </a:solidFill>
            </a:ln>
            <a:effectLst/>
          </c:spPr>
          <c:invertIfNegative val="0"/>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EA-věk'!$B$25:$T$25</c:f>
              <c:numCache>
                <c:formatCode>0.0</c:formatCode>
                <c:ptCount val="19"/>
                <c:pt idx="0">
                  <c:v>100</c:v>
                </c:pt>
                <c:pt idx="1">
                  <c:v>99.977882805037865</c:v>
                </c:pt>
                <c:pt idx="2">
                  <c:v>100.23032554964162</c:v>
                </c:pt>
                <c:pt idx="3">
                  <c:v>100.67040600997281</c:v>
                </c:pt>
                <c:pt idx="4">
                  <c:v>101.12106344023779</c:v>
                </c:pt>
                <c:pt idx="5">
                  <c:v>101.45208210112402</c:v>
                </c:pt>
                <c:pt idx="6">
                  <c:v>101.96420725151117</c:v>
                </c:pt>
                <c:pt idx="7">
                  <c:v>102.51621665027339</c:v>
                </c:pt>
                <c:pt idx="8">
                  <c:v>103.40587986889678</c:v>
                </c:pt>
                <c:pt idx="9">
                  <c:v>103.69290829406927</c:v>
                </c:pt>
                <c:pt idx="10">
                  <c:v>103.25315598003985</c:v>
                </c:pt>
                <c:pt idx="11">
                  <c:v>101.80154108817912</c:v>
                </c:pt>
                <c:pt idx="12">
                  <c:v>100.86722501807795</c:v>
                </c:pt>
                <c:pt idx="13">
                  <c:v>99.827858979193536</c:v>
                </c:pt>
                <c:pt idx="14">
                  <c:v>98.811932283139697</c:v>
                </c:pt>
                <c:pt idx="15">
                  <c:v>98.044283508093102</c:v>
                </c:pt>
                <c:pt idx="16">
                  <c:v>97.237629614428727</c:v>
                </c:pt>
                <c:pt idx="17">
                  <c:v>96.516304907000645</c:v>
                </c:pt>
                <c:pt idx="18">
                  <c:v>95.989883783430983</c:v>
                </c:pt>
              </c:numCache>
            </c:numRef>
          </c:val>
          <c:extLst>
            <c:ext xmlns:c16="http://schemas.microsoft.com/office/drawing/2014/chart" uri="{C3380CC4-5D6E-409C-BE32-E72D297353CC}">
              <c16:uniqueId val="{00000000-42E3-4C4F-8B9E-0830FEE82F35}"/>
            </c:ext>
          </c:extLst>
        </c:ser>
        <c:ser>
          <c:idx val="9"/>
          <c:order val="9"/>
          <c:tx>
            <c:strRef>
              <c:f>'Graf-1-Míry EA-věk'!$A$26</c:f>
              <c:strCache>
                <c:ptCount val="1"/>
                <c:pt idx="0">
                  <c:v>Ekon. aktivní celkem (pravá osa)</c:v>
                </c:pt>
              </c:strCache>
            </c:strRef>
          </c:tx>
          <c:spPr>
            <a:solidFill>
              <a:schemeClr val="bg1">
                <a:lumMod val="75000"/>
              </a:schemeClr>
            </a:solidFill>
            <a:ln>
              <a:solidFill>
                <a:schemeClr val="bg1">
                  <a:lumMod val="85000"/>
                </a:schemeClr>
              </a:solidFill>
            </a:ln>
            <a:effectLst/>
          </c:spPr>
          <c:invertIfNegative val="0"/>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EA-věk'!$B$26:$T$26</c:f>
              <c:numCache>
                <c:formatCode>#\ ##0.0</c:formatCode>
                <c:ptCount val="19"/>
                <c:pt idx="0">
                  <c:v>100</c:v>
                </c:pt>
                <c:pt idx="1">
                  <c:v>99.225695243367255</c:v>
                </c:pt>
                <c:pt idx="2">
                  <c:v>99.092765917984678</c:v>
                </c:pt>
                <c:pt idx="3">
                  <c:v>98.962897287577618</c:v>
                </c:pt>
                <c:pt idx="4">
                  <c:v>98.966277557707343</c:v>
                </c:pt>
                <c:pt idx="5">
                  <c:v>99.76967778104185</c:v>
                </c:pt>
                <c:pt idx="6">
                  <c:v>100.25537285177639</c:v>
                </c:pt>
                <c:pt idx="7">
                  <c:v>100.23547143689882</c:v>
                </c:pt>
                <c:pt idx="8">
                  <c:v>100.89112871962193</c:v>
                </c:pt>
                <c:pt idx="9">
                  <c:v>101.93484472489318</c:v>
                </c:pt>
                <c:pt idx="10">
                  <c:v>101.59609180171346</c:v>
                </c:pt>
                <c:pt idx="11">
                  <c:v>100.7106661223917</c:v>
                </c:pt>
                <c:pt idx="12">
                  <c:v>101.36582385361412</c:v>
                </c:pt>
                <c:pt idx="13">
                  <c:v>102.31209616800665</c:v>
                </c:pt>
                <c:pt idx="14">
                  <c:v>102.15519331468768</c:v>
                </c:pt>
                <c:pt idx="15">
                  <c:v>102.38782787282368</c:v>
                </c:pt>
                <c:pt idx="16">
                  <c:v>103.16051999317004</c:v>
                </c:pt>
                <c:pt idx="17">
                  <c:v>103.683403220415</c:v>
                </c:pt>
                <c:pt idx="18">
                  <c:v>104.42135389830918</c:v>
                </c:pt>
              </c:numCache>
            </c:numRef>
          </c:val>
          <c:extLst>
            <c:ext xmlns:c16="http://schemas.microsoft.com/office/drawing/2014/chart" uri="{C3380CC4-5D6E-409C-BE32-E72D297353CC}">
              <c16:uniqueId val="{00000001-42E3-4C4F-8B9E-0830FEE82F35}"/>
            </c:ext>
          </c:extLst>
        </c:ser>
        <c:dLbls>
          <c:showLegendKey val="0"/>
          <c:showVal val="0"/>
          <c:showCatName val="0"/>
          <c:showSerName val="0"/>
          <c:showPercent val="0"/>
          <c:showBubbleSize val="0"/>
        </c:dLbls>
        <c:gapWidth val="150"/>
        <c:axId val="355205888"/>
        <c:axId val="354470912"/>
      </c:barChart>
      <c:lineChart>
        <c:grouping val="standard"/>
        <c:varyColors val="0"/>
        <c:ser>
          <c:idx val="0"/>
          <c:order val="0"/>
          <c:tx>
            <c:strRef>
              <c:f>'Graf-1-Míry EA-věk'!$A$17</c:f>
              <c:strCache>
                <c:ptCount val="1"/>
                <c:pt idx="0">
                  <c:v>Míra EA: muži 15–24 let (v %)</c:v>
                </c:pt>
              </c:strCache>
            </c:strRef>
          </c:tx>
          <c:spPr>
            <a:ln w="15875" cap="rnd">
              <a:solidFill>
                <a:srgbClr val="BD1B21"/>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EA-věk'!$B$17:$T$17</c:f>
              <c:numCache>
                <c:formatCode>#\ ##0.0</c:formatCode>
                <c:ptCount val="19"/>
                <c:pt idx="0">
                  <c:v>47.7</c:v>
                </c:pt>
                <c:pt idx="1">
                  <c:v>44.6</c:v>
                </c:pt>
                <c:pt idx="2">
                  <c:v>42.3</c:v>
                </c:pt>
                <c:pt idx="3">
                  <c:v>38.799999999999997</c:v>
                </c:pt>
                <c:pt idx="4">
                  <c:v>37.799999999999997</c:v>
                </c:pt>
                <c:pt idx="5">
                  <c:v>38.9</c:v>
                </c:pt>
                <c:pt idx="6">
                  <c:v>37.700000000000003</c:v>
                </c:pt>
                <c:pt idx="7">
                  <c:v>36.700000000000003</c:v>
                </c:pt>
                <c:pt idx="8">
                  <c:v>35.9</c:v>
                </c:pt>
                <c:pt idx="9">
                  <c:v>37.299999999999997</c:v>
                </c:pt>
                <c:pt idx="10">
                  <c:v>36.200000000000003</c:v>
                </c:pt>
                <c:pt idx="11">
                  <c:v>35.5</c:v>
                </c:pt>
                <c:pt idx="12">
                  <c:v>36.4</c:v>
                </c:pt>
                <c:pt idx="13">
                  <c:v>36.799999999999997</c:v>
                </c:pt>
                <c:pt idx="14">
                  <c:v>38.1</c:v>
                </c:pt>
                <c:pt idx="15">
                  <c:v>37.4</c:v>
                </c:pt>
                <c:pt idx="16">
                  <c:v>37.5</c:v>
                </c:pt>
                <c:pt idx="17">
                  <c:v>36.5</c:v>
                </c:pt>
                <c:pt idx="18">
                  <c:v>34.4</c:v>
                </c:pt>
              </c:numCache>
            </c:numRef>
          </c:val>
          <c:smooth val="0"/>
          <c:extLst>
            <c:ext xmlns:c16="http://schemas.microsoft.com/office/drawing/2014/chart" uri="{C3380CC4-5D6E-409C-BE32-E72D297353CC}">
              <c16:uniqueId val="{00000002-42E3-4C4F-8B9E-0830FEE82F35}"/>
            </c:ext>
          </c:extLst>
        </c:ser>
        <c:ser>
          <c:idx val="1"/>
          <c:order val="1"/>
          <c:tx>
            <c:strRef>
              <c:f>'Graf-1-Míry EA-věk'!$A$18</c:f>
              <c:strCache>
                <c:ptCount val="1"/>
                <c:pt idx="0">
                  <c:v>Míra EA: ženy 15–24 let (v %)</c:v>
                </c:pt>
              </c:strCache>
            </c:strRef>
          </c:tx>
          <c:spPr>
            <a:ln w="15875" cap="rnd">
              <a:solidFill>
                <a:srgbClr val="BD1B21"/>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EA-věk'!$B$18:$T$18</c:f>
              <c:numCache>
                <c:formatCode>#\ ##0.0</c:formatCode>
                <c:ptCount val="19"/>
                <c:pt idx="0">
                  <c:v>40.200000000000003</c:v>
                </c:pt>
                <c:pt idx="1">
                  <c:v>37.6</c:v>
                </c:pt>
                <c:pt idx="2">
                  <c:v>34.299999999999997</c:v>
                </c:pt>
                <c:pt idx="3">
                  <c:v>32.799999999999997</c:v>
                </c:pt>
                <c:pt idx="4">
                  <c:v>31.3</c:v>
                </c:pt>
                <c:pt idx="5">
                  <c:v>28.9</c:v>
                </c:pt>
                <c:pt idx="6">
                  <c:v>29.2</c:v>
                </c:pt>
                <c:pt idx="7">
                  <c:v>26.9</c:v>
                </c:pt>
                <c:pt idx="8">
                  <c:v>26.1</c:v>
                </c:pt>
                <c:pt idx="9">
                  <c:v>26.1</c:v>
                </c:pt>
                <c:pt idx="10">
                  <c:v>25.3</c:v>
                </c:pt>
                <c:pt idx="11">
                  <c:v>24.1</c:v>
                </c:pt>
                <c:pt idx="12">
                  <c:v>25.9</c:v>
                </c:pt>
                <c:pt idx="13">
                  <c:v>26.1</c:v>
                </c:pt>
                <c:pt idx="14">
                  <c:v>26.1</c:v>
                </c:pt>
                <c:pt idx="15">
                  <c:v>27.4</c:v>
                </c:pt>
                <c:pt idx="16">
                  <c:v>26.2</c:v>
                </c:pt>
                <c:pt idx="17">
                  <c:v>26.6</c:v>
                </c:pt>
                <c:pt idx="18">
                  <c:v>26.2</c:v>
                </c:pt>
              </c:numCache>
            </c:numRef>
          </c:val>
          <c:smooth val="0"/>
          <c:extLst>
            <c:ext xmlns:c16="http://schemas.microsoft.com/office/drawing/2014/chart" uri="{C3380CC4-5D6E-409C-BE32-E72D297353CC}">
              <c16:uniqueId val="{00000003-42E3-4C4F-8B9E-0830FEE82F35}"/>
            </c:ext>
          </c:extLst>
        </c:ser>
        <c:ser>
          <c:idx val="2"/>
          <c:order val="2"/>
          <c:tx>
            <c:strRef>
              <c:f>'Graf-1-Míry EA-věk'!$A$19</c:f>
              <c:strCache>
                <c:ptCount val="1"/>
                <c:pt idx="0">
                  <c:v>Míra EA: muži 25–39 let (v %)</c:v>
                </c:pt>
              </c:strCache>
            </c:strRef>
          </c:tx>
          <c:spPr>
            <a:ln w="15875" cap="rnd">
              <a:solidFill>
                <a:schemeClr val="accent6">
                  <a:lumMod val="75000"/>
                </a:schemeClr>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EA-věk'!$B$19:$T$19</c:f>
              <c:numCache>
                <c:formatCode>#\ ##0.0</c:formatCode>
                <c:ptCount val="19"/>
                <c:pt idx="0">
                  <c:v>96.322678301130807</c:v>
                </c:pt>
                <c:pt idx="1">
                  <c:v>96.539369046578685</c:v>
                </c:pt>
                <c:pt idx="2">
                  <c:v>96.146600445281749</c:v>
                </c:pt>
                <c:pt idx="3">
                  <c:v>96.344537815126046</c:v>
                </c:pt>
                <c:pt idx="4">
                  <c:v>95.612658018673031</c:v>
                </c:pt>
                <c:pt idx="5">
                  <c:v>95.900904571754538</c:v>
                </c:pt>
                <c:pt idx="6">
                  <c:v>95.588472065689913</c:v>
                </c:pt>
                <c:pt idx="7">
                  <c:v>95.532946506636989</c:v>
                </c:pt>
                <c:pt idx="8">
                  <c:v>95.171823977608454</c:v>
                </c:pt>
                <c:pt idx="9">
                  <c:v>95.427389705882376</c:v>
                </c:pt>
                <c:pt idx="10">
                  <c:v>96.033690658499211</c:v>
                </c:pt>
                <c:pt idx="11">
                  <c:v>95.56196864519147</c:v>
                </c:pt>
                <c:pt idx="12">
                  <c:v>95.383528303368152</c:v>
                </c:pt>
                <c:pt idx="13">
                  <c:v>95.767912648441865</c:v>
                </c:pt>
                <c:pt idx="14">
                  <c:v>95.784753363228688</c:v>
                </c:pt>
                <c:pt idx="15">
                  <c:v>95.435615525570554</c:v>
                </c:pt>
                <c:pt idx="16">
                  <c:v>95.469255663430417</c:v>
                </c:pt>
                <c:pt idx="17">
                  <c:v>95.531600452055997</c:v>
                </c:pt>
                <c:pt idx="18">
                  <c:v>95.962815405046484</c:v>
                </c:pt>
              </c:numCache>
            </c:numRef>
          </c:val>
          <c:smooth val="0"/>
          <c:extLst>
            <c:ext xmlns:c16="http://schemas.microsoft.com/office/drawing/2014/chart" uri="{C3380CC4-5D6E-409C-BE32-E72D297353CC}">
              <c16:uniqueId val="{00000004-42E3-4C4F-8B9E-0830FEE82F35}"/>
            </c:ext>
          </c:extLst>
        </c:ser>
        <c:ser>
          <c:idx val="3"/>
          <c:order val="3"/>
          <c:tx>
            <c:strRef>
              <c:f>'Graf-1-Míry EA-věk'!$A$20</c:f>
              <c:strCache>
                <c:ptCount val="1"/>
                <c:pt idx="0">
                  <c:v>Míra EA: ženy 25–39 let (v %)</c:v>
                </c:pt>
              </c:strCache>
            </c:strRef>
          </c:tx>
          <c:spPr>
            <a:ln w="15875" cap="rnd">
              <a:solidFill>
                <a:schemeClr val="accent6">
                  <a:lumMod val="75000"/>
                </a:schemeClr>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EA-věk'!$B$20:$T$20</c:f>
              <c:numCache>
                <c:formatCode>#\ ##0.0</c:formatCode>
                <c:ptCount val="19"/>
                <c:pt idx="0">
                  <c:v>75.261162984191571</c:v>
                </c:pt>
                <c:pt idx="1">
                  <c:v>74.408055883153409</c:v>
                </c:pt>
                <c:pt idx="2">
                  <c:v>74.319411190919567</c:v>
                </c:pt>
                <c:pt idx="3">
                  <c:v>74.567127816932043</c:v>
                </c:pt>
                <c:pt idx="4">
                  <c:v>73.277267656397484</c:v>
                </c:pt>
                <c:pt idx="5">
                  <c:v>74.105853368447882</c:v>
                </c:pt>
                <c:pt idx="6">
                  <c:v>72.985263157894735</c:v>
                </c:pt>
                <c:pt idx="7">
                  <c:v>71.782260753584524</c:v>
                </c:pt>
                <c:pt idx="8">
                  <c:v>70.429709966313368</c:v>
                </c:pt>
                <c:pt idx="9">
                  <c:v>70.715392772656813</c:v>
                </c:pt>
                <c:pt idx="10">
                  <c:v>70.952497351910694</c:v>
                </c:pt>
                <c:pt idx="11">
                  <c:v>72.005950905033473</c:v>
                </c:pt>
                <c:pt idx="12">
                  <c:v>71.610486891385776</c:v>
                </c:pt>
                <c:pt idx="13">
                  <c:v>73.392947528260493</c:v>
                </c:pt>
                <c:pt idx="14">
                  <c:v>72.40874655647383</c:v>
                </c:pt>
                <c:pt idx="15">
                  <c:v>72.063352397712279</c:v>
                </c:pt>
                <c:pt idx="16">
                  <c:v>72.974916838982281</c:v>
                </c:pt>
                <c:pt idx="17">
                  <c:v>72.612049963262308</c:v>
                </c:pt>
                <c:pt idx="18">
                  <c:v>72.300337457817776</c:v>
                </c:pt>
              </c:numCache>
            </c:numRef>
          </c:val>
          <c:smooth val="0"/>
          <c:extLst>
            <c:ext xmlns:c16="http://schemas.microsoft.com/office/drawing/2014/chart" uri="{C3380CC4-5D6E-409C-BE32-E72D297353CC}">
              <c16:uniqueId val="{00000005-42E3-4C4F-8B9E-0830FEE82F35}"/>
            </c:ext>
          </c:extLst>
        </c:ser>
        <c:ser>
          <c:idx val="4"/>
          <c:order val="4"/>
          <c:tx>
            <c:strRef>
              <c:f>'Graf-1-Míry EA-věk'!$A$21</c:f>
              <c:strCache>
                <c:ptCount val="1"/>
                <c:pt idx="0">
                  <c:v>Míra EA: muži 40–54 let (v %)</c:v>
                </c:pt>
              </c:strCache>
            </c:strRef>
          </c:tx>
          <c:spPr>
            <a:ln w="15875" cap="rnd">
              <a:solidFill>
                <a:srgbClr val="00B050"/>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EA-věk'!$B$21:$T$21</c:f>
              <c:numCache>
                <c:formatCode>#\ ##0.0</c:formatCode>
                <c:ptCount val="19"/>
                <c:pt idx="0">
                  <c:v>93.621668851026655</c:v>
                </c:pt>
                <c:pt idx="1">
                  <c:v>93.260811886442042</c:v>
                </c:pt>
                <c:pt idx="2">
                  <c:v>93.474331164135933</c:v>
                </c:pt>
                <c:pt idx="3">
                  <c:v>92.461849604706742</c:v>
                </c:pt>
                <c:pt idx="4">
                  <c:v>93.437008238452293</c:v>
                </c:pt>
                <c:pt idx="5">
                  <c:v>93.638392857142875</c:v>
                </c:pt>
                <c:pt idx="6">
                  <c:v>93.997194950911634</c:v>
                </c:pt>
                <c:pt idx="7">
                  <c:v>94.464840440553516</c:v>
                </c:pt>
                <c:pt idx="8">
                  <c:v>94.261213720316633</c:v>
                </c:pt>
                <c:pt idx="9">
                  <c:v>94.628021148036282</c:v>
                </c:pt>
                <c:pt idx="10">
                  <c:v>94.831183611532623</c:v>
                </c:pt>
                <c:pt idx="11">
                  <c:v>94.992887624466562</c:v>
                </c:pt>
                <c:pt idx="12">
                  <c:v>95.551785882574691</c:v>
                </c:pt>
                <c:pt idx="13">
                  <c:v>95.919124466703764</c:v>
                </c:pt>
                <c:pt idx="14">
                  <c:v>95.442625915543886</c:v>
                </c:pt>
                <c:pt idx="15">
                  <c:v>95.430626205928775</c:v>
                </c:pt>
                <c:pt idx="16">
                  <c:v>95.288896475206968</c:v>
                </c:pt>
                <c:pt idx="17">
                  <c:v>95.770543668304072</c:v>
                </c:pt>
                <c:pt idx="18">
                  <c:v>95.807162084998765</c:v>
                </c:pt>
              </c:numCache>
            </c:numRef>
          </c:val>
          <c:smooth val="0"/>
          <c:extLst>
            <c:ext xmlns:c16="http://schemas.microsoft.com/office/drawing/2014/chart" uri="{C3380CC4-5D6E-409C-BE32-E72D297353CC}">
              <c16:uniqueId val="{00000006-42E3-4C4F-8B9E-0830FEE82F35}"/>
            </c:ext>
          </c:extLst>
        </c:ser>
        <c:ser>
          <c:idx val="5"/>
          <c:order val="5"/>
          <c:tx>
            <c:strRef>
              <c:f>'Graf-1-Míry EA-věk'!$A$22</c:f>
              <c:strCache>
                <c:ptCount val="1"/>
                <c:pt idx="0">
                  <c:v>Míra EA: ženy 40–54 let (v %)</c:v>
                </c:pt>
              </c:strCache>
            </c:strRef>
          </c:tx>
          <c:spPr>
            <a:ln w="15875" cap="rnd">
              <a:solidFill>
                <a:srgbClr val="00B050"/>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EA-věk'!$B$22:$T$22</c:f>
              <c:numCache>
                <c:formatCode>#\ ##0.0</c:formatCode>
                <c:ptCount val="19"/>
                <c:pt idx="0">
                  <c:v>88.046773495019494</c:v>
                </c:pt>
                <c:pt idx="1">
                  <c:v>88.825340959084912</c:v>
                </c:pt>
                <c:pt idx="2">
                  <c:v>88.689084696996943</c:v>
                </c:pt>
                <c:pt idx="3">
                  <c:v>88.497115120432284</c:v>
                </c:pt>
                <c:pt idx="4">
                  <c:v>88.935108153078204</c:v>
                </c:pt>
                <c:pt idx="5">
                  <c:v>89.790405216581263</c:v>
                </c:pt>
                <c:pt idx="6">
                  <c:v>90.556603773584897</c:v>
                </c:pt>
                <c:pt idx="7">
                  <c:v>90.037217291726307</c:v>
                </c:pt>
                <c:pt idx="8">
                  <c:v>90.264550264550266</c:v>
                </c:pt>
                <c:pt idx="9">
                  <c:v>90.820881040170789</c:v>
                </c:pt>
                <c:pt idx="10">
                  <c:v>90.353446592462433</c:v>
                </c:pt>
                <c:pt idx="11">
                  <c:v>90.419161676646709</c:v>
                </c:pt>
                <c:pt idx="12">
                  <c:v>91.804562812102233</c:v>
                </c:pt>
                <c:pt idx="13">
                  <c:v>91.745602165087931</c:v>
                </c:pt>
                <c:pt idx="14">
                  <c:v>91.607665439441149</c:v>
                </c:pt>
                <c:pt idx="15">
                  <c:v>91.226622662266237</c:v>
                </c:pt>
                <c:pt idx="16">
                  <c:v>91.059159453912741</c:v>
                </c:pt>
                <c:pt idx="17">
                  <c:v>91.151599686165113</c:v>
                </c:pt>
                <c:pt idx="18">
                  <c:v>91.469153760588682</c:v>
                </c:pt>
              </c:numCache>
            </c:numRef>
          </c:val>
          <c:smooth val="0"/>
          <c:extLst>
            <c:ext xmlns:c16="http://schemas.microsoft.com/office/drawing/2014/chart" uri="{C3380CC4-5D6E-409C-BE32-E72D297353CC}">
              <c16:uniqueId val="{00000007-42E3-4C4F-8B9E-0830FEE82F35}"/>
            </c:ext>
          </c:extLst>
        </c:ser>
        <c:ser>
          <c:idx val="6"/>
          <c:order val="6"/>
          <c:tx>
            <c:strRef>
              <c:f>'Graf-1-Míry EA-věk'!$A$23</c:f>
              <c:strCache>
                <c:ptCount val="1"/>
                <c:pt idx="0">
                  <c:v>Míra EA: muži 55–64 let (v %)</c:v>
                </c:pt>
              </c:strCache>
            </c:strRef>
          </c:tx>
          <c:spPr>
            <a:ln w="15875" cap="rnd">
              <a:solidFill>
                <a:srgbClr val="00B0F0"/>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EA-věk'!$B$23:$T$23</c:f>
              <c:numCache>
                <c:formatCode>#\ ##0.0</c:formatCode>
                <c:ptCount val="19"/>
                <c:pt idx="0">
                  <c:v>54.5</c:v>
                </c:pt>
                <c:pt idx="1">
                  <c:v>54.7</c:v>
                </c:pt>
                <c:pt idx="2">
                  <c:v>58.3</c:v>
                </c:pt>
                <c:pt idx="3">
                  <c:v>59.5</c:v>
                </c:pt>
                <c:pt idx="4">
                  <c:v>59.7</c:v>
                </c:pt>
                <c:pt idx="5">
                  <c:v>62.1</c:v>
                </c:pt>
                <c:pt idx="6">
                  <c:v>62.7</c:v>
                </c:pt>
                <c:pt idx="7">
                  <c:v>62.5</c:v>
                </c:pt>
                <c:pt idx="8">
                  <c:v>64.2</c:v>
                </c:pt>
                <c:pt idx="9">
                  <c:v>63.2</c:v>
                </c:pt>
                <c:pt idx="10">
                  <c:v>62.5</c:v>
                </c:pt>
                <c:pt idx="11">
                  <c:v>62.6</c:v>
                </c:pt>
                <c:pt idx="12">
                  <c:v>64</c:v>
                </c:pt>
                <c:pt idx="13">
                  <c:v>66.099999999999994</c:v>
                </c:pt>
                <c:pt idx="14">
                  <c:v>67.900000000000006</c:v>
                </c:pt>
                <c:pt idx="15">
                  <c:v>68.3</c:v>
                </c:pt>
                <c:pt idx="16">
                  <c:v>70.900000000000006</c:v>
                </c:pt>
                <c:pt idx="17">
                  <c:v>73.2</c:v>
                </c:pt>
                <c:pt idx="18">
                  <c:v>75.3</c:v>
                </c:pt>
              </c:numCache>
            </c:numRef>
          </c:val>
          <c:smooth val="0"/>
          <c:extLst>
            <c:ext xmlns:c16="http://schemas.microsoft.com/office/drawing/2014/chart" uri="{C3380CC4-5D6E-409C-BE32-E72D297353CC}">
              <c16:uniqueId val="{00000008-42E3-4C4F-8B9E-0830FEE82F35}"/>
            </c:ext>
          </c:extLst>
        </c:ser>
        <c:ser>
          <c:idx val="7"/>
          <c:order val="7"/>
          <c:tx>
            <c:strRef>
              <c:f>'Graf-1-Míry EA-věk'!$A$24</c:f>
              <c:strCache>
                <c:ptCount val="1"/>
                <c:pt idx="0">
                  <c:v>Míra EA: ženy 55–64 let (v %)</c:v>
                </c:pt>
              </c:strCache>
            </c:strRef>
          </c:tx>
          <c:spPr>
            <a:ln w="15875" cap="rnd">
              <a:solidFill>
                <a:srgbClr val="00B0F0"/>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EA-věk'!$B$24:$T$24</c:f>
              <c:numCache>
                <c:formatCode>#\ ##0.0</c:formatCode>
                <c:ptCount val="19"/>
                <c:pt idx="0">
                  <c:v>23.3</c:v>
                </c:pt>
                <c:pt idx="1">
                  <c:v>24.2</c:v>
                </c:pt>
                <c:pt idx="2">
                  <c:v>27.1</c:v>
                </c:pt>
                <c:pt idx="3">
                  <c:v>30.4</c:v>
                </c:pt>
                <c:pt idx="4">
                  <c:v>31.5</c:v>
                </c:pt>
                <c:pt idx="5">
                  <c:v>32.9</c:v>
                </c:pt>
                <c:pt idx="6">
                  <c:v>34</c:v>
                </c:pt>
                <c:pt idx="7">
                  <c:v>35.200000000000003</c:v>
                </c:pt>
                <c:pt idx="8">
                  <c:v>36.1</c:v>
                </c:pt>
                <c:pt idx="9">
                  <c:v>37.200000000000003</c:v>
                </c:pt>
                <c:pt idx="10">
                  <c:v>38</c:v>
                </c:pt>
                <c:pt idx="11">
                  <c:v>39.4</c:v>
                </c:pt>
                <c:pt idx="12">
                  <c:v>41.5</c:v>
                </c:pt>
                <c:pt idx="13">
                  <c:v>44.2</c:v>
                </c:pt>
                <c:pt idx="14">
                  <c:v>46.3</c:v>
                </c:pt>
                <c:pt idx="15">
                  <c:v>48.3</c:v>
                </c:pt>
                <c:pt idx="16">
                  <c:v>51.2</c:v>
                </c:pt>
                <c:pt idx="17">
                  <c:v>54.5</c:v>
                </c:pt>
                <c:pt idx="18">
                  <c:v>58</c:v>
                </c:pt>
              </c:numCache>
            </c:numRef>
          </c:val>
          <c:smooth val="0"/>
          <c:extLst>
            <c:ext xmlns:c16="http://schemas.microsoft.com/office/drawing/2014/chart" uri="{C3380CC4-5D6E-409C-BE32-E72D297353CC}">
              <c16:uniqueId val="{00000009-42E3-4C4F-8B9E-0830FEE82F35}"/>
            </c:ext>
          </c:extLst>
        </c:ser>
        <c:ser>
          <c:idx val="10"/>
          <c:order val="10"/>
          <c:tx>
            <c:strRef>
              <c:f>'Graf-1-Míry EA-věk'!$A$27</c:f>
              <c:strCache>
                <c:ptCount val="1"/>
                <c:pt idx="0">
                  <c:v>Míra EA: muži 65–74 let (v %)</c:v>
                </c:pt>
              </c:strCache>
            </c:strRef>
          </c:tx>
          <c:spPr>
            <a:ln w="15875" cap="rnd">
              <a:solidFill>
                <a:srgbClr val="0070C0"/>
              </a:solidFill>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EA-věk'!$B$27:$T$27</c:f>
              <c:numCache>
                <c:formatCode>#\ ##0.0</c:formatCode>
                <c:ptCount val="19"/>
                <c:pt idx="0">
                  <c:v>9.5539647577092524</c:v>
                </c:pt>
                <c:pt idx="1">
                  <c:v>9.1109884041965774</c:v>
                </c:pt>
                <c:pt idx="2">
                  <c:v>9.1013494114269307</c:v>
                </c:pt>
                <c:pt idx="3">
                  <c:v>9.2857142857142865</c:v>
                </c:pt>
                <c:pt idx="4">
                  <c:v>8.6532951289398277</c:v>
                </c:pt>
                <c:pt idx="5">
                  <c:v>8.6521987435751004</c:v>
                </c:pt>
                <c:pt idx="6">
                  <c:v>9.3082114735658017</c:v>
                </c:pt>
                <c:pt idx="7">
                  <c:v>10.428931875525652</c:v>
                </c:pt>
                <c:pt idx="8">
                  <c:v>10.219368646334939</c:v>
                </c:pt>
                <c:pt idx="9">
                  <c:v>10.550814584949574</c:v>
                </c:pt>
                <c:pt idx="10">
                  <c:v>9.6225943514121468</c:v>
                </c:pt>
                <c:pt idx="11">
                  <c:v>9.6140184702817901</c:v>
                </c:pt>
                <c:pt idx="12">
                  <c:v>9.8357015985790408</c:v>
                </c:pt>
                <c:pt idx="13">
                  <c:v>10.121199234531149</c:v>
                </c:pt>
                <c:pt idx="14">
                  <c:v>9.550789154188589</c:v>
                </c:pt>
                <c:pt idx="15">
                  <c:v>10.843840931134821</c:v>
                </c:pt>
                <c:pt idx="16">
                  <c:v>12.22707423580786</c:v>
                </c:pt>
                <c:pt idx="17">
                  <c:v>12.174072713918472</c:v>
                </c:pt>
                <c:pt idx="18">
                  <c:v>13.861031518624644</c:v>
                </c:pt>
              </c:numCache>
            </c:numRef>
          </c:val>
          <c:smooth val="0"/>
          <c:extLst>
            <c:ext xmlns:c16="http://schemas.microsoft.com/office/drawing/2014/chart" uri="{C3380CC4-5D6E-409C-BE32-E72D297353CC}">
              <c16:uniqueId val="{0000000A-42E3-4C4F-8B9E-0830FEE82F35}"/>
            </c:ext>
          </c:extLst>
        </c:ser>
        <c:ser>
          <c:idx val="11"/>
          <c:order val="11"/>
          <c:tx>
            <c:strRef>
              <c:f>'Graf-1-Míry EA-věk'!$A$28</c:f>
              <c:strCache>
                <c:ptCount val="1"/>
                <c:pt idx="0">
                  <c:v>Míra EA: ženy 65–74 let (v %)</c:v>
                </c:pt>
              </c:strCache>
            </c:strRef>
          </c:tx>
          <c:spPr>
            <a:ln w="15875" cap="rnd">
              <a:solidFill>
                <a:srgbClr val="0070C0"/>
              </a:solidFill>
              <a:prstDash val="sysDot"/>
              <a:round/>
            </a:ln>
            <a:effectLst/>
          </c:spPr>
          <c:marker>
            <c:symbol val="none"/>
          </c:marker>
          <c:cat>
            <c:strRef>
              <c:f>'Graf-1-Míry EA-věk'!$B$16:$T$16</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'Graf-1-Míry EA-věk'!$B$28:$T$28</c:f>
              <c:numCache>
                <c:formatCode>#\ ##0.0</c:formatCode>
                <c:ptCount val="19"/>
                <c:pt idx="0">
                  <c:v>3.8006111535523295</c:v>
                </c:pt>
                <c:pt idx="1">
                  <c:v>3.5999221638451062</c:v>
                </c:pt>
                <c:pt idx="2">
                  <c:v>3.9601990049751241</c:v>
                </c:pt>
                <c:pt idx="3">
                  <c:v>3.758937691521961</c:v>
                </c:pt>
                <c:pt idx="4">
                  <c:v>3.5692679975801576</c:v>
                </c:pt>
                <c:pt idx="5">
                  <c:v>3.9015230544544122</c:v>
                </c:pt>
                <c:pt idx="6">
                  <c:v>4.0791100123609398</c:v>
                </c:pt>
                <c:pt idx="7">
                  <c:v>4.6045839355771214</c:v>
                </c:pt>
                <c:pt idx="8">
                  <c:v>4.7812817904374372</c:v>
                </c:pt>
                <c:pt idx="9">
                  <c:v>5.4651162790697674</c:v>
                </c:pt>
                <c:pt idx="10">
                  <c:v>5.2149532710280377</c:v>
                </c:pt>
                <c:pt idx="11">
                  <c:v>5.4190751445086702</c:v>
                </c:pt>
                <c:pt idx="12">
                  <c:v>5.3471397046341886</c:v>
                </c:pt>
                <c:pt idx="13">
                  <c:v>6.1613691931540338</c:v>
                </c:pt>
                <c:pt idx="14">
                  <c:v>5.4320601127113344</c:v>
                </c:pt>
                <c:pt idx="15">
                  <c:v>6.2793872288791146</c:v>
                </c:pt>
                <c:pt idx="16">
                  <c:v>7.0503385340005886</c:v>
                </c:pt>
                <c:pt idx="17">
                  <c:v>7.2968727688133654</c:v>
                </c:pt>
                <c:pt idx="18">
                  <c:v>8.2808924485125868</c:v>
                </c:pt>
              </c:numCache>
            </c:numRef>
          </c:val>
          <c:smooth val="0"/>
          <c:extLst>
            <c:ext xmlns:c16="http://schemas.microsoft.com/office/drawing/2014/chart" uri="{C3380CC4-5D6E-409C-BE32-E72D297353CC}">
              <c16:uniqueId val="{0000000B-42E3-4C4F-8B9E-0830FEE82F35}"/>
            </c:ext>
          </c:extLst>
        </c:ser>
        <c:dLbls>
          <c:showLegendKey val="0"/>
          <c:showVal val="0"/>
          <c:showCatName val="0"/>
          <c:showSerName val="0"/>
          <c:showPercent val="0"/>
          <c:showBubbleSize val="0"/>
        </c:dLbls>
        <c:marker val="1"/>
        <c:smooth val="0"/>
        <c:axId val="354467840"/>
        <c:axId val="354469376"/>
      </c:lineChart>
      <c:catAx>
        <c:axId val="354467840"/>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18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4469376"/>
        <c:crosses val="autoZero"/>
        <c:auto val="1"/>
        <c:lblAlgn val="ctr"/>
        <c:lblOffset val="0"/>
        <c:noMultiLvlLbl val="0"/>
      </c:catAx>
      <c:valAx>
        <c:axId val="3544693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4467840"/>
        <c:crosses val="autoZero"/>
        <c:crossBetween val="between"/>
        <c:majorUnit val="10"/>
      </c:valAx>
      <c:valAx>
        <c:axId val="354470912"/>
        <c:scaling>
          <c:orientation val="minMax"/>
          <c:max val="110"/>
          <c:min val="9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5205888"/>
        <c:crosses val="max"/>
        <c:crossBetween val="between"/>
        <c:majorUnit val="2"/>
      </c:valAx>
      <c:catAx>
        <c:axId val="355205888"/>
        <c:scaling>
          <c:orientation val="minMax"/>
        </c:scaling>
        <c:delete val="1"/>
        <c:axPos val="b"/>
        <c:numFmt formatCode="General" sourceLinked="1"/>
        <c:majorTickMark val="out"/>
        <c:minorTickMark val="none"/>
        <c:tickLblPos val="none"/>
        <c:crossAx val="354470912"/>
        <c:crossesAt val="100"/>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3.4199947974760246E-2"/>
          <c:y val="0.79966978195167837"/>
          <c:w val="0.9097255735073656"/>
          <c:h val="0.18801192866983421"/>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88007141858745563"/>
          <c:h val="0.72895456669361258"/>
        </c:manualLayout>
      </c:layout>
      <c:barChart>
        <c:barDir val="col"/>
        <c:grouping val="stacked"/>
        <c:varyColors val="0"/>
        <c:ser>
          <c:idx val="0"/>
          <c:order val="0"/>
          <c:tx>
            <c:strRef>
              <c:f>'GRAF-1-vývoj ciz-MPO+MPSV'!$I$1</c:f>
              <c:strCache>
                <c:ptCount val="1"/>
                <c:pt idx="0">
                  <c:v>Živnostenská oprávnění (občané EU15)</c:v>
                </c:pt>
              </c:strCache>
            </c:strRef>
          </c:tx>
          <c:spPr>
            <a:solidFill>
              <a:schemeClr val="tx1">
                <a:lumMod val="95000"/>
                <a:lumOff val="5000"/>
              </a:schemeClr>
            </a:solidFill>
            <a:ln w="6350">
              <a:noFill/>
            </a:ln>
            <a:effectLst/>
          </c:spPr>
          <c:invertIfNegative val="0"/>
          <c:dPt>
            <c:idx val="10"/>
            <c:invertIfNegative val="0"/>
            <c:bubble3D val="0"/>
            <c:spPr>
              <a:solidFill>
                <a:schemeClr val="tx1">
                  <a:lumMod val="95000"/>
                  <a:lumOff val="5000"/>
                </a:schemeClr>
              </a:solidFill>
              <a:ln w="3175">
                <a:solidFill>
                  <a:schemeClr val="tx1">
                    <a:lumMod val="95000"/>
                    <a:lumOff val="5000"/>
                  </a:schemeClr>
                </a:solidFill>
              </a:ln>
              <a:effectLst/>
            </c:spPr>
            <c:extLst>
              <c:ext xmlns:c16="http://schemas.microsoft.com/office/drawing/2014/chart" uri="{C3380CC4-5D6E-409C-BE32-E72D297353CC}">
                <c16:uniqueId val="{00000001-7C58-4A60-88F5-F780791D9670}"/>
              </c:ext>
            </c:extLst>
          </c:dPt>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ciz-MPO+MPSV'!$I$2:$I$16</c:f>
              <c:numCache>
                <c:formatCode>#,##0_ ;[Red]\-#,##0\ </c:formatCode>
                <c:ptCount val="15"/>
                <c:pt idx="0">
                  <c:v>2872</c:v>
                </c:pt>
                <c:pt idx="1">
                  <c:v>3111</c:v>
                </c:pt>
                <c:pt idx="2">
                  <c:v>3111</c:v>
                </c:pt>
                <c:pt idx="3">
                  <c:v>3352</c:v>
                </c:pt>
                <c:pt idx="4">
                  <c:v>3712</c:v>
                </c:pt>
                <c:pt idx="5">
                  <c:v>4044</c:v>
                </c:pt>
                <c:pt idx="6">
                  <c:v>4441</c:v>
                </c:pt>
                <c:pt idx="7">
                  <c:v>4822</c:v>
                </c:pt>
                <c:pt idx="8">
                  <c:v>5228</c:v>
                </c:pt>
                <c:pt idx="9">
                  <c:v>6373</c:v>
                </c:pt>
                <c:pt idx="10">
                  <c:v>7123</c:v>
                </c:pt>
                <c:pt idx="11">
                  <c:v>7407</c:v>
                </c:pt>
                <c:pt idx="12">
                  <c:v>7936</c:v>
                </c:pt>
                <c:pt idx="13">
                  <c:v>8357</c:v>
                </c:pt>
                <c:pt idx="14">
                  <c:v>8775</c:v>
                </c:pt>
              </c:numCache>
            </c:numRef>
          </c:val>
          <c:extLst>
            <c:ext xmlns:c16="http://schemas.microsoft.com/office/drawing/2014/chart" uri="{C3380CC4-5D6E-409C-BE32-E72D297353CC}">
              <c16:uniqueId val="{00000002-7C58-4A60-88F5-F780791D9670}"/>
            </c:ext>
          </c:extLst>
        </c:ser>
        <c:ser>
          <c:idx val="1"/>
          <c:order val="1"/>
          <c:tx>
            <c:strRef>
              <c:f>'GRAF-1-vývoj ciz-MPO+MPSV'!$J$1</c:f>
              <c:strCache>
                <c:ptCount val="1"/>
                <c:pt idx="0">
                  <c:v>Živnostenská opráv. (ost. občané EU)</c:v>
                </c:pt>
              </c:strCache>
            </c:strRef>
          </c:tx>
          <c:spPr>
            <a:solidFill>
              <a:schemeClr val="bg1">
                <a:lumMod val="50000"/>
              </a:schemeClr>
            </a:solidFill>
            <a:ln w="6350">
              <a:noFill/>
              <a:prstDash val="solid"/>
            </a:ln>
            <a:effectLst/>
          </c:spPr>
          <c:invertIfNegative val="0"/>
          <c:dPt>
            <c:idx val="10"/>
            <c:invertIfNegative val="0"/>
            <c:bubble3D val="0"/>
            <c:spPr>
              <a:solidFill>
                <a:schemeClr val="bg1">
                  <a:lumMod val="50000"/>
                </a:schemeClr>
              </a:solidFill>
              <a:ln w="3175">
                <a:solidFill>
                  <a:srgbClr val="7F7F7F"/>
                </a:solidFill>
                <a:prstDash val="solid"/>
              </a:ln>
              <a:effectLst/>
            </c:spPr>
            <c:extLst>
              <c:ext xmlns:c16="http://schemas.microsoft.com/office/drawing/2014/chart" uri="{C3380CC4-5D6E-409C-BE32-E72D297353CC}">
                <c16:uniqueId val="{00000004-7C58-4A60-88F5-F780791D9670}"/>
              </c:ext>
            </c:extLst>
          </c:dPt>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ciz-MPO+MPSV'!$J$2:$J$16</c:f>
              <c:numCache>
                <c:formatCode>#,##0_ ;[Red]\-#,##0\ </c:formatCode>
                <c:ptCount val="15"/>
                <c:pt idx="0">
                  <c:v>11975</c:v>
                </c:pt>
                <c:pt idx="1">
                  <c:v>11967</c:v>
                </c:pt>
                <c:pt idx="2">
                  <c:v>11228</c:v>
                </c:pt>
                <c:pt idx="3">
                  <c:v>11752</c:v>
                </c:pt>
                <c:pt idx="4">
                  <c:v>12491</c:v>
                </c:pt>
                <c:pt idx="5">
                  <c:v>13286</c:v>
                </c:pt>
                <c:pt idx="6">
                  <c:v>14357</c:v>
                </c:pt>
                <c:pt idx="7">
                  <c:v>15419</c:v>
                </c:pt>
                <c:pt idx="8">
                  <c:v>16510</c:v>
                </c:pt>
                <c:pt idx="9">
                  <c:v>17658</c:v>
                </c:pt>
                <c:pt idx="10">
                  <c:v>18725</c:v>
                </c:pt>
                <c:pt idx="11">
                  <c:v>20120</c:v>
                </c:pt>
                <c:pt idx="12">
                  <c:v>21760</c:v>
                </c:pt>
                <c:pt idx="13">
                  <c:v>23432</c:v>
                </c:pt>
                <c:pt idx="14">
                  <c:v>25339</c:v>
                </c:pt>
              </c:numCache>
            </c:numRef>
          </c:val>
          <c:extLst>
            <c:ext xmlns:c16="http://schemas.microsoft.com/office/drawing/2014/chart" uri="{C3380CC4-5D6E-409C-BE32-E72D297353CC}">
              <c16:uniqueId val="{00000005-7C58-4A60-88F5-F780791D9670}"/>
            </c:ext>
          </c:extLst>
        </c:ser>
        <c:ser>
          <c:idx val="2"/>
          <c:order val="2"/>
          <c:tx>
            <c:strRef>
              <c:f>'GRAF-1-vývoj ciz-MPO+MPSV'!$K$1</c:f>
              <c:strCache>
                <c:ptCount val="1"/>
                <c:pt idx="0">
                  <c:v>Živnostenská opráv. (ostatní mimo EU)</c:v>
                </c:pt>
              </c:strCache>
            </c:strRef>
          </c:tx>
          <c:spPr>
            <a:solidFill>
              <a:schemeClr val="bg1">
                <a:lumMod val="85000"/>
              </a:schemeClr>
            </a:solidFill>
            <a:ln w="6350" cap="rnd">
              <a:noFill/>
              <a:round/>
            </a:ln>
            <a:effectLst/>
          </c:spPr>
          <c:invertIfNegative val="0"/>
          <c:dPt>
            <c:idx val="10"/>
            <c:invertIfNegative val="0"/>
            <c:bubble3D val="0"/>
            <c:spPr>
              <a:solidFill>
                <a:schemeClr val="bg1">
                  <a:lumMod val="85000"/>
                </a:schemeClr>
              </a:solidFill>
              <a:ln w="3175" cap="rnd">
                <a:solidFill>
                  <a:prstClr val="white">
                    <a:lumMod val="75000"/>
                  </a:prstClr>
                </a:solidFill>
                <a:round/>
              </a:ln>
              <a:effectLst/>
            </c:spPr>
            <c:extLst>
              <c:ext xmlns:c16="http://schemas.microsoft.com/office/drawing/2014/chart" uri="{C3380CC4-5D6E-409C-BE32-E72D297353CC}">
                <c16:uniqueId val="{00000007-7C58-4A60-88F5-F780791D9670}"/>
              </c:ext>
            </c:extLst>
          </c:dPt>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ciz-MPO+MPSV'!$K$2:$K$16</c:f>
              <c:numCache>
                <c:formatCode>#,##0_ ;[Red]\-#,##0\ </c:formatCode>
                <c:ptCount val="15"/>
                <c:pt idx="0">
                  <c:v>50372</c:v>
                </c:pt>
                <c:pt idx="1">
                  <c:v>52168</c:v>
                </c:pt>
                <c:pt idx="2">
                  <c:v>51383</c:v>
                </c:pt>
                <c:pt idx="3">
                  <c:v>53681</c:v>
                </c:pt>
                <c:pt idx="4">
                  <c:v>60955</c:v>
                </c:pt>
                <c:pt idx="5">
                  <c:v>70423</c:v>
                </c:pt>
                <c:pt idx="6">
                  <c:v>72185</c:v>
                </c:pt>
                <c:pt idx="7">
                  <c:v>72818</c:v>
                </c:pt>
                <c:pt idx="8">
                  <c:v>69302</c:v>
                </c:pt>
                <c:pt idx="9">
                  <c:v>61856</c:v>
                </c:pt>
                <c:pt idx="10">
                  <c:v>57721</c:v>
                </c:pt>
                <c:pt idx="11">
                  <c:v>56335</c:v>
                </c:pt>
                <c:pt idx="12">
                  <c:v>55932</c:v>
                </c:pt>
                <c:pt idx="13">
                  <c:v>55439</c:v>
                </c:pt>
                <c:pt idx="14">
                  <c:v>55729</c:v>
                </c:pt>
              </c:numCache>
            </c:numRef>
          </c:val>
          <c:extLst>
            <c:ext xmlns:c16="http://schemas.microsoft.com/office/drawing/2014/chart" uri="{C3380CC4-5D6E-409C-BE32-E72D297353CC}">
              <c16:uniqueId val="{00000008-7C58-4A60-88F5-F780791D9670}"/>
            </c:ext>
          </c:extLst>
        </c:ser>
        <c:ser>
          <c:idx val="3"/>
          <c:order val="3"/>
          <c:tx>
            <c:strRef>
              <c:f>'GRAF-1-vývoj ciz-MPO+MPSV'!$L$1</c:f>
              <c:strCache>
                <c:ptCount val="1"/>
                <c:pt idx="0">
                  <c:v>Evidence na ÚP (občané EU15)</c:v>
                </c:pt>
              </c:strCache>
            </c:strRef>
          </c:tx>
          <c:spPr>
            <a:solidFill>
              <a:srgbClr val="00DA63"/>
            </a:solidFill>
            <a:ln w="6350" cap="rnd">
              <a:noFill/>
              <a:prstDash val="solid"/>
              <a:round/>
            </a:ln>
            <a:effectLst/>
          </c:spPr>
          <c:invertIfNegative val="0"/>
          <c:dPt>
            <c:idx val="10"/>
            <c:invertIfNegative val="0"/>
            <c:bubble3D val="0"/>
            <c:spPr>
              <a:noFill/>
              <a:ln w="3175" cap="rnd">
                <a:solidFill>
                  <a:schemeClr val="bg1">
                    <a:lumMod val="75000"/>
                  </a:schemeClr>
                </a:solidFill>
                <a:prstDash val="solid"/>
                <a:round/>
              </a:ln>
              <a:effectLst/>
            </c:spPr>
            <c:extLst>
              <c:ext xmlns:c16="http://schemas.microsoft.com/office/drawing/2014/chart" uri="{C3380CC4-5D6E-409C-BE32-E72D297353CC}">
                <c16:uniqueId val="{0000000A-7C58-4A60-88F5-F780791D9670}"/>
              </c:ext>
            </c:extLst>
          </c:dPt>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ciz-MPO+MPSV'!$L$2:$L$16</c:f>
              <c:numCache>
                <c:formatCode>#,##0_ ;[Red]\-#,##0\ </c:formatCode>
                <c:ptCount val="15"/>
                <c:pt idx="0">
                  <c:v>3751</c:v>
                </c:pt>
                <c:pt idx="1">
                  <c:v>5231</c:v>
                </c:pt>
                <c:pt idx="2">
                  <c:v>7455</c:v>
                </c:pt>
                <c:pt idx="3">
                  <c:v>8991</c:v>
                </c:pt>
                <c:pt idx="4">
                  <c:v>10136</c:v>
                </c:pt>
                <c:pt idx="5">
                  <c:v>10973</c:v>
                </c:pt>
                <c:pt idx="6">
                  <c:v>11916</c:v>
                </c:pt>
                <c:pt idx="7">
                  <c:v>12889</c:v>
                </c:pt>
                <c:pt idx="8">
                  <c:v>0</c:v>
                </c:pt>
                <c:pt idx="9">
                  <c:v>0</c:v>
                </c:pt>
                <c:pt idx="10" formatCode="###,###,##0">
                  <c:v>260999</c:v>
                </c:pt>
                <c:pt idx="11">
                  <c:v>18200</c:v>
                </c:pt>
                <c:pt idx="12">
                  <c:v>19613</c:v>
                </c:pt>
                <c:pt idx="13">
                  <c:v>23500</c:v>
                </c:pt>
                <c:pt idx="14">
                  <c:v>27736</c:v>
                </c:pt>
              </c:numCache>
            </c:numRef>
          </c:val>
          <c:extLst>
            <c:ext xmlns:c16="http://schemas.microsoft.com/office/drawing/2014/chart" uri="{C3380CC4-5D6E-409C-BE32-E72D297353CC}">
              <c16:uniqueId val="{0000000B-7C58-4A60-88F5-F780791D9670}"/>
            </c:ext>
          </c:extLst>
        </c:ser>
        <c:ser>
          <c:idx val="4"/>
          <c:order val="4"/>
          <c:tx>
            <c:strRef>
              <c:f>'GRAF-1-vývoj ciz-MPO+MPSV'!$M$1</c:f>
              <c:strCache>
                <c:ptCount val="1"/>
                <c:pt idx="0">
                  <c:v>Evidence na ÚP (občané Slovenska)</c:v>
                </c:pt>
              </c:strCache>
            </c:strRef>
          </c:tx>
          <c:spPr>
            <a:solidFill>
              <a:srgbClr val="A9DA74"/>
            </a:solidFill>
            <a:ln w="6350" cap="rnd">
              <a:noFill/>
              <a:round/>
            </a:ln>
            <a:effectLst/>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ciz-MPO+MPSV'!$M$2:$M$16</c:f>
              <c:numCache>
                <c:formatCode>#,##0_ ;[Red]\-#,##0\ </c:formatCode>
                <c:ptCount val="15"/>
                <c:pt idx="0">
                  <c:v>59818</c:v>
                </c:pt>
                <c:pt idx="1">
                  <c:v>75297</c:v>
                </c:pt>
                <c:pt idx="2">
                  <c:v>91355</c:v>
                </c:pt>
                <c:pt idx="3">
                  <c:v>101233</c:v>
                </c:pt>
                <c:pt idx="4">
                  <c:v>100223</c:v>
                </c:pt>
                <c:pt idx="5">
                  <c:v>98192</c:v>
                </c:pt>
                <c:pt idx="6">
                  <c:v>100727</c:v>
                </c:pt>
                <c:pt idx="7">
                  <c:v>106425</c:v>
                </c:pt>
                <c:pt idx="8">
                  <c:v>0</c:v>
                </c:pt>
                <c:pt idx="9">
                  <c:v>0</c:v>
                </c:pt>
                <c:pt idx="10" formatCode="###,###,##0">
                  <c:v>0</c:v>
                </c:pt>
                <c:pt idx="11">
                  <c:v>150317</c:v>
                </c:pt>
                <c:pt idx="12">
                  <c:v>161559</c:v>
                </c:pt>
                <c:pt idx="13">
                  <c:v>177059</c:v>
                </c:pt>
                <c:pt idx="14">
                  <c:v>191818</c:v>
                </c:pt>
              </c:numCache>
            </c:numRef>
          </c:val>
          <c:extLst>
            <c:ext xmlns:c16="http://schemas.microsoft.com/office/drawing/2014/chart" uri="{C3380CC4-5D6E-409C-BE32-E72D297353CC}">
              <c16:uniqueId val="{0000000C-7C58-4A60-88F5-F780791D9670}"/>
            </c:ext>
          </c:extLst>
        </c:ser>
        <c:ser>
          <c:idx val="5"/>
          <c:order val="5"/>
          <c:tx>
            <c:strRef>
              <c:f>'GRAF-1-vývoj ciz-MPO+MPSV'!$N$1</c:f>
              <c:strCache>
                <c:ptCount val="1"/>
                <c:pt idx="0">
                  <c:v>Evidence na ÚP (Polsko, Maďarsko)</c:v>
                </c:pt>
              </c:strCache>
            </c:strRef>
          </c:tx>
          <c:spPr>
            <a:solidFill>
              <a:srgbClr val="99FFCC"/>
            </a:solidFill>
            <a:ln w="6350" cap="rnd">
              <a:noFill/>
              <a:prstDash val="solid"/>
              <a:round/>
            </a:ln>
            <a:effectLst/>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ciz-MPO+MPSV'!$N$2:$N$16</c:f>
              <c:numCache>
                <c:formatCode>#,##0_ ;[Red]\-#,##0\ </c:formatCode>
                <c:ptCount val="15"/>
                <c:pt idx="0">
                  <c:v>9013</c:v>
                </c:pt>
                <c:pt idx="1">
                  <c:v>12800</c:v>
                </c:pt>
                <c:pt idx="2">
                  <c:v>17402</c:v>
                </c:pt>
                <c:pt idx="3">
                  <c:v>24099</c:v>
                </c:pt>
                <c:pt idx="4">
                  <c:v>21204</c:v>
                </c:pt>
                <c:pt idx="5">
                  <c:v>20879</c:v>
                </c:pt>
                <c:pt idx="6">
                  <c:v>19705</c:v>
                </c:pt>
                <c:pt idx="7">
                  <c:v>20427</c:v>
                </c:pt>
                <c:pt idx="8">
                  <c:v>0</c:v>
                </c:pt>
                <c:pt idx="9">
                  <c:v>0</c:v>
                </c:pt>
                <c:pt idx="10" formatCode="###,###,##0">
                  <c:v>0</c:v>
                </c:pt>
                <c:pt idx="11">
                  <c:v>31127</c:v>
                </c:pt>
                <c:pt idx="12">
                  <c:v>42121</c:v>
                </c:pt>
                <c:pt idx="13">
                  <c:v>54313</c:v>
                </c:pt>
                <c:pt idx="14">
                  <c:v>62947</c:v>
                </c:pt>
              </c:numCache>
            </c:numRef>
          </c:val>
          <c:extLst>
            <c:ext xmlns:c16="http://schemas.microsoft.com/office/drawing/2014/chart" uri="{C3380CC4-5D6E-409C-BE32-E72D297353CC}">
              <c16:uniqueId val="{0000000D-7C58-4A60-88F5-F780791D9670}"/>
            </c:ext>
          </c:extLst>
        </c:ser>
        <c:ser>
          <c:idx val="6"/>
          <c:order val="6"/>
          <c:tx>
            <c:strRef>
              <c:f>'GRAF-1-vývoj ciz-MPO+MPSV'!$O$1</c:f>
              <c:strCache>
                <c:ptCount val="1"/>
                <c:pt idx="0">
                  <c:v>Evidence na ÚP (Rumunsko, Bulharsko)</c:v>
                </c:pt>
              </c:strCache>
            </c:strRef>
          </c:tx>
          <c:spPr>
            <a:solidFill>
              <a:srgbClr val="00B0F0"/>
            </a:solidFill>
            <a:ln>
              <a:noFill/>
            </a:ln>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ciz-MPO+MPSV'!$O$2:$O$16</c:f>
              <c:numCache>
                <c:formatCode>#,##0_ ;[Red]\-#,##0\ </c:formatCode>
                <c:ptCount val="15"/>
                <c:pt idx="0">
                  <c:v>2241</c:v>
                </c:pt>
                <c:pt idx="1">
                  <c:v>2661</c:v>
                </c:pt>
                <c:pt idx="2">
                  <c:v>3193</c:v>
                </c:pt>
                <c:pt idx="3">
                  <c:v>9706</c:v>
                </c:pt>
                <c:pt idx="4">
                  <c:v>8713</c:v>
                </c:pt>
                <c:pt idx="5">
                  <c:v>8358</c:v>
                </c:pt>
                <c:pt idx="6">
                  <c:v>10482</c:v>
                </c:pt>
                <c:pt idx="7">
                  <c:v>13379</c:v>
                </c:pt>
                <c:pt idx="8">
                  <c:v>0</c:v>
                </c:pt>
                <c:pt idx="9">
                  <c:v>0</c:v>
                </c:pt>
                <c:pt idx="10" formatCode="###,###,##0">
                  <c:v>0</c:v>
                </c:pt>
                <c:pt idx="11">
                  <c:v>42643</c:v>
                </c:pt>
                <c:pt idx="12">
                  <c:v>57306</c:v>
                </c:pt>
                <c:pt idx="13">
                  <c:v>71032</c:v>
                </c:pt>
                <c:pt idx="14">
                  <c:v>78642</c:v>
                </c:pt>
              </c:numCache>
            </c:numRef>
          </c:val>
          <c:extLst>
            <c:ext xmlns:c16="http://schemas.microsoft.com/office/drawing/2014/chart" uri="{C3380CC4-5D6E-409C-BE32-E72D297353CC}">
              <c16:uniqueId val="{0000000E-7C58-4A60-88F5-F780791D9670}"/>
            </c:ext>
          </c:extLst>
        </c:ser>
        <c:ser>
          <c:idx val="7"/>
          <c:order val="7"/>
          <c:tx>
            <c:strRef>
              <c:f>'GRAF-1-vývoj ciz-MPO+MPSV'!$P$1</c:f>
              <c:strCache>
                <c:ptCount val="1"/>
                <c:pt idx="0">
                  <c:v>Evidence na ÚP (ostatní občané EU)</c:v>
                </c:pt>
              </c:strCache>
            </c:strRef>
          </c:tx>
          <c:spPr>
            <a:solidFill>
              <a:schemeClr val="accent5">
                <a:lumMod val="75000"/>
              </a:schemeClr>
            </a:solidFill>
            <a:ln>
              <a:noFill/>
            </a:ln>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ciz-MPO+MPSV'!$P$2:$P$16</c:f>
              <c:numCache>
                <c:formatCode>#,##0_ ;[Red]\-#,##0\ </c:formatCode>
                <c:ptCount val="15"/>
                <c:pt idx="0">
                  <c:v>285</c:v>
                </c:pt>
                <c:pt idx="1">
                  <c:v>574</c:v>
                </c:pt>
                <c:pt idx="2">
                  <c:v>719</c:v>
                </c:pt>
                <c:pt idx="3">
                  <c:v>778</c:v>
                </c:pt>
                <c:pt idx="4">
                  <c:v>902</c:v>
                </c:pt>
                <c:pt idx="5">
                  <c:v>972</c:v>
                </c:pt>
                <c:pt idx="6">
                  <c:v>1296</c:v>
                </c:pt>
                <c:pt idx="7">
                  <c:v>1613</c:v>
                </c:pt>
                <c:pt idx="8">
                  <c:v>0</c:v>
                </c:pt>
                <c:pt idx="9">
                  <c:v>0</c:v>
                </c:pt>
                <c:pt idx="10" formatCode="General">
                  <c:v>0</c:v>
                </c:pt>
                <c:pt idx="11">
                  <c:v>2754</c:v>
                </c:pt>
                <c:pt idx="12">
                  <c:v>3245</c:v>
                </c:pt>
                <c:pt idx="13">
                  <c:v>4250</c:v>
                </c:pt>
                <c:pt idx="14">
                  <c:v>5047</c:v>
                </c:pt>
              </c:numCache>
            </c:numRef>
          </c:val>
          <c:extLst>
            <c:ext xmlns:c16="http://schemas.microsoft.com/office/drawing/2014/chart" uri="{C3380CC4-5D6E-409C-BE32-E72D297353CC}">
              <c16:uniqueId val="{0000000F-7C58-4A60-88F5-F780791D9670}"/>
            </c:ext>
          </c:extLst>
        </c:ser>
        <c:ser>
          <c:idx val="8"/>
          <c:order val="8"/>
          <c:tx>
            <c:strRef>
              <c:f>'GRAF-1-vývoj ciz-MPO+MPSV'!$Q$1</c:f>
              <c:strCache>
                <c:ptCount val="1"/>
                <c:pt idx="0">
                  <c:v>Evidence na ÚP (občané Ukrajiny)</c:v>
                </c:pt>
              </c:strCache>
            </c:strRef>
          </c:tx>
          <c:spPr>
            <a:solidFill>
              <a:srgbClr val="FFFF00"/>
            </a:solidFill>
            <a:ln>
              <a:noFill/>
            </a:ln>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ciz-MPO+MPSV'!$Q$2:$Q$16</c:f>
              <c:numCache>
                <c:formatCode>#,##0_ ;[Red]\-#,##0\ </c:formatCode>
                <c:ptCount val="15"/>
                <c:pt idx="0">
                  <c:v>22399</c:v>
                </c:pt>
                <c:pt idx="1">
                  <c:v>40060</c:v>
                </c:pt>
                <c:pt idx="2">
                  <c:v>46155</c:v>
                </c:pt>
                <c:pt idx="3">
                  <c:v>61592</c:v>
                </c:pt>
                <c:pt idx="4">
                  <c:v>81072</c:v>
                </c:pt>
                <c:pt idx="5">
                  <c:v>57478</c:v>
                </c:pt>
                <c:pt idx="6">
                  <c:v>42139</c:v>
                </c:pt>
                <c:pt idx="7">
                  <c:v>35250</c:v>
                </c:pt>
                <c:pt idx="8">
                  <c:v>0</c:v>
                </c:pt>
                <c:pt idx="9">
                  <c:v>0</c:v>
                </c:pt>
                <c:pt idx="10" formatCode="General">
                  <c:v>0</c:v>
                </c:pt>
                <c:pt idx="11">
                  <c:v>41847</c:v>
                </c:pt>
                <c:pt idx="12">
                  <c:v>54571</c:v>
                </c:pt>
                <c:pt idx="13">
                  <c:v>81695</c:v>
                </c:pt>
                <c:pt idx="14" formatCode="#,##0_ ;[Red]\-#,##0\ ;\-\ ">
                  <c:v>121086</c:v>
                </c:pt>
              </c:numCache>
            </c:numRef>
          </c:val>
          <c:extLst>
            <c:ext xmlns:c16="http://schemas.microsoft.com/office/drawing/2014/chart" uri="{C3380CC4-5D6E-409C-BE32-E72D297353CC}">
              <c16:uniqueId val="{00000010-7C58-4A60-88F5-F780791D9670}"/>
            </c:ext>
          </c:extLst>
        </c:ser>
        <c:ser>
          <c:idx val="9"/>
          <c:order val="9"/>
          <c:tx>
            <c:strRef>
              <c:f>'GRAF-1-vývoj ciz-MPO+MPSV'!$R$1</c:f>
              <c:strCache>
                <c:ptCount val="1"/>
                <c:pt idx="0">
                  <c:v>Evidence na ÚP (ostatní mimo EU)</c:v>
                </c:pt>
              </c:strCache>
            </c:strRef>
          </c:tx>
          <c:spPr>
            <a:solidFill>
              <a:schemeClr val="accent2">
                <a:lumMod val="20000"/>
                <a:lumOff val="80000"/>
              </a:schemeClr>
            </a:solidFill>
            <a:ln>
              <a:noFill/>
            </a:ln>
          </c:spPr>
          <c:invertIfNegative val="0"/>
          <c:cat>
            <c:numRef>
              <c:f>'GRAF-1-vývoj ciz-MPO+MPSV'!$H$2:$H$16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'GRAF-1-vývoj ciz-MPO+MPSV'!$R$2:$R$16</c:f>
              <c:numCache>
                <c:formatCode>#,##0_ ;[Red]\-#,##0\ </c:formatCode>
                <c:ptCount val="15"/>
                <c:pt idx="0">
                  <c:v>10477</c:v>
                </c:pt>
                <c:pt idx="1">
                  <c:v>15113</c:v>
                </c:pt>
                <c:pt idx="2">
                  <c:v>18796</c:v>
                </c:pt>
                <c:pt idx="3">
                  <c:v>33843</c:v>
                </c:pt>
                <c:pt idx="4">
                  <c:v>62301</c:v>
                </c:pt>
                <c:pt idx="5">
                  <c:v>33857</c:v>
                </c:pt>
                <c:pt idx="6">
                  <c:v>29102</c:v>
                </c:pt>
                <c:pt idx="7">
                  <c:v>27879</c:v>
                </c:pt>
                <c:pt idx="8">
                  <c:v>0</c:v>
                </c:pt>
                <c:pt idx="9">
                  <c:v>0</c:v>
                </c:pt>
                <c:pt idx="10" formatCode="General">
                  <c:v>0</c:v>
                </c:pt>
                <c:pt idx="11">
                  <c:v>36356</c:v>
                </c:pt>
                <c:pt idx="12">
                  <c:v>44474</c:v>
                </c:pt>
                <c:pt idx="13">
                  <c:v>60505</c:v>
                </c:pt>
                <c:pt idx="14">
                  <c:v>81400</c:v>
                </c:pt>
              </c:numCache>
            </c:numRef>
          </c:val>
          <c:extLst>
            <c:ext xmlns:c16="http://schemas.microsoft.com/office/drawing/2014/chart" uri="{C3380CC4-5D6E-409C-BE32-E72D297353CC}">
              <c16:uniqueId val="{00000011-7C58-4A60-88F5-F780791D9670}"/>
            </c:ext>
          </c:extLst>
        </c:ser>
        <c:dLbls>
          <c:showLegendKey val="0"/>
          <c:showVal val="0"/>
          <c:showCatName val="0"/>
          <c:showSerName val="0"/>
          <c:showPercent val="0"/>
          <c:showBubbleSize val="0"/>
        </c:dLbls>
        <c:gapWidth val="66"/>
        <c:overlap val="100"/>
        <c:axId val="101581568"/>
        <c:axId val="101583104"/>
      </c:barChart>
      <c:catAx>
        <c:axId val="101581568"/>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583104"/>
        <c:crossesAt val="100"/>
        <c:auto val="1"/>
        <c:lblAlgn val="ctr"/>
        <c:lblOffset val="10"/>
        <c:noMultiLvlLbl val="0"/>
      </c:catAx>
      <c:valAx>
        <c:axId val="101583104"/>
        <c:scaling>
          <c:orientation val="minMax"/>
          <c:max val="7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581568"/>
        <c:crosses val="autoZero"/>
        <c:crossBetween val="between"/>
        <c:majorUnit val="100000"/>
      </c:valAx>
      <c:spPr>
        <a:noFill/>
        <a:ln w="6350">
          <a:solidFill>
            <a:schemeClr val="tx1">
              <a:lumMod val="95000"/>
              <a:lumOff val="5000"/>
            </a:schemeClr>
          </a:solidFill>
        </a:ln>
        <a:effectLst/>
      </c:spPr>
    </c:plotArea>
    <c:legend>
      <c:legendPos val="b"/>
      <c:layout>
        <c:manualLayout>
          <c:xMode val="edge"/>
          <c:yMode val="edge"/>
          <c:x val="0.10582301788452092"/>
          <c:y val="0.8263690644692967"/>
          <c:w val="0.8720222175654595"/>
          <c:h val="0.16280211278574169"/>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50779510997812E-3"/>
          <c:y val="4.4310937091664934E-2"/>
          <c:w val="0.98934123721364564"/>
          <c:h val="0.68383000727194343"/>
        </c:manualLayout>
      </c:layout>
      <c:doughnutChart>
        <c:varyColors val="1"/>
        <c:ser>
          <c:idx val="0"/>
          <c:order val="0"/>
          <c:tx>
            <c:strRef>
              <c:f>'GRAF-2-Odvětví-ČR-CIZ'!$B$99</c:f>
              <c:strCache>
                <c:ptCount val="1"/>
                <c:pt idx="0">
                  <c:v>Celé NH</c:v>
                </c:pt>
              </c:strCache>
            </c:strRef>
          </c:tx>
          <c:spPr>
            <a:ln w="15875">
              <a:solidFill>
                <a:schemeClr val="tx1">
                  <a:lumMod val="95000"/>
                  <a:lumOff val="5000"/>
                </a:schemeClr>
              </a:solidFill>
            </a:ln>
          </c:spPr>
          <c:dPt>
            <c:idx val="0"/>
            <c:bubble3D val="0"/>
            <c:spPr>
              <a:solidFill>
                <a:srgbClr val="C89058"/>
              </a:solidFill>
              <a:ln w="15875">
                <a:solidFill>
                  <a:schemeClr val="tx1">
                    <a:lumMod val="95000"/>
                    <a:lumOff val="5000"/>
                  </a:schemeClr>
                </a:solidFill>
              </a:ln>
            </c:spPr>
            <c:extLst>
              <c:ext xmlns:c16="http://schemas.microsoft.com/office/drawing/2014/chart" uri="{C3380CC4-5D6E-409C-BE32-E72D297353CC}">
                <c16:uniqueId val="{00000001-AF92-4DC0-9EA0-3AF9736B1F0D}"/>
              </c:ext>
            </c:extLst>
          </c:dPt>
          <c:dPt>
            <c:idx val="1"/>
            <c:bubble3D val="0"/>
            <c:spPr>
              <a:solidFill>
                <a:srgbClr val="B2B2B2"/>
              </a:solidFill>
              <a:ln w="15875">
                <a:solidFill>
                  <a:schemeClr val="tx1">
                    <a:lumMod val="95000"/>
                    <a:lumOff val="5000"/>
                  </a:schemeClr>
                </a:solidFill>
              </a:ln>
            </c:spPr>
            <c:extLst>
              <c:ext xmlns:c16="http://schemas.microsoft.com/office/drawing/2014/chart" uri="{C3380CC4-5D6E-409C-BE32-E72D297353CC}">
                <c16:uniqueId val="{00000003-AF92-4DC0-9EA0-3AF9736B1F0D}"/>
              </c:ext>
            </c:extLst>
          </c:dPt>
          <c:dPt>
            <c:idx val="2"/>
            <c:bubble3D val="0"/>
            <c:spPr>
              <a:solidFill>
                <a:schemeClr val="bg1">
                  <a:lumMod val="50000"/>
                </a:schemeClr>
              </a:solidFill>
              <a:ln w="15875">
                <a:solidFill>
                  <a:schemeClr val="tx1">
                    <a:lumMod val="95000"/>
                    <a:lumOff val="5000"/>
                  </a:schemeClr>
                </a:solidFill>
              </a:ln>
            </c:spPr>
            <c:extLst>
              <c:ext xmlns:c16="http://schemas.microsoft.com/office/drawing/2014/chart" uri="{C3380CC4-5D6E-409C-BE32-E72D297353CC}">
                <c16:uniqueId val="{00000005-AF92-4DC0-9EA0-3AF9736B1F0D}"/>
              </c:ext>
            </c:extLst>
          </c:dPt>
          <c:dPt>
            <c:idx val="3"/>
            <c:bubble3D val="0"/>
            <c:spPr>
              <a:solidFill>
                <a:schemeClr val="bg2">
                  <a:lumMod val="25000"/>
                </a:schemeClr>
              </a:solidFill>
              <a:ln w="15875">
                <a:solidFill>
                  <a:schemeClr val="tx1">
                    <a:lumMod val="95000"/>
                    <a:lumOff val="5000"/>
                  </a:schemeClr>
                </a:solidFill>
              </a:ln>
            </c:spPr>
            <c:extLst>
              <c:ext xmlns:c16="http://schemas.microsoft.com/office/drawing/2014/chart" uri="{C3380CC4-5D6E-409C-BE32-E72D297353CC}">
                <c16:uniqueId val="{00000007-AF92-4DC0-9EA0-3AF9736B1F0D}"/>
              </c:ext>
            </c:extLst>
          </c:dPt>
          <c:dPt>
            <c:idx val="4"/>
            <c:bubble3D val="0"/>
            <c:spPr>
              <a:solidFill>
                <a:srgbClr val="98C0E4"/>
              </a:solidFill>
              <a:ln w="15875">
                <a:solidFill>
                  <a:schemeClr val="tx1">
                    <a:lumMod val="95000"/>
                    <a:lumOff val="5000"/>
                  </a:schemeClr>
                </a:solidFill>
              </a:ln>
            </c:spPr>
            <c:extLst>
              <c:ext xmlns:c16="http://schemas.microsoft.com/office/drawing/2014/chart" uri="{C3380CC4-5D6E-409C-BE32-E72D297353CC}">
                <c16:uniqueId val="{00000009-AF92-4DC0-9EA0-3AF9736B1F0D}"/>
              </c:ext>
            </c:extLst>
          </c:dPt>
          <c:dPt>
            <c:idx val="5"/>
            <c:bubble3D val="0"/>
            <c:spPr>
              <a:solidFill>
                <a:srgbClr val="83A2D9"/>
              </a:solidFill>
              <a:ln w="15875">
                <a:solidFill>
                  <a:schemeClr val="tx1">
                    <a:lumMod val="95000"/>
                    <a:lumOff val="5000"/>
                  </a:schemeClr>
                </a:solidFill>
              </a:ln>
            </c:spPr>
            <c:extLst>
              <c:ext xmlns:c16="http://schemas.microsoft.com/office/drawing/2014/chart" uri="{C3380CC4-5D6E-409C-BE32-E72D297353CC}">
                <c16:uniqueId val="{0000000B-AF92-4DC0-9EA0-3AF9736B1F0D}"/>
              </c:ext>
            </c:extLst>
          </c:dPt>
          <c:dPt>
            <c:idx val="6"/>
            <c:bubble3D val="0"/>
            <c:spPr>
              <a:solidFill>
                <a:srgbClr val="93FFC4"/>
              </a:solidFill>
              <a:ln w="15875">
                <a:solidFill>
                  <a:schemeClr val="tx1">
                    <a:lumMod val="95000"/>
                    <a:lumOff val="5000"/>
                  </a:schemeClr>
                </a:solidFill>
              </a:ln>
            </c:spPr>
            <c:extLst>
              <c:ext xmlns:c16="http://schemas.microsoft.com/office/drawing/2014/chart" uri="{C3380CC4-5D6E-409C-BE32-E72D297353CC}">
                <c16:uniqueId val="{0000000D-AF92-4DC0-9EA0-3AF9736B1F0D}"/>
              </c:ext>
            </c:extLst>
          </c:dPt>
          <c:dPt>
            <c:idx val="7"/>
            <c:bubble3D val="0"/>
            <c:spPr>
              <a:solidFill>
                <a:srgbClr val="6DA945"/>
              </a:solidFill>
              <a:ln w="15875">
                <a:solidFill>
                  <a:schemeClr val="tx1">
                    <a:lumMod val="95000"/>
                    <a:lumOff val="5000"/>
                  </a:schemeClr>
                </a:solidFill>
              </a:ln>
            </c:spPr>
            <c:extLst>
              <c:ext xmlns:c16="http://schemas.microsoft.com/office/drawing/2014/chart" uri="{C3380CC4-5D6E-409C-BE32-E72D297353CC}">
                <c16:uniqueId val="{0000000F-AF92-4DC0-9EA0-3AF9736B1F0D}"/>
              </c:ext>
            </c:extLst>
          </c:dPt>
          <c:dPt>
            <c:idx val="8"/>
            <c:bubble3D val="0"/>
            <c:spPr>
              <a:solidFill>
                <a:schemeClr val="bg2"/>
              </a:solidFill>
              <a:ln w="15875">
                <a:solidFill>
                  <a:schemeClr val="tx1">
                    <a:lumMod val="95000"/>
                    <a:lumOff val="5000"/>
                  </a:schemeClr>
                </a:solidFill>
              </a:ln>
            </c:spPr>
            <c:extLst>
              <c:ext xmlns:c16="http://schemas.microsoft.com/office/drawing/2014/chart" uri="{C3380CC4-5D6E-409C-BE32-E72D297353CC}">
                <c16:uniqueId val="{00000011-AF92-4DC0-9EA0-3AF9736B1F0D}"/>
              </c:ext>
            </c:extLst>
          </c:dPt>
          <c:dPt>
            <c:idx val="9"/>
            <c:bubble3D val="0"/>
            <c:spPr>
              <a:solidFill>
                <a:srgbClr val="FFC000"/>
              </a:solidFill>
              <a:ln w="15875">
                <a:solidFill>
                  <a:schemeClr val="tx1">
                    <a:lumMod val="95000"/>
                    <a:lumOff val="5000"/>
                  </a:schemeClr>
                </a:solidFill>
              </a:ln>
            </c:spPr>
            <c:extLst>
              <c:ext xmlns:c16="http://schemas.microsoft.com/office/drawing/2014/chart" uri="{C3380CC4-5D6E-409C-BE32-E72D297353CC}">
                <c16:uniqueId val="{00000013-AF92-4DC0-9EA0-3AF9736B1F0D}"/>
              </c:ext>
            </c:extLst>
          </c:dPt>
          <c:dPt>
            <c:idx val="10"/>
            <c:bubble3D val="0"/>
            <c:spPr>
              <a:solidFill>
                <a:srgbClr val="FF6969"/>
              </a:solidFill>
              <a:ln w="15875">
                <a:solidFill>
                  <a:schemeClr val="tx1">
                    <a:lumMod val="95000"/>
                    <a:lumOff val="5000"/>
                  </a:schemeClr>
                </a:solidFill>
              </a:ln>
            </c:spPr>
            <c:extLst>
              <c:ext xmlns:c16="http://schemas.microsoft.com/office/drawing/2014/chart" uri="{C3380CC4-5D6E-409C-BE32-E72D297353CC}">
                <c16:uniqueId val="{00000015-AF92-4DC0-9EA0-3AF9736B1F0D}"/>
              </c:ext>
            </c:extLst>
          </c:dPt>
          <c:dPt>
            <c:idx val="11"/>
            <c:bubble3D val="0"/>
            <c:spPr>
              <a:solidFill>
                <a:srgbClr val="C00000"/>
              </a:solidFill>
              <a:ln w="15875">
                <a:solidFill>
                  <a:schemeClr val="tx1">
                    <a:lumMod val="95000"/>
                    <a:lumOff val="5000"/>
                  </a:schemeClr>
                </a:solidFill>
              </a:ln>
            </c:spPr>
            <c:extLst>
              <c:ext xmlns:c16="http://schemas.microsoft.com/office/drawing/2014/chart" uri="{C3380CC4-5D6E-409C-BE32-E72D297353CC}">
                <c16:uniqueId val="{00000017-AF92-4DC0-9EA0-3AF9736B1F0D}"/>
              </c:ext>
            </c:extLst>
          </c:dPt>
          <c:dPt>
            <c:idx val="12"/>
            <c:bubble3D val="0"/>
            <c:spPr>
              <a:solidFill>
                <a:schemeClr val="bg2">
                  <a:lumMod val="90000"/>
                </a:schemeClr>
              </a:solidFill>
              <a:ln w="15875">
                <a:solidFill>
                  <a:schemeClr val="tx1">
                    <a:lumMod val="95000"/>
                    <a:lumOff val="5000"/>
                  </a:schemeClr>
                </a:solidFill>
              </a:ln>
            </c:spPr>
            <c:extLst>
              <c:ext xmlns:c16="http://schemas.microsoft.com/office/drawing/2014/chart" uri="{C3380CC4-5D6E-409C-BE32-E72D297353CC}">
                <c16:uniqueId val="{00000019-AF92-4DC0-9EA0-3AF9736B1F0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'GRAF-2-Odvětví-ČR-CIZ'!$C$99:$O$99</c:f>
              <c:numCache>
                <c:formatCode>#\ ##0.0_ ;\-#\ ##0.0\ ;\-\ </c:formatCode>
                <c:ptCount val="13"/>
                <c:pt idx="0">
                  <c:v>3.0469920278279652</c:v>
                </c:pt>
                <c:pt idx="1">
                  <c:v>37.577168700347769</c:v>
                </c:pt>
                <c:pt idx="2" formatCode="#\ ##0.0_ ;\-#\ ##0.0\ ">
                  <c:v>4.5403181999239814</c:v>
                </c:pt>
                <c:pt idx="3">
                  <c:v>8.4892045238025577</c:v>
                </c:pt>
                <c:pt idx="4">
                  <c:v>10.741468720283752</c:v>
                </c:pt>
                <c:pt idx="5">
                  <c:v>9.1446291203688919</c:v>
                </c:pt>
                <c:pt idx="6" formatCode="#\ ##0.0_ ;\-#\ ##0.0\ ">
                  <c:v>6.3087863007645959</c:v>
                </c:pt>
                <c:pt idx="7">
                  <c:v>2.9460956251422976</c:v>
                </c:pt>
                <c:pt idx="8">
                  <c:v>2.3862747282283365</c:v>
                </c:pt>
                <c:pt idx="9">
                  <c:v>6.987998743103228</c:v>
                </c:pt>
                <c:pt idx="10">
                  <c:v>2.8080572418954959</c:v>
                </c:pt>
                <c:pt idx="11">
                  <c:v>2.7395496320305046</c:v>
                </c:pt>
                <c:pt idx="12" formatCode="#\ ##0.0_ ;\-#\ ##0.0\ ">
                  <c:v>2.2834564362806264</c:v>
                </c:pt>
              </c:numCache>
            </c:numRef>
          </c:val>
          <c:extLst>
            <c:ext xmlns:c16="http://schemas.microsoft.com/office/drawing/2014/chart" uri="{C3380CC4-5D6E-409C-BE32-E72D297353CC}">
              <c16:uniqueId val="{0000001A-AF92-4DC0-9EA0-3AF9736B1F0D}"/>
            </c:ext>
          </c:extLst>
        </c:ser>
        <c:ser>
          <c:idx val="1"/>
          <c:order val="1"/>
          <c:tx>
            <c:strRef>
              <c:f>'GRAF-2-Odvětví-ČR-CIZ'!$B$100</c:f>
              <c:strCache>
                <c:ptCount val="1"/>
                <c:pt idx="0">
                  <c:v>Cizinci z EU15</c:v>
                </c:pt>
              </c:strCache>
            </c:strRef>
          </c:tx>
          <c:spPr>
            <a:ln w="3175">
              <a:solidFill>
                <a:schemeClr val="bg1">
                  <a:lumMod val="50000"/>
                </a:schemeClr>
              </a:solidFill>
            </a:ln>
          </c:spPr>
          <c:dPt>
            <c:idx val="0"/>
            <c:bubble3D val="0"/>
            <c:spPr>
              <a:solidFill>
                <a:srgbClr val="C89058"/>
              </a:solidFill>
              <a:ln w="3175">
                <a:solidFill>
                  <a:schemeClr val="bg1">
                    <a:lumMod val="50000"/>
                  </a:schemeClr>
                </a:solidFill>
              </a:ln>
            </c:spPr>
            <c:extLst>
              <c:ext xmlns:c16="http://schemas.microsoft.com/office/drawing/2014/chart" uri="{C3380CC4-5D6E-409C-BE32-E72D297353CC}">
                <c16:uniqueId val="{0000001C-AF92-4DC0-9EA0-3AF9736B1F0D}"/>
              </c:ext>
            </c:extLst>
          </c:dPt>
          <c:dPt>
            <c:idx val="1"/>
            <c:bubble3D val="0"/>
            <c:spPr>
              <a:solidFill>
                <a:srgbClr val="B2B2B2"/>
              </a:solidFill>
              <a:ln w="3175">
                <a:solidFill>
                  <a:schemeClr val="bg1">
                    <a:lumMod val="50000"/>
                  </a:schemeClr>
                </a:solidFill>
              </a:ln>
            </c:spPr>
            <c:extLst>
              <c:ext xmlns:c16="http://schemas.microsoft.com/office/drawing/2014/chart" uri="{C3380CC4-5D6E-409C-BE32-E72D297353CC}">
                <c16:uniqueId val="{0000001E-AF92-4DC0-9EA0-3AF9736B1F0D}"/>
              </c:ext>
            </c:extLst>
          </c:dPt>
          <c:dPt>
            <c:idx val="2"/>
            <c:bubble3D val="0"/>
            <c:spPr>
              <a:solidFill>
                <a:schemeClr val="bg1">
                  <a:lumMod val="50000"/>
                </a:schemeClr>
              </a:solidFill>
              <a:ln w="3175">
                <a:solidFill>
                  <a:schemeClr val="bg1">
                    <a:lumMod val="50000"/>
                  </a:schemeClr>
                </a:solidFill>
              </a:ln>
            </c:spPr>
            <c:extLst>
              <c:ext xmlns:c16="http://schemas.microsoft.com/office/drawing/2014/chart" uri="{C3380CC4-5D6E-409C-BE32-E72D297353CC}">
                <c16:uniqueId val="{00000020-AF92-4DC0-9EA0-3AF9736B1F0D}"/>
              </c:ext>
            </c:extLst>
          </c:dPt>
          <c:dPt>
            <c:idx val="3"/>
            <c:bubble3D val="0"/>
            <c:spPr>
              <a:solidFill>
                <a:srgbClr val="3B3838"/>
              </a:solidFill>
              <a:ln w="3175">
                <a:solidFill>
                  <a:schemeClr val="bg1">
                    <a:lumMod val="50000"/>
                  </a:schemeClr>
                </a:solidFill>
              </a:ln>
            </c:spPr>
            <c:extLst>
              <c:ext xmlns:c16="http://schemas.microsoft.com/office/drawing/2014/chart" uri="{C3380CC4-5D6E-409C-BE32-E72D297353CC}">
                <c16:uniqueId val="{00000022-AF92-4DC0-9EA0-3AF9736B1F0D}"/>
              </c:ext>
            </c:extLst>
          </c:dPt>
          <c:dPt>
            <c:idx val="4"/>
            <c:bubble3D val="0"/>
            <c:spPr>
              <a:solidFill>
                <a:srgbClr val="98C0E4"/>
              </a:solidFill>
              <a:ln w="3175">
                <a:solidFill>
                  <a:schemeClr val="bg1">
                    <a:lumMod val="50000"/>
                  </a:schemeClr>
                </a:solidFill>
              </a:ln>
            </c:spPr>
            <c:extLst>
              <c:ext xmlns:c16="http://schemas.microsoft.com/office/drawing/2014/chart" uri="{C3380CC4-5D6E-409C-BE32-E72D297353CC}">
                <c16:uniqueId val="{00000024-AF92-4DC0-9EA0-3AF9736B1F0D}"/>
              </c:ext>
            </c:extLst>
          </c:dPt>
          <c:dPt>
            <c:idx val="5"/>
            <c:bubble3D val="0"/>
            <c:spPr>
              <a:solidFill>
                <a:srgbClr val="83A2D9"/>
              </a:solidFill>
              <a:ln w="3175">
                <a:solidFill>
                  <a:schemeClr val="bg1">
                    <a:lumMod val="50000"/>
                  </a:schemeClr>
                </a:solidFill>
              </a:ln>
            </c:spPr>
            <c:extLst>
              <c:ext xmlns:c16="http://schemas.microsoft.com/office/drawing/2014/chart" uri="{C3380CC4-5D6E-409C-BE32-E72D297353CC}">
                <c16:uniqueId val="{00000026-AF92-4DC0-9EA0-3AF9736B1F0D}"/>
              </c:ext>
            </c:extLst>
          </c:dPt>
          <c:dPt>
            <c:idx val="6"/>
            <c:bubble3D val="0"/>
            <c:spPr>
              <a:solidFill>
                <a:srgbClr val="93FFC4"/>
              </a:solidFill>
              <a:ln w="3175">
                <a:solidFill>
                  <a:schemeClr val="bg1">
                    <a:lumMod val="50000"/>
                  </a:schemeClr>
                </a:solidFill>
              </a:ln>
            </c:spPr>
            <c:extLst>
              <c:ext xmlns:c16="http://schemas.microsoft.com/office/drawing/2014/chart" uri="{C3380CC4-5D6E-409C-BE32-E72D297353CC}">
                <c16:uniqueId val="{00000028-AF92-4DC0-9EA0-3AF9736B1F0D}"/>
              </c:ext>
            </c:extLst>
          </c:dPt>
          <c:dPt>
            <c:idx val="7"/>
            <c:bubble3D val="0"/>
            <c:spPr>
              <a:solidFill>
                <a:srgbClr val="6DA945"/>
              </a:solidFill>
              <a:ln w="3175">
                <a:solidFill>
                  <a:schemeClr val="bg1">
                    <a:lumMod val="50000"/>
                  </a:schemeClr>
                </a:solidFill>
              </a:ln>
            </c:spPr>
            <c:extLst>
              <c:ext xmlns:c16="http://schemas.microsoft.com/office/drawing/2014/chart" uri="{C3380CC4-5D6E-409C-BE32-E72D297353CC}">
                <c16:uniqueId val="{0000002A-AF92-4DC0-9EA0-3AF9736B1F0D}"/>
              </c:ext>
            </c:extLst>
          </c:dPt>
          <c:dPt>
            <c:idx val="8"/>
            <c:bubble3D val="0"/>
            <c:spPr>
              <a:solidFill>
                <a:schemeClr val="bg2"/>
              </a:solidFill>
              <a:ln w="3175">
                <a:solidFill>
                  <a:schemeClr val="bg1">
                    <a:lumMod val="50000"/>
                  </a:schemeClr>
                </a:solidFill>
              </a:ln>
            </c:spPr>
            <c:extLst>
              <c:ext xmlns:c16="http://schemas.microsoft.com/office/drawing/2014/chart" uri="{C3380CC4-5D6E-409C-BE32-E72D297353CC}">
                <c16:uniqueId val="{0000002C-AF92-4DC0-9EA0-3AF9736B1F0D}"/>
              </c:ext>
            </c:extLst>
          </c:dPt>
          <c:dPt>
            <c:idx val="10"/>
            <c:bubble3D val="0"/>
            <c:spPr>
              <a:solidFill>
                <a:srgbClr val="FF6969"/>
              </a:solidFill>
              <a:ln w="3175">
                <a:solidFill>
                  <a:schemeClr val="bg1">
                    <a:lumMod val="50000"/>
                  </a:schemeClr>
                </a:solidFill>
              </a:ln>
            </c:spPr>
            <c:extLst>
              <c:ext xmlns:c16="http://schemas.microsoft.com/office/drawing/2014/chart" uri="{C3380CC4-5D6E-409C-BE32-E72D297353CC}">
                <c16:uniqueId val="{0000002E-AF92-4DC0-9EA0-3AF9736B1F0D}"/>
              </c:ext>
            </c:extLst>
          </c:dPt>
          <c:dPt>
            <c:idx val="11"/>
            <c:bubble3D val="0"/>
            <c:spPr>
              <a:solidFill>
                <a:srgbClr val="C00000"/>
              </a:solidFill>
              <a:ln w="3175">
                <a:solidFill>
                  <a:schemeClr val="bg1">
                    <a:lumMod val="50000"/>
                  </a:schemeClr>
                </a:solidFill>
              </a:ln>
            </c:spPr>
            <c:extLst>
              <c:ext xmlns:c16="http://schemas.microsoft.com/office/drawing/2014/chart" uri="{C3380CC4-5D6E-409C-BE32-E72D297353CC}">
                <c16:uniqueId val="{00000030-AF92-4DC0-9EA0-3AF9736B1F0D}"/>
              </c:ext>
            </c:extLst>
          </c:dPt>
          <c:dPt>
            <c:idx val="12"/>
            <c:bubble3D val="0"/>
            <c:spPr>
              <a:solidFill>
                <a:schemeClr val="bg2">
                  <a:lumMod val="90000"/>
                </a:schemeClr>
              </a:solidFill>
              <a:ln w="3175">
                <a:solidFill>
                  <a:schemeClr val="bg1">
                    <a:lumMod val="50000"/>
                  </a:schemeClr>
                </a:solidFill>
              </a:ln>
            </c:spPr>
            <c:extLst>
              <c:ext xmlns:c16="http://schemas.microsoft.com/office/drawing/2014/chart" uri="{C3380CC4-5D6E-409C-BE32-E72D297353CC}">
                <c16:uniqueId val="{00000032-AF92-4DC0-9EA0-3AF9736B1F0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'GRAF-2-Odvětví-ČR-CIZ'!$C$100:$O$100</c:f>
              <c:numCache>
                <c:formatCode>#\ ##0.0_ ;\-#\ ##0.0\ ;\-\ </c:formatCode>
                <c:ptCount val="13"/>
                <c:pt idx="0">
                  <c:v>1.6092496460594619</c:v>
                </c:pt>
                <c:pt idx="1">
                  <c:v>16.743747050495518</c:v>
                </c:pt>
                <c:pt idx="2" formatCode="#\ ##0.0_ ;\-#\ ##0.0\ ">
                  <c:v>1.9867862199150543</c:v>
                </c:pt>
                <c:pt idx="3">
                  <c:v>2.3973572439830106</c:v>
                </c:pt>
                <c:pt idx="4">
                  <c:v>14.096271826333176</c:v>
                </c:pt>
                <c:pt idx="5">
                  <c:v>2.5483718735252476</c:v>
                </c:pt>
                <c:pt idx="6" formatCode="#\ ##0.0_ ;\-#\ ##0.0\ ">
                  <c:v>21.458235016517225</c:v>
                </c:pt>
                <c:pt idx="7">
                  <c:v>14.11986786219915</c:v>
                </c:pt>
                <c:pt idx="8">
                  <c:v>12.605002359603587</c:v>
                </c:pt>
                <c:pt idx="9">
                  <c:v>0.17932987258140631</c:v>
                </c:pt>
                <c:pt idx="10">
                  <c:v>8.5276073619631898</c:v>
                </c:pt>
                <c:pt idx="11">
                  <c:v>0.4955167531854649</c:v>
                </c:pt>
                <c:pt idx="12" formatCode="#\ ##0.0_ ;\-#\ ##0.0\ ">
                  <c:v>3.2326569136385088</c:v>
                </c:pt>
              </c:numCache>
            </c:numRef>
          </c:val>
          <c:extLst>
            <c:ext xmlns:c16="http://schemas.microsoft.com/office/drawing/2014/chart" uri="{C3380CC4-5D6E-409C-BE32-E72D297353CC}">
              <c16:uniqueId val="{00000033-AF92-4DC0-9EA0-3AF9736B1F0D}"/>
            </c:ext>
          </c:extLst>
        </c:ser>
        <c:ser>
          <c:idx val="2"/>
          <c:order val="2"/>
          <c:tx>
            <c:strRef>
              <c:f>'GRAF-2-Odvětví-ČR-CIZ'!$B$101</c:f>
              <c:strCache>
                <c:ptCount val="1"/>
                <c:pt idx="0">
                  <c:v>Cizinci z EU13</c:v>
                </c:pt>
              </c:strCache>
            </c:strRef>
          </c:tx>
          <c:spPr>
            <a:ln w="3175">
              <a:solidFill>
                <a:schemeClr val="bg1">
                  <a:lumMod val="50000"/>
                </a:schemeClr>
              </a:solidFill>
            </a:ln>
          </c:spPr>
          <c:dPt>
            <c:idx val="0"/>
            <c:bubble3D val="0"/>
            <c:spPr>
              <a:solidFill>
                <a:srgbClr val="C89058"/>
              </a:solidFill>
              <a:ln w="3175">
                <a:solidFill>
                  <a:schemeClr val="bg1">
                    <a:lumMod val="50000"/>
                  </a:schemeClr>
                </a:solidFill>
              </a:ln>
            </c:spPr>
            <c:extLst>
              <c:ext xmlns:c16="http://schemas.microsoft.com/office/drawing/2014/chart" uri="{C3380CC4-5D6E-409C-BE32-E72D297353CC}">
                <c16:uniqueId val="{00000035-AF92-4DC0-9EA0-3AF9736B1F0D}"/>
              </c:ext>
            </c:extLst>
          </c:dPt>
          <c:dPt>
            <c:idx val="1"/>
            <c:bubble3D val="0"/>
            <c:spPr>
              <a:solidFill>
                <a:srgbClr val="B2B2B2"/>
              </a:solidFill>
              <a:ln w="3175">
                <a:solidFill>
                  <a:schemeClr val="bg1">
                    <a:lumMod val="50000"/>
                  </a:schemeClr>
                </a:solidFill>
              </a:ln>
            </c:spPr>
            <c:extLst>
              <c:ext xmlns:c16="http://schemas.microsoft.com/office/drawing/2014/chart" uri="{C3380CC4-5D6E-409C-BE32-E72D297353CC}">
                <c16:uniqueId val="{00000037-AF92-4DC0-9EA0-3AF9736B1F0D}"/>
              </c:ext>
            </c:extLst>
          </c:dPt>
          <c:dPt>
            <c:idx val="2"/>
            <c:bubble3D val="0"/>
            <c:spPr>
              <a:solidFill>
                <a:schemeClr val="bg1">
                  <a:lumMod val="50000"/>
                </a:schemeClr>
              </a:solidFill>
              <a:ln w="3175">
                <a:solidFill>
                  <a:schemeClr val="bg1">
                    <a:lumMod val="50000"/>
                  </a:schemeClr>
                </a:solidFill>
              </a:ln>
            </c:spPr>
            <c:extLst>
              <c:ext xmlns:c16="http://schemas.microsoft.com/office/drawing/2014/chart" uri="{C3380CC4-5D6E-409C-BE32-E72D297353CC}">
                <c16:uniqueId val="{00000039-AF92-4DC0-9EA0-3AF9736B1F0D}"/>
              </c:ext>
            </c:extLst>
          </c:dPt>
          <c:dPt>
            <c:idx val="3"/>
            <c:bubble3D val="0"/>
            <c:spPr>
              <a:solidFill>
                <a:schemeClr val="bg2">
                  <a:lumMod val="25000"/>
                </a:schemeClr>
              </a:solidFill>
              <a:ln w="3175">
                <a:solidFill>
                  <a:schemeClr val="bg1">
                    <a:lumMod val="50000"/>
                  </a:schemeClr>
                </a:solidFill>
              </a:ln>
            </c:spPr>
            <c:extLst>
              <c:ext xmlns:c16="http://schemas.microsoft.com/office/drawing/2014/chart" uri="{C3380CC4-5D6E-409C-BE32-E72D297353CC}">
                <c16:uniqueId val="{0000003B-AF92-4DC0-9EA0-3AF9736B1F0D}"/>
              </c:ext>
            </c:extLst>
          </c:dPt>
          <c:dPt>
            <c:idx val="4"/>
            <c:bubble3D val="0"/>
            <c:spPr>
              <a:solidFill>
                <a:srgbClr val="98C0E4"/>
              </a:solidFill>
              <a:ln w="3175">
                <a:solidFill>
                  <a:schemeClr val="bg1">
                    <a:lumMod val="50000"/>
                  </a:schemeClr>
                </a:solidFill>
              </a:ln>
            </c:spPr>
            <c:extLst>
              <c:ext xmlns:c16="http://schemas.microsoft.com/office/drawing/2014/chart" uri="{C3380CC4-5D6E-409C-BE32-E72D297353CC}">
                <c16:uniqueId val="{0000003D-AF92-4DC0-9EA0-3AF9736B1F0D}"/>
              </c:ext>
            </c:extLst>
          </c:dPt>
          <c:dPt>
            <c:idx val="5"/>
            <c:bubble3D val="0"/>
            <c:spPr>
              <a:solidFill>
                <a:srgbClr val="83A2D9"/>
              </a:solidFill>
              <a:ln w="3175">
                <a:solidFill>
                  <a:schemeClr val="bg1">
                    <a:lumMod val="50000"/>
                  </a:schemeClr>
                </a:solidFill>
              </a:ln>
            </c:spPr>
            <c:extLst>
              <c:ext xmlns:c16="http://schemas.microsoft.com/office/drawing/2014/chart" uri="{C3380CC4-5D6E-409C-BE32-E72D297353CC}">
                <c16:uniqueId val="{0000003F-AF92-4DC0-9EA0-3AF9736B1F0D}"/>
              </c:ext>
            </c:extLst>
          </c:dPt>
          <c:dPt>
            <c:idx val="6"/>
            <c:bubble3D val="0"/>
            <c:spPr>
              <a:solidFill>
                <a:srgbClr val="93FFC4"/>
              </a:solidFill>
              <a:ln w="3175">
                <a:solidFill>
                  <a:schemeClr val="bg1">
                    <a:lumMod val="50000"/>
                  </a:schemeClr>
                </a:solidFill>
              </a:ln>
            </c:spPr>
            <c:extLst>
              <c:ext xmlns:c16="http://schemas.microsoft.com/office/drawing/2014/chart" uri="{C3380CC4-5D6E-409C-BE32-E72D297353CC}">
                <c16:uniqueId val="{00000041-AF92-4DC0-9EA0-3AF9736B1F0D}"/>
              </c:ext>
            </c:extLst>
          </c:dPt>
          <c:dPt>
            <c:idx val="7"/>
            <c:bubble3D val="0"/>
            <c:spPr>
              <a:solidFill>
                <a:srgbClr val="6DA945"/>
              </a:solidFill>
              <a:ln w="3175">
                <a:solidFill>
                  <a:schemeClr val="bg1">
                    <a:lumMod val="50000"/>
                  </a:schemeClr>
                </a:solidFill>
              </a:ln>
            </c:spPr>
            <c:extLst>
              <c:ext xmlns:c16="http://schemas.microsoft.com/office/drawing/2014/chart" uri="{C3380CC4-5D6E-409C-BE32-E72D297353CC}">
                <c16:uniqueId val="{00000043-AF92-4DC0-9EA0-3AF9736B1F0D}"/>
              </c:ext>
            </c:extLst>
          </c:dPt>
          <c:dPt>
            <c:idx val="8"/>
            <c:bubble3D val="0"/>
            <c:spPr>
              <a:solidFill>
                <a:schemeClr val="bg2"/>
              </a:solidFill>
              <a:ln w="3175">
                <a:solidFill>
                  <a:schemeClr val="bg1">
                    <a:lumMod val="50000"/>
                  </a:schemeClr>
                </a:solidFill>
              </a:ln>
            </c:spPr>
            <c:extLst>
              <c:ext xmlns:c16="http://schemas.microsoft.com/office/drawing/2014/chart" uri="{C3380CC4-5D6E-409C-BE32-E72D297353CC}">
                <c16:uniqueId val="{00000045-AF92-4DC0-9EA0-3AF9736B1F0D}"/>
              </c:ext>
            </c:extLst>
          </c:dPt>
          <c:dPt>
            <c:idx val="10"/>
            <c:bubble3D val="0"/>
            <c:spPr>
              <a:solidFill>
                <a:srgbClr val="FF6969"/>
              </a:solidFill>
              <a:ln w="3175">
                <a:solidFill>
                  <a:schemeClr val="bg1">
                    <a:lumMod val="50000"/>
                  </a:schemeClr>
                </a:solidFill>
              </a:ln>
            </c:spPr>
            <c:extLst>
              <c:ext xmlns:c16="http://schemas.microsoft.com/office/drawing/2014/chart" uri="{C3380CC4-5D6E-409C-BE32-E72D297353CC}">
                <c16:uniqueId val="{00000047-AF92-4DC0-9EA0-3AF9736B1F0D}"/>
              </c:ext>
            </c:extLst>
          </c:dPt>
          <c:dPt>
            <c:idx val="11"/>
            <c:bubble3D val="0"/>
            <c:spPr>
              <a:solidFill>
                <a:srgbClr val="C00000"/>
              </a:solidFill>
              <a:ln w="3175">
                <a:solidFill>
                  <a:schemeClr val="bg1">
                    <a:lumMod val="50000"/>
                  </a:schemeClr>
                </a:solidFill>
              </a:ln>
            </c:spPr>
            <c:extLst>
              <c:ext xmlns:c16="http://schemas.microsoft.com/office/drawing/2014/chart" uri="{C3380CC4-5D6E-409C-BE32-E72D297353CC}">
                <c16:uniqueId val="{00000049-AF92-4DC0-9EA0-3AF9736B1F0D}"/>
              </c:ext>
            </c:extLst>
          </c:dPt>
          <c:dPt>
            <c:idx val="12"/>
            <c:bubble3D val="0"/>
            <c:spPr>
              <a:solidFill>
                <a:schemeClr val="bg2">
                  <a:lumMod val="90000"/>
                </a:schemeClr>
              </a:solidFill>
              <a:ln w="3175">
                <a:solidFill>
                  <a:schemeClr val="bg1">
                    <a:lumMod val="50000"/>
                  </a:schemeClr>
                </a:solidFill>
              </a:ln>
            </c:spPr>
            <c:extLst>
              <c:ext xmlns:c16="http://schemas.microsoft.com/office/drawing/2014/chart" uri="{C3380CC4-5D6E-409C-BE32-E72D297353CC}">
                <c16:uniqueId val="{0000004B-AF92-4DC0-9EA0-3AF9736B1F0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'GRAF-2-Odvětví-ČR-CIZ'!$C$101:$O$101</c:f>
              <c:numCache>
                <c:formatCode>#\ ##0.0_ ;\-#\ ##0.0\ ;\-\ </c:formatCode>
                <c:ptCount val="13"/>
                <c:pt idx="0">
                  <c:v>2.4300545088548615</c:v>
                </c:pt>
                <c:pt idx="1">
                  <c:v>35.493180738696765</c:v>
                </c:pt>
                <c:pt idx="2" formatCode="#\ ##0.0_ ;\-#\ ##0.0\ ">
                  <c:v>1.9166308551783411</c:v>
                </c:pt>
                <c:pt idx="3">
                  <c:v>12.26924207812182</c:v>
                </c:pt>
                <c:pt idx="4">
                  <c:v>8.9389998416755247</c:v>
                </c:pt>
                <c:pt idx="5">
                  <c:v>5.8209124013299256</c:v>
                </c:pt>
                <c:pt idx="6" formatCode="#\ ##0.0_ ;\-#\ ##0.0\ ">
                  <c:v>5.802818175649695</c:v>
                </c:pt>
                <c:pt idx="7">
                  <c:v>5.3898174744984502</c:v>
                </c:pt>
                <c:pt idx="8">
                  <c:v>18.143532445208425</c:v>
                </c:pt>
                <c:pt idx="9">
                  <c:v>0.13027842489765454</c:v>
                </c:pt>
                <c:pt idx="10">
                  <c:v>1.1313414606563681</c:v>
                </c:pt>
                <c:pt idx="11">
                  <c:v>1.1910524054011262</c:v>
                </c:pt>
                <c:pt idx="12" formatCode="#\ ##0.0_ ;\-#\ ##0.0\ ">
                  <c:v>1.3421391898310451</c:v>
                </c:pt>
              </c:numCache>
            </c:numRef>
          </c:val>
          <c:extLst>
            <c:ext xmlns:c16="http://schemas.microsoft.com/office/drawing/2014/chart" uri="{C3380CC4-5D6E-409C-BE32-E72D297353CC}">
              <c16:uniqueId val="{0000004C-AF92-4DC0-9EA0-3AF9736B1F0D}"/>
            </c:ext>
          </c:extLst>
        </c:ser>
        <c:ser>
          <c:idx val="3"/>
          <c:order val="3"/>
          <c:tx>
            <c:strRef>
              <c:f>'GRAF-2-Odvětví-ČR-CIZ'!$B$102</c:f>
              <c:strCache>
                <c:ptCount val="1"/>
                <c:pt idx="0">
                  <c:v>Cizinci mimo EU</c:v>
                </c:pt>
              </c:strCache>
            </c:strRef>
          </c:tx>
          <c:spPr>
            <a:ln w="3175">
              <a:solidFill>
                <a:schemeClr val="bg1">
                  <a:lumMod val="50000"/>
                </a:schemeClr>
              </a:solidFill>
            </a:ln>
          </c:spPr>
          <c:dPt>
            <c:idx val="0"/>
            <c:bubble3D val="0"/>
            <c:spPr>
              <a:solidFill>
                <a:srgbClr val="C89058"/>
              </a:solidFill>
              <a:ln w="3175">
                <a:solidFill>
                  <a:schemeClr val="bg1">
                    <a:lumMod val="50000"/>
                  </a:schemeClr>
                </a:solidFill>
              </a:ln>
            </c:spPr>
            <c:extLst>
              <c:ext xmlns:c16="http://schemas.microsoft.com/office/drawing/2014/chart" uri="{C3380CC4-5D6E-409C-BE32-E72D297353CC}">
                <c16:uniqueId val="{0000004E-AF92-4DC0-9EA0-3AF9736B1F0D}"/>
              </c:ext>
            </c:extLst>
          </c:dPt>
          <c:dPt>
            <c:idx val="1"/>
            <c:bubble3D val="0"/>
            <c:spPr>
              <a:solidFill>
                <a:srgbClr val="B2B2B2"/>
              </a:solidFill>
              <a:ln w="3175">
                <a:solidFill>
                  <a:schemeClr val="bg1">
                    <a:lumMod val="50000"/>
                  </a:schemeClr>
                </a:solidFill>
              </a:ln>
            </c:spPr>
            <c:extLst>
              <c:ext xmlns:c16="http://schemas.microsoft.com/office/drawing/2014/chart" uri="{C3380CC4-5D6E-409C-BE32-E72D297353CC}">
                <c16:uniqueId val="{00000050-AF92-4DC0-9EA0-3AF9736B1F0D}"/>
              </c:ext>
            </c:extLst>
          </c:dPt>
          <c:dPt>
            <c:idx val="2"/>
            <c:bubble3D val="0"/>
            <c:spPr>
              <a:solidFill>
                <a:schemeClr val="bg1">
                  <a:lumMod val="50000"/>
                </a:schemeClr>
              </a:solidFill>
              <a:ln w="3175">
                <a:solidFill>
                  <a:schemeClr val="bg1">
                    <a:lumMod val="50000"/>
                  </a:schemeClr>
                </a:solidFill>
              </a:ln>
            </c:spPr>
            <c:extLst>
              <c:ext xmlns:c16="http://schemas.microsoft.com/office/drawing/2014/chart" uri="{C3380CC4-5D6E-409C-BE32-E72D297353CC}">
                <c16:uniqueId val="{00000052-AF92-4DC0-9EA0-3AF9736B1F0D}"/>
              </c:ext>
            </c:extLst>
          </c:dPt>
          <c:dPt>
            <c:idx val="3"/>
            <c:bubble3D val="0"/>
            <c:spPr>
              <a:solidFill>
                <a:schemeClr val="bg2">
                  <a:lumMod val="25000"/>
                </a:schemeClr>
              </a:solidFill>
              <a:ln w="3175">
                <a:solidFill>
                  <a:schemeClr val="bg1">
                    <a:lumMod val="50000"/>
                  </a:schemeClr>
                </a:solidFill>
              </a:ln>
            </c:spPr>
            <c:extLst>
              <c:ext xmlns:c16="http://schemas.microsoft.com/office/drawing/2014/chart" uri="{C3380CC4-5D6E-409C-BE32-E72D297353CC}">
                <c16:uniqueId val="{00000054-AF92-4DC0-9EA0-3AF9736B1F0D}"/>
              </c:ext>
            </c:extLst>
          </c:dPt>
          <c:dPt>
            <c:idx val="4"/>
            <c:bubble3D val="0"/>
            <c:spPr>
              <a:solidFill>
                <a:srgbClr val="98C0E4"/>
              </a:solidFill>
              <a:ln w="3175">
                <a:solidFill>
                  <a:schemeClr val="bg1">
                    <a:lumMod val="50000"/>
                  </a:schemeClr>
                </a:solidFill>
              </a:ln>
            </c:spPr>
            <c:extLst>
              <c:ext xmlns:c16="http://schemas.microsoft.com/office/drawing/2014/chart" uri="{C3380CC4-5D6E-409C-BE32-E72D297353CC}">
                <c16:uniqueId val="{00000056-AF92-4DC0-9EA0-3AF9736B1F0D}"/>
              </c:ext>
            </c:extLst>
          </c:dPt>
          <c:dPt>
            <c:idx val="5"/>
            <c:bubble3D val="0"/>
            <c:spPr>
              <a:solidFill>
                <a:srgbClr val="83A2D9"/>
              </a:solidFill>
              <a:ln w="3175">
                <a:solidFill>
                  <a:schemeClr val="bg1">
                    <a:lumMod val="50000"/>
                  </a:schemeClr>
                </a:solidFill>
              </a:ln>
            </c:spPr>
            <c:extLst>
              <c:ext xmlns:c16="http://schemas.microsoft.com/office/drawing/2014/chart" uri="{C3380CC4-5D6E-409C-BE32-E72D297353CC}">
                <c16:uniqueId val="{00000058-AF92-4DC0-9EA0-3AF9736B1F0D}"/>
              </c:ext>
            </c:extLst>
          </c:dPt>
          <c:dPt>
            <c:idx val="6"/>
            <c:bubble3D val="0"/>
            <c:spPr>
              <a:solidFill>
                <a:srgbClr val="93FFC4"/>
              </a:solidFill>
              <a:ln w="3175">
                <a:solidFill>
                  <a:schemeClr val="bg1">
                    <a:lumMod val="50000"/>
                  </a:schemeClr>
                </a:solidFill>
              </a:ln>
            </c:spPr>
            <c:extLst>
              <c:ext xmlns:c16="http://schemas.microsoft.com/office/drawing/2014/chart" uri="{C3380CC4-5D6E-409C-BE32-E72D297353CC}">
                <c16:uniqueId val="{0000005A-AF92-4DC0-9EA0-3AF9736B1F0D}"/>
              </c:ext>
            </c:extLst>
          </c:dPt>
          <c:dPt>
            <c:idx val="7"/>
            <c:bubble3D val="0"/>
            <c:spPr>
              <a:solidFill>
                <a:srgbClr val="6DA945"/>
              </a:solidFill>
              <a:ln w="3175">
                <a:solidFill>
                  <a:schemeClr val="bg1">
                    <a:lumMod val="50000"/>
                  </a:schemeClr>
                </a:solidFill>
              </a:ln>
            </c:spPr>
            <c:extLst>
              <c:ext xmlns:c16="http://schemas.microsoft.com/office/drawing/2014/chart" uri="{C3380CC4-5D6E-409C-BE32-E72D297353CC}">
                <c16:uniqueId val="{0000005C-AF92-4DC0-9EA0-3AF9736B1F0D}"/>
              </c:ext>
            </c:extLst>
          </c:dPt>
          <c:dPt>
            <c:idx val="8"/>
            <c:bubble3D val="0"/>
            <c:spPr>
              <a:solidFill>
                <a:schemeClr val="bg2"/>
              </a:solidFill>
              <a:ln w="3175">
                <a:solidFill>
                  <a:schemeClr val="bg1">
                    <a:lumMod val="50000"/>
                  </a:schemeClr>
                </a:solidFill>
              </a:ln>
            </c:spPr>
            <c:extLst>
              <c:ext xmlns:c16="http://schemas.microsoft.com/office/drawing/2014/chart" uri="{C3380CC4-5D6E-409C-BE32-E72D297353CC}">
                <c16:uniqueId val="{0000005E-AF92-4DC0-9EA0-3AF9736B1F0D}"/>
              </c:ext>
            </c:extLst>
          </c:dPt>
          <c:dPt>
            <c:idx val="10"/>
            <c:bubble3D val="0"/>
            <c:spPr>
              <a:solidFill>
                <a:srgbClr val="FF6969"/>
              </a:solidFill>
              <a:ln w="3175">
                <a:solidFill>
                  <a:schemeClr val="bg1">
                    <a:lumMod val="50000"/>
                  </a:schemeClr>
                </a:solidFill>
              </a:ln>
            </c:spPr>
            <c:extLst>
              <c:ext xmlns:c16="http://schemas.microsoft.com/office/drawing/2014/chart" uri="{C3380CC4-5D6E-409C-BE32-E72D297353CC}">
                <c16:uniqueId val="{00000060-AF92-4DC0-9EA0-3AF9736B1F0D}"/>
              </c:ext>
            </c:extLst>
          </c:dPt>
          <c:dPt>
            <c:idx val="11"/>
            <c:bubble3D val="0"/>
            <c:spPr>
              <a:solidFill>
                <a:srgbClr val="C00000"/>
              </a:solidFill>
              <a:ln w="3175">
                <a:solidFill>
                  <a:schemeClr val="bg1">
                    <a:lumMod val="50000"/>
                  </a:schemeClr>
                </a:solidFill>
              </a:ln>
            </c:spPr>
            <c:extLst>
              <c:ext xmlns:c16="http://schemas.microsoft.com/office/drawing/2014/chart" uri="{C3380CC4-5D6E-409C-BE32-E72D297353CC}">
                <c16:uniqueId val="{00000062-AF92-4DC0-9EA0-3AF9736B1F0D}"/>
              </c:ext>
            </c:extLst>
          </c:dPt>
          <c:dPt>
            <c:idx val="12"/>
            <c:bubble3D val="0"/>
            <c:spPr>
              <a:solidFill>
                <a:schemeClr val="bg2">
                  <a:lumMod val="90000"/>
                </a:schemeClr>
              </a:solidFill>
              <a:ln w="3175">
                <a:solidFill>
                  <a:schemeClr val="bg1">
                    <a:lumMod val="50000"/>
                  </a:schemeClr>
                </a:solidFill>
              </a:ln>
            </c:spPr>
            <c:extLst>
              <c:ext xmlns:c16="http://schemas.microsoft.com/office/drawing/2014/chart" uri="{C3380CC4-5D6E-409C-BE32-E72D297353CC}">
                <c16:uniqueId val="{00000064-AF92-4DC0-9EA0-3AF9736B1F0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'GRAF-2-Odvětví-ČR-CIZ'!$C$102:$O$102</c:f>
              <c:numCache>
                <c:formatCode>#\ ##0.0_ ;\-#\ ##0.0\ ;\-\ </c:formatCode>
                <c:ptCount val="13"/>
                <c:pt idx="0">
                  <c:v>2.558242657843572</c:v>
                </c:pt>
                <c:pt idx="1">
                  <c:v>25.302725381178153</c:v>
                </c:pt>
                <c:pt idx="2" formatCode="#\ ##0.0_ ;\-#\ ##0.0\ ">
                  <c:v>0.58327932598833443</c:v>
                </c:pt>
                <c:pt idx="3">
                  <c:v>16.167240850018761</c:v>
                </c:pt>
                <c:pt idx="4">
                  <c:v>15.867073711498449</c:v>
                </c:pt>
                <c:pt idx="5">
                  <c:v>6.675307841866494</c:v>
                </c:pt>
                <c:pt idx="6" formatCode="#\ ##0.0_ ;\-#\ ##0.0\ ">
                  <c:v>6.698332025787086</c:v>
                </c:pt>
                <c:pt idx="7">
                  <c:v>3.657434253163693</c:v>
                </c:pt>
                <c:pt idx="8">
                  <c:v>15.246273493195076</c:v>
                </c:pt>
                <c:pt idx="9">
                  <c:v>5.2870348262100485E-2</c:v>
                </c:pt>
                <c:pt idx="10">
                  <c:v>1.37036531705154</c:v>
                </c:pt>
                <c:pt idx="11">
                  <c:v>0.98151243305931701</c:v>
                </c:pt>
                <c:pt idx="12" formatCode="#\ ##0.0_ ;\-#\ ##0.0\ ">
                  <c:v>4.8393423610874233</c:v>
                </c:pt>
              </c:numCache>
            </c:numRef>
          </c:val>
          <c:extLst>
            <c:ext xmlns:c16="http://schemas.microsoft.com/office/drawing/2014/chart" uri="{C3380CC4-5D6E-409C-BE32-E72D297353CC}">
              <c16:uniqueId val="{00000065-AF92-4DC0-9EA0-3AF9736B1F0D}"/>
            </c:ext>
          </c:extLst>
        </c:ser>
        <c:dLbls>
          <c:showLegendKey val="0"/>
          <c:showVal val="0"/>
          <c:showCatName val="0"/>
          <c:showSerName val="0"/>
          <c:showPercent val="0"/>
          <c:showBubbleSize val="0"/>
          <c:showLeaderLines val="1"/>
        </c:dLbls>
        <c:firstSliceAng val="0"/>
        <c:holeSize val="50"/>
      </c:doughnutChart>
    </c:plotArea>
    <c:legend>
      <c:legendPos val="r"/>
      <c:legendEntry>
        <c:idx val="1"/>
        <c:delete val="1"/>
      </c:legendEntry>
      <c:legendEntry>
        <c:idx val="3"/>
        <c:delete val="1"/>
      </c:legendEntry>
      <c:legendEntry>
        <c:idx val="5"/>
        <c:delete val="1"/>
      </c:legendEntry>
      <c:legendEntry>
        <c:idx val="7"/>
        <c:delete val="1"/>
      </c:legendEntry>
      <c:legendEntry>
        <c:idx val="9"/>
        <c:delete val="1"/>
      </c:legendEntry>
      <c:legendEntry>
        <c:idx val="11"/>
        <c:delete val="1"/>
      </c:legendEntry>
      <c:layout>
        <c:manualLayout>
          <c:xMode val="edge"/>
          <c:yMode val="edge"/>
          <c:x val="0.27326281783574358"/>
          <c:y val="0.7393671487183715"/>
          <c:w val="0.70910319519605325"/>
          <c:h val="0.2529255209502389"/>
        </c:manualLayout>
      </c:layout>
      <c:overlay val="0"/>
      <c:txPr>
        <a:bodyPr/>
        <a:lstStyle/>
        <a:p>
          <a:pPr>
            <a:defRPr sz="800">
              <a:latin typeface="Arial" pitchFamily="34" charset="0"/>
              <a:cs typeface="Arial" pitchFamily="34" charset="0"/>
            </a:defRPr>
          </a:pPr>
          <a:endParaRPr lang="cs-CZ"/>
        </a:p>
      </c:txPr>
    </c:legend>
    <c:plotVisOnly val="1"/>
    <c:dispBlanksAs val="zero"/>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009902914075967E-3"/>
          <c:y val="5.609250465344242E-2"/>
          <c:w val="0.98928719199905735"/>
          <c:h val="0.67597128375835558"/>
        </c:manualLayout>
      </c:layout>
      <c:doughnutChart>
        <c:varyColors val="1"/>
        <c:ser>
          <c:idx val="0"/>
          <c:order val="0"/>
          <c:tx>
            <c:strRef>
              <c:f>'GRAF-2-Odvětví-ČR-CIZ'!$B$103</c:f>
              <c:strCache>
                <c:ptCount val="1"/>
                <c:pt idx="0">
                  <c:v>Celé NH</c:v>
                </c:pt>
              </c:strCache>
            </c:strRef>
          </c:tx>
          <c:spPr>
            <a:ln w="15875">
              <a:solidFill>
                <a:schemeClr val="tx1">
                  <a:lumMod val="95000"/>
                  <a:lumOff val="5000"/>
                </a:schemeClr>
              </a:solidFill>
            </a:ln>
          </c:spPr>
          <c:dPt>
            <c:idx val="0"/>
            <c:bubble3D val="0"/>
            <c:spPr>
              <a:solidFill>
                <a:srgbClr val="C89058"/>
              </a:solidFill>
              <a:ln w="15875">
                <a:solidFill>
                  <a:schemeClr val="tx1">
                    <a:lumMod val="95000"/>
                    <a:lumOff val="5000"/>
                  </a:schemeClr>
                </a:solidFill>
              </a:ln>
            </c:spPr>
            <c:extLst>
              <c:ext xmlns:c16="http://schemas.microsoft.com/office/drawing/2014/chart" uri="{C3380CC4-5D6E-409C-BE32-E72D297353CC}">
                <c16:uniqueId val="{00000001-0560-46E6-9F7F-B5FD18EADFFD}"/>
              </c:ext>
            </c:extLst>
          </c:dPt>
          <c:dPt>
            <c:idx val="1"/>
            <c:bubble3D val="0"/>
            <c:spPr>
              <a:solidFill>
                <a:srgbClr val="B2B2B2"/>
              </a:solidFill>
              <a:ln w="15875">
                <a:solidFill>
                  <a:schemeClr val="tx1">
                    <a:lumMod val="95000"/>
                    <a:lumOff val="5000"/>
                  </a:schemeClr>
                </a:solidFill>
              </a:ln>
            </c:spPr>
            <c:extLst>
              <c:ext xmlns:c16="http://schemas.microsoft.com/office/drawing/2014/chart" uri="{C3380CC4-5D6E-409C-BE32-E72D297353CC}">
                <c16:uniqueId val="{00000003-0560-46E6-9F7F-B5FD18EADFFD}"/>
              </c:ext>
            </c:extLst>
          </c:dPt>
          <c:dPt>
            <c:idx val="2"/>
            <c:bubble3D val="0"/>
            <c:spPr>
              <a:solidFill>
                <a:schemeClr val="bg1">
                  <a:lumMod val="50000"/>
                </a:schemeClr>
              </a:solidFill>
              <a:ln w="15875">
                <a:solidFill>
                  <a:schemeClr val="tx1">
                    <a:lumMod val="95000"/>
                    <a:lumOff val="5000"/>
                  </a:schemeClr>
                </a:solidFill>
              </a:ln>
            </c:spPr>
            <c:extLst>
              <c:ext xmlns:c16="http://schemas.microsoft.com/office/drawing/2014/chart" uri="{C3380CC4-5D6E-409C-BE32-E72D297353CC}">
                <c16:uniqueId val="{00000005-0560-46E6-9F7F-B5FD18EADFFD}"/>
              </c:ext>
            </c:extLst>
          </c:dPt>
          <c:dPt>
            <c:idx val="3"/>
            <c:bubble3D val="0"/>
            <c:spPr>
              <a:solidFill>
                <a:schemeClr val="bg2">
                  <a:lumMod val="25000"/>
                </a:schemeClr>
              </a:solidFill>
              <a:ln w="15875">
                <a:solidFill>
                  <a:schemeClr val="tx1">
                    <a:lumMod val="95000"/>
                    <a:lumOff val="5000"/>
                  </a:schemeClr>
                </a:solidFill>
              </a:ln>
            </c:spPr>
            <c:extLst>
              <c:ext xmlns:c16="http://schemas.microsoft.com/office/drawing/2014/chart" uri="{C3380CC4-5D6E-409C-BE32-E72D297353CC}">
                <c16:uniqueId val="{00000007-0560-46E6-9F7F-B5FD18EADFFD}"/>
              </c:ext>
            </c:extLst>
          </c:dPt>
          <c:dPt>
            <c:idx val="4"/>
            <c:bubble3D val="0"/>
            <c:spPr>
              <a:solidFill>
                <a:srgbClr val="98C0E4"/>
              </a:solidFill>
              <a:ln w="15875">
                <a:solidFill>
                  <a:schemeClr val="tx1">
                    <a:lumMod val="95000"/>
                    <a:lumOff val="5000"/>
                  </a:schemeClr>
                </a:solidFill>
              </a:ln>
            </c:spPr>
            <c:extLst>
              <c:ext xmlns:c16="http://schemas.microsoft.com/office/drawing/2014/chart" uri="{C3380CC4-5D6E-409C-BE32-E72D297353CC}">
                <c16:uniqueId val="{00000009-0560-46E6-9F7F-B5FD18EADFFD}"/>
              </c:ext>
            </c:extLst>
          </c:dPt>
          <c:dPt>
            <c:idx val="5"/>
            <c:bubble3D val="0"/>
            <c:spPr>
              <a:solidFill>
                <a:srgbClr val="83A2D9"/>
              </a:solidFill>
              <a:ln w="15875">
                <a:solidFill>
                  <a:schemeClr val="tx1">
                    <a:lumMod val="95000"/>
                    <a:lumOff val="5000"/>
                  </a:schemeClr>
                </a:solidFill>
              </a:ln>
            </c:spPr>
            <c:extLst>
              <c:ext xmlns:c16="http://schemas.microsoft.com/office/drawing/2014/chart" uri="{C3380CC4-5D6E-409C-BE32-E72D297353CC}">
                <c16:uniqueId val="{0000000B-0560-46E6-9F7F-B5FD18EADFFD}"/>
              </c:ext>
            </c:extLst>
          </c:dPt>
          <c:dPt>
            <c:idx val="6"/>
            <c:bubble3D val="0"/>
            <c:spPr>
              <a:solidFill>
                <a:srgbClr val="93FFC4"/>
              </a:solidFill>
              <a:ln w="15875">
                <a:solidFill>
                  <a:schemeClr val="tx1">
                    <a:lumMod val="95000"/>
                    <a:lumOff val="5000"/>
                  </a:schemeClr>
                </a:solidFill>
              </a:ln>
            </c:spPr>
            <c:extLst>
              <c:ext xmlns:c16="http://schemas.microsoft.com/office/drawing/2014/chart" uri="{C3380CC4-5D6E-409C-BE32-E72D297353CC}">
                <c16:uniqueId val="{0000000D-0560-46E6-9F7F-B5FD18EADFFD}"/>
              </c:ext>
            </c:extLst>
          </c:dPt>
          <c:dPt>
            <c:idx val="7"/>
            <c:bubble3D val="0"/>
            <c:spPr>
              <a:solidFill>
                <a:srgbClr val="6DA945"/>
              </a:solidFill>
              <a:ln w="15875">
                <a:solidFill>
                  <a:schemeClr val="tx1">
                    <a:lumMod val="95000"/>
                    <a:lumOff val="5000"/>
                  </a:schemeClr>
                </a:solidFill>
              </a:ln>
            </c:spPr>
            <c:extLst>
              <c:ext xmlns:c16="http://schemas.microsoft.com/office/drawing/2014/chart" uri="{C3380CC4-5D6E-409C-BE32-E72D297353CC}">
                <c16:uniqueId val="{0000000F-0560-46E6-9F7F-B5FD18EADFFD}"/>
              </c:ext>
            </c:extLst>
          </c:dPt>
          <c:dPt>
            <c:idx val="8"/>
            <c:bubble3D val="0"/>
            <c:spPr>
              <a:solidFill>
                <a:schemeClr val="bg2"/>
              </a:solidFill>
              <a:ln w="15875">
                <a:solidFill>
                  <a:schemeClr val="tx1">
                    <a:lumMod val="95000"/>
                    <a:lumOff val="5000"/>
                  </a:schemeClr>
                </a:solidFill>
              </a:ln>
            </c:spPr>
            <c:extLst>
              <c:ext xmlns:c16="http://schemas.microsoft.com/office/drawing/2014/chart" uri="{C3380CC4-5D6E-409C-BE32-E72D297353CC}">
                <c16:uniqueId val="{00000011-0560-46E6-9F7F-B5FD18EADFFD}"/>
              </c:ext>
            </c:extLst>
          </c:dPt>
          <c:dPt>
            <c:idx val="9"/>
            <c:bubble3D val="0"/>
            <c:spPr>
              <a:solidFill>
                <a:srgbClr val="FFC000"/>
              </a:solidFill>
              <a:ln w="15875">
                <a:solidFill>
                  <a:schemeClr val="tx1">
                    <a:lumMod val="95000"/>
                    <a:lumOff val="5000"/>
                  </a:schemeClr>
                </a:solidFill>
              </a:ln>
            </c:spPr>
            <c:extLst>
              <c:ext xmlns:c16="http://schemas.microsoft.com/office/drawing/2014/chart" uri="{C3380CC4-5D6E-409C-BE32-E72D297353CC}">
                <c16:uniqueId val="{00000013-0560-46E6-9F7F-B5FD18EADFFD}"/>
              </c:ext>
            </c:extLst>
          </c:dPt>
          <c:dPt>
            <c:idx val="10"/>
            <c:bubble3D val="0"/>
            <c:spPr>
              <a:solidFill>
                <a:srgbClr val="FF6969"/>
              </a:solidFill>
              <a:ln w="15875">
                <a:solidFill>
                  <a:schemeClr val="tx1">
                    <a:lumMod val="95000"/>
                    <a:lumOff val="5000"/>
                  </a:schemeClr>
                </a:solidFill>
              </a:ln>
            </c:spPr>
            <c:extLst>
              <c:ext xmlns:c16="http://schemas.microsoft.com/office/drawing/2014/chart" uri="{C3380CC4-5D6E-409C-BE32-E72D297353CC}">
                <c16:uniqueId val="{00000015-0560-46E6-9F7F-B5FD18EADFFD}"/>
              </c:ext>
            </c:extLst>
          </c:dPt>
          <c:dPt>
            <c:idx val="11"/>
            <c:bubble3D val="0"/>
            <c:explosion val="1"/>
            <c:spPr>
              <a:solidFill>
                <a:srgbClr val="C00000"/>
              </a:solidFill>
              <a:ln w="15875">
                <a:solidFill>
                  <a:schemeClr val="tx1">
                    <a:lumMod val="95000"/>
                    <a:lumOff val="5000"/>
                  </a:schemeClr>
                </a:solidFill>
              </a:ln>
            </c:spPr>
            <c:extLst>
              <c:ext xmlns:c16="http://schemas.microsoft.com/office/drawing/2014/chart" uri="{C3380CC4-5D6E-409C-BE32-E72D297353CC}">
                <c16:uniqueId val="{00000017-0560-46E6-9F7F-B5FD18EADFFD}"/>
              </c:ext>
            </c:extLst>
          </c:dPt>
          <c:dPt>
            <c:idx val="12"/>
            <c:bubble3D val="0"/>
            <c:spPr>
              <a:solidFill>
                <a:schemeClr val="bg2">
                  <a:lumMod val="90000"/>
                </a:schemeClr>
              </a:solidFill>
              <a:ln w="15875">
                <a:solidFill>
                  <a:schemeClr val="tx1">
                    <a:lumMod val="95000"/>
                    <a:lumOff val="5000"/>
                  </a:schemeClr>
                </a:solidFill>
              </a:ln>
            </c:spPr>
            <c:extLst>
              <c:ext xmlns:c16="http://schemas.microsoft.com/office/drawing/2014/chart" uri="{C3380CC4-5D6E-409C-BE32-E72D297353CC}">
                <c16:uniqueId val="{00000019-0560-46E6-9F7F-B5FD18EADFF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'GRAF-2-Odvětví-ČR-CIZ'!$C$103:$O$103</c:f>
              <c:numCache>
                <c:formatCode>#\ ##0.0_ ;\-#\ ##0.0\ ;\-\ </c:formatCode>
                <c:ptCount val="13"/>
                <c:pt idx="0">
                  <c:v>1.6061737483224494</c:v>
                </c:pt>
                <c:pt idx="1">
                  <c:v>23.655535487258138</c:v>
                </c:pt>
                <c:pt idx="2" formatCode="#\ ##0.0_ ;\-#\ ##0.0\ ">
                  <c:v>1.3694951520439815</c:v>
                </c:pt>
                <c:pt idx="3">
                  <c:v>1.2298028231441664</c:v>
                </c:pt>
                <c:pt idx="4">
                  <c:v>18.467015309043216</c:v>
                </c:pt>
                <c:pt idx="5">
                  <c:v>4.0085915336842071</c:v>
                </c:pt>
                <c:pt idx="6" formatCode="#\ ##0.0_ ;\-#\ ##0.0\ ">
                  <c:v>5.0254514499645895</c:v>
                </c:pt>
                <c:pt idx="7">
                  <c:v>3.8873266414556076</c:v>
                </c:pt>
                <c:pt idx="8">
                  <c:v>2.7560456292844484</c:v>
                </c:pt>
                <c:pt idx="9">
                  <c:v>8.1842971913387874</c:v>
                </c:pt>
                <c:pt idx="10">
                  <c:v>12.983098793970433</c:v>
                </c:pt>
                <c:pt idx="11">
                  <c:v>13.487165103458043</c:v>
                </c:pt>
                <c:pt idx="12" formatCode="#\ ##0.0_ ;\-#\ ##0.0\ ">
                  <c:v>3.340001137031932</c:v>
                </c:pt>
              </c:numCache>
            </c:numRef>
          </c:val>
          <c:extLst>
            <c:ext xmlns:c16="http://schemas.microsoft.com/office/drawing/2014/chart" uri="{C3380CC4-5D6E-409C-BE32-E72D297353CC}">
              <c16:uniqueId val="{0000001A-0560-46E6-9F7F-B5FD18EADFFD}"/>
            </c:ext>
          </c:extLst>
        </c:ser>
        <c:ser>
          <c:idx val="1"/>
          <c:order val="1"/>
          <c:tx>
            <c:strRef>
              <c:f>'GRAF-2-Odvětví-ČR-CIZ'!$B$104</c:f>
              <c:strCache>
                <c:ptCount val="1"/>
                <c:pt idx="0">
                  <c:v>Cizinci z EU15</c:v>
                </c:pt>
              </c:strCache>
            </c:strRef>
          </c:tx>
          <c:spPr>
            <a:ln w="6350">
              <a:solidFill>
                <a:srgbClr val="7F7F7F"/>
              </a:solidFill>
            </a:ln>
          </c:spPr>
          <c:dPt>
            <c:idx val="0"/>
            <c:bubble3D val="0"/>
            <c:spPr>
              <a:solidFill>
                <a:srgbClr val="C89058"/>
              </a:solidFill>
              <a:ln w="6350">
                <a:solidFill>
                  <a:srgbClr val="7F7F7F"/>
                </a:solidFill>
              </a:ln>
            </c:spPr>
            <c:extLst>
              <c:ext xmlns:c16="http://schemas.microsoft.com/office/drawing/2014/chart" uri="{C3380CC4-5D6E-409C-BE32-E72D297353CC}">
                <c16:uniqueId val="{0000001C-0560-46E6-9F7F-B5FD18EADFFD}"/>
              </c:ext>
            </c:extLst>
          </c:dPt>
          <c:dPt>
            <c:idx val="1"/>
            <c:bubble3D val="0"/>
            <c:spPr>
              <a:solidFill>
                <a:srgbClr val="B2B2B2"/>
              </a:solidFill>
              <a:ln w="6350">
                <a:solidFill>
                  <a:srgbClr val="7F7F7F"/>
                </a:solidFill>
              </a:ln>
            </c:spPr>
            <c:extLst>
              <c:ext xmlns:c16="http://schemas.microsoft.com/office/drawing/2014/chart" uri="{C3380CC4-5D6E-409C-BE32-E72D297353CC}">
                <c16:uniqueId val="{0000001E-0560-46E6-9F7F-B5FD18EADFFD}"/>
              </c:ext>
            </c:extLst>
          </c:dPt>
          <c:dPt>
            <c:idx val="2"/>
            <c:bubble3D val="0"/>
            <c:spPr>
              <a:solidFill>
                <a:srgbClr val="7F7F7F"/>
              </a:solidFill>
              <a:ln w="6350">
                <a:solidFill>
                  <a:srgbClr val="7F7F7F"/>
                </a:solidFill>
              </a:ln>
            </c:spPr>
            <c:extLst>
              <c:ext xmlns:c16="http://schemas.microsoft.com/office/drawing/2014/chart" uri="{C3380CC4-5D6E-409C-BE32-E72D297353CC}">
                <c16:uniqueId val="{00000020-0560-46E6-9F7F-B5FD18EADFFD}"/>
              </c:ext>
            </c:extLst>
          </c:dPt>
          <c:dPt>
            <c:idx val="3"/>
            <c:bubble3D val="0"/>
            <c:spPr>
              <a:solidFill>
                <a:srgbClr val="3B3838"/>
              </a:solidFill>
              <a:ln w="6350">
                <a:solidFill>
                  <a:srgbClr val="7F7F7F"/>
                </a:solidFill>
              </a:ln>
            </c:spPr>
            <c:extLst>
              <c:ext xmlns:c16="http://schemas.microsoft.com/office/drawing/2014/chart" uri="{C3380CC4-5D6E-409C-BE32-E72D297353CC}">
                <c16:uniqueId val="{00000022-0560-46E6-9F7F-B5FD18EADFFD}"/>
              </c:ext>
            </c:extLst>
          </c:dPt>
          <c:dPt>
            <c:idx val="4"/>
            <c:bubble3D val="0"/>
            <c:spPr>
              <a:solidFill>
                <a:srgbClr val="98C0E4"/>
              </a:solidFill>
              <a:ln w="6350">
                <a:solidFill>
                  <a:srgbClr val="7F7F7F"/>
                </a:solidFill>
              </a:ln>
            </c:spPr>
            <c:extLst>
              <c:ext xmlns:c16="http://schemas.microsoft.com/office/drawing/2014/chart" uri="{C3380CC4-5D6E-409C-BE32-E72D297353CC}">
                <c16:uniqueId val="{00000024-0560-46E6-9F7F-B5FD18EADFFD}"/>
              </c:ext>
            </c:extLst>
          </c:dPt>
          <c:dPt>
            <c:idx val="5"/>
            <c:bubble3D val="0"/>
            <c:spPr>
              <a:solidFill>
                <a:srgbClr val="83A2D9"/>
              </a:solidFill>
              <a:ln w="6350">
                <a:solidFill>
                  <a:srgbClr val="7F7F7F"/>
                </a:solidFill>
              </a:ln>
            </c:spPr>
            <c:extLst>
              <c:ext xmlns:c16="http://schemas.microsoft.com/office/drawing/2014/chart" uri="{C3380CC4-5D6E-409C-BE32-E72D297353CC}">
                <c16:uniqueId val="{00000026-0560-46E6-9F7F-B5FD18EADFFD}"/>
              </c:ext>
            </c:extLst>
          </c:dPt>
          <c:dPt>
            <c:idx val="6"/>
            <c:bubble3D val="0"/>
            <c:spPr>
              <a:solidFill>
                <a:srgbClr val="93FFC4"/>
              </a:solidFill>
              <a:ln w="6350">
                <a:solidFill>
                  <a:srgbClr val="7F7F7F"/>
                </a:solidFill>
              </a:ln>
            </c:spPr>
            <c:extLst>
              <c:ext xmlns:c16="http://schemas.microsoft.com/office/drawing/2014/chart" uri="{C3380CC4-5D6E-409C-BE32-E72D297353CC}">
                <c16:uniqueId val="{00000028-0560-46E6-9F7F-B5FD18EADFFD}"/>
              </c:ext>
            </c:extLst>
          </c:dPt>
          <c:dPt>
            <c:idx val="7"/>
            <c:bubble3D val="0"/>
            <c:spPr>
              <a:solidFill>
                <a:srgbClr val="6DA945"/>
              </a:solidFill>
              <a:ln w="6350">
                <a:solidFill>
                  <a:srgbClr val="7F7F7F"/>
                </a:solidFill>
              </a:ln>
            </c:spPr>
            <c:extLst>
              <c:ext xmlns:c16="http://schemas.microsoft.com/office/drawing/2014/chart" uri="{C3380CC4-5D6E-409C-BE32-E72D297353CC}">
                <c16:uniqueId val="{0000002A-0560-46E6-9F7F-B5FD18EADFFD}"/>
              </c:ext>
            </c:extLst>
          </c:dPt>
          <c:dPt>
            <c:idx val="8"/>
            <c:bubble3D val="0"/>
            <c:spPr>
              <a:solidFill>
                <a:srgbClr val="E7E6E6"/>
              </a:solidFill>
              <a:ln w="6350">
                <a:solidFill>
                  <a:srgbClr val="7F7F7F"/>
                </a:solidFill>
              </a:ln>
            </c:spPr>
            <c:extLst>
              <c:ext xmlns:c16="http://schemas.microsoft.com/office/drawing/2014/chart" uri="{C3380CC4-5D6E-409C-BE32-E72D297353CC}">
                <c16:uniqueId val="{0000002C-0560-46E6-9F7F-B5FD18EADFFD}"/>
              </c:ext>
            </c:extLst>
          </c:dPt>
          <c:dPt>
            <c:idx val="9"/>
            <c:bubble3D val="0"/>
            <c:spPr>
              <a:solidFill>
                <a:srgbClr val="FFC000"/>
              </a:solidFill>
              <a:ln w="6350">
                <a:solidFill>
                  <a:srgbClr val="7F7F7F"/>
                </a:solidFill>
              </a:ln>
            </c:spPr>
            <c:extLst>
              <c:ext xmlns:c16="http://schemas.microsoft.com/office/drawing/2014/chart" uri="{C3380CC4-5D6E-409C-BE32-E72D297353CC}">
                <c16:uniqueId val="{0000002E-0560-46E6-9F7F-B5FD18EADFFD}"/>
              </c:ext>
            </c:extLst>
          </c:dPt>
          <c:dPt>
            <c:idx val="10"/>
            <c:bubble3D val="0"/>
            <c:spPr>
              <a:solidFill>
                <a:srgbClr val="FF6969"/>
              </a:solidFill>
              <a:ln w="3175">
                <a:solidFill>
                  <a:srgbClr val="7F7F7F"/>
                </a:solidFill>
              </a:ln>
            </c:spPr>
            <c:extLst>
              <c:ext xmlns:c16="http://schemas.microsoft.com/office/drawing/2014/chart" uri="{C3380CC4-5D6E-409C-BE32-E72D297353CC}">
                <c16:uniqueId val="{00000030-0560-46E6-9F7F-B5FD18EADFFD}"/>
              </c:ext>
            </c:extLst>
          </c:dPt>
          <c:dPt>
            <c:idx val="11"/>
            <c:bubble3D val="0"/>
            <c:spPr>
              <a:solidFill>
                <a:srgbClr val="C00000"/>
              </a:solidFill>
              <a:ln w="6350">
                <a:solidFill>
                  <a:srgbClr val="7F7F7F"/>
                </a:solidFill>
              </a:ln>
            </c:spPr>
            <c:extLst>
              <c:ext xmlns:c16="http://schemas.microsoft.com/office/drawing/2014/chart" uri="{C3380CC4-5D6E-409C-BE32-E72D297353CC}">
                <c16:uniqueId val="{00000032-0560-46E6-9F7F-B5FD18EADFFD}"/>
              </c:ext>
            </c:extLst>
          </c:dPt>
          <c:dPt>
            <c:idx val="12"/>
            <c:bubble3D val="0"/>
            <c:spPr>
              <a:solidFill>
                <a:srgbClr val="E7E6E6">
                  <a:lumMod val="90000"/>
                </a:srgbClr>
              </a:solidFill>
              <a:ln w="6350">
                <a:solidFill>
                  <a:srgbClr val="7F7F7F"/>
                </a:solidFill>
              </a:ln>
            </c:spPr>
            <c:extLst>
              <c:ext xmlns:c16="http://schemas.microsoft.com/office/drawing/2014/chart" uri="{C3380CC4-5D6E-409C-BE32-E72D297353CC}">
                <c16:uniqueId val="{00000034-0560-46E6-9F7F-B5FD18EADFF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'GRAF-2-Odvětví-ČR-CIZ'!$C$104:$O$104</c:f>
              <c:numCache>
                <c:formatCode>#\ ##0.0_ ;\-#\ ##0.0\ ;\-\ </c:formatCode>
                <c:ptCount val="13"/>
                <c:pt idx="0">
                  <c:v>1.6345860067216622</c:v>
                </c:pt>
                <c:pt idx="1">
                  <c:v>7.9285059578368466</c:v>
                </c:pt>
                <c:pt idx="2" formatCode="#\ ##0.0_ ;\-#\ ##0.0\ ">
                  <c:v>0.99297280782157038</c:v>
                </c:pt>
                <c:pt idx="3">
                  <c:v>0.77910174152153988</c:v>
                </c:pt>
                <c:pt idx="4">
                  <c:v>14.268255423159182</c:v>
                </c:pt>
                <c:pt idx="5">
                  <c:v>2.1387106630003054</c:v>
                </c:pt>
                <c:pt idx="6" formatCode="#\ ##0.0_ ;\-#\ ##0.0\ ">
                  <c:v>16.193095019859456</c:v>
                </c:pt>
                <c:pt idx="7">
                  <c:v>16.74304919034525</c:v>
                </c:pt>
                <c:pt idx="8">
                  <c:v>18.026275588145431</c:v>
                </c:pt>
                <c:pt idx="9">
                  <c:v>0.3971891231286282</c:v>
                </c:pt>
                <c:pt idx="10">
                  <c:v>15.139016193095021</c:v>
                </c:pt>
                <c:pt idx="11">
                  <c:v>0.88603727467155524</c:v>
                </c:pt>
                <c:pt idx="12" formatCode="#\ ##0.0_ ;\-#\ ##0.0\ ">
                  <c:v>4.8732050106935532</c:v>
                </c:pt>
              </c:numCache>
            </c:numRef>
          </c:val>
          <c:extLst>
            <c:ext xmlns:c16="http://schemas.microsoft.com/office/drawing/2014/chart" uri="{C3380CC4-5D6E-409C-BE32-E72D297353CC}">
              <c16:uniqueId val="{00000035-0560-46E6-9F7F-B5FD18EADFFD}"/>
            </c:ext>
          </c:extLst>
        </c:ser>
        <c:ser>
          <c:idx val="2"/>
          <c:order val="2"/>
          <c:tx>
            <c:strRef>
              <c:f>'GRAF-2-Odvětví-ČR-CIZ'!$B$105</c:f>
              <c:strCache>
                <c:ptCount val="1"/>
                <c:pt idx="0">
                  <c:v>Cizinci z EU13</c:v>
                </c:pt>
              </c:strCache>
            </c:strRef>
          </c:tx>
          <c:spPr>
            <a:ln w="3175">
              <a:solidFill>
                <a:sysClr val="window" lastClr="FFFFFF">
                  <a:lumMod val="50000"/>
                </a:sysClr>
              </a:solidFill>
            </a:ln>
          </c:spPr>
          <c:dPt>
            <c:idx val="0"/>
            <c:bubble3D val="0"/>
            <c:spPr>
              <a:solidFill>
                <a:srgbClr val="C89058"/>
              </a:solidFill>
              <a:ln w="3175">
                <a:solidFill>
                  <a:sysClr val="window" lastClr="FFFFFF">
                    <a:lumMod val="50000"/>
                  </a:sysClr>
                </a:solidFill>
              </a:ln>
            </c:spPr>
            <c:extLst>
              <c:ext xmlns:c16="http://schemas.microsoft.com/office/drawing/2014/chart" uri="{C3380CC4-5D6E-409C-BE32-E72D297353CC}">
                <c16:uniqueId val="{00000037-0560-46E6-9F7F-B5FD18EADFFD}"/>
              </c:ext>
            </c:extLst>
          </c:dPt>
          <c:dPt>
            <c:idx val="1"/>
            <c:bubble3D val="0"/>
            <c:spPr>
              <a:solidFill>
                <a:srgbClr val="B2B2B2"/>
              </a:solidFill>
              <a:ln w="3175">
                <a:solidFill>
                  <a:sysClr val="window" lastClr="FFFFFF">
                    <a:lumMod val="50000"/>
                  </a:sysClr>
                </a:solidFill>
              </a:ln>
            </c:spPr>
            <c:extLst>
              <c:ext xmlns:c16="http://schemas.microsoft.com/office/drawing/2014/chart" uri="{C3380CC4-5D6E-409C-BE32-E72D297353CC}">
                <c16:uniqueId val="{00000039-0560-46E6-9F7F-B5FD18EADFFD}"/>
              </c:ext>
            </c:extLst>
          </c:dPt>
          <c:dPt>
            <c:idx val="2"/>
            <c:bubble3D val="0"/>
            <c:spPr>
              <a:solidFill>
                <a:srgbClr val="7F7F7F"/>
              </a:solidFill>
              <a:ln w="3175">
                <a:solidFill>
                  <a:sysClr val="window" lastClr="FFFFFF">
                    <a:lumMod val="50000"/>
                  </a:sysClr>
                </a:solidFill>
              </a:ln>
            </c:spPr>
            <c:extLst>
              <c:ext xmlns:c16="http://schemas.microsoft.com/office/drawing/2014/chart" uri="{C3380CC4-5D6E-409C-BE32-E72D297353CC}">
                <c16:uniqueId val="{0000003B-0560-46E6-9F7F-B5FD18EADFFD}"/>
              </c:ext>
            </c:extLst>
          </c:dPt>
          <c:dPt>
            <c:idx val="3"/>
            <c:bubble3D val="0"/>
            <c:spPr>
              <a:solidFill>
                <a:srgbClr val="3B3838"/>
              </a:solidFill>
              <a:ln w="3175">
                <a:solidFill>
                  <a:sysClr val="window" lastClr="FFFFFF">
                    <a:lumMod val="50000"/>
                  </a:sysClr>
                </a:solidFill>
              </a:ln>
            </c:spPr>
            <c:extLst>
              <c:ext xmlns:c16="http://schemas.microsoft.com/office/drawing/2014/chart" uri="{C3380CC4-5D6E-409C-BE32-E72D297353CC}">
                <c16:uniqueId val="{0000003D-0560-46E6-9F7F-B5FD18EADFFD}"/>
              </c:ext>
            </c:extLst>
          </c:dPt>
          <c:dPt>
            <c:idx val="4"/>
            <c:bubble3D val="0"/>
            <c:spPr>
              <a:solidFill>
                <a:srgbClr val="98C0E4"/>
              </a:solidFill>
              <a:ln w="3175">
                <a:solidFill>
                  <a:sysClr val="window" lastClr="FFFFFF">
                    <a:lumMod val="50000"/>
                  </a:sysClr>
                </a:solidFill>
              </a:ln>
            </c:spPr>
            <c:extLst>
              <c:ext xmlns:c16="http://schemas.microsoft.com/office/drawing/2014/chart" uri="{C3380CC4-5D6E-409C-BE32-E72D297353CC}">
                <c16:uniqueId val="{0000003F-0560-46E6-9F7F-B5FD18EADFFD}"/>
              </c:ext>
            </c:extLst>
          </c:dPt>
          <c:dPt>
            <c:idx val="5"/>
            <c:bubble3D val="0"/>
            <c:spPr>
              <a:solidFill>
                <a:srgbClr val="83A2D9"/>
              </a:solidFill>
              <a:ln w="3175">
                <a:solidFill>
                  <a:sysClr val="window" lastClr="FFFFFF">
                    <a:lumMod val="50000"/>
                  </a:sysClr>
                </a:solidFill>
              </a:ln>
            </c:spPr>
            <c:extLst>
              <c:ext xmlns:c16="http://schemas.microsoft.com/office/drawing/2014/chart" uri="{C3380CC4-5D6E-409C-BE32-E72D297353CC}">
                <c16:uniqueId val="{00000041-0560-46E6-9F7F-B5FD18EADFFD}"/>
              </c:ext>
            </c:extLst>
          </c:dPt>
          <c:dPt>
            <c:idx val="6"/>
            <c:bubble3D val="0"/>
            <c:spPr>
              <a:solidFill>
                <a:srgbClr val="93FFC4"/>
              </a:solidFill>
              <a:ln w="3175">
                <a:solidFill>
                  <a:sysClr val="window" lastClr="FFFFFF">
                    <a:lumMod val="50000"/>
                  </a:sysClr>
                </a:solidFill>
              </a:ln>
            </c:spPr>
            <c:extLst>
              <c:ext xmlns:c16="http://schemas.microsoft.com/office/drawing/2014/chart" uri="{C3380CC4-5D6E-409C-BE32-E72D297353CC}">
                <c16:uniqueId val="{00000043-0560-46E6-9F7F-B5FD18EADFFD}"/>
              </c:ext>
            </c:extLst>
          </c:dPt>
          <c:dPt>
            <c:idx val="7"/>
            <c:bubble3D val="0"/>
            <c:spPr>
              <a:solidFill>
                <a:srgbClr val="6DA945"/>
              </a:solidFill>
              <a:ln w="3175">
                <a:solidFill>
                  <a:sysClr val="window" lastClr="FFFFFF">
                    <a:lumMod val="50000"/>
                  </a:sysClr>
                </a:solidFill>
              </a:ln>
            </c:spPr>
            <c:extLst>
              <c:ext xmlns:c16="http://schemas.microsoft.com/office/drawing/2014/chart" uri="{C3380CC4-5D6E-409C-BE32-E72D297353CC}">
                <c16:uniqueId val="{00000045-0560-46E6-9F7F-B5FD18EADFFD}"/>
              </c:ext>
            </c:extLst>
          </c:dPt>
          <c:dPt>
            <c:idx val="8"/>
            <c:bubble3D val="0"/>
            <c:spPr>
              <a:solidFill>
                <a:srgbClr val="E7E6E6"/>
              </a:solidFill>
              <a:ln w="3175">
                <a:solidFill>
                  <a:sysClr val="window" lastClr="FFFFFF">
                    <a:lumMod val="50000"/>
                  </a:sysClr>
                </a:solidFill>
              </a:ln>
            </c:spPr>
            <c:extLst>
              <c:ext xmlns:c16="http://schemas.microsoft.com/office/drawing/2014/chart" uri="{C3380CC4-5D6E-409C-BE32-E72D297353CC}">
                <c16:uniqueId val="{00000047-0560-46E6-9F7F-B5FD18EADFFD}"/>
              </c:ext>
            </c:extLst>
          </c:dPt>
          <c:dPt>
            <c:idx val="9"/>
            <c:bubble3D val="0"/>
            <c:spPr>
              <a:solidFill>
                <a:srgbClr val="FFC000"/>
              </a:solidFill>
              <a:ln w="3175">
                <a:solidFill>
                  <a:sysClr val="window" lastClr="FFFFFF">
                    <a:lumMod val="50000"/>
                  </a:sysClr>
                </a:solidFill>
              </a:ln>
            </c:spPr>
            <c:extLst>
              <c:ext xmlns:c16="http://schemas.microsoft.com/office/drawing/2014/chart" uri="{C3380CC4-5D6E-409C-BE32-E72D297353CC}">
                <c16:uniqueId val="{00000049-0560-46E6-9F7F-B5FD18EADFFD}"/>
              </c:ext>
            </c:extLst>
          </c:dPt>
          <c:dPt>
            <c:idx val="10"/>
            <c:bubble3D val="0"/>
            <c:spPr>
              <a:solidFill>
                <a:srgbClr val="FF6969"/>
              </a:solidFill>
              <a:ln w="3175">
                <a:solidFill>
                  <a:sysClr val="window" lastClr="FFFFFF">
                    <a:lumMod val="50000"/>
                  </a:sysClr>
                </a:solidFill>
              </a:ln>
            </c:spPr>
            <c:extLst>
              <c:ext xmlns:c16="http://schemas.microsoft.com/office/drawing/2014/chart" uri="{C3380CC4-5D6E-409C-BE32-E72D297353CC}">
                <c16:uniqueId val="{0000004B-0560-46E6-9F7F-B5FD18EADFFD}"/>
              </c:ext>
            </c:extLst>
          </c:dPt>
          <c:dPt>
            <c:idx val="11"/>
            <c:bubble3D val="0"/>
            <c:spPr>
              <a:solidFill>
                <a:srgbClr val="C00000"/>
              </a:solidFill>
              <a:ln w="3175">
                <a:solidFill>
                  <a:sysClr val="window" lastClr="FFFFFF">
                    <a:lumMod val="50000"/>
                  </a:sysClr>
                </a:solidFill>
              </a:ln>
            </c:spPr>
            <c:extLst>
              <c:ext xmlns:c16="http://schemas.microsoft.com/office/drawing/2014/chart" uri="{C3380CC4-5D6E-409C-BE32-E72D297353CC}">
                <c16:uniqueId val="{0000004D-0560-46E6-9F7F-B5FD18EADFFD}"/>
              </c:ext>
            </c:extLst>
          </c:dPt>
          <c:dPt>
            <c:idx val="12"/>
            <c:bubble3D val="0"/>
            <c:spPr>
              <a:solidFill>
                <a:srgbClr val="E7E6E6">
                  <a:lumMod val="90000"/>
                </a:srgbClr>
              </a:solidFill>
              <a:ln w="3175">
                <a:solidFill>
                  <a:sysClr val="window" lastClr="FFFFFF">
                    <a:lumMod val="50000"/>
                  </a:sysClr>
                </a:solidFill>
              </a:ln>
            </c:spPr>
            <c:extLst>
              <c:ext xmlns:c16="http://schemas.microsoft.com/office/drawing/2014/chart" uri="{C3380CC4-5D6E-409C-BE32-E72D297353CC}">
                <c16:uniqueId val="{0000004F-0560-46E6-9F7F-B5FD18EADFF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'GRAF-2-Odvětví-ČR-CIZ'!$C$105:$O$105</c:f>
              <c:numCache>
                <c:formatCode>#\ ##0.0_ ;\-#\ ##0.0\ ;\-\ </c:formatCode>
                <c:ptCount val="13"/>
                <c:pt idx="0">
                  <c:v>2.5172716353321007</c:v>
                </c:pt>
                <c:pt idx="1">
                  <c:v>30.239630629786436</c:v>
                </c:pt>
                <c:pt idx="2" formatCode="#\ ##0.0_ ;\-#\ ##0.0\ ">
                  <c:v>0.55967765293170568</c:v>
                </c:pt>
                <c:pt idx="3">
                  <c:v>1.503548032609529</c:v>
                </c:pt>
                <c:pt idx="4">
                  <c:v>17.693310276090603</c:v>
                </c:pt>
                <c:pt idx="5">
                  <c:v>3.8683351932463861</c:v>
                </c:pt>
                <c:pt idx="6" formatCode="#\ ##0.0_ ;\-#\ ##0.0\ ">
                  <c:v>6.9018391842506537</c:v>
                </c:pt>
                <c:pt idx="7">
                  <c:v>7.4870728943938536</c:v>
                </c:pt>
                <c:pt idx="8">
                  <c:v>18.150763700176338</c:v>
                </c:pt>
                <c:pt idx="9">
                  <c:v>0.40208196679416303</c:v>
                </c:pt>
                <c:pt idx="10">
                  <c:v>2.5113085553160857</c:v>
                </c:pt>
                <c:pt idx="11">
                  <c:v>5.9273015359190389</c:v>
                </c:pt>
                <c:pt idx="12" formatCode="#\ ##0.0_ ;\-#\ ##0.0\ ">
                  <c:v>2.2378587431531063</c:v>
                </c:pt>
              </c:numCache>
            </c:numRef>
          </c:val>
          <c:extLst>
            <c:ext xmlns:c16="http://schemas.microsoft.com/office/drawing/2014/chart" uri="{C3380CC4-5D6E-409C-BE32-E72D297353CC}">
              <c16:uniqueId val="{00000050-0560-46E6-9F7F-B5FD18EADFFD}"/>
            </c:ext>
          </c:extLst>
        </c:ser>
        <c:ser>
          <c:idx val="3"/>
          <c:order val="3"/>
          <c:tx>
            <c:strRef>
              <c:f>'GRAF-2-Odvětví-ČR-CIZ'!$B$106</c:f>
              <c:strCache>
                <c:ptCount val="1"/>
                <c:pt idx="0">
                  <c:v>Cizinci mimo EU</c:v>
                </c:pt>
              </c:strCache>
            </c:strRef>
          </c:tx>
          <c:spPr>
            <a:ln w="3175">
              <a:solidFill>
                <a:sysClr val="window" lastClr="FFFFFF">
                  <a:lumMod val="50000"/>
                </a:sysClr>
              </a:solidFill>
            </a:ln>
          </c:spPr>
          <c:dPt>
            <c:idx val="0"/>
            <c:bubble3D val="0"/>
            <c:spPr>
              <a:solidFill>
                <a:srgbClr val="C89058"/>
              </a:solidFill>
              <a:ln w="3175">
                <a:solidFill>
                  <a:sysClr val="window" lastClr="FFFFFF">
                    <a:lumMod val="50000"/>
                  </a:sysClr>
                </a:solidFill>
              </a:ln>
            </c:spPr>
            <c:extLst>
              <c:ext xmlns:c16="http://schemas.microsoft.com/office/drawing/2014/chart" uri="{C3380CC4-5D6E-409C-BE32-E72D297353CC}">
                <c16:uniqueId val="{00000052-0560-46E6-9F7F-B5FD18EADFFD}"/>
              </c:ext>
            </c:extLst>
          </c:dPt>
          <c:dPt>
            <c:idx val="1"/>
            <c:bubble3D val="0"/>
            <c:spPr>
              <a:solidFill>
                <a:srgbClr val="B2B2B2"/>
              </a:solidFill>
              <a:ln w="3175">
                <a:solidFill>
                  <a:sysClr val="window" lastClr="FFFFFF">
                    <a:lumMod val="50000"/>
                  </a:sysClr>
                </a:solidFill>
              </a:ln>
            </c:spPr>
            <c:extLst>
              <c:ext xmlns:c16="http://schemas.microsoft.com/office/drawing/2014/chart" uri="{C3380CC4-5D6E-409C-BE32-E72D297353CC}">
                <c16:uniqueId val="{00000054-0560-46E6-9F7F-B5FD18EADFFD}"/>
              </c:ext>
            </c:extLst>
          </c:dPt>
          <c:dPt>
            <c:idx val="2"/>
            <c:bubble3D val="0"/>
            <c:spPr>
              <a:solidFill>
                <a:srgbClr val="7F7F7F"/>
              </a:solidFill>
              <a:ln w="3175">
                <a:solidFill>
                  <a:sysClr val="window" lastClr="FFFFFF">
                    <a:lumMod val="50000"/>
                  </a:sysClr>
                </a:solidFill>
              </a:ln>
            </c:spPr>
            <c:extLst>
              <c:ext xmlns:c16="http://schemas.microsoft.com/office/drawing/2014/chart" uri="{C3380CC4-5D6E-409C-BE32-E72D297353CC}">
                <c16:uniqueId val="{00000056-0560-46E6-9F7F-B5FD18EADFFD}"/>
              </c:ext>
            </c:extLst>
          </c:dPt>
          <c:dPt>
            <c:idx val="3"/>
            <c:bubble3D val="0"/>
            <c:spPr>
              <a:solidFill>
                <a:srgbClr val="3B3838"/>
              </a:solidFill>
              <a:ln w="3175">
                <a:solidFill>
                  <a:sysClr val="window" lastClr="FFFFFF">
                    <a:lumMod val="50000"/>
                  </a:sysClr>
                </a:solidFill>
              </a:ln>
            </c:spPr>
            <c:extLst>
              <c:ext xmlns:c16="http://schemas.microsoft.com/office/drawing/2014/chart" uri="{C3380CC4-5D6E-409C-BE32-E72D297353CC}">
                <c16:uniqueId val="{00000058-0560-46E6-9F7F-B5FD18EADFFD}"/>
              </c:ext>
            </c:extLst>
          </c:dPt>
          <c:dPt>
            <c:idx val="4"/>
            <c:bubble3D val="0"/>
            <c:spPr>
              <a:solidFill>
                <a:srgbClr val="98C0E4"/>
              </a:solidFill>
              <a:ln w="3175">
                <a:solidFill>
                  <a:sysClr val="window" lastClr="FFFFFF">
                    <a:lumMod val="50000"/>
                  </a:sysClr>
                </a:solidFill>
              </a:ln>
            </c:spPr>
            <c:extLst>
              <c:ext xmlns:c16="http://schemas.microsoft.com/office/drawing/2014/chart" uri="{C3380CC4-5D6E-409C-BE32-E72D297353CC}">
                <c16:uniqueId val="{0000005A-0560-46E6-9F7F-B5FD18EADFFD}"/>
              </c:ext>
            </c:extLst>
          </c:dPt>
          <c:dPt>
            <c:idx val="5"/>
            <c:bubble3D val="0"/>
            <c:spPr>
              <a:solidFill>
                <a:srgbClr val="83A2D9"/>
              </a:solidFill>
              <a:ln w="3175">
                <a:solidFill>
                  <a:sysClr val="window" lastClr="FFFFFF">
                    <a:lumMod val="50000"/>
                  </a:sysClr>
                </a:solidFill>
              </a:ln>
            </c:spPr>
            <c:extLst>
              <c:ext xmlns:c16="http://schemas.microsoft.com/office/drawing/2014/chart" uri="{C3380CC4-5D6E-409C-BE32-E72D297353CC}">
                <c16:uniqueId val="{0000005C-0560-46E6-9F7F-B5FD18EADFFD}"/>
              </c:ext>
            </c:extLst>
          </c:dPt>
          <c:dPt>
            <c:idx val="6"/>
            <c:bubble3D val="0"/>
            <c:spPr>
              <a:solidFill>
                <a:srgbClr val="93FFC4"/>
              </a:solidFill>
              <a:ln w="3175">
                <a:solidFill>
                  <a:sysClr val="window" lastClr="FFFFFF">
                    <a:lumMod val="50000"/>
                  </a:sysClr>
                </a:solidFill>
              </a:ln>
            </c:spPr>
            <c:extLst>
              <c:ext xmlns:c16="http://schemas.microsoft.com/office/drawing/2014/chart" uri="{C3380CC4-5D6E-409C-BE32-E72D297353CC}">
                <c16:uniqueId val="{0000005E-0560-46E6-9F7F-B5FD18EADFFD}"/>
              </c:ext>
            </c:extLst>
          </c:dPt>
          <c:dPt>
            <c:idx val="7"/>
            <c:bubble3D val="0"/>
            <c:spPr>
              <a:solidFill>
                <a:srgbClr val="6DA945"/>
              </a:solidFill>
              <a:ln w="3175">
                <a:solidFill>
                  <a:sysClr val="window" lastClr="FFFFFF">
                    <a:lumMod val="50000"/>
                  </a:sysClr>
                </a:solidFill>
              </a:ln>
            </c:spPr>
            <c:extLst>
              <c:ext xmlns:c16="http://schemas.microsoft.com/office/drawing/2014/chart" uri="{C3380CC4-5D6E-409C-BE32-E72D297353CC}">
                <c16:uniqueId val="{00000060-0560-46E6-9F7F-B5FD18EADFFD}"/>
              </c:ext>
            </c:extLst>
          </c:dPt>
          <c:dPt>
            <c:idx val="8"/>
            <c:bubble3D val="0"/>
            <c:spPr>
              <a:solidFill>
                <a:srgbClr val="E7E6E6"/>
              </a:solidFill>
              <a:ln w="3175">
                <a:solidFill>
                  <a:sysClr val="window" lastClr="FFFFFF">
                    <a:lumMod val="50000"/>
                  </a:sysClr>
                </a:solidFill>
              </a:ln>
            </c:spPr>
            <c:extLst>
              <c:ext xmlns:c16="http://schemas.microsoft.com/office/drawing/2014/chart" uri="{C3380CC4-5D6E-409C-BE32-E72D297353CC}">
                <c16:uniqueId val="{00000062-0560-46E6-9F7F-B5FD18EADFFD}"/>
              </c:ext>
            </c:extLst>
          </c:dPt>
          <c:dPt>
            <c:idx val="10"/>
            <c:bubble3D val="0"/>
            <c:spPr>
              <a:solidFill>
                <a:srgbClr val="FF6969"/>
              </a:solidFill>
              <a:ln w="3175">
                <a:solidFill>
                  <a:sysClr val="window" lastClr="FFFFFF">
                    <a:lumMod val="50000"/>
                  </a:sysClr>
                </a:solidFill>
              </a:ln>
            </c:spPr>
            <c:extLst>
              <c:ext xmlns:c16="http://schemas.microsoft.com/office/drawing/2014/chart" uri="{C3380CC4-5D6E-409C-BE32-E72D297353CC}">
                <c16:uniqueId val="{00000064-0560-46E6-9F7F-B5FD18EADFFD}"/>
              </c:ext>
            </c:extLst>
          </c:dPt>
          <c:dPt>
            <c:idx val="11"/>
            <c:bubble3D val="0"/>
            <c:spPr>
              <a:solidFill>
                <a:srgbClr val="C00000"/>
              </a:solidFill>
              <a:ln w="3175">
                <a:solidFill>
                  <a:sysClr val="window" lastClr="FFFFFF">
                    <a:lumMod val="50000"/>
                  </a:sysClr>
                </a:solidFill>
              </a:ln>
            </c:spPr>
            <c:extLst>
              <c:ext xmlns:c16="http://schemas.microsoft.com/office/drawing/2014/chart" uri="{C3380CC4-5D6E-409C-BE32-E72D297353CC}">
                <c16:uniqueId val="{00000066-0560-46E6-9F7F-B5FD18EADFFD}"/>
              </c:ext>
            </c:extLst>
          </c:dPt>
          <c:dPt>
            <c:idx val="12"/>
            <c:bubble3D val="0"/>
            <c:spPr>
              <a:solidFill>
                <a:srgbClr val="E7E6E6">
                  <a:lumMod val="90000"/>
                </a:srgbClr>
              </a:solidFill>
              <a:ln w="3175">
                <a:solidFill>
                  <a:sysClr val="window" lastClr="FFFFFF">
                    <a:lumMod val="50000"/>
                  </a:sysClr>
                </a:solidFill>
              </a:ln>
            </c:spPr>
            <c:extLst>
              <c:ext xmlns:c16="http://schemas.microsoft.com/office/drawing/2014/chart" uri="{C3380CC4-5D6E-409C-BE32-E72D297353CC}">
                <c16:uniqueId val="{00000068-0560-46E6-9F7F-B5FD18EADFFD}"/>
              </c:ext>
            </c:extLst>
          </c:dPt>
          <c:cat>
            <c:strRef>
              <c:f>'GRAF-2-Odvětví-ČR-CIZ'!$C$98:$O$98</c:f>
              <c:strCache>
                <c:ptCount val="13"/>
                <c:pt idx="0">
                  <c:v>Zemědělství, lesnictví a rybářství</c:v>
                </c:pt>
                <c:pt idx="1">
                  <c:v>Zpracovatelský průmysl </c:v>
                </c:pt>
                <c:pt idx="2">
                  <c:v>Ostatní průmysl</c:v>
                </c:pt>
                <c:pt idx="3">
                  <c:v>Stavebnictví</c:v>
                </c:pt>
                <c:pt idx="4">
                  <c:v>Obchod, ubytování, stravování</c:v>
                </c:pt>
                <c:pt idx="5">
                  <c:v>Doprava a skladování </c:v>
                </c:pt>
                <c:pt idx="6">
                  <c:v>IT, finančnictví, nemovitosti</c:v>
                </c:pt>
                <c:pt idx="7">
                  <c:v>Profesní, vědecké a technické čin.</c:v>
                </c:pt>
                <c:pt idx="8">
                  <c:v>Administrativní a podpůrné čin.</c:v>
                </c:pt>
                <c:pt idx="9">
                  <c:v>Veřejná správa, obrana, sociální zabezpečení</c:v>
                </c:pt>
                <c:pt idx="10">
                  <c:v>Vzdělávání</c:v>
                </c:pt>
                <c:pt idx="11">
                  <c:v> Zdravotní a sociální péče</c:v>
                </c:pt>
                <c:pt idx="12">
                  <c:v>Ostatní a nezjištěno</c:v>
                </c:pt>
              </c:strCache>
            </c:strRef>
          </c:cat>
          <c:val>
            <c:numRef>
              <c:f>'GRAF-2-Odvětví-ČR-CIZ'!$C$106:$O$106</c:f>
              <c:numCache>
                <c:formatCode>#\ ##0.0_ ;\-#\ ##0.0\ ;\-\ </c:formatCode>
                <c:ptCount val="13"/>
                <c:pt idx="0">
                  <c:v>3.2434462202821002</c:v>
                </c:pt>
                <c:pt idx="1">
                  <c:v>23.46217935178014</c:v>
                </c:pt>
                <c:pt idx="2" formatCode="#\ ##0.0_ ;\-#\ ##0.0\ ">
                  <c:v>0.4388744162031496</c:v>
                </c:pt>
                <c:pt idx="3">
                  <c:v>4.2315003872421322</c:v>
                </c:pt>
                <c:pt idx="4">
                  <c:v>24.473702738857988</c:v>
                </c:pt>
                <c:pt idx="5">
                  <c:v>3.6318618132319465</c:v>
                </c:pt>
                <c:pt idx="6" formatCode="#\ ##0.0_ ;\-#\ ##0.0\ ">
                  <c:v>6.1888333450679429</c:v>
                </c:pt>
                <c:pt idx="7">
                  <c:v>4.5060902626205737</c:v>
                </c:pt>
                <c:pt idx="8">
                  <c:v>19.560421507193315</c:v>
                </c:pt>
                <c:pt idx="9">
                  <c:v>0.12203994461264052</c:v>
                </c:pt>
                <c:pt idx="10">
                  <c:v>2.0535567603088549</c:v>
                </c:pt>
                <c:pt idx="11">
                  <c:v>2.6743176324250744</c:v>
                </c:pt>
                <c:pt idx="12" formatCode="#\ ##0.0_ ;\-#\ ##0.0\ ">
                  <c:v>5.4131756201741421</c:v>
                </c:pt>
              </c:numCache>
            </c:numRef>
          </c:val>
          <c:extLst>
            <c:ext xmlns:c16="http://schemas.microsoft.com/office/drawing/2014/chart" uri="{C3380CC4-5D6E-409C-BE32-E72D297353CC}">
              <c16:uniqueId val="{00000069-0560-46E6-9F7F-B5FD18EADFFD}"/>
            </c:ext>
          </c:extLst>
        </c:ser>
        <c:dLbls>
          <c:showLegendKey val="0"/>
          <c:showVal val="0"/>
          <c:showCatName val="0"/>
          <c:showSerName val="0"/>
          <c:showPercent val="0"/>
          <c:showBubbleSize val="0"/>
          <c:showLeaderLines val="1"/>
        </c:dLbls>
        <c:firstSliceAng val="0"/>
        <c:holeSize val="50"/>
      </c:doughnutChart>
    </c:plotArea>
    <c:legend>
      <c:legendPos val="r"/>
      <c:legendEntry>
        <c:idx val="0"/>
        <c:delete val="1"/>
      </c:legendEntry>
      <c:legendEntry>
        <c:idx val="2"/>
        <c:delete val="1"/>
      </c:legendEntry>
      <c:legendEntry>
        <c:idx val="4"/>
        <c:delete val="1"/>
      </c:legendEntry>
      <c:legendEntry>
        <c:idx val="6"/>
        <c:delete val="1"/>
      </c:legendEntry>
      <c:legendEntry>
        <c:idx val="8"/>
        <c:delete val="1"/>
      </c:legendEntry>
      <c:legendEntry>
        <c:idx val="10"/>
        <c:delete val="1"/>
      </c:legendEntry>
      <c:legendEntry>
        <c:idx val="12"/>
        <c:delete val="1"/>
      </c:legendEntry>
      <c:layout>
        <c:manualLayout>
          <c:xMode val="edge"/>
          <c:yMode val="edge"/>
          <c:x val="0"/>
          <c:y val="0.74535597052875091"/>
          <c:w val="0.97081356606757319"/>
          <c:h val="0.21996757161319624"/>
        </c:manualLayout>
      </c:layout>
      <c:overlay val="0"/>
      <c:txPr>
        <a:bodyPr/>
        <a:lstStyle/>
        <a:p>
          <a:pPr rtl="0">
            <a:defRPr sz="800">
              <a:latin typeface="Arial" pitchFamily="34" charset="0"/>
              <a:cs typeface="Arial" pitchFamily="34" charset="0"/>
            </a:defRPr>
          </a:pPr>
          <a:endParaRPr lang="cs-CZ"/>
        </a:p>
      </c:txPr>
    </c:legend>
    <c:plotVisOnly val="1"/>
    <c:dispBlanksAs val="zero"/>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337576285859257"/>
          <c:h val="0.71090655078186848"/>
        </c:manualLayout>
      </c:layout>
      <c:barChart>
        <c:barDir val="col"/>
        <c:grouping val="stacked"/>
        <c:varyColors val="0"/>
        <c:ser>
          <c:idx val="0"/>
          <c:order val="0"/>
          <c:tx>
            <c:strRef>
              <c:f>'GRAF-3-Ciz-občan-ISCO'!$C$34</c:f>
              <c:strCache>
                <c:ptCount val="1"/>
                <c:pt idx="0">
                  <c:v>CZ-ISCO 1-2</c:v>
                </c:pt>
              </c:strCache>
            </c:strRef>
          </c:tx>
          <c:spPr>
            <a:solidFill>
              <a:srgbClr val="66A2D8"/>
            </a:solidFill>
            <a:ln w="6350">
              <a:solidFill>
                <a:schemeClr val="bg1">
                  <a:lumMod val="65000"/>
                </a:schemeClr>
              </a:solidFill>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'GRAF-3-Ciz-občan-ISCO'!$C$35:$C$61</c:f>
              <c:numCache>
                <c:formatCode>#,##0_ ;\-#,##0\ ;\-\ </c:formatCode>
                <c:ptCount val="27"/>
                <c:pt idx="0">
                  <c:v>67.697431018077978</c:v>
                </c:pt>
                <c:pt idx="1">
                  <c:v>52.983676746052979</c:v>
                </c:pt>
                <c:pt idx="2">
                  <c:v>52.569356872635566</c:v>
                </c:pt>
                <c:pt idx="3">
                  <c:v>44.916600476568597</c:v>
                </c:pt>
                <c:pt idx="4">
                  <c:v>41.812175554506837</c:v>
                </c:pt>
                <c:pt idx="5">
                  <c:v>45.582954273401967</c:v>
                </c:pt>
                <c:pt idx="6">
                  <c:v>16.890489943592321</c:v>
                </c:pt>
                <c:pt idx="7">
                  <c:v>12.224778179428176</c:v>
                </c:pt>
                <c:pt idx="8">
                  <c:v>6.8558446186742685</c:v>
                </c:pt>
                <c:pt idx="9">
                  <c:v>4.0440972799290789</c:v>
                </c:pt>
                <c:pt idx="10">
                  <c:v>3.7189051905938824</c:v>
                </c:pt>
                <c:pt idx="11">
                  <c:v>3.1120632255449729</c:v>
                </c:pt>
                <c:pt idx="12">
                  <c:v>31.487025948103753</c:v>
                </c:pt>
                <c:pt idx="13">
                  <c:v>76.029055690072667</c:v>
                </c:pt>
                <c:pt idx="14">
                  <c:v>50.899470899470913</c:v>
                </c:pt>
                <c:pt idx="15">
                  <c:v>29.923956977461089</c:v>
                </c:pt>
                <c:pt idx="16">
                  <c:v>22.5</c:v>
                </c:pt>
                <c:pt idx="17">
                  <c:v>17.472582253240219</c:v>
                </c:pt>
                <c:pt idx="18">
                  <c:v>15.907710989678204</c:v>
                </c:pt>
                <c:pt idx="19">
                  <c:v>16.799065420560748</c:v>
                </c:pt>
                <c:pt idx="20">
                  <c:v>12.585883822610869</c:v>
                </c:pt>
                <c:pt idx="21">
                  <c:v>11.537384486138333</c:v>
                </c:pt>
                <c:pt idx="22">
                  <c:v>4.8440065681444802</c:v>
                </c:pt>
                <c:pt idx="23">
                  <c:v>3.9727831431079887</c:v>
                </c:pt>
                <c:pt idx="24">
                  <c:v>3.9418264704424955</c:v>
                </c:pt>
                <c:pt idx="25">
                  <c:v>2.2933588150979456</c:v>
                </c:pt>
                <c:pt idx="26">
                  <c:v>1.4893617021276546</c:v>
                </c:pt>
              </c:numCache>
            </c:numRef>
          </c:val>
          <c:extLst>
            <c:ext xmlns:c16="http://schemas.microsoft.com/office/drawing/2014/chart" uri="{C3380CC4-5D6E-409C-BE32-E72D297353CC}">
              <c16:uniqueId val="{00000000-A6B7-4AB0-B44A-152750D9B009}"/>
            </c:ext>
          </c:extLst>
        </c:ser>
        <c:ser>
          <c:idx val="1"/>
          <c:order val="1"/>
          <c:tx>
            <c:strRef>
              <c:f>'GRAF-3-Ciz-občan-ISCO'!$D$34</c:f>
              <c:strCache>
                <c:ptCount val="1"/>
                <c:pt idx="0">
                  <c:v>CZ-ISCO 3</c:v>
                </c:pt>
              </c:strCache>
            </c:strRef>
          </c:tx>
          <c:spPr>
            <a:solidFill>
              <a:srgbClr val="98C0E4"/>
            </a:solidFill>
            <a:ln w="6350">
              <a:solidFill>
                <a:prstClr val="white">
                  <a:lumMod val="65000"/>
                </a:prstClr>
              </a:solidFill>
              <a:prstDash val="soli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'GRAF-3-Ciz-občan-ISCO'!$D$35:$D$61</c:f>
              <c:numCache>
                <c:formatCode>#,##0_ ;\-#,##0\ ;\-\ </c:formatCode>
                <c:ptCount val="27"/>
                <c:pt idx="0">
                  <c:v>12.916270218839225</c:v>
                </c:pt>
                <c:pt idx="1">
                  <c:v>18.785121755418785</c:v>
                </c:pt>
                <c:pt idx="2">
                  <c:v>20.286885245901626</c:v>
                </c:pt>
                <c:pt idx="3">
                  <c:v>17.851469420174741</c:v>
                </c:pt>
                <c:pt idx="4">
                  <c:v>18.404907975460123</c:v>
                </c:pt>
                <c:pt idx="5">
                  <c:v>22.911180272923087</c:v>
                </c:pt>
                <c:pt idx="6">
                  <c:v>10.069440824114526</c:v>
                </c:pt>
                <c:pt idx="7">
                  <c:v>3.8120276043378194</c:v>
                </c:pt>
                <c:pt idx="8">
                  <c:v>4.5505167498218055</c:v>
                </c:pt>
                <c:pt idx="9">
                  <c:v>2.3821394936568567</c:v>
                </c:pt>
                <c:pt idx="10">
                  <c:v>1.8526497199482981</c:v>
                </c:pt>
                <c:pt idx="11">
                  <c:v>1.962771038994876</c:v>
                </c:pt>
                <c:pt idx="12">
                  <c:v>13.073852295409209</c:v>
                </c:pt>
                <c:pt idx="13">
                  <c:v>11.241784849533033</c:v>
                </c:pt>
                <c:pt idx="14">
                  <c:v>12.301587301587329</c:v>
                </c:pt>
                <c:pt idx="15">
                  <c:v>13.400013701445499</c:v>
                </c:pt>
                <c:pt idx="16">
                  <c:v>9.9484536082474229</c:v>
                </c:pt>
                <c:pt idx="17">
                  <c:v>8.5244267198404788</c:v>
                </c:pt>
                <c:pt idx="18">
                  <c:v>9.4414086217364819</c:v>
                </c:pt>
                <c:pt idx="19">
                  <c:v>8.7383177570093409</c:v>
                </c:pt>
                <c:pt idx="20">
                  <c:v>6.2773266708307309</c:v>
                </c:pt>
                <c:pt idx="21">
                  <c:v>5.0686082329879545</c:v>
                </c:pt>
                <c:pt idx="22">
                  <c:v>3.0788177339901477</c:v>
                </c:pt>
                <c:pt idx="23">
                  <c:v>2.7875329236172082</c:v>
                </c:pt>
                <c:pt idx="24">
                  <c:v>2.1373238855028682</c:v>
                </c:pt>
                <c:pt idx="25">
                  <c:v>1.4970536709667168</c:v>
                </c:pt>
                <c:pt idx="26">
                  <c:v>0.62056737588652366</c:v>
                </c:pt>
              </c:numCache>
            </c:numRef>
          </c:val>
          <c:extLst>
            <c:ext xmlns:c16="http://schemas.microsoft.com/office/drawing/2014/chart" uri="{C3380CC4-5D6E-409C-BE32-E72D297353CC}">
              <c16:uniqueId val="{00000001-A6B7-4AB0-B44A-152750D9B009}"/>
            </c:ext>
          </c:extLst>
        </c:ser>
        <c:ser>
          <c:idx val="2"/>
          <c:order val="2"/>
          <c:tx>
            <c:strRef>
              <c:f>'GRAF-3-Ciz-občan-ISCO'!$E$34</c:f>
              <c:strCache>
                <c:ptCount val="1"/>
                <c:pt idx="0">
                  <c:v>CZ-ISCO 4-6</c:v>
                </c:pt>
              </c:strCache>
            </c:strRef>
          </c:tx>
          <c:spPr>
            <a:solidFill>
              <a:schemeClr val="bg2">
                <a:lumMod val="90000"/>
              </a:schemeClr>
            </a:solidFill>
            <a:ln w="6350" cap="rnd">
              <a:solidFill>
                <a:prstClr val="white">
                  <a:lumMod val="65000"/>
                </a:prstClr>
              </a:solidFill>
              <a:roun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'GRAF-3-Ciz-občan-ISCO'!$E$35:$E$61</c:f>
              <c:numCache>
                <c:formatCode>#,##0_ ;\-#,##0\ ;\-\ </c:formatCode>
                <c:ptCount val="27"/>
                <c:pt idx="0">
                  <c:v>16.389153187440531</c:v>
                </c:pt>
                <c:pt idx="1">
                  <c:v>26.063687449826066</c:v>
                </c:pt>
                <c:pt idx="2">
                  <c:v>13.981715006305171</c:v>
                </c:pt>
                <c:pt idx="3">
                  <c:v>22.339158061953935</c:v>
                </c:pt>
                <c:pt idx="4">
                  <c:v>30.061349693251529</c:v>
                </c:pt>
                <c:pt idx="5">
                  <c:v>25.04189609767776</c:v>
                </c:pt>
                <c:pt idx="6">
                  <c:v>19.780208322472326</c:v>
                </c:pt>
                <c:pt idx="7">
                  <c:v>11.436082813013474</c:v>
                </c:pt>
                <c:pt idx="8">
                  <c:v>5.8156628652886724</c:v>
                </c:pt>
                <c:pt idx="9">
                  <c:v>4.6867209572876849</c:v>
                </c:pt>
                <c:pt idx="10">
                  <c:v>3.399170049207465</c:v>
                </c:pt>
                <c:pt idx="11">
                  <c:v>5.8680485192368845</c:v>
                </c:pt>
                <c:pt idx="12">
                  <c:v>26.596806387225527</c:v>
                </c:pt>
                <c:pt idx="13">
                  <c:v>10.757523348322382</c:v>
                </c:pt>
                <c:pt idx="14">
                  <c:v>21.904761904761855</c:v>
                </c:pt>
                <c:pt idx="15">
                  <c:v>34.83592519010756</c:v>
                </c:pt>
                <c:pt idx="16">
                  <c:v>29.742268041237089</c:v>
                </c:pt>
                <c:pt idx="17">
                  <c:v>19.566301096709832</c:v>
                </c:pt>
                <c:pt idx="18">
                  <c:v>38.31208257437757</c:v>
                </c:pt>
                <c:pt idx="19">
                  <c:v>23.761682242990602</c:v>
                </c:pt>
                <c:pt idx="20">
                  <c:v>15.990006246096211</c:v>
                </c:pt>
                <c:pt idx="21">
                  <c:v>72.724726967236066</c:v>
                </c:pt>
                <c:pt idx="22">
                  <c:v>30.706075533661696</c:v>
                </c:pt>
                <c:pt idx="23">
                  <c:v>11.67690956979807</c:v>
                </c:pt>
                <c:pt idx="24">
                  <c:v>11.352262028640821</c:v>
                </c:pt>
                <c:pt idx="25">
                  <c:v>50.031852205765254</c:v>
                </c:pt>
                <c:pt idx="26">
                  <c:v>5.2304964539007104</c:v>
                </c:pt>
              </c:numCache>
            </c:numRef>
          </c:val>
          <c:extLst>
            <c:ext xmlns:c16="http://schemas.microsoft.com/office/drawing/2014/chart" uri="{C3380CC4-5D6E-409C-BE32-E72D297353CC}">
              <c16:uniqueId val="{00000002-A6B7-4AB0-B44A-152750D9B009}"/>
            </c:ext>
          </c:extLst>
        </c:ser>
        <c:ser>
          <c:idx val="3"/>
          <c:order val="3"/>
          <c:tx>
            <c:strRef>
              <c:f>'GRAF-3-Ciz-občan-ISCO'!$F$34</c:f>
              <c:strCache>
                <c:ptCount val="1"/>
                <c:pt idx="0">
                  <c:v>CZ-ISCO 7</c:v>
                </c:pt>
              </c:strCache>
            </c:strRef>
          </c:tx>
          <c:spPr>
            <a:solidFill>
              <a:srgbClr val="93FFC4"/>
            </a:solidFill>
            <a:ln w="6350" cap="rnd">
              <a:solidFill>
                <a:prstClr val="white">
                  <a:lumMod val="65000"/>
                </a:prstClr>
              </a:solidFill>
              <a:prstDash val="solid"/>
              <a:roun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'GRAF-3-Ciz-občan-ISCO'!$F$35:$F$61</c:f>
              <c:numCache>
                <c:formatCode>#,##0_ ;\-#,##0\ ;\-\ </c:formatCode>
                <c:ptCount val="27"/>
                <c:pt idx="0">
                  <c:v>0.90390104662226467</c:v>
                </c:pt>
                <c:pt idx="1">
                  <c:v>0.69574525020069811</c:v>
                </c:pt>
                <c:pt idx="2">
                  <c:v>4.9653215636822186</c:v>
                </c:pt>
                <c:pt idx="3">
                  <c:v>2.005559968228753</c:v>
                </c:pt>
                <c:pt idx="4">
                  <c:v>3.3978291647003305</c:v>
                </c:pt>
                <c:pt idx="5">
                  <c:v>1.6040220253770647</c:v>
                </c:pt>
                <c:pt idx="6">
                  <c:v>13.80423109405792</c:v>
                </c:pt>
                <c:pt idx="7">
                  <c:v>8.4784751889582655</c:v>
                </c:pt>
                <c:pt idx="8">
                  <c:v>16.123930862437632</c:v>
                </c:pt>
                <c:pt idx="9">
                  <c:v>9.8000110797185709</c:v>
                </c:pt>
                <c:pt idx="10">
                  <c:v>12.952674663824576</c:v>
                </c:pt>
                <c:pt idx="11">
                  <c:v>10.320470138667769</c:v>
                </c:pt>
                <c:pt idx="12">
                  <c:v>5.2395209580838324</c:v>
                </c:pt>
                <c:pt idx="13">
                  <c:v>0.51885160843998768</c:v>
                </c:pt>
                <c:pt idx="14">
                  <c:v>5.5026455026455015</c:v>
                </c:pt>
                <c:pt idx="15">
                  <c:v>2.3497979036788377</c:v>
                </c:pt>
                <c:pt idx="16">
                  <c:v>6.0567010309278384</c:v>
                </c:pt>
                <c:pt idx="17">
                  <c:v>8.9232303090727818</c:v>
                </c:pt>
                <c:pt idx="18">
                  <c:v>4.462659380692183</c:v>
                </c:pt>
                <c:pt idx="19">
                  <c:v>4.8598130841121598</c:v>
                </c:pt>
                <c:pt idx="20">
                  <c:v>10.46221111805122</c:v>
                </c:pt>
                <c:pt idx="21">
                  <c:v>0.39204704564547782</c:v>
                </c:pt>
                <c:pt idx="22">
                  <c:v>8.4975369458128078</c:v>
                </c:pt>
                <c:pt idx="23">
                  <c:v>14.025460930640936</c:v>
                </c:pt>
                <c:pt idx="24">
                  <c:v>11.927060106040335</c:v>
                </c:pt>
                <c:pt idx="25">
                  <c:v>8.5125019907628605</c:v>
                </c:pt>
                <c:pt idx="26">
                  <c:v>15.780141843971633</c:v>
                </c:pt>
              </c:numCache>
            </c:numRef>
          </c:val>
          <c:extLst>
            <c:ext xmlns:c16="http://schemas.microsoft.com/office/drawing/2014/chart" uri="{C3380CC4-5D6E-409C-BE32-E72D297353CC}">
              <c16:uniqueId val="{00000003-A6B7-4AB0-B44A-152750D9B009}"/>
            </c:ext>
          </c:extLst>
        </c:ser>
        <c:ser>
          <c:idx val="4"/>
          <c:order val="4"/>
          <c:tx>
            <c:strRef>
              <c:f>'GRAF-3-Ciz-občan-ISCO'!$G$34</c:f>
              <c:strCache>
                <c:ptCount val="1"/>
                <c:pt idx="0">
                  <c:v>CZ-ISCO 8</c:v>
                </c:pt>
              </c:strCache>
            </c:strRef>
          </c:tx>
          <c:spPr>
            <a:solidFill>
              <a:srgbClr val="87BF61"/>
            </a:solidFill>
            <a:ln w="6350" cap="rnd">
              <a:solidFill>
                <a:prstClr val="white">
                  <a:lumMod val="65000"/>
                </a:prstClr>
              </a:solidFill>
              <a:roun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'GRAF-3-Ciz-občan-ISCO'!$G$35:$G$61</c:f>
              <c:numCache>
                <c:formatCode>#,##0_ ;\-#,##0\ ;\-\ </c:formatCode>
                <c:ptCount val="27"/>
                <c:pt idx="0">
                  <c:v>0.80875356803044718</c:v>
                </c:pt>
                <c:pt idx="1">
                  <c:v>0.85630184640085794</c:v>
                </c:pt>
                <c:pt idx="2">
                  <c:v>4.8707440100882726</c:v>
                </c:pt>
                <c:pt idx="3">
                  <c:v>6.9102462271644169</c:v>
                </c:pt>
                <c:pt idx="4">
                  <c:v>2.406795658329401</c:v>
                </c:pt>
                <c:pt idx="5">
                  <c:v>2.1307158247546067</c:v>
                </c:pt>
                <c:pt idx="6">
                  <c:v>17.947742130561139</c:v>
                </c:pt>
                <c:pt idx="7">
                  <c:v>20.243181071311163</c:v>
                </c:pt>
                <c:pt idx="8">
                  <c:v>45.55416963649315</c:v>
                </c:pt>
                <c:pt idx="9">
                  <c:v>20.253725555370853</c:v>
                </c:pt>
                <c:pt idx="10">
                  <c:v>23.807796095149527</c:v>
                </c:pt>
                <c:pt idx="11">
                  <c:v>31.99779984367304</c:v>
                </c:pt>
                <c:pt idx="12">
                  <c:v>11.676646706586826</c:v>
                </c:pt>
                <c:pt idx="13">
                  <c:v>0.44967139398132139</c:v>
                </c:pt>
                <c:pt idx="14">
                  <c:v>2.7248677248677251</c:v>
                </c:pt>
                <c:pt idx="15">
                  <c:v>6.0560389121052269</c:v>
                </c:pt>
                <c:pt idx="16">
                  <c:v>16.469072164948454</c:v>
                </c:pt>
                <c:pt idx="17">
                  <c:v>25.697906281156531</c:v>
                </c:pt>
                <c:pt idx="18">
                  <c:v>9.9574984820886527</c:v>
                </c:pt>
                <c:pt idx="19">
                  <c:v>13.78504672897197</c:v>
                </c:pt>
                <c:pt idx="20">
                  <c:v>47.345409119300342</c:v>
                </c:pt>
                <c:pt idx="21">
                  <c:v>1.4841781013721647</c:v>
                </c:pt>
                <c:pt idx="22">
                  <c:v>25.205254515599329</c:v>
                </c:pt>
                <c:pt idx="23">
                  <c:v>26.075504828797186</c:v>
                </c:pt>
                <c:pt idx="24">
                  <c:v>24.766694745883086</c:v>
                </c:pt>
                <c:pt idx="25">
                  <c:v>18.896321070234116</c:v>
                </c:pt>
                <c:pt idx="26">
                  <c:v>63.546099290780148</c:v>
                </c:pt>
              </c:numCache>
            </c:numRef>
          </c:val>
          <c:extLst>
            <c:ext xmlns:c16="http://schemas.microsoft.com/office/drawing/2014/chart" uri="{C3380CC4-5D6E-409C-BE32-E72D297353CC}">
              <c16:uniqueId val="{00000004-A6B7-4AB0-B44A-152750D9B009}"/>
            </c:ext>
          </c:extLst>
        </c:ser>
        <c:ser>
          <c:idx val="5"/>
          <c:order val="5"/>
          <c:tx>
            <c:strRef>
              <c:f>'GRAF-3-Ciz-občan-ISCO'!$H$34</c:f>
              <c:strCache>
                <c:ptCount val="1"/>
                <c:pt idx="0">
                  <c:v>CZ-ISCO 9</c:v>
                </c:pt>
              </c:strCache>
            </c:strRef>
          </c:tx>
          <c:spPr>
            <a:solidFill>
              <a:srgbClr val="00B050"/>
            </a:solidFill>
            <a:ln w="6350" cap="rnd">
              <a:solidFill>
                <a:prstClr val="white">
                  <a:lumMod val="65000"/>
                </a:prstClr>
              </a:solidFill>
              <a:prstDash val="solid"/>
              <a:round/>
            </a:ln>
            <a:effectLst/>
          </c:spPr>
          <c:invertIfNegative val="0"/>
          <c:cat>
            <c:strRef>
              <c:f>'GRAF-3-Ciz-občan-ISCO'!$B$35:$B$61</c:f>
              <c:strCache>
                <c:ptCount val="27"/>
                <c:pt idx="0">
                  <c:v>Velká Británie</c:v>
                </c:pt>
                <c:pt idx="1">
                  <c:v>Francie</c:v>
                </c:pt>
                <c:pt idx="2">
                  <c:v>Němec.,Rakous.</c:v>
                </c:pt>
                <c:pt idx="3">
                  <c:v>ESP,PRT,GRC</c:v>
                </c:pt>
                <c:pt idx="4">
                  <c:v>Itálie</c:v>
                </c:pt>
                <c:pt idx="5">
                  <c:v>Ost.státy EU15</c:v>
                </c:pt>
                <c:pt idx="6">
                  <c:v>Slovensko</c:v>
                </c:pt>
                <c:pt idx="7">
                  <c:v>Pobaltské státy</c:v>
                </c:pt>
                <c:pt idx="8">
                  <c:v>Polsko</c:v>
                </c:pt>
                <c:pt idx="9">
                  <c:v>Maďarsko</c:v>
                </c:pt>
                <c:pt idx="10">
                  <c:v>Rumunsko</c:v>
                </c:pt>
                <c:pt idx="11">
                  <c:v>Bulharsko</c:v>
                </c:pt>
                <c:pt idx="12">
                  <c:v>Ost.státy EU</c:v>
                </c:pt>
                <c:pt idx="13">
                  <c:v>USA,Japonsko</c:v>
                </c:pt>
                <c:pt idx="14">
                  <c:v>Korea, Indie</c:v>
                </c:pt>
                <c:pt idx="15">
                  <c:v>Rusko</c:v>
                </c:pt>
                <c:pt idx="16">
                  <c:v>TUR, BIH, MKD</c:v>
                </c:pt>
                <c:pt idx="17">
                  <c:v>Bělorusko</c:v>
                </c:pt>
                <c:pt idx="18">
                  <c:v>Kazachstán</c:v>
                </c:pt>
                <c:pt idx="19">
                  <c:v>Ost.postsovět.st.</c:v>
                </c:pt>
                <c:pt idx="20">
                  <c:v>Srbsko</c:v>
                </c:pt>
                <c:pt idx="21">
                  <c:v>Čína</c:v>
                </c:pt>
                <c:pt idx="22">
                  <c:v>Nepál, Filipíny</c:v>
                </c:pt>
                <c:pt idx="23">
                  <c:v>Moldavsko</c:v>
                </c:pt>
                <c:pt idx="24">
                  <c:v>Ukrajina</c:v>
                </c:pt>
                <c:pt idx="25">
                  <c:v>Vietnam</c:v>
                </c:pt>
                <c:pt idx="26">
                  <c:v>Mongolsko</c:v>
                </c:pt>
              </c:strCache>
            </c:strRef>
          </c:cat>
          <c:val>
            <c:numRef>
              <c:f>'GRAF-3-Ciz-občan-ISCO'!$H$35:$H$61</c:f>
              <c:numCache>
                <c:formatCode>#,##0_ ;\-#,##0\ ;\-\ </c:formatCode>
                <c:ptCount val="27"/>
                <c:pt idx="0">
                  <c:v>1.2607040913415795</c:v>
                </c:pt>
                <c:pt idx="1">
                  <c:v>0.5084292213005086</c:v>
                </c:pt>
                <c:pt idx="2">
                  <c:v>3.3102143757881413</c:v>
                </c:pt>
                <c:pt idx="3">
                  <c:v>5.8578236695790276</c:v>
                </c:pt>
                <c:pt idx="4">
                  <c:v>3.8225578102878717</c:v>
                </c:pt>
                <c:pt idx="5">
                  <c:v>2.5137658606655493</c:v>
                </c:pt>
                <c:pt idx="6">
                  <c:v>21.418219353762364</c:v>
                </c:pt>
                <c:pt idx="7">
                  <c:v>43.739730529083161</c:v>
                </c:pt>
                <c:pt idx="8">
                  <c:v>21.070919458303628</c:v>
                </c:pt>
                <c:pt idx="9">
                  <c:v>58.800066478311294</c:v>
                </c:pt>
                <c:pt idx="10">
                  <c:v>54.250663280346345</c:v>
                </c:pt>
                <c:pt idx="11">
                  <c:v>46.721477578670054</c:v>
                </c:pt>
                <c:pt idx="12">
                  <c:v>11.776447105788424</c:v>
                </c:pt>
                <c:pt idx="13">
                  <c:v>0.89934278796264044</c:v>
                </c:pt>
                <c:pt idx="14">
                  <c:v>6.6402116402116409</c:v>
                </c:pt>
                <c:pt idx="15">
                  <c:v>13.262999246420502</c:v>
                </c:pt>
                <c:pt idx="16">
                  <c:v>15.231958762886554</c:v>
                </c:pt>
                <c:pt idx="17">
                  <c:v>19.765702891325887</c:v>
                </c:pt>
                <c:pt idx="18">
                  <c:v>21.797207043108681</c:v>
                </c:pt>
                <c:pt idx="19">
                  <c:v>31.962616822429805</c:v>
                </c:pt>
                <c:pt idx="20">
                  <c:v>7.2142410993129324</c:v>
                </c:pt>
                <c:pt idx="21">
                  <c:v>8.737048445813457</c:v>
                </c:pt>
                <c:pt idx="22">
                  <c:v>27.66830870279146</c:v>
                </c:pt>
                <c:pt idx="23">
                  <c:v>41.395961369622384</c:v>
                </c:pt>
                <c:pt idx="24">
                  <c:v>45.827758783013728</c:v>
                </c:pt>
                <c:pt idx="25">
                  <c:v>18.745023092849138</c:v>
                </c:pt>
                <c:pt idx="26">
                  <c:v>13.315602836879474</c:v>
                </c:pt>
              </c:numCache>
            </c:numRef>
          </c:val>
          <c:extLst>
            <c:ext xmlns:c16="http://schemas.microsoft.com/office/drawing/2014/chart" uri="{C3380CC4-5D6E-409C-BE32-E72D297353CC}">
              <c16:uniqueId val="{00000005-A6B7-4AB0-B44A-152750D9B009}"/>
            </c:ext>
          </c:extLst>
        </c:ser>
        <c:dLbls>
          <c:showLegendKey val="0"/>
          <c:showVal val="0"/>
          <c:showCatName val="0"/>
          <c:showSerName val="0"/>
          <c:showPercent val="0"/>
          <c:showBubbleSize val="0"/>
        </c:dLbls>
        <c:gapWidth val="66"/>
        <c:overlap val="100"/>
        <c:axId val="102109568"/>
        <c:axId val="102111104"/>
      </c:barChart>
      <c:catAx>
        <c:axId val="102109568"/>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2111104"/>
        <c:crossesAt val="100"/>
        <c:auto val="1"/>
        <c:lblAlgn val="ctr"/>
        <c:lblOffset val="10"/>
        <c:noMultiLvlLbl val="0"/>
      </c:catAx>
      <c:valAx>
        <c:axId val="10211110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2109568"/>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6.1513488784477516E-2"/>
          <c:y val="0.95631493740883722"/>
          <c:w val="0.93402672492025263"/>
          <c:h val="4.0748100255487987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1607291098123966"/>
          <c:h val="0.7529858247119805"/>
        </c:manualLayout>
      </c:layout>
      <c:lineChart>
        <c:grouping val="standard"/>
        <c:varyColors val="0"/>
        <c:ser>
          <c:idx val="0"/>
          <c:order val="0"/>
          <c:tx>
            <c:strRef>
              <c:f>'Graf-9-kvalita míst-1'!$A$3</c:f>
              <c:strCache>
                <c:ptCount val="1"/>
                <c:pt idx="0">
                  <c:v>Práce na zkrácený úvazek (muži)</c:v>
                </c:pt>
              </c:strCache>
            </c:strRef>
          </c:tx>
          <c:spPr>
            <a:ln w="15875">
              <a:solidFill>
                <a:schemeClr val="tx1">
                  <a:lumMod val="95000"/>
                  <a:lumOff val="5000"/>
                </a:schemeClr>
              </a:solidFill>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míst-1'!$B$3:$T$3</c:f>
              <c:numCache>
                <c:formatCode>#\ ##0.0</c:formatCode>
                <c:ptCount val="19"/>
                <c:pt idx="0">
                  <c:v>2.2000000000000002</c:v>
                </c:pt>
                <c:pt idx="1">
                  <c:v>2.2000000000000002</c:v>
                </c:pt>
                <c:pt idx="2">
                  <c:v>2.1</c:v>
                </c:pt>
                <c:pt idx="3">
                  <c:v>2.2999999999999998</c:v>
                </c:pt>
                <c:pt idx="4">
                  <c:v>2.2999999999999998</c:v>
                </c:pt>
                <c:pt idx="5">
                  <c:v>2.1</c:v>
                </c:pt>
                <c:pt idx="6">
                  <c:v>2.2000000000000002</c:v>
                </c:pt>
                <c:pt idx="7">
                  <c:v>2.2999999999999998</c:v>
                </c:pt>
                <c:pt idx="8">
                  <c:v>2.2000000000000002</c:v>
                </c:pt>
                <c:pt idx="9">
                  <c:v>2.8</c:v>
                </c:pt>
                <c:pt idx="10">
                  <c:v>2.9</c:v>
                </c:pt>
                <c:pt idx="11">
                  <c:v>2.5</c:v>
                </c:pt>
                <c:pt idx="12">
                  <c:v>2.9</c:v>
                </c:pt>
                <c:pt idx="13">
                  <c:v>3.3</c:v>
                </c:pt>
                <c:pt idx="14">
                  <c:v>3.3</c:v>
                </c:pt>
                <c:pt idx="15">
                  <c:v>3.1</c:v>
                </c:pt>
                <c:pt idx="16">
                  <c:v>3.3</c:v>
                </c:pt>
                <c:pt idx="17">
                  <c:v>3.5</c:v>
                </c:pt>
                <c:pt idx="18">
                  <c:v>3.8</c:v>
                </c:pt>
              </c:numCache>
            </c:numRef>
          </c:val>
          <c:smooth val="0"/>
          <c:extLst>
            <c:ext xmlns:c16="http://schemas.microsoft.com/office/drawing/2014/chart" uri="{C3380CC4-5D6E-409C-BE32-E72D297353CC}">
              <c16:uniqueId val="{00000000-127F-40C8-AB3E-49F12626A4DD}"/>
            </c:ext>
          </c:extLst>
        </c:ser>
        <c:ser>
          <c:idx val="1"/>
          <c:order val="1"/>
          <c:tx>
            <c:strRef>
              <c:f>'Graf-9-kvalita míst-1'!$A$4</c:f>
              <c:strCache>
                <c:ptCount val="1"/>
                <c:pt idx="0">
                  <c:v>Práce na zkrácený úvazek (ženy)</c:v>
                </c:pt>
              </c:strCache>
            </c:strRef>
          </c:tx>
          <c:spPr>
            <a:ln w="15875">
              <a:solidFill>
                <a:schemeClr val="tx1">
                  <a:lumMod val="95000"/>
                  <a:lumOff val="5000"/>
                </a:schemeClr>
              </a:solidFill>
              <a:prstDash val="sysDash"/>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míst-1'!$B$4:$T$4</c:f>
              <c:numCache>
                <c:formatCode>#\ ##0.0</c:formatCode>
                <c:ptCount val="19"/>
                <c:pt idx="0">
                  <c:v>9.5</c:v>
                </c:pt>
                <c:pt idx="1">
                  <c:v>8.6</c:v>
                </c:pt>
                <c:pt idx="2">
                  <c:v>8.3000000000000007</c:v>
                </c:pt>
                <c:pt idx="3">
                  <c:v>8.5</c:v>
                </c:pt>
                <c:pt idx="4">
                  <c:v>8.5</c:v>
                </c:pt>
                <c:pt idx="5">
                  <c:v>8.6</c:v>
                </c:pt>
                <c:pt idx="6">
                  <c:v>8.6999999999999993</c:v>
                </c:pt>
                <c:pt idx="7">
                  <c:v>8.5</c:v>
                </c:pt>
                <c:pt idx="8">
                  <c:v>8.5</c:v>
                </c:pt>
                <c:pt idx="9">
                  <c:v>9.1999999999999993</c:v>
                </c:pt>
                <c:pt idx="10">
                  <c:v>9.9</c:v>
                </c:pt>
                <c:pt idx="11">
                  <c:v>9.4</c:v>
                </c:pt>
                <c:pt idx="12">
                  <c:v>9.5</c:v>
                </c:pt>
                <c:pt idx="13">
                  <c:v>11</c:v>
                </c:pt>
                <c:pt idx="14">
                  <c:v>10.4</c:v>
                </c:pt>
                <c:pt idx="15">
                  <c:v>10.4</c:v>
                </c:pt>
                <c:pt idx="16">
                  <c:v>11.1</c:v>
                </c:pt>
                <c:pt idx="17">
                  <c:v>12.2</c:v>
                </c:pt>
                <c:pt idx="18">
                  <c:v>12.3</c:v>
                </c:pt>
              </c:numCache>
            </c:numRef>
          </c:val>
          <c:smooth val="0"/>
          <c:extLst>
            <c:ext xmlns:c16="http://schemas.microsoft.com/office/drawing/2014/chart" uri="{C3380CC4-5D6E-409C-BE32-E72D297353CC}">
              <c16:uniqueId val="{00000001-127F-40C8-AB3E-49F12626A4DD}"/>
            </c:ext>
          </c:extLst>
        </c:ser>
        <c:ser>
          <c:idx val="6"/>
          <c:order val="2"/>
          <c:tx>
            <c:strRef>
              <c:f>'Graf-9-kvalita míst-1'!$A$5</c:f>
              <c:strCache>
                <c:ptCount val="1"/>
                <c:pt idx="0">
                  <c:v>Pracující mající dvě zaměstnání (muži)</c:v>
                </c:pt>
              </c:strCache>
            </c:strRef>
          </c:tx>
          <c:spPr>
            <a:ln w="15875">
              <a:solidFill>
                <a:srgbClr val="0070C0"/>
              </a:solidFill>
              <a:prstDash val="solid"/>
            </a:ln>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míst-1'!$B$5:$T$5</c:f>
              <c:numCache>
                <c:formatCode>#\ ##0.0</c:formatCode>
                <c:ptCount val="19"/>
                <c:pt idx="0">
                  <c:v>2.9664086628283832</c:v>
                </c:pt>
                <c:pt idx="1">
                  <c:v>2.8669331810394061</c:v>
                </c:pt>
                <c:pt idx="2">
                  <c:v>2.7885156689810469</c:v>
                </c:pt>
                <c:pt idx="3">
                  <c:v>2.7780923262748649</c:v>
                </c:pt>
                <c:pt idx="4">
                  <c:v>2.9552352048558426</c:v>
                </c:pt>
                <c:pt idx="5">
                  <c:v>2.520790981334319</c:v>
                </c:pt>
                <c:pt idx="6">
                  <c:v>2.1773222947591089</c:v>
                </c:pt>
                <c:pt idx="7">
                  <c:v>1.8602330636826914</c:v>
                </c:pt>
                <c:pt idx="8">
                  <c:v>1.9523609946912546</c:v>
                </c:pt>
                <c:pt idx="9">
                  <c:v>2.0080036831108123</c:v>
                </c:pt>
                <c:pt idx="10">
                  <c:v>2.3442804559911372</c:v>
                </c:pt>
                <c:pt idx="11">
                  <c:v>2.1746174617461747</c:v>
                </c:pt>
                <c:pt idx="12">
                  <c:v>2.2566132805470578</c:v>
                </c:pt>
                <c:pt idx="13">
                  <c:v>2.301360057265569</c:v>
                </c:pt>
                <c:pt idx="14">
                  <c:v>2.0589279375221867</c:v>
                </c:pt>
                <c:pt idx="15">
                  <c:v>2.2027984351319914</c:v>
                </c:pt>
                <c:pt idx="16">
                  <c:v>2.429867556575243</c:v>
                </c:pt>
                <c:pt idx="17">
                  <c:v>2.5721928801701077</c:v>
                </c:pt>
                <c:pt idx="18">
                  <c:v>2.5453928389614795</c:v>
                </c:pt>
              </c:numCache>
            </c:numRef>
          </c:val>
          <c:smooth val="0"/>
          <c:extLst>
            <c:ext xmlns:c16="http://schemas.microsoft.com/office/drawing/2014/chart" uri="{C3380CC4-5D6E-409C-BE32-E72D297353CC}">
              <c16:uniqueId val="{00000002-127F-40C8-AB3E-49F12626A4DD}"/>
            </c:ext>
          </c:extLst>
        </c:ser>
        <c:ser>
          <c:idx val="5"/>
          <c:order val="3"/>
          <c:tx>
            <c:strRef>
              <c:f>'Graf-9-kvalita míst-1'!$A$6</c:f>
              <c:strCache>
                <c:ptCount val="1"/>
                <c:pt idx="0">
                  <c:v>Pracující mající dvě zaměstnání (ženy)</c:v>
                </c:pt>
              </c:strCache>
            </c:strRef>
          </c:tx>
          <c:spPr>
            <a:ln w="15875" cap="rnd">
              <a:solidFill>
                <a:srgbClr val="0070C0"/>
              </a:solidFill>
              <a:prstDash val="sysDash"/>
              <a:round/>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míst-1'!$B$6:$T$6</c:f>
              <c:numCache>
                <c:formatCode>#\ ##0.0</c:formatCode>
                <c:ptCount val="19"/>
                <c:pt idx="0">
                  <c:v>2.3582147729487426</c:v>
                </c:pt>
                <c:pt idx="1">
                  <c:v>2.3417721518987342</c:v>
                </c:pt>
                <c:pt idx="2">
                  <c:v>1.8856065367693273</c:v>
                </c:pt>
                <c:pt idx="3">
                  <c:v>2.3465264592765691</c:v>
                </c:pt>
                <c:pt idx="4">
                  <c:v>1.9694082001661535</c:v>
                </c:pt>
                <c:pt idx="5">
                  <c:v>2.2686422152052463</c:v>
                </c:pt>
                <c:pt idx="6">
                  <c:v>2.1044053496956043</c:v>
                </c:pt>
                <c:pt idx="7">
                  <c:v>1.3374923200529327</c:v>
                </c:pt>
                <c:pt idx="8">
                  <c:v>1.5098396671808532</c:v>
                </c:pt>
                <c:pt idx="9">
                  <c:v>1.6631130063965887</c:v>
                </c:pt>
                <c:pt idx="10">
                  <c:v>1.9502611529062246</c:v>
                </c:pt>
                <c:pt idx="11">
                  <c:v>2.0570828560519283</c:v>
                </c:pt>
                <c:pt idx="12">
                  <c:v>2.0175230878522377</c:v>
                </c:pt>
                <c:pt idx="13">
                  <c:v>2.1558562762482505</c:v>
                </c:pt>
                <c:pt idx="14">
                  <c:v>2.3640661938534278</c:v>
                </c:pt>
                <c:pt idx="15">
                  <c:v>2.3995282590946205</c:v>
                </c:pt>
                <c:pt idx="16">
                  <c:v>2.2016888456607275</c:v>
                </c:pt>
                <c:pt idx="17">
                  <c:v>2.6845346517477662</c:v>
                </c:pt>
                <c:pt idx="18">
                  <c:v>2.6328121671707918</c:v>
                </c:pt>
              </c:numCache>
            </c:numRef>
          </c:val>
          <c:smooth val="0"/>
          <c:extLst>
            <c:ext xmlns:c16="http://schemas.microsoft.com/office/drawing/2014/chart" uri="{C3380CC4-5D6E-409C-BE32-E72D297353CC}">
              <c16:uniqueId val="{00000003-127F-40C8-AB3E-49F12626A4DD}"/>
            </c:ext>
          </c:extLst>
        </c:ser>
        <c:ser>
          <c:idx val="2"/>
          <c:order val="4"/>
          <c:tx>
            <c:strRef>
              <c:f>'Graf-9-kvalita míst-1'!$A$7</c:f>
              <c:strCache>
                <c:ptCount val="1"/>
                <c:pt idx="0">
                  <c:v>Pracující z domova (muži)</c:v>
                </c:pt>
              </c:strCache>
            </c:strRef>
          </c:tx>
          <c:spPr>
            <a:ln w="15875" cap="rnd">
              <a:solidFill>
                <a:srgbClr val="BD1B21"/>
              </a:solidFill>
              <a:round/>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míst-1'!$B$7:$T$7</c:f>
              <c:numCache>
                <c:formatCode>#\ ##0.0</c:formatCode>
                <c:ptCount val="19"/>
                <c:pt idx="0">
                  <c:v>11</c:v>
                </c:pt>
                <c:pt idx="1">
                  <c:v>11.1</c:v>
                </c:pt>
                <c:pt idx="2">
                  <c:v>11.1</c:v>
                </c:pt>
                <c:pt idx="3">
                  <c:v>11.5</c:v>
                </c:pt>
                <c:pt idx="4">
                  <c:v>10.8</c:v>
                </c:pt>
                <c:pt idx="5">
                  <c:v>10.5</c:v>
                </c:pt>
                <c:pt idx="6">
                  <c:v>9.1</c:v>
                </c:pt>
                <c:pt idx="7">
                  <c:v>6.8000000000000007</c:v>
                </c:pt>
                <c:pt idx="8">
                  <c:v>6.5</c:v>
                </c:pt>
                <c:pt idx="9">
                  <c:v>7</c:v>
                </c:pt>
                <c:pt idx="10">
                  <c:v>7.5</c:v>
                </c:pt>
                <c:pt idx="11">
                  <c:v>8.1999999999999993</c:v>
                </c:pt>
                <c:pt idx="12">
                  <c:v>8.1999999999999993</c:v>
                </c:pt>
                <c:pt idx="13">
                  <c:v>8.6999999999999993</c:v>
                </c:pt>
                <c:pt idx="14">
                  <c:v>8</c:v>
                </c:pt>
                <c:pt idx="15">
                  <c:v>7.5</c:v>
                </c:pt>
                <c:pt idx="16">
                  <c:v>9.3000000000000007</c:v>
                </c:pt>
                <c:pt idx="17">
                  <c:v>9.6</c:v>
                </c:pt>
                <c:pt idx="18">
                  <c:v>10.199999999999999</c:v>
                </c:pt>
              </c:numCache>
            </c:numRef>
          </c:val>
          <c:smooth val="0"/>
          <c:extLst>
            <c:ext xmlns:c16="http://schemas.microsoft.com/office/drawing/2014/chart" uri="{C3380CC4-5D6E-409C-BE32-E72D297353CC}">
              <c16:uniqueId val="{00000004-127F-40C8-AB3E-49F12626A4DD}"/>
            </c:ext>
          </c:extLst>
        </c:ser>
        <c:ser>
          <c:idx val="3"/>
          <c:order val="5"/>
          <c:tx>
            <c:strRef>
              <c:f>'Graf-9-kvalita míst-1'!$A$8</c:f>
              <c:strCache>
                <c:ptCount val="1"/>
                <c:pt idx="0">
                  <c:v>Pracující z domova  (ženy)</c:v>
                </c:pt>
              </c:strCache>
            </c:strRef>
          </c:tx>
          <c:spPr>
            <a:ln w="15875" cap="rnd">
              <a:solidFill>
                <a:srgbClr val="BD1B21"/>
              </a:solidFill>
              <a:prstDash val="sysDash"/>
              <a:round/>
            </a:ln>
            <a:effectLst/>
          </c:spPr>
          <c:marker>
            <c:symbol val="none"/>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míst-1'!$B$8:$T$8</c:f>
              <c:numCache>
                <c:formatCode>#\ ##0.0</c:formatCode>
                <c:ptCount val="19"/>
                <c:pt idx="0">
                  <c:v>10.3</c:v>
                </c:pt>
                <c:pt idx="1">
                  <c:v>10</c:v>
                </c:pt>
                <c:pt idx="2">
                  <c:v>10.3</c:v>
                </c:pt>
                <c:pt idx="3">
                  <c:v>11</c:v>
                </c:pt>
                <c:pt idx="4">
                  <c:v>10.1</c:v>
                </c:pt>
                <c:pt idx="5">
                  <c:v>10</c:v>
                </c:pt>
                <c:pt idx="6">
                  <c:v>9</c:v>
                </c:pt>
                <c:pt idx="7">
                  <c:v>7</c:v>
                </c:pt>
                <c:pt idx="8">
                  <c:v>6.9</c:v>
                </c:pt>
                <c:pt idx="9">
                  <c:v>6.9</c:v>
                </c:pt>
                <c:pt idx="10">
                  <c:v>7.4</c:v>
                </c:pt>
                <c:pt idx="11">
                  <c:v>7.7</c:v>
                </c:pt>
                <c:pt idx="12">
                  <c:v>8.3000000000000007</c:v>
                </c:pt>
                <c:pt idx="13">
                  <c:v>7.9</c:v>
                </c:pt>
                <c:pt idx="14">
                  <c:v>8.3000000000000007</c:v>
                </c:pt>
                <c:pt idx="15">
                  <c:v>8.5</c:v>
                </c:pt>
                <c:pt idx="16">
                  <c:v>8.8000000000000007</c:v>
                </c:pt>
                <c:pt idx="17">
                  <c:v>9.5</c:v>
                </c:pt>
                <c:pt idx="18">
                  <c:v>9.1000000000000014</c:v>
                </c:pt>
              </c:numCache>
            </c:numRef>
          </c:val>
          <c:smooth val="0"/>
          <c:extLst>
            <c:ext xmlns:c16="http://schemas.microsoft.com/office/drawing/2014/chart" uri="{C3380CC4-5D6E-409C-BE32-E72D297353CC}">
              <c16:uniqueId val="{00000005-127F-40C8-AB3E-49F12626A4DD}"/>
            </c:ext>
          </c:extLst>
        </c:ser>
        <c:dLbls>
          <c:showLegendKey val="0"/>
          <c:showVal val="0"/>
          <c:showCatName val="0"/>
          <c:showSerName val="0"/>
          <c:showPercent val="0"/>
          <c:showBubbleSize val="0"/>
        </c:dLbls>
        <c:marker val="1"/>
        <c:smooth val="0"/>
        <c:axId val="143485184"/>
        <c:axId val="143495168"/>
      </c:lineChart>
      <c:lineChart>
        <c:grouping val="standard"/>
        <c:varyColors val="0"/>
        <c:ser>
          <c:idx val="4"/>
          <c:order val="6"/>
          <c:tx>
            <c:strRef>
              <c:f>'Graf-9-kvalita míst-1'!$A$9</c:f>
              <c:strCache>
                <c:ptCount val="1"/>
                <c:pt idx="0">
                  <c:v>Prac. z domova (sebezam. muži, pr. osa)</c:v>
                </c:pt>
              </c:strCache>
            </c:strRef>
          </c:tx>
          <c:spPr>
            <a:ln w="15875" cap="rnd">
              <a:noFill/>
              <a:round/>
            </a:ln>
            <a:effectLst/>
          </c:spPr>
          <c:marker>
            <c:symbol val="triangle"/>
            <c:size val="5"/>
            <c:spPr>
              <a:solidFill>
                <a:srgbClr val="BD1B21"/>
              </a:solidFill>
              <a:ln>
                <a:noFill/>
              </a:ln>
            </c:spPr>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míst-1'!$B$9:$T$9</c:f>
              <c:numCache>
                <c:formatCode>#\ ##0.0</c:formatCode>
                <c:ptCount val="19"/>
                <c:pt idx="0">
                  <c:v>35.799999999999997</c:v>
                </c:pt>
                <c:pt idx="1">
                  <c:v>36.1</c:v>
                </c:pt>
                <c:pt idx="2">
                  <c:v>37.700000000000003</c:v>
                </c:pt>
                <c:pt idx="3">
                  <c:v>38.299999999999997</c:v>
                </c:pt>
                <c:pt idx="4">
                  <c:v>34.700000000000003</c:v>
                </c:pt>
                <c:pt idx="5">
                  <c:v>36.9</c:v>
                </c:pt>
                <c:pt idx="6">
                  <c:v>31.4</c:v>
                </c:pt>
                <c:pt idx="7">
                  <c:v>24.200000000000003</c:v>
                </c:pt>
                <c:pt idx="8">
                  <c:v>24.700000000000003</c:v>
                </c:pt>
                <c:pt idx="9">
                  <c:v>25.4</c:v>
                </c:pt>
                <c:pt idx="10">
                  <c:v>26.1</c:v>
                </c:pt>
                <c:pt idx="11">
                  <c:v>27.3</c:v>
                </c:pt>
                <c:pt idx="12">
                  <c:v>28.4</c:v>
                </c:pt>
                <c:pt idx="13">
                  <c:v>29.3</c:v>
                </c:pt>
                <c:pt idx="14">
                  <c:v>26.5</c:v>
                </c:pt>
                <c:pt idx="15">
                  <c:v>27.6</c:v>
                </c:pt>
                <c:pt idx="16">
                  <c:v>30.1</c:v>
                </c:pt>
                <c:pt idx="17">
                  <c:v>32</c:v>
                </c:pt>
                <c:pt idx="18">
                  <c:v>32.200000000000003</c:v>
                </c:pt>
              </c:numCache>
            </c:numRef>
          </c:val>
          <c:smooth val="0"/>
          <c:extLst>
            <c:ext xmlns:c16="http://schemas.microsoft.com/office/drawing/2014/chart" uri="{C3380CC4-5D6E-409C-BE32-E72D297353CC}">
              <c16:uniqueId val="{00000006-127F-40C8-AB3E-49F12626A4DD}"/>
            </c:ext>
          </c:extLst>
        </c:ser>
        <c:ser>
          <c:idx val="7"/>
          <c:order val="7"/>
          <c:tx>
            <c:strRef>
              <c:f>'Graf-9-kvalita míst-1'!$A$10</c:f>
              <c:strCache>
                <c:ptCount val="1"/>
                <c:pt idx="0">
                  <c:v>Prac. z domova (sebezam. ženy, pr. osa)</c:v>
                </c:pt>
              </c:strCache>
            </c:strRef>
          </c:tx>
          <c:spPr>
            <a:ln w="19050">
              <a:noFill/>
            </a:ln>
          </c:spPr>
          <c:marker>
            <c:symbol val="diamond"/>
            <c:size val="5"/>
          </c:marker>
          <c:cat>
            <c:strRef>
              <c:f>'Graf-9-kvalita míst-1'!$B$2:$T$2</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'Graf-9-kvalita míst-1'!$B$10:$T$10</c:f>
              <c:numCache>
                <c:formatCode>#\ ##0.0</c:formatCode>
                <c:ptCount val="19"/>
                <c:pt idx="0">
                  <c:v>53.400000000000006</c:v>
                </c:pt>
                <c:pt idx="1">
                  <c:v>51</c:v>
                </c:pt>
                <c:pt idx="2">
                  <c:v>55.3</c:v>
                </c:pt>
                <c:pt idx="3">
                  <c:v>55.9</c:v>
                </c:pt>
                <c:pt idx="4">
                  <c:v>53.3</c:v>
                </c:pt>
                <c:pt idx="5">
                  <c:v>53.3</c:v>
                </c:pt>
                <c:pt idx="6">
                  <c:v>49</c:v>
                </c:pt>
                <c:pt idx="7">
                  <c:v>39.400000000000006</c:v>
                </c:pt>
                <c:pt idx="8">
                  <c:v>40.400000000000006</c:v>
                </c:pt>
                <c:pt idx="9">
                  <c:v>41.7</c:v>
                </c:pt>
                <c:pt idx="10">
                  <c:v>42.7</c:v>
                </c:pt>
                <c:pt idx="11">
                  <c:v>43.7</c:v>
                </c:pt>
                <c:pt idx="12">
                  <c:v>43.3</c:v>
                </c:pt>
                <c:pt idx="13">
                  <c:v>44.8</c:v>
                </c:pt>
                <c:pt idx="14">
                  <c:v>47.400000000000006</c:v>
                </c:pt>
                <c:pt idx="15">
                  <c:v>48.300000000000004</c:v>
                </c:pt>
                <c:pt idx="16">
                  <c:v>44.3</c:v>
                </c:pt>
                <c:pt idx="17">
                  <c:v>50.900000000000006</c:v>
                </c:pt>
                <c:pt idx="18">
                  <c:v>48.9</c:v>
                </c:pt>
              </c:numCache>
            </c:numRef>
          </c:val>
          <c:smooth val="0"/>
          <c:extLst>
            <c:ext xmlns:c16="http://schemas.microsoft.com/office/drawing/2014/chart" uri="{C3380CC4-5D6E-409C-BE32-E72D297353CC}">
              <c16:uniqueId val="{00000007-127F-40C8-AB3E-49F12626A4DD}"/>
            </c:ext>
          </c:extLst>
        </c:ser>
        <c:dLbls>
          <c:showLegendKey val="0"/>
          <c:showVal val="0"/>
          <c:showCatName val="0"/>
          <c:showSerName val="0"/>
          <c:showPercent val="0"/>
          <c:showBubbleSize val="0"/>
        </c:dLbls>
        <c:marker val="1"/>
        <c:smooth val="0"/>
        <c:axId val="143498240"/>
        <c:axId val="143496704"/>
      </c:lineChart>
      <c:catAx>
        <c:axId val="143485184"/>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495168"/>
        <c:crossesAt val="100"/>
        <c:auto val="1"/>
        <c:lblAlgn val="ctr"/>
        <c:lblOffset val="10"/>
        <c:noMultiLvlLbl val="0"/>
      </c:catAx>
      <c:valAx>
        <c:axId val="143495168"/>
        <c:scaling>
          <c:orientation val="minMax"/>
          <c:max val="2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485184"/>
        <c:crosses val="autoZero"/>
        <c:crossBetween val="between"/>
        <c:majorUnit val="2"/>
      </c:valAx>
      <c:valAx>
        <c:axId val="143496704"/>
        <c:scaling>
          <c:orientation val="minMax"/>
          <c:max val="60"/>
          <c:min val="0"/>
        </c:scaling>
        <c:delete val="0"/>
        <c:axPos val="r"/>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43498240"/>
        <c:crosses val="max"/>
        <c:crossBetween val="between"/>
        <c:majorUnit val="6"/>
      </c:valAx>
      <c:catAx>
        <c:axId val="143498240"/>
        <c:scaling>
          <c:orientation val="minMax"/>
        </c:scaling>
        <c:delete val="1"/>
        <c:axPos val="b"/>
        <c:numFmt formatCode="General" sourceLinked="1"/>
        <c:majorTickMark val="out"/>
        <c:minorTickMark val="none"/>
        <c:tickLblPos val="none"/>
        <c:crossAx val="143496704"/>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6.3773672672740476E-3"/>
          <c:y val="0.84682531891978641"/>
          <c:w val="0.98455646120120255"/>
          <c:h val="0.1423462707780026"/>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1607291098123966"/>
          <c:h val="0.67940895225934594"/>
        </c:manualLayout>
      </c:layout>
      <c:lineChart>
        <c:grouping val="standard"/>
        <c:varyColors val="0"/>
        <c:ser>
          <c:idx val="0"/>
          <c:order val="0"/>
          <c:tx>
            <c:strRef>
              <c:f>'Graf-10-kvalita míst-2'!$A$4</c:f>
              <c:strCache>
                <c:ptCount val="1"/>
                <c:pt idx="0">
                  <c:v>Práce v sobotu nebo neděli (% zaměstnaných)*</c:v>
                </c:pt>
              </c:strCache>
            </c:strRef>
          </c:tx>
          <c:spPr>
            <a:ln w="15875">
              <a:solidFill>
                <a:srgbClr val="F8A124"/>
              </a:solidFill>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míst-2'!$B$4:$T$4</c:f>
              <c:numCache>
                <c:formatCode>General</c:formatCode>
                <c:ptCount val="19"/>
                <c:pt idx="2" formatCode="#\ ##0.0">
                  <c:v>7</c:v>
                </c:pt>
                <c:pt idx="3" formatCode="#\ ##0.0">
                  <c:v>9.4</c:v>
                </c:pt>
                <c:pt idx="4" formatCode="#\ ##0.0">
                  <c:v>11</c:v>
                </c:pt>
                <c:pt idx="5" formatCode="#\ ##0.0">
                  <c:v>11.1</c:v>
                </c:pt>
                <c:pt idx="6" formatCode="#\ ##0.0">
                  <c:v>19.5</c:v>
                </c:pt>
                <c:pt idx="7" formatCode="#\ ##0.0">
                  <c:v>23.5</c:v>
                </c:pt>
                <c:pt idx="8" formatCode="#\ ##0.0">
                  <c:v>23.8</c:v>
                </c:pt>
                <c:pt idx="9" formatCode="#\ ##0.0">
                  <c:v>21.1</c:v>
                </c:pt>
                <c:pt idx="10" formatCode="#\ ##0.0">
                  <c:v>22.2</c:v>
                </c:pt>
                <c:pt idx="11" formatCode="#\ ##0.0">
                  <c:v>22.9</c:v>
                </c:pt>
                <c:pt idx="12" formatCode="#\ ##0.0">
                  <c:v>21.6</c:v>
                </c:pt>
                <c:pt idx="13" formatCode="#\ ##0.0">
                  <c:v>20</c:v>
                </c:pt>
                <c:pt idx="14" formatCode="#\ ##0.0">
                  <c:v>19.3</c:v>
                </c:pt>
                <c:pt idx="15" formatCode="#\ ##0.0">
                  <c:v>19.7</c:v>
                </c:pt>
                <c:pt idx="16" formatCode="#\ ##0.0">
                  <c:v>18.7</c:v>
                </c:pt>
                <c:pt idx="17" formatCode="#\ ##0.0">
                  <c:v>17.8</c:v>
                </c:pt>
                <c:pt idx="18" formatCode="#\ ##0.0">
                  <c:v>16.899999999999999</c:v>
                </c:pt>
              </c:numCache>
            </c:numRef>
          </c:val>
          <c:smooth val="0"/>
          <c:extLst>
            <c:ext xmlns:c16="http://schemas.microsoft.com/office/drawing/2014/chart" uri="{C3380CC4-5D6E-409C-BE32-E72D297353CC}">
              <c16:uniqueId val="{00000000-4D2B-4F1D-AFD8-D7AC3244E78D}"/>
            </c:ext>
          </c:extLst>
        </c:ser>
        <c:ser>
          <c:idx val="1"/>
          <c:order val="1"/>
          <c:tx>
            <c:strRef>
              <c:f>'Graf-10-kvalita míst-2'!$A$5</c:f>
              <c:strCache>
                <c:ptCount val="1"/>
                <c:pt idx="0">
                  <c:v>Práce na směny (% zaměstnanců)*</c:v>
                </c:pt>
              </c:strCache>
            </c:strRef>
          </c:tx>
          <c:spPr>
            <a:ln w="15875">
              <a:solidFill>
                <a:srgbClr val="7030A0"/>
              </a:solidFill>
              <a:prstDash val="soli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míst-2'!$B$5:$T$5</c:f>
              <c:numCache>
                <c:formatCode>#\ ##0.0</c:formatCode>
                <c:ptCount val="19"/>
                <c:pt idx="1">
                  <c:v>26.8</c:v>
                </c:pt>
                <c:pt idx="2">
                  <c:v>28.3</c:v>
                </c:pt>
                <c:pt idx="3">
                  <c:v>29.5</c:v>
                </c:pt>
                <c:pt idx="4">
                  <c:v>29</c:v>
                </c:pt>
                <c:pt idx="5">
                  <c:v>29.3</c:v>
                </c:pt>
                <c:pt idx="6">
                  <c:v>30</c:v>
                </c:pt>
                <c:pt idx="7">
                  <c:v>29.7</c:v>
                </c:pt>
                <c:pt idx="8">
                  <c:v>29</c:v>
                </c:pt>
                <c:pt idx="9">
                  <c:v>27.6</c:v>
                </c:pt>
                <c:pt idx="10">
                  <c:v>28.2</c:v>
                </c:pt>
                <c:pt idx="11">
                  <c:v>29.1</c:v>
                </c:pt>
                <c:pt idx="12">
                  <c:v>28.1</c:v>
                </c:pt>
                <c:pt idx="13">
                  <c:v>28.7</c:v>
                </c:pt>
                <c:pt idx="14">
                  <c:v>28.8</c:v>
                </c:pt>
                <c:pt idx="15">
                  <c:v>29.9</c:v>
                </c:pt>
                <c:pt idx="16">
                  <c:v>29</c:v>
                </c:pt>
                <c:pt idx="17">
                  <c:v>28.3</c:v>
                </c:pt>
                <c:pt idx="18">
                  <c:v>28</c:v>
                </c:pt>
              </c:numCache>
            </c:numRef>
          </c:val>
          <c:smooth val="0"/>
          <c:extLst>
            <c:ext xmlns:c16="http://schemas.microsoft.com/office/drawing/2014/chart" uri="{C3380CC4-5D6E-409C-BE32-E72D297353CC}">
              <c16:uniqueId val="{00000001-4D2B-4F1D-AFD8-D7AC3244E78D}"/>
            </c:ext>
          </c:extLst>
        </c:ser>
        <c:ser>
          <c:idx val="2"/>
          <c:order val="2"/>
          <c:tx>
            <c:strRef>
              <c:f>'Graf-10-kvalita míst-2'!$A$6</c:f>
              <c:strCache>
                <c:ptCount val="1"/>
                <c:pt idx="0">
                  <c:v>Práce v nočních hodinách (% zaměstnaných)*</c:v>
                </c:pt>
              </c:strCache>
            </c:strRef>
          </c:tx>
          <c:spPr>
            <a:ln w="15875" cap="rnd">
              <a:solidFill>
                <a:srgbClr val="3B3838"/>
              </a:solidFill>
              <a:roun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míst-2'!$B$6:$T$6</c:f>
              <c:numCache>
                <c:formatCode>General</c:formatCode>
                <c:ptCount val="19"/>
                <c:pt idx="2" formatCode="#\ ##0.0">
                  <c:v>4</c:v>
                </c:pt>
                <c:pt idx="3" formatCode="#\ ##0.0">
                  <c:v>4.9000000000000004</c:v>
                </c:pt>
                <c:pt idx="4" formatCode="#\ ##0.0">
                  <c:v>6</c:v>
                </c:pt>
                <c:pt idx="5" formatCode="#\ ##0.0">
                  <c:v>6.2</c:v>
                </c:pt>
                <c:pt idx="6" formatCode="#\ ##0.0">
                  <c:v>6.1</c:v>
                </c:pt>
                <c:pt idx="7" formatCode="#\ ##0.0">
                  <c:v>5.4</c:v>
                </c:pt>
                <c:pt idx="8" formatCode="#\ ##0.0">
                  <c:v>5.2</c:v>
                </c:pt>
                <c:pt idx="9" formatCode="#\ ##0.0">
                  <c:v>4.5999999999999996</c:v>
                </c:pt>
                <c:pt idx="10" formatCode="#\ ##0.0">
                  <c:v>4.7</c:v>
                </c:pt>
                <c:pt idx="11" formatCode="#\ ##0.0">
                  <c:v>5.5</c:v>
                </c:pt>
                <c:pt idx="12" formatCode="#\ ##0.0">
                  <c:v>4.7</c:v>
                </c:pt>
                <c:pt idx="13" formatCode="#\ ##0.0">
                  <c:v>5</c:v>
                </c:pt>
                <c:pt idx="14" formatCode="#\ ##0.0">
                  <c:v>4.4000000000000004</c:v>
                </c:pt>
                <c:pt idx="15" formatCode="#\ ##0.0">
                  <c:v>5.3</c:v>
                </c:pt>
                <c:pt idx="16" formatCode="#\ ##0.0">
                  <c:v>5.0999999999999996</c:v>
                </c:pt>
                <c:pt idx="17" formatCode="#\ ##0.0">
                  <c:v>5.2</c:v>
                </c:pt>
                <c:pt idx="18" formatCode="#\ ##0.0">
                  <c:v>5</c:v>
                </c:pt>
              </c:numCache>
            </c:numRef>
          </c:val>
          <c:smooth val="0"/>
          <c:extLst>
            <c:ext xmlns:c16="http://schemas.microsoft.com/office/drawing/2014/chart" uri="{C3380CC4-5D6E-409C-BE32-E72D297353CC}">
              <c16:uniqueId val="{00000002-4D2B-4F1D-AFD8-D7AC3244E78D}"/>
            </c:ext>
          </c:extLst>
        </c:ser>
        <c:ser>
          <c:idx val="3"/>
          <c:order val="3"/>
          <c:tx>
            <c:strRef>
              <c:f>'Graf-10-kvalita míst-2'!$A$7</c:f>
              <c:strCache>
                <c:ptCount val="1"/>
                <c:pt idx="0">
                  <c:v>Pracovní doba nad 48 hod. týdně (% zaměstnaných)*</c:v>
                </c:pt>
              </c:strCache>
            </c:strRef>
          </c:tx>
          <c:spPr>
            <a:ln w="15875" cap="rnd">
              <a:solidFill>
                <a:srgbClr val="BD1B21"/>
              </a:solidFill>
              <a:prstDash val="solid"/>
              <a:roun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míst-2'!$B$7:$T$7</c:f>
              <c:numCache>
                <c:formatCode>#\ ##0.0</c:formatCode>
                <c:ptCount val="19"/>
                <c:pt idx="0">
                  <c:v>18.3</c:v>
                </c:pt>
                <c:pt idx="1">
                  <c:v>14.2</c:v>
                </c:pt>
                <c:pt idx="2">
                  <c:v>15.8</c:v>
                </c:pt>
                <c:pt idx="3">
                  <c:v>17.7</c:v>
                </c:pt>
                <c:pt idx="4">
                  <c:v>17.100000000000001</c:v>
                </c:pt>
                <c:pt idx="5">
                  <c:v>16.5</c:v>
                </c:pt>
                <c:pt idx="6">
                  <c:v>16.399999999999999</c:v>
                </c:pt>
                <c:pt idx="7">
                  <c:v>16.899999999999999</c:v>
                </c:pt>
                <c:pt idx="8">
                  <c:v>17.3</c:v>
                </c:pt>
                <c:pt idx="9">
                  <c:v>16.7</c:v>
                </c:pt>
                <c:pt idx="10">
                  <c:v>16.2</c:v>
                </c:pt>
                <c:pt idx="11">
                  <c:v>15</c:v>
                </c:pt>
                <c:pt idx="12">
                  <c:v>14.3</c:v>
                </c:pt>
                <c:pt idx="13">
                  <c:v>13.2</c:v>
                </c:pt>
                <c:pt idx="14">
                  <c:v>12.1</c:v>
                </c:pt>
                <c:pt idx="15">
                  <c:v>12.2</c:v>
                </c:pt>
                <c:pt idx="16">
                  <c:v>11.8</c:v>
                </c:pt>
                <c:pt idx="17">
                  <c:v>11.5</c:v>
                </c:pt>
                <c:pt idx="18">
                  <c:v>11.4</c:v>
                </c:pt>
              </c:numCache>
            </c:numRef>
          </c:val>
          <c:smooth val="0"/>
          <c:extLst>
            <c:ext xmlns:c16="http://schemas.microsoft.com/office/drawing/2014/chart" uri="{C3380CC4-5D6E-409C-BE32-E72D297353CC}">
              <c16:uniqueId val="{00000003-4D2B-4F1D-AFD8-D7AC3244E78D}"/>
            </c:ext>
          </c:extLst>
        </c:ser>
        <c:ser>
          <c:idx val="4"/>
          <c:order val="4"/>
          <c:tx>
            <c:strRef>
              <c:f>'Graf-10-kvalita míst-2'!$A$8</c:f>
              <c:strCache>
                <c:ptCount val="1"/>
                <c:pt idx="0">
                  <c:v>Nedobrovolná práce na zkrácený úvazek (% zaměstnaných)**</c:v>
                </c:pt>
              </c:strCache>
            </c:strRef>
          </c:tx>
          <c:spPr>
            <a:ln w="15875" cap="rnd">
              <a:solidFill>
                <a:srgbClr val="7DBB2D"/>
              </a:solidFill>
              <a:roun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míst-2'!$B$8:$T$8</c:f>
              <c:numCache>
                <c:formatCode>#\ ##0.0</c:formatCode>
                <c:ptCount val="19"/>
                <c:pt idx="0">
                  <c:v>0.46559999999999996</c:v>
                </c:pt>
                <c:pt idx="1">
                  <c:v>0.48840000000000006</c:v>
                </c:pt>
                <c:pt idx="2">
                  <c:v>0.47729999999999995</c:v>
                </c:pt>
                <c:pt idx="3">
                  <c:v>0.69299999999999995</c:v>
                </c:pt>
                <c:pt idx="4">
                  <c:v>0.65560000000000007</c:v>
                </c:pt>
                <c:pt idx="5">
                  <c:v>0.79200000000000004</c:v>
                </c:pt>
                <c:pt idx="6">
                  <c:v>0.78759999999999997</c:v>
                </c:pt>
                <c:pt idx="7">
                  <c:v>0.65120000000000011</c:v>
                </c:pt>
                <c:pt idx="8">
                  <c:v>0.60199999999999998</c:v>
                </c:pt>
                <c:pt idx="9">
                  <c:v>0.69600000000000006</c:v>
                </c:pt>
                <c:pt idx="10">
                  <c:v>0.80579999999999996</c:v>
                </c:pt>
                <c:pt idx="11">
                  <c:v>0.88360000000000005</c:v>
                </c:pt>
                <c:pt idx="12">
                  <c:v>1</c:v>
                </c:pt>
                <c:pt idx="13">
                  <c:v>0.98019999999999985</c:v>
                </c:pt>
                <c:pt idx="14">
                  <c:v>1.1605000000000001</c:v>
                </c:pt>
                <c:pt idx="15">
                  <c:v>0.86919999999999986</c:v>
                </c:pt>
                <c:pt idx="16">
                  <c:v>0.80940000000000001</c:v>
                </c:pt>
                <c:pt idx="17">
                  <c:v>0.56419999999999992</c:v>
                </c:pt>
                <c:pt idx="18">
                  <c:v>0.40949999999999998</c:v>
                </c:pt>
              </c:numCache>
            </c:numRef>
          </c:val>
          <c:smooth val="0"/>
          <c:extLst>
            <c:ext xmlns:c16="http://schemas.microsoft.com/office/drawing/2014/chart" uri="{C3380CC4-5D6E-409C-BE32-E72D297353CC}">
              <c16:uniqueId val="{00000004-4D2B-4F1D-AFD8-D7AC3244E78D}"/>
            </c:ext>
          </c:extLst>
        </c:ser>
        <c:ser>
          <c:idx val="5"/>
          <c:order val="5"/>
          <c:tx>
            <c:strRef>
              <c:f>'Graf-10-kvalita míst-2'!$A$9</c:f>
              <c:strCache>
                <c:ptCount val="1"/>
                <c:pt idx="0">
                  <c:v>Nedobrovolná práce na dobu určitou (% zaměstnanců)***</c:v>
                </c:pt>
              </c:strCache>
            </c:strRef>
          </c:tx>
          <c:spPr>
            <a:ln w="15875" cap="rnd">
              <a:solidFill>
                <a:srgbClr val="0071BC"/>
              </a:solidFill>
              <a:prstDash val="solid"/>
              <a:round/>
            </a:ln>
            <a:effectLst/>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míst-2'!$B$9:$T$9</c:f>
              <c:numCache>
                <c:formatCode>#\ ##0.0</c:formatCode>
                <c:ptCount val="19"/>
                <c:pt idx="0">
                  <c:v>3.2039999999999997</c:v>
                </c:pt>
                <c:pt idx="1">
                  <c:v>3.4018000000000002</c:v>
                </c:pt>
                <c:pt idx="2">
                  <c:v>4.9574999999999996</c:v>
                </c:pt>
                <c:pt idx="3">
                  <c:v>5.924500000000001</c:v>
                </c:pt>
                <c:pt idx="4">
                  <c:v>6.3184000000000005</c:v>
                </c:pt>
                <c:pt idx="5">
                  <c:v>5.4826000000000006</c:v>
                </c:pt>
                <c:pt idx="6">
                  <c:v>5.4239999999999995</c:v>
                </c:pt>
                <c:pt idx="7">
                  <c:v>4.9530000000000003</c:v>
                </c:pt>
                <c:pt idx="8">
                  <c:v>4.8744000000000005</c:v>
                </c:pt>
                <c:pt idx="9">
                  <c:v>5.04</c:v>
                </c:pt>
                <c:pt idx="10">
                  <c:v>6.1663999999999994</c:v>
                </c:pt>
                <c:pt idx="11">
                  <c:v>6.4</c:v>
                </c:pt>
                <c:pt idx="12">
                  <c:v>6.8392000000000008</c:v>
                </c:pt>
                <c:pt idx="13">
                  <c:v>7.4983999999999993</c:v>
                </c:pt>
                <c:pt idx="14">
                  <c:v>7.9927999999999999</c:v>
                </c:pt>
                <c:pt idx="15">
                  <c:v>8.39</c:v>
                </c:pt>
                <c:pt idx="16">
                  <c:v>7.7405999999999988</c:v>
                </c:pt>
                <c:pt idx="17">
                  <c:v>7.4016000000000002</c:v>
                </c:pt>
                <c:pt idx="18">
                  <c:v>5.0988000000000007</c:v>
                </c:pt>
              </c:numCache>
            </c:numRef>
          </c:val>
          <c:smooth val="0"/>
          <c:extLst>
            <c:ext xmlns:c16="http://schemas.microsoft.com/office/drawing/2014/chart" uri="{C3380CC4-5D6E-409C-BE32-E72D297353CC}">
              <c16:uniqueId val="{00000005-4D2B-4F1D-AFD8-D7AC3244E78D}"/>
            </c:ext>
          </c:extLst>
        </c:ser>
        <c:ser>
          <c:idx val="6"/>
          <c:order val="6"/>
          <c:tx>
            <c:strRef>
              <c:f>'Graf-10-kvalita míst-2'!$A$10</c:f>
              <c:strCache>
                <c:ptCount val="1"/>
                <c:pt idx="0">
                  <c:v>Agenturní praocvníci na dobu určitou (% zaměstnanců)</c:v>
                </c:pt>
              </c:strCache>
            </c:strRef>
          </c:tx>
          <c:spPr>
            <a:ln w="15875">
              <a:solidFill>
                <a:srgbClr val="48AEE7"/>
              </a:solidFill>
            </a:ln>
          </c:spPr>
          <c:marker>
            <c:symbol val="none"/>
          </c:marker>
          <c:cat>
            <c:strRef>
              <c:f>'Graf-10-kvalita míst-2'!$B$3:$T$3</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'Graf-10-kvalita míst-2'!$B$10:$T$10</c:f>
              <c:numCache>
                <c:formatCode>General</c:formatCode>
                <c:ptCount val="19"/>
                <c:pt idx="8" formatCode="#\ ##0.0">
                  <c:v>0.9</c:v>
                </c:pt>
                <c:pt idx="9" formatCode="#\ ##0.0">
                  <c:v>1</c:v>
                </c:pt>
                <c:pt idx="10" formatCode="#\ ##0.0">
                  <c:v>1.1000000000000001</c:v>
                </c:pt>
                <c:pt idx="11" formatCode="#\ ##0.0">
                  <c:v>1.3</c:v>
                </c:pt>
                <c:pt idx="12" formatCode="#\ ##0.0">
                  <c:v>1.6</c:v>
                </c:pt>
                <c:pt idx="13" formatCode="#\ ##0.0">
                  <c:v>1.4</c:v>
                </c:pt>
                <c:pt idx="14" formatCode="#\ ##0.0">
                  <c:v>1.7</c:v>
                </c:pt>
                <c:pt idx="15" formatCode="#\ ##0.0">
                  <c:v>1.9</c:v>
                </c:pt>
                <c:pt idx="16" formatCode="#\ ##0.0">
                  <c:v>1.3</c:v>
                </c:pt>
                <c:pt idx="17" formatCode="#\ ##0.0">
                  <c:v>1.5</c:v>
                </c:pt>
                <c:pt idx="18" formatCode="#\ ##0.0">
                  <c:v>1.1000000000000001</c:v>
                </c:pt>
              </c:numCache>
            </c:numRef>
          </c:val>
          <c:smooth val="0"/>
          <c:extLst>
            <c:ext xmlns:c16="http://schemas.microsoft.com/office/drawing/2014/chart" uri="{C3380CC4-5D6E-409C-BE32-E72D297353CC}">
              <c16:uniqueId val="{00000006-4D2B-4F1D-AFD8-D7AC3244E78D}"/>
            </c:ext>
          </c:extLst>
        </c:ser>
        <c:dLbls>
          <c:showLegendKey val="0"/>
          <c:showVal val="0"/>
          <c:showCatName val="0"/>
          <c:showSerName val="0"/>
          <c:showPercent val="0"/>
          <c:showBubbleSize val="0"/>
        </c:dLbls>
        <c:smooth val="0"/>
        <c:axId val="143713408"/>
        <c:axId val="143714944"/>
      </c:lineChart>
      <c:catAx>
        <c:axId val="143713408"/>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714944"/>
        <c:crossesAt val="100"/>
        <c:auto val="1"/>
        <c:lblAlgn val="ctr"/>
        <c:lblOffset val="10"/>
        <c:noMultiLvlLbl val="0"/>
      </c:catAx>
      <c:valAx>
        <c:axId val="143714944"/>
        <c:scaling>
          <c:orientation val="minMax"/>
          <c:max val="31"/>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713408"/>
        <c:crosses val="autoZero"/>
        <c:crossBetween val="between"/>
        <c:majorUnit val="2.5"/>
      </c:valAx>
      <c:spPr>
        <a:noFill/>
        <a:ln w="6350">
          <a:solidFill>
            <a:schemeClr val="tx1">
              <a:lumMod val="95000"/>
              <a:lumOff val="5000"/>
            </a:schemeClr>
          </a:solidFill>
        </a:ln>
        <a:effectLst/>
      </c:spPr>
    </c:plotArea>
    <c:legend>
      <c:legendPos val="b"/>
      <c:layout>
        <c:manualLayout>
          <c:xMode val="edge"/>
          <c:yMode val="edge"/>
          <c:x val="6.9821525490735684E-2"/>
          <c:y val="0.78042704121444284"/>
          <c:w val="0.91031354443305867"/>
          <c:h val="0.20874427183088601"/>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3268898439375625"/>
          <c:h val="0.80899084911683339"/>
        </c:manualLayout>
      </c:layout>
      <c:barChart>
        <c:barDir val="col"/>
        <c:grouping val="clustered"/>
        <c:varyColors val="0"/>
        <c:ser>
          <c:idx val="2"/>
          <c:order val="3"/>
          <c:tx>
            <c:strRef>
              <c:f>'Graf-11-kvalita míst-3'!$D$17</c:f>
              <c:strCache>
                <c:ptCount val="1"/>
                <c:pt idx="0">
                  <c:v>rok 2018 (muži)</c:v>
                </c:pt>
              </c:strCache>
            </c:strRef>
          </c:tx>
          <c:spPr>
            <a:solidFill>
              <a:srgbClr val="48AEE7"/>
            </a:solidFill>
            <a:ln w="15875" cap="rnd">
              <a:noFill/>
              <a:round/>
            </a:ln>
            <a:effectLst/>
          </c:spPr>
          <c:invertIfNegative val="0"/>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míst-3'!$D$18:$D$26</c:f>
              <c:numCache>
                <c:formatCode>#\ ##0.0</c:formatCode>
                <c:ptCount val="9"/>
                <c:pt idx="0">
                  <c:v>45.29999999999999</c:v>
                </c:pt>
                <c:pt idx="1">
                  <c:v>40.168582089552238</c:v>
                </c:pt>
                <c:pt idx="2">
                  <c:v>34.283333333333331</c:v>
                </c:pt>
                <c:pt idx="3">
                  <c:v>29.64352523786485</c:v>
                </c:pt>
                <c:pt idx="4">
                  <c:v>27.689448178833821</c:v>
                </c:pt>
                <c:pt idx="5">
                  <c:v>26.757793764988016</c:v>
                </c:pt>
                <c:pt idx="6">
                  <c:v>27.284908321579682</c:v>
                </c:pt>
                <c:pt idx="7">
                  <c:v>22.139357429718842</c:v>
                </c:pt>
                <c:pt idx="8">
                  <c:v>14.512658227848114</c:v>
                </c:pt>
              </c:numCache>
            </c:numRef>
          </c:val>
          <c:extLst>
            <c:ext xmlns:c16="http://schemas.microsoft.com/office/drawing/2014/chart" uri="{C3380CC4-5D6E-409C-BE32-E72D297353CC}">
              <c16:uniqueId val="{00000000-41FA-4322-97DD-01F75BE3A337}"/>
            </c:ext>
          </c:extLst>
        </c:ser>
        <c:ser>
          <c:idx val="5"/>
          <c:order val="5"/>
          <c:tx>
            <c:strRef>
              <c:f>'Graf-11-kvalita míst-3'!$G$17</c:f>
              <c:strCache>
                <c:ptCount val="1"/>
                <c:pt idx="0">
                  <c:v>rok 2018 (ženy)</c:v>
                </c:pt>
              </c:strCache>
            </c:strRef>
          </c:tx>
          <c:spPr>
            <a:solidFill>
              <a:srgbClr val="F8A124"/>
            </a:solidFill>
            <a:ln w="15875" cap="rnd">
              <a:noFill/>
              <a:prstDash val="solid"/>
              <a:round/>
            </a:ln>
            <a:effectLst/>
          </c:spPr>
          <c:invertIfNegative val="0"/>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míst-3'!$G$18:$G$26</c:f>
              <c:numCache>
                <c:formatCode>#\ ##0.0</c:formatCode>
                <c:ptCount val="9"/>
                <c:pt idx="0">
                  <c:v>34</c:v>
                </c:pt>
                <c:pt idx="1">
                  <c:v>42.097420634920638</c:v>
                </c:pt>
                <c:pt idx="2">
                  <c:v>27.940029761904771</c:v>
                </c:pt>
                <c:pt idx="3">
                  <c:v>21.988639308855291</c:v>
                </c:pt>
                <c:pt idx="4">
                  <c:v>27.399999999999991</c:v>
                </c:pt>
                <c:pt idx="5">
                  <c:v>29.435840707964612</c:v>
                </c:pt>
                <c:pt idx="6">
                  <c:v>24.930769230769219</c:v>
                </c:pt>
                <c:pt idx="7">
                  <c:v>18.80744466800807</c:v>
                </c:pt>
                <c:pt idx="8">
                  <c:v>16.608433734939858</c:v>
                </c:pt>
              </c:numCache>
            </c:numRef>
          </c:val>
          <c:extLst>
            <c:ext xmlns:c16="http://schemas.microsoft.com/office/drawing/2014/chart" uri="{C3380CC4-5D6E-409C-BE32-E72D297353CC}">
              <c16:uniqueId val="{00000001-41FA-4322-97DD-01F75BE3A337}"/>
            </c:ext>
          </c:extLst>
        </c:ser>
        <c:dLbls>
          <c:showLegendKey val="0"/>
          <c:showVal val="0"/>
          <c:showCatName val="0"/>
          <c:showSerName val="0"/>
          <c:showPercent val="0"/>
          <c:showBubbleSize val="0"/>
        </c:dLbls>
        <c:gapWidth val="150"/>
        <c:axId val="143728000"/>
        <c:axId val="143742080"/>
      </c:barChart>
      <c:lineChart>
        <c:grouping val="standard"/>
        <c:varyColors val="0"/>
        <c:ser>
          <c:idx val="1"/>
          <c:order val="0"/>
          <c:tx>
            <c:strRef>
              <c:f>'Graf-11-kvalita míst-3'!$C$17</c:f>
              <c:strCache>
                <c:ptCount val="1"/>
                <c:pt idx="0">
                  <c:v>rok 2013 (muži)</c:v>
                </c:pt>
              </c:strCache>
            </c:strRef>
          </c:tx>
          <c:spPr>
            <a:ln w="15875">
              <a:solidFill>
                <a:srgbClr val="0071BC"/>
              </a:solidFill>
              <a:prstDash val="dash"/>
            </a:ln>
            <a:effectLst/>
          </c:spPr>
          <c:marker>
            <c:symbol val="none"/>
          </c:marker>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míst-3'!$C$18:$C$26</c:f>
              <c:numCache>
                <c:formatCode>#\ ##0.0</c:formatCode>
                <c:ptCount val="9"/>
                <c:pt idx="0">
                  <c:v>35.5</c:v>
                </c:pt>
                <c:pt idx="1">
                  <c:v>37.305319865319866</c:v>
                </c:pt>
                <c:pt idx="2">
                  <c:v>30.995653802922433</c:v>
                </c:pt>
                <c:pt idx="3">
                  <c:v>28.382781456953648</c:v>
                </c:pt>
                <c:pt idx="4">
                  <c:v>27.711362785473607</c:v>
                </c:pt>
                <c:pt idx="5">
                  <c:v>29.25651376146789</c:v>
                </c:pt>
                <c:pt idx="6">
                  <c:v>24.382302483069974</c:v>
                </c:pt>
                <c:pt idx="7">
                  <c:v>22.935161870503581</c:v>
                </c:pt>
                <c:pt idx="8">
                  <c:v>11.182677165354468</c:v>
                </c:pt>
              </c:numCache>
            </c:numRef>
          </c:val>
          <c:smooth val="0"/>
          <c:extLst>
            <c:ext xmlns:c16="http://schemas.microsoft.com/office/drawing/2014/chart" uri="{C3380CC4-5D6E-409C-BE32-E72D297353CC}">
              <c16:uniqueId val="{00000002-41FA-4322-97DD-01F75BE3A337}"/>
            </c:ext>
          </c:extLst>
        </c:ser>
        <c:ser>
          <c:idx val="4"/>
          <c:order val="1"/>
          <c:tx>
            <c:strRef>
              <c:f>'Graf-11-kvalita míst-3'!$F$17</c:f>
              <c:strCache>
                <c:ptCount val="1"/>
                <c:pt idx="0">
                  <c:v>rok 2013 (ženy)</c:v>
                </c:pt>
              </c:strCache>
            </c:strRef>
          </c:tx>
          <c:spPr>
            <a:ln w="15875" cap="rnd">
              <a:solidFill>
                <a:srgbClr val="BD1B21"/>
              </a:solidFill>
              <a:prstDash val="dash"/>
              <a:round/>
            </a:ln>
            <a:effectLst/>
          </c:spPr>
          <c:marker>
            <c:symbol val="none"/>
          </c:marker>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míst-3'!$F$18:$F$26</c:f>
              <c:numCache>
                <c:formatCode>#\ ##0.0</c:formatCode>
                <c:ptCount val="9"/>
                <c:pt idx="0">
                  <c:v>21</c:v>
                </c:pt>
                <c:pt idx="1">
                  <c:v>41.252054794520554</c:v>
                </c:pt>
                <c:pt idx="2">
                  <c:v>28.35798403193613</c:v>
                </c:pt>
                <c:pt idx="3">
                  <c:v>29.42719807730823</c:v>
                </c:pt>
                <c:pt idx="4">
                  <c:v>29.750410447761201</c:v>
                </c:pt>
                <c:pt idx="5">
                  <c:v>28.058468983721951</c:v>
                </c:pt>
                <c:pt idx="6">
                  <c:v>24.768621700879763</c:v>
                </c:pt>
                <c:pt idx="7">
                  <c:v>11.762934362934201</c:v>
                </c:pt>
                <c:pt idx="8">
                  <c:v>6.4072874493929861</c:v>
                </c:pt>
              </c:numCache>
            </c:numRef>
          </c:val>
          <c:smooth val="0"/>
          <c:extLst>
            <c:ext xmlns:c16="http://schemas.microsoft.com/office/drawing/2014/chart" uri="{C3380CC4-5D6E-409C-BE32-E72D297353CC}">
              <c16:uniqueId val="{00000003-41FA-4322-97DD-01F75BE3A337}"/>
            </c:ext>
          </c:extLst>
        </c:ser>
        <c:ser>
          <c:idx val="0"/>
          <c:order val="2"/>
          <c:tx>
            <c:strRef>
              <c:f>'Graf-11-kvalita míst-3'!$B$17</c:f>
              <c:strCache>
                <c:ptCount val="1"/>
                <c:pt idx="0">
                  <c:v>rok 2008 (muži)</c:v>
                </c:pt>
              </c:strCache>
            </c:strRef>
          </c:tx>
          <c:spPr>
            <a:ln w="15875">
              <a:noFill/>
              <a:prstDash val="sysDot"/>
            </a:ln>
            <a:effectLst/>
          </c:spPr>
          <c:marker>
            <c:symbol val="circle"/>
            <c:size val="5"/>
            <c:spPr>
              <a:solidFill>
                <a:srgbClr val="0071BC"/>
              </a:solidFill>
              <a:ln>
                <a:noFill/>
              </a:ln>
            </c:spPr>
          </c:marker>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míst-3'!$B$18:$B$26</c:f>
              <c:numCache>
                <c:formatCode>#\ ##0.0</c:formatCode>
                <c:ptCount val="9"/>
                <c:pt idx="0">
                  <c:v>31.7</c:v>
                </c:pt>
                <c:pt idx="1">
                  <c:v>38.915982721382285</c:v>
                </c:pt>
                <c:pt idx="2">
                  <c:v>32.557330766762909</c:v>
                </c:pt>
                <c:pt idx="3">
                  <c:v>30.695100121359225</c:v>
                </c:pt>
                <c:pt idx="4">
                  <c:v>27.403935040599624</c:v>
                </c:pt>
                <c:pt idx="5">
                  <c:v>28.946044864226682</c:v>
                </c:pt>
                <c:pt idx="6">
                  <c:v>25.389840881272953</c:v>
                </c:pt>
                <c:pt idx="7">
                  <c:v>25.647534516765198</c:v>
                </c:pt>
                <c:pt idx="8">
                  <c:v>20.069827586207598</c:v>
                </c:pt>
              </c:numCache>
            </c:numRef>
          </c:val>
          <c:smooth val="0"/>
          <c:extLst>
            <c:ext xmlns:c16="http://schemas.microsoft.com/office/drawing/2014/chart" uri="{C3380CC4-5D6E-409C-BE32-E72D297353CC}">
              <c16:uniqueId val="{00000004-41FA-4322-97DD-01F75BE3A337}"/>
            </c:ext>
          </c:extLst>
        </c:ser>
        <c:ser>
          <c:idx val="3"/>
          <c:order val="4"/>
          <c:tx>
            <c:strRef>
              <c:f>'Graf-11-kvalita míst-3'!$E$17</c:f>
              <c:strCache>
                <c:ptCount val="1"/>
                <c:pt idx="0">
                  <c:v>rok 2008 (ženy)</c:v>
                </c:pt>
              </c:strCache>
            </c:strRef>
          </c:tx>
          <c:spPr>
            <a:ln w="12700" cap="rnd">
              <a:noFill/>
              <a:prstDash val="sysDash"/>
              <a:round/>
            </a:ln>
            <a:effectLst/>
          </c:spPr>
          <c:marker>
            <c:symbol val="circle"/>
            <c:size val="5"/>
            <c:spPr>
              <a:solidFill>
                <a:srgbClr val="BD1B21"/>
              </a:solidFill>
              <a:ln>
                <a:noFill/>
              </a:ln>
            </c:spPr>
          </c:marker>
          <c:cat>
            <c:strRef>
              <c:f>'Graf-11-kvalita míst-3'!$A$18:$A$26</c:f>
              <c:strCache>
                <c:ptCount val="9"/>
                <c:pt idx="0">
                  <c:v>15–19 
let </c:v>
                </c:pt>
                <c:pt idx="1">
                  <c:v>20–24</c:v>
                </c:pt>
                <c:pt idx="2">
                  <c:v>25–29</c:v>
                </c:pt>
                <c:pt idx="3">
                  <c:v>30–39</c:v>
                </c:pt>
                <c:pt idx="4">
                  <c:v>40–49</c:v>
                </c:pt>
                <c:pt idx="5">
                  <c:v>50–54</c:v>
                </c:pt>
                <c:pt idx="6">
                  <c:v>55–59</c:v>
                </c:pt>
                <c:pt idx="7">
                  <c:v>60–64</c:v>
                </c:pt>
                <c:pt idx="8">
                  <c:v>65–74 
let</c:v>
                </c:pt>
              </c:strCache>
            </c:strRef>
          </c:cat>
          <c:val>
            <c:numRef>
              <c:f>'Graf-11-kvalita míst-3'!$E$18:$E$26</c:f>
              <c:numCache>
                <c:formatCode>#\ ##0.0</c:formatCode>
                <c:ptCount val="9"/>
                <c:pt idx="0">
                  <c:v>48.100000000000009</c:v>
                </c:pt>
                <c:pt idx="1">
                  <c:v>38.965641410352589</c:v>
                </c:pt>
                <c:pt idx="2">
                  <c:v>26.102792553191495</c:v>
                </c:pt>
                <c:pt idx="3">
                  <c:v>26.6398418972332</c:v>
                </c:pt>
                <c:pt idx="4">
                  <c:v>28.630794831636653</c:v>
                </c:pt>
                <c:pt idx="5">
                  <c:v>27.988993482983339</c:v>
                </c:pt>
                <c:pt idx="6">
                  <c:v>26.266322650733315</c:v>
                </c:pt>
                <c:pt idx="7">
                  <c:v>15.643207126948683</c:v>
                </c:pt>
                <c:pt idx="8">
                  <c:v>16.20679012345667</c:v>
                </c:pt>
              </c:numCache>
            </c:numRef>
          </c:val>
          <c:smooth val="0"/>
          <c:extLst>
            <c:ext xmlns:c16="http://schemas.microsoft.com/office/drawing/2014/chart" uri="{C3380CC4-5D6E-409C-BE32-E72D297353CC}">
              <c16:uniqueId val="{00000005-41FA-4322-97DD-01F75BE3A337}"/>
            </c:ext>
          </c:extLst>
        </c:ser>
        <c:dLbls>
          <c:showLegendKey val="0"/>
          <c:showVal val="0"/>
          <c:showCatName val="0"/>
          <c:showSerName val="0"/>
          <c:showPercent val="0"/>
          <c:showBubbleSize val="0"/>
        </c:dLbls>
        <c:marker val="1"/>
        <c:smooth val="0"/>
        <c:axId val="143728000"/>
        <c:axId val="143742080"/>
      </c:lineChart>
      <c:catAx>
        <c:axId val="143728000"/>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742080"/>
        <c:crossesAt val="0"/>
        <c:auto val="1"/>
        <c:lblAlgn val="ctr"/>
        <c:lblOffset val="10"/>
        <c:noMultiLvlLbl val="0"/>
      </c:catAx>
      <c:valAx>
        <c:axId val="143742080"/>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728000"/>
        <c:crosses val="autoZero"/>
        <c:crossBetween val="between"/>
        <c:majorUnit val="5"/>
      </c:valAx>
      <c:spPr>
        <a:noFill/>
        <a:ln w="6350">
          <a:solidFill>
            <a:schemeClr val="tx1">
              <a:lumMod val="95000"/>
              <a:lumOff val="5000"/>
            </a:schemeClr>
          </a:solidFill>
        </a:ln>
        <a:effectLst/>
      </c:spPr>
    </c:plotArea>
    <c:legend>
      <c:legendPos val="b"/>
      <c:layout>
        <c:manualLayout>
          <c:xMode val="edge"/>
          <c:yMode val="edge"/>
          <c:x val="0.13351647357204802"/>
          <c:y val="0.87146541817407963"/>
          <c:w val="0.71245666900934401"/>
          <c:h val="0.11953862523941264"/>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2706101605535451"/>
          <c:h val="0.69848835180176183"/>
        </c:manualLayout>
      </c:layout>
      <c:lineChart>
        <c:grouping val="standard"/>
        <c:varyColors val="0"/>
        <c:ser>
          <c:idx val="0"/>
          <c:order val="0"/>
          <c:tx>
            <c:strRef>
              <c:f>'Graf-12-kvalita míst-4'!$C$87</c:f>
              <c:strCache>
                <c:ptCount val="1"/>
                <c:pt idx="0">
                  <c:v>Všichni pracovníci</c:v>
                </c:pt>
              </c:strCache>
            </c:strRef>
          </c:tx>
          <c:spPr>
            <a:ln w="15875">
              <a:noFill/>
            </a:ln>
            <a:effectLst/>
          </c:spPr>
          <c:marker>
            <c:symbol val="dash"/>
            <c:size val="8"/>
            <c:spPr>
              <a:solidFill>
                <a:schemeClr val="tx1">
                  <a:lumMod val="95000"/>
                  <a:lumOff val="5000"/>
                </a:schemeClr>
              </a:solidFill>
              <a:ln>
                <a:noFill/>
              </a:ln>
            </c:spPr>
          </c:marker>
          <c:cat>
            <c:multiLvlStrRef>
              <c:f>'Graf-12-kvalita míst-4'!$A$88:$B$117</c:f>
              <c:multiLvlStrCache>
                <c:ptCount val="30"/>
                <c:lvl>
                  <c:pt idx="0">
                    <c:v>2008</c:v>
                  </c:pt>
                  <c:pt idx="1">
                    <c:v>2013</c:v>
                  </c:pt>
                  <c:pt idx="2">
                    <c:v>2018</c:v>
                  </c:pt>
                  <c:pt idx="3">
                    <c:v>2008</c:v>
                  </c:pt>
                  <c:pt idx="4">
                    <c:v>2013</c:v>
                  </c:pt>
                  <c:pt idx="5">
                    <c:v>2018</c:v>
                  </c:pt>
                  <c:pt idx="6">
                    <c:v>2008</c:v>
                  </c:pt>
                  <c:pt idx="7">
                    <c:v>2013</c:v>
                  </c:pt>
                  <c:pt idx="8">
                    <c:v>2018</c:v>
                  </c:pt>
                  <c:pt idx="9">
                    <c:v>2008</c:v>
                  </c:pt>
                  <c:pt idx="10">
                    <c:v>2013</c:v>
                  </c:pt>
                  <c:pt idx="11">
                    <c:v>2018</c:v>
                  </c:pt>
                  <c:pt idx="12">
                    <c:v>2008</c:v>
                  </c:pt>
                  <c:pt idx="13">
                    <c:v>2013</c:v>
                  </c:pt>
                  <c:pt idx="14">
                    <c:v>2018</c:v>
                  </c:pt>
                  <c:pt idx="15">
                    <c:v>2008</c:v>
                  </c:pt>
                  <c:pt idx="16">
                    <c:v>2013</c:v>
                  </c:pt>
                  <c:pt idx="17">
                    <c:v>2018</c:v>
                  </c:pt>
                  <c:pt idx="18">
                    <c:v>2008</c:v>
                  </c:pt>
                  <c:pt idx="19">
                    <c:v>2013</c:v>
                  </c:pt>
                  <c:pt idx="20">
                    <c:v>2018</c:v>
                  </c:pt>
                  <c:pt idx="21">
                    <c:v>2008</c:v>
                  </c:pt>
                  <c:pt idx="22">
                    <c:v>2013</c:v>
                  </c:pt>
                  <c:pt idx="23">
                    <c:v>2018</c:v>
                  </c:pt>
                  <c:pt idx="24">
                    <c:v>2008</c:v>
                  </c:pt>
                  <c:pt idx="25">
                    <c:v>2013</c:v>
                  </c:pt>
                  <c:pt idx="26">
                    <c:v>2018</c:v>
                  </c:pt>
                  <c:pt idx="27">
                    <c:v>2008</c:v>
                  </c:pt>
                  <c:pt idx="28">
                    <c:v>2013</c:v>
                  </c:pt>
                  <c:pt idx="29">
                    <c:v>2018</c:v>
                  </c:pt>
                </c:lvl>
                <c:lvl>
                  <c:pt idx="0">
                    <c:v>Zákonod.
a řídící 
pracovn.</c:v>
                  </c:pt>
                  <c:pt idx="3">
                    <c:v>Specia-
listé</c:v>
                  </c:pt>
                  <c:pt idx="6">
                    <c:v>Technič. 
a odbor. 
pracovn.</c:v>
                  </c:pt>
                  <c:pt idx="9">
                    <c:v>Úředníci</c:v>
                  </c:pt>
                  <c:pt idx="12">
                    <c:v>Pracovn. 
ve služb. 
a prodeji</c:v>
                  </c:pt>
                  <c:pt idx="15">
                    <c:v>Kvalifik.
pracov.v 
zeměděl., 
lesn.,ryb.</c:v>
                  </c:pt>
                  <c:pt idx="18">
                    <c:v>Řemesln.
a opraváři</c:v>
                  </c:pt>
                  <c:pt idx="21">
                    <c:v>Obsluha 
strojů a 
zařízení, 
montéři</c:v>
                  </c:pt>
                  <c:pt idx="24">
                    <c:v>Pomocn.,
nekvalif. 
pracovn.</c:v>
                  </c:pt>
                  <c:pt idx="27">
                    <c:v>Všechny 
třídy
zaměst-
nání</c:v>
                  </c:pt>
                </c:lvl>
              </c:multiLvlStrCache>
            </c:multiLvlStrRef>
          </c:cat>
          <c:val>
            <c:numRef>
              <c:f>'Graf-12-kvalita míst-4'!$C$88:$C$117</c:f>
              <c:numCache>
                <c:formatCode>#\ ##0.0</c:formatCode>
                <c:ptCount val="30"/>
                <c:pt idx="0">
                  <c:v>43.4</c:v>
                </c:pt>
                <c:pt idx="1">
                  <c:v>36.5</c:v>
                </c:pt>
                <c:pt idx="2">
                  <c:v>32.700000000000003</c:v>
                </c:pt>
                <c:pt idx="3">
                  <c:v>20.399999999999999</c:v>
                </c:pt>
                <c:pt idx="4">
                  <c:v>12.4</c:v>
                </c:pt>
                <c:pt idx="5">
                  <c:v>11.6</c:v>
                </c:pt>
                <c:pt idx="6">
                  <c:v>14.8</c:v>
                </c:pt>
                <c:pt idx="7">
                  <c:v>12.1</c:v>
                </c:pt>
                <c:pt idx="8">
                  <c:v>8.6</c:v>
                </c:pt>
                <c:pt idx="9">
                  <c:v>4.3</c:v>
                </c:pt>
                <c:pt idx="10">
                  <c:v>3.5</c:v>
                </c:pt>
                <c:pt idx="11">
                  <c:v>2.8</c:v>
                </c:pt>
                <c:pt idx="12">
                  <c:v>14.4</c:v>
                </c:pt>
                <c:pt idx="13">
                  <c:v>11.6</c:v>
                </c:pt>
                <c:pt idx="14">
                  <c:v>11.2</c:v>
                </c:pt>
                <c:pt idx="15">
                  <c:v>30.7</c:v>
                </c:pt>
                <c:pt idx="16">
                  <c:v>26.1</c:v>
                </c:pt>
                <c:pt idx="17">
                  <c:v>27.3</c:v>
                </c:pt>
                <c:pt idx="18">
                  <c:v>21.8</c:v>
                </c:pt>
                <c:pt idx="19">
                  <c:v>18.100000000000001</c:v>
                </c:pt>
                <c:pt idx="20">
                  <c:v>16.399999999999999</c:v>
                </c:pt>
                <c:pt idx="21">
                  <c:v>12.9</c:v>
                </c:pt>
                <c:pt idx="22">
                  <c:v>11</c:v>
                </c:pt>
                <c:pt idx="23">
                  <c:v>9.6</c:v>
                </c:pt>
                <c:pt idx="24">
                  <c:v>5.3</c:v>
                </c:pt>
                <c:pt idx="25">
                  <c:v>3.7</c:v>
                </c:pt>
                <c:pt idx="26">
                  <c:v>2.9</c:v>
                </c:pt>
                <c:pt idx="27">
                  <c:v>17.3</c:v>
                </c:pt>
                <c:pt idx="28">
                  <c:v>13.2</c:v>
                </c:pt>
                <c:pt idx="29">
                  <c:v>11.4</c:v>
                </c:pt>
              </c:numCache>
            </c:numRef>
          </c:val>
          <c:smooth val="0"/>
          <c:extLst>
            <c:ext xmlns:c16="http://schemas.microsoft.com/office/drawing/2014/chart" uri="{C3380CC4-5D6E-409C-BE32-E72D297353CC}">
              <c16:uniqueId val="{00000000-825A-4932-9AFF-CD5855285756}"/>
            </c:ext>
          </c:extLst>
        </c:ser>
        <c:ser>
          <c:idx val="1"/>
          <c:order val="1"/>
          <c:tx>
            <c:strRef>
              <c:f>'Graf-12-kvalita míst-4'!$D$87</c:f>
              <c:strCache>
                <c:ptCount val="1"/>
                <c:pt idx="0">
                  <c:v>Zaměstnanci</c:v>
                </c:pt>
              </c:strCache>
            </c:strRef>
          </c:tx>
          <c:spPr>
            <a:ln w="15875">
              <a:noFill/>
              <a:prstDash val="solid"/>
            </a:ln>
            <a:effectLst/>
          </c:spPr>
          <c:marker>
            <c:symbol val="dash"/>
            <c:size val="5"/>
            <c:spPr>
              <a:noFill/>
              <a:ln>
                <a:solidFill>
                  <a:srgbClr val="0071BC"/>
                </a:solidFill>
              </a:ln>
            </c:spPr>
          </c:marker>
          <c:cat>
            <c:multiLvlStrRef>
              <c:f>'Graf-12-kvalita míst-4'!$A$88:$B$117</c:f>
              <c:multiLvlStrCache>
                <c:ptCount val="30"/>
                <c:lvl>
                  <c:pt idx="0">
                    <c:v>2008</c:v>
                  </c:pt>
                  <c:pt idx="1">
                    <c:v>2013</c:v>
                  </c:pt>
                  <c:pt idx="2">
                    <c:v>2018</c:v>
                  </c:pt>
                  <c:pt idx="3">
                    <c:v>2008</c:v>
                  </c:pt>
                  <c:pt idx="4">
                    <c:v>2013</c:v>
                  </c:pt>
                  <c:pt idx="5">
                    <c:v>2018</c:v>
                  </c:pt>
                  <c:pt idx="6">
                    <c:v>2008</c:v>
                  </c:pt>
                  <c:pt idx="7">
                    <c:v>2013</c:v>
                  </c:pt>
                  <c:pt idx="8">
                    <c:v>2018</c:v>
                  </c:pt>
                  <c:pt idx="9">
                    <c:v>2008</c:v>
                  </c:pt>
                  <c:pt idx="10">
                    <c:v>2013</c:v>
                  </c:pt>
                  <c:pt idx="11">
                    <c:v>2018</c:v>
                  </c:pt>
                  <c:pt idx="12">
                    <c:v>2008</c:v>
                  </c:pt>
                  <c:pt idx="13">
                    <c:v>2013</c:v>
                  </c:pt>
                  <c:pt idx="14">
                    <c:v>2018</c:v>
                  </c:pt>
                  <c:pt idx="15">
                    <c:v>2008</c:v>
                  </c:pt>
                  <c:pt idx="16">
                    <c:v>2013</c:v>
                  </c:pt>
                  <c:pt idx="17">
                    <c:v>2018</c:v>
                  </c:pt>
                  <c:pt idx="18">
                    <c:v>2008</c:v>
                  </c:pt>
                  <c:pt idx="19">
                    <c:v>2013</c:v>
                  </c:pt>
                  <c:pt idx="20">
                    <c:v>2018</c:v>
                  </c:pt>
                  <c:pt idx="21">
                    <c:v>2008</c:v>
                  </c:pt>
                  <c:pt idx="22">
                    <c:v>2013</c:v>
                  </c:pt>
                  <c:pt idx="23">
                    <c:v>2018</c:v>
                  </c:pt>
                  <c:pt idx="24">
                    <c:v>2008</c:v>
                  </c:pt>
                  <c:pt idx="25">
                    <c:v>2013</c:v>
                  </c:pt>
                  <c:pt idx="26">
                    <c:v>2018</c:v>
                  </c:pt>
                  <c:pt idx="27">
                    <c:v>2008</c:v>
                  </c:pt>
                  <c:pt idx="28">
                    <c:v>2013</c:v>
                  </c:pt>
                  <c:pt idx="29">
                    <c:v>2018</c:v>
                  </c:pt>
                </c:lvl>
                <c:lvl>
                  <c:pt idx="0">
                    <c:v>Zákonod.
a řídící 
pracovn.</c:v>
                  </c:pt>
                  <c:pt idx="3">
                    <c:v>Specia-
listé</c:v>
                  </c:pt>
                  <c:pt idx="6">
                    <c:v>Technič. 
a odbor. 
pracovn.</c:v>
                  </c:pt>
                  <c:pt idx="9">
                    <c:v>Úředníci</c:v>
                  </c:pt>
                  <c:pt idx="12">
                    <c:v>Pracovn. 
ve služb. 
a prodeji</c:v>
                  </c:pt>
                  <c:pt idx="15">
                    <c:v>Kvalifik.
pracov.v 
zeměděl., 
lesn.,ryb.</c:v>
                  </c:pt>
                  <c:pt idx="18">
                    <c:v>Řemesln.
a opraváři</c:v>
                  </c:pt>
                  <c:pt idx="21">
                    <c:v>Obsluha 
strojů a 
zařízení, 
montéři</c:v>
                  </c:pt>
                  <c:pt idx="24">
                    <c:v>Pomocn.,
nekvalif. 
pracovn.</c:v>
                  </c:pt>
                  <c:pt idx="27">
                    <c:v>Všechny 
třídy
zaměst-
nání</c:v>
                  </c:pt>
                </c:lvl>
              </c:multiLvlStrCache>
            </c:multiLvlStrRef>
          </c:cat>
          <c:val>
            <c:numRef>
              <c:f>'Graf-12-kvalita míst-4'!$D$88:$D$117</c:f>
              <c:numCache>
                <c:formatCode>#\ ##0.0</c:formatCode>
                <c:ptCount val="30"/>
                <c:pt idx="0">
                  <c:v>27.3</c:v>
                </c:pt>
                <c:pt idx="1">
                  <c:v>23.4</c:v>
                </c:pt>
                <c:pt idx="2">
                  <c:v>22.8</c:v>
                </c:pt>
                <c:pt idx="3">
                  <c:v>13</c:v>
                </c:pt>
                <c:pt idx="4">
                  <c:v>8.1</c:v>
                </c:pt>
                <c:pt idx="5">
                  <c:v>7</c:v>
                </c:pt>
                <c:pt idx="6">
                  <c:v>9.1</c:v>
                </c:pt>
                <c:pt idx="7">
                  <c:v>6.8</c:v>
                </c:pt>
                <c:pt idx="8">
                  <c:v>4.8</c:v>
                </c:pt>
                <c:pt idx="9">
                  <c:v>3.1</c:v>
                </c:pt>
                <c:pt idx="10">
                  <c:v>2.2999999999999998</c:v>
                </c:pt>
                <c:pt idx="11">
                  <c:v>1.7</c:v>
                </c:pt>
                <c:pt idx="12">
                  <c:v>9</c:v>
                </c:pt>
                <c:pt idx="13">
                  <c:v>6.3</c:v>
                </c:pt>
                <c:pt idx="14">
                  <c:v>4.5</c:v>
                </c:pt>
                <c:pt idx="15">
                  <c:v>6.3</c:v>
                </c:pt>
                <c:pt idx="16">
                  <c:v>7</c:v>
                </c:pt>
                <c:pt idx="17">
                  <c:v>7</c:v>
                </c:pt>
                <c:pt idx="18">
                  <c:v>8</c:v>
                </c:pt>
                <c:pt idx="19">
                  <c:v>5.9</c:v>
                </c:pt>
                <c:pt idx="20">
                  <c:v>4.5</c:v>
                </c:pt>
                <c:pt idx="21">
                  <c:v>10</c:v>
                </c:pt>
                <c:pt idx="22">
                  <c:v>8.6</c:v>
                </c:pt>
                <c:pt idx="23">
                  <c:v>7.5</c:v>
                </c:pt>
                <c:pt idx="24">
                  <c:v>4.3</c:v>
                </c:pt>
                <c:pt idx="25">
                  <c:v>2.6</c:v>
                </c:pt>
                <c:pt idx="26">
                  <c:v>2</c:v>
                </c:pt>
                <c:pt idx="27">
                  <c:v>9.6</c:v>
                </c:pt>
                <c:pt idx="28">
                  <c:v>7</c:v>
                </c:pt>
                <c:pt idx="29">
                  <c:v>5.7</c:v>
                </c:pt>
              </c:numCache>
            </c:numRef>
          </c:val>
          <c:smooth val="0"/>
          <c:extLst>
            <c:ext xmlns:c16="http://schemas.microsoft.com/office/drawing/2014/chart" uri="{C3380CC4-5D6E-409C-BE32-E72D297353CC}">
              <c16:uniqueId val="{00000001-825A-4932-9AFF-CD5855285756}"/>
            </c:ext>
          </c:extLst>
        </c:ser>
        <c:ser>
          <c:idx val="2"/>
          <c:order val="2"/>
          <c:tx>
            <c:strRef>
              <c:f>'Graf-12-kvalita míst-4'!$E$87</c:f>
              <c:strCache>
                <c:ptCount val="1"/>
                <c:pt idx="0">
                  <c:v>Podnikatelé se zaměstnanci</c:v>
                </c:pt>
              </c:strCache>
            </c:strRef>
          </c:tx>
          <c:spPr>
            <a:ln w="15875" cap="rnd">
              <a:noFill/>
              <a:round/>
            </a:ln>
            <a:effectLst/>
          </c:spPr>
          <c:marker>
            <c:symbol val="diamond"/>
            <c:size val="5"/>
            <c:spPr>
              <a:solidFill>
                <a:srgbClr val="00B050"/>
              </a:solidFill>
              <a:ln>
                <a:noFill/>
              </a:ln>
            </c:spPr>
          </c:marker>
          <c:cat>
            <c:multiLvlStrRef>
              <c:f>'Graf-12-kvalita míst-4'!$A$88:$B$117</c:f>
              <c:multiLvlStrCache>
                <c:ptCount val="30"/>
                <c:lvl>
                  <c:pt idx="0">
                    <c:v>2008</c:v>
                  </c:pt>
                  <c:pt idx="1">
                    <c:v>2013</c:v>
                  </c:pt>
                  <c:pt idx="2">
                    <c:v>2018</c:v>
                  </c:pt>
                  <c:pt idx="3">
                    <c:v>2008</c:v>
                  </c:pt>
                  <c:pt idx="4">
                    <c:v>2013</c:v>
                  </c:pt>
                  <c:pt idx="5">
                    <c:v>2018</c:v>
                  </c:pt>
                  <c:pt idx="6">
                    <c:v>2008</c:v>
                  </c:pt>
                  <c:pt idx="7">
                    <c:v>2013</c:v>
                  </c:pt>
                  <c:pt idx="8">
                    <c:v>2018</c:v>
                  </c:pt>
                  <c:pt idx="9">
                    <c:v>2008</c:v>
                  </c:pt>
                  <c:pt idx="10">
                    <c:v>2013</c:v>
                  </c:pt>
                  <c:pt idx="11">
                    <c:v>2018</c:v>
                  </c:pt>
                  <c:pt idx="12">
                    <c:v>2008</c:v>
                  </c:pt>
                  <c:pt idx="13">
                    <c:v>2013</c:v>
                  </c:pt>
                  <c:pt idx="14">
                    <c:v>2018</c:v>
                  </c:pt>
                  <c:pt idx="15">
                    <c:v>2008</c:v>
                  </c:pt>
                  <c:pt idx="16">
                    <c:v>2013</c:v>
                  </c:pt>
                  <c:pt idx="17">
                    <c:v>2018</c:v>
                  </c:pt>
                  <c:pt idx="18">
                    <c:v>2008</c:v>
                  </c:pt>
                  <c:pt idx="19">
                    <c:v>2013</c:v>
                  </c:pt>
                  <c:pt idx="20">
                    <c:v>2018</c:v>
                  </c:pt>
                  <c:pt idx="21">
                    <c:v>2008</c:v>
                  </c:pt>
                  <c:pt idx="22">
                    <c:v>2013</c:v>
                  </c:pt>
                  <c:pt idx="23">
                    <c:v>2018</c:v>
                  </c:pt>
                  <c:pt idx="24">
                    <c:v>2008</c:v>
                  </c:pt>
                  <c:pt idx="25">
                    <c:v>2013</c:v>
                  </c:pt>
                  <c:pt idx="26">
                    <c:v>2018</c:v>
                  </c:pt>
                  <c:pt idx="27">
                    <c:v>2008</c:v>
                  </c:pt>
                  <c:pt idx="28">
                    <c:v>2013</c:v>
                  </c:pt>
                  <c:pt idx="29">
                    <c:v>2018</c:v>
                  </c:pt>
                </c:lvl>
                <c:lvl>
                  <c:pt idx="0">
                    <c:v>Zákonod.
a řídící 
pracovn.</c:v>
                  </c:pt>
                  <c:pt idx="3">
                    <c:v>Specia-
listé</c:v>
                  </c:pt>
                  <c:pt idx="6">
                    <c:v>Technič. 
a odbor. 
pracovn.</c:v>
                  </c:pt>
                  <c:pt idx="9">
                    <c:v>Úředníci</c:v>
                  </c:pt>
                  <c:pt idx="12">
                    <c:v>Pracovn. 
ve služb. 
a prodeji</c:v>
                  </c:pt>
                  <c:pt idx="15">
                    <c:v>Kvalifik.
pracov.v 
zeměděl., 
lesn.,ryb.</c:v>
                  </c:pt>
                  <c:pt idx="18">
                    <c:v>Řemesln.
a opraváři</c:v>
                  </c:pt>
                  <c:pt idx="21">
                    <c:v>Obsluha 
strojů a 
zařízení, 
montéři</c:v>
                  </c:pt>
                  <c:pt idx="24">
                    <c:v>Pomocn.,
nekvalif. 
pracovn.</c:v>
                  </c:pt>
                  <c:pt idx="27">
                    <c:v>Všechny 
třídy
zaměst-
nání</c:v>
                  </c:pt>
                </c:lvl>
              </c:multiLvlStrCache>
            </c:multiLvlStrRef>
          </c:cat>
          <c:val>
            <c:numRef>
              <c:f>'Graf-12-kvalita míst-4'!$E$88:$E$117</c:f>
              <c:numCache>
                <c:formatCode>#\ ##0.0</c:formatCode>
                <c:ptCount val="30"/>
                <c:pt idx="0">
                  <c:v>77.5</c:v>
                </c:pt>
                <c:pt idx="1">
                  <c:v>71.400000000000006</c:v>
                </c:pt>
                <c:pt idx="2">
                  <c:v>60.5</c:v>
                </c:pt>
                <c:pt idx="3">
                  <c:v>51.2</c:v>
                </c:pt>
                <c:pt idx="4">
                  <c:v>29.9</c:v>
                </c:pt>
                <c:pt idx="5">
                  <c:v>35.700000000000003</c:v>
                </c:pt>
                <c:pt idx="6">
                  <c:v>58</c:v>
                </c:pt>
                <c:pt idx="7">
                  <c:v>54.7</c:v>
                </c:pt>
                <c:pt idx="8">
                  <c:v>54.5</c:v>
                </c:pt>
                <c:pt idx="12">
                  <c:v>57.8</c:v>
                </c:pt>
                <c:pt idx="13">
                  <c:v>51.8</c:v>
                </c:pt>
                <c:pt idx="14">
                  <c:v>40.6</c:v>
                </c:pt>
                <c:pt idx="18">
                  <c:v>77.400000000000006</c:v>
                </c:pt>
                <c:pt idx="19">
                  <c:v>61.3</c:v>
                </c:pt>
                <c:pt idx="20">
                  <c:v>54.6</c:v>
                </c:pt>
                <c:pt idx="27">
                  <c:v>69.400000000000006</c:v>
                </c:pt>
                <c:pt idx="28">
                  <c:v>57.5</c:v>
                </c:pt>
                <c:pt idx="29">
                  <c:v>51.7</c:v>
                </c:pt>
              </c:numCache>
            </c:numRef>
          </c:val>
          <c:smooth val="0"/>
          <c:extLst>
            <c:ext xmlns:c16="http://schemas.microsoft.com/office/drawing/2014/chart" uri="{C3380CC4-5D6E-409C-BE32-E72D297353CC}">
              <c16:uniqueId val="{00000002-825A-4932-9AFF-CD5855285756}"/>
            </c:ext>
          </c:extLst>
        </c:ser>
        <c:ser>
          <c:idx val="3"/>
          <c:order val="3"/>
          <c:tx>
            <c:strRef>
              <c:f>'Graf-12-kvalita míst-4'!$F$87</c:f>
              <c:strCache>
                <c:ptCount val="1"/>
                <c:pt idx="0">
                  <c:v>Podnikatelé bez zaměstnanců</c:v>
                </c:pt>
              </c:strCache>
            </c:strRef>
          </c:tx>
          <c:spPr>
            <a:ln w="15875" cap="rnd">
              <a:noFill/>
              <a:prstDash val="solid"/>
              <a:round/>
            </a:ln>
            <a:effectLst/>
          </c:spPr>
          <c:marker>
            <c:symbol val="circle"/>
            <c:size val="5"/>
            <c:spPr>
              <a:solidFill>
                <a:srgbClr val="C5FFDF"/>
              </a:solidFill>
              <a:ln>
                <a:solidFill>
                  <a:srgbClr val="00B050"/>
                </a:solidFill>
              </a:ln>
            </c:spPr>
          </c:marker>
          <c:cat>
            <c:multiLvlStrRef>
              <c:f>'Graf-12-kvalita míst-4'!$A$88:$B$117</c:f>
              <c:multiLvlStrCache>
                <c:ptCount val="30"/>
                <c:lvl>
                  <c:pt idx="0">
                    <c:v>2008</c:v>
                  </c:pt>
                  <c:pt idx="1">
                    <c:v>2013</c:v>
                  </c:pt>
                  <c:pt idx="2">
                    <c:v>2018</c:v>
                  </c:pt>
                  <c:pt idx="3">
                    <c:v>2008</c:v>
                  </c:pt>
                  <c:pt idx="4">
                    <c:v>2013</c:v>
                  </c:pt>
                  <c:pt idx="5">
                    <c:v>2018</c:v>
                  </c:pt>
                  <c:pt idx="6">
                    <c:v>2008</c:v>
                  </c:pt>
                  <c:pt idx="7">
                    <c:v>2013</c:v>
                  </c:pt>
                  <c:pt idx="8">
                    <c:v>2018</c:v>
                  </c:pt>
                  <c:pt idx="9">
                    <c:v>2008</c:v>
                  </c:pt>
                  <c:pt idx="10">
                    <c:v>2013</c:v>
                  </c:pt>
                  <c:pt idx="11">
                    <c:v>2018</c:v>
                  </c:pt>
                  <c:pt idx="12">
                    <c:v>2008</c:v>
                  </c:pt>
                  <c:pt idx="13">
                    <c:v>2013</c:v>
                  </c:pt>
                  <c:pt idx="14">
                    <c:v>2018</c:v>
                  </c:pt>
                  <c:pt idx="15">
                    <c:v>2008</c:v>
                  </c:pt>
                  <c:pt idx="16">
                    <c:v>2013</c:v>
                  </c:pt>
                  <c:pt idx="17">
                    <c:v>2018</c:v>
                  </c:pt>
                  <c:pt idx="18">
                    <c:v>2008</c:v>
                  </c:pt>
                  <c:pt idx="19">
                    <c:v>2013</c:v>
                  </c:pt>
                  <c:pt idx="20">
                    <c:v>2018</c:v>
                  </c:pt>
                  <c:pt idx="21">
                    <c:v>2008</c:v>
                  </c:pt>
                  <c:pt idx="22">
                    <c:v>2013</c:v>
                  </c:pt>
                  <c:pt idx="23">
                    <c:v>2018</c:v>
                  </c:pt>
                  <c:pt idx="24">
                    <c:v>2008</c:v>
                  </c:pt>
                  <c:pt idx="25">
                    <c:v>2013</c:v>
                  </c:pt>
                  <c:pt idx="26">
                    <c:v>2018</c:v>
                  </c:pt>
                  <c:pt idx="27">
                    <c:v>2008</c:v>
                  </c:pt>
                  <c:pt idx="28">
                    <c:v>2013</c:v>
                  </c:pt>
                  <c:pt idx="29">
                    <c:v>2018</c:v>
                  </c:pt>
                </c:lvl>
                <c:lvl>
                  <c:pt idx="0">
                    <c:v>Zákonod.
a řídící 
pracovn.</c:v>
                  </c:pt>
                  <c:pt idx="3">
                    <c:v>Specia-
listé</c:v>
                  </c:pt>
                  <c:pt idx="6">
                    <c:v>Technič. 
a odbor. 
pracovn.</c:v>
                  </c:pt>
                  <c:pt idx="9">
                    <c:v>Úředníci</c:v>
                  </c:pt>
                  <c:pt idx="12">
                    <c:v>Pracovn. 
ve služb. 
a prodeji</c:v>
                  </c:pt>
                  <c:pt idx="15">
                    <c:v>Kvalifik.
pracov.v 
zeměděl., 
lesn.,ryb.</c:v>
                  </c:pt>
                  <c:pt idx="18">
                    <c:v>Řemesln.
a opraváři</c:v>
                  </c:pt>
                  <c:pt idx="21">
                    <c:v>Obsluha 
strojů a 
zařízení, 
montéři</c:v>
                  </c:pt>
                  <c:pt idx="24">
                    <c:v>Pomocn.,
nekvalif. 
pracovn.</c:v>
                  </c:pt>
                  <c:pt idx="27">
                    <c:v>Všechny 
třídy
zaměst-
nání</c:v>
                  </c:pt>
                </c:lvl>
              </c:multiLvlStrCache>
            </c:multiLvlStrRef>
          </c:cat>
          <c:val>
            <c:numRef>
              <c:f>'Graf-12-kvalita míst-4'!$F$88:$F$117</c:f>
              <c:numCache>
                <c:formatCode>#\ ##0.0</c:formatCode>
                <c:ptCount val="30"/>
                <c:pt idx="0">
                  <c:v>67.900000000000006</c:v>
                </c:pt>
                <c:pt idx="1">
                  <c:v>59.6</c:v>
                </c:pt>
                <c:pt idx="2">
                  <c:v>38.6</c:v>
                </c:pt>
                <c:pt idx="3">
                  <c:v>49.7</c:v>
                </c:pt>
                <c:pt idx="4">
                  <c:v>33.200000000000003</c:v>
                </c:pt>
                <c:pt idx="5">
                  <c:v>32.299999999999997</c:v>
                </c:pt>
                <c:pt idx="6">
                  <c:v>49.4</c:v>
                </c:pt>
                <c:pt idx="7">
                  <c:v>37.5</c:v>
                </c:pt>
                <c:pt idx="8">
                  <c:v>32.9</c:v>
                </c:pt>
                <c:pt idx="9">
                  <c:v>54.1</c:v>
                </c:pt>
                <c:pt idx="10">
                  <c:v>23.1</c:v>
                </c:pt>
                <c:pt idx="11">
                  <c:v>18.399999999999999</c:v>
                </c:pt>
                <c:pt idx="12">
                  <c:v>40.700000000000003</c:v>
                </c:pt>
                <c:pt idx="13">
                  <c:v>27.9</c:v>
                </c:pt>
                <c:pt idx="14">
                  <c:v>33.200000000000003</c:v>
                </c:pt>
                <c:pt idx="15">
                  <c:v>66.8</c:v>
                </c:pt>
                <c:pt idx="16">
                  <c:v>52.2</c:v>
                </c:pt>
                <c:pt idx="17">
                  <c:v>48.4</c:v>
                </c:pt>
                <c:pt idx="18">
                  <c:v>64.900000000000006</c:v>
                </c:pt>
                <c:pt idx="19">
                  <c:v>50.3</c:v>
                </c:pt>
                <c:pt idx="20">
                  <c:v>48.3</c:v>
                </c:pt>
                <c:pt idx="21">
                  <c:v>61.7</c:v>
                </c:pt>
                <c:pt idx="22">
                  <c:v>50.7</c:v>
                </c:pt>
                <c:pt idx="23">
                  <c:v>49.8</c:v>
                </c:pt>
                <c:pt idx="27">
                  <c:v>55.7</c:v>
                </c:pt>
                <c:pt idx="28">
                  <c:v>40.1</c:v>
                </c:pt>
                <c:pt idx="29">
                  <c:v>38.4</c:v>
                </c:pt>
              </c:numCache>
            </c:numRef>
          </c:val>
          <c:smooth val="0"/>
          <c:extLst>
            <c:ext xmlns:c16="http://schemas.microsoft.com/office/drawing/2014/chart" uri="{C3380CC4-5D6E-409C-BE32-E72D297353CC}">
              <c16:uniqueId val="{00000003-825A-4932-9AFF-CD5855285756}"/>
            </c:ext>
          </c:extLst>
        </c:ser>
        <c:dLbls>
          <c:showLegendKey val="0"/>
          <c:showVal val="0"/>
          <c:showCatName val="0"/>
          <c:showSerName val="0"/>
          <c:showPercent val="0"/>
          <c:showBubbleSize val="0"/>
        </c:dLbls>
        <c:marker val="1"/>
        <c:smooth val="0"/>
        <c:axId val="143962880"/>
        <c:axId val="143964416"/>
      </c:lineChart>
      <c:catAx>
        <c:axId val="143962880"/>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964416"/>
        <c:crossesAt val="0"/>
        <c:auto val="1"/>
        <c:lblAlgn val="ctr"/>
        <c:lblOffset val="10"/>
        <c:noMultiLvlLbl val="0"/>
      </c:catAx>
      <c:valAx>
        <c:axId val="143964416"/>
        <c:scaling>
          <c:orientation val="minMax"/>
          <c:max val="8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3962880"/>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4.7800648986321435E-2"/>
          <c:y val="0.93708030669489295"/>
          <c:w val="0.92787555651307696"/>
          <c:h val="5.6731007673620854E-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071293591253618E-2"/>
          <c:w val="0.91388216708127057"/>
          <c:h val="0.72906805340278646"/>
        </c:manualLayout>
      </c:layout>
      <c:lineChart>
        <c:grouping val="standard"/>
        <c:varyColors val="0"/>
        <c:ser>
          <c:idx val="0"/>
          <c:order val="0"/>
          <c:tx>
            <c:strRef>
              <c:f>'Graf-2-Míry EA dle vzdělání'!$C$20</c:f>
              <c:strCache>
                <c:ptCount val="1"/>
                <c:pt idx="0">
                  <c:v>Vzdělání celkem, rok 2018</c:v>
                </c:pt>
              </c:strCache>
            </c:strRef>
          </c:tx>
          <c:spPr>
            <a:ln w="15875" cap="rnd">
              <a:solidFill>
                <a:schemeClr val="tx1">
                  <a:lumMod val="95000"/>
                  <a:lumOff val="5000"/>
                </a:schemeClr>
              </a:solidFill>
              <a:round/>
            </a:ln>
            <a:effectLst/>
          </c:spPr>
          <c:marker>
            <c:symbol val="none"/>
          </c:marker>
          <c:dPt>
            <c:idx val="12"/>
            <c:bubble3D val="0"/>
            <c:spPr>
              <a:ln w="15875" cap="rnd">
                <a:noFill/>
                <a:round/>
              </a:ln>
              <a:effectLst/>
            </c:spPr>
            <c:extLst>
              <c:ext xmlns:c16="http://schemas.microsoft.com/office/drawing/2014/chart" uri="{C3380CC4-5D6E-409C-BE32-E72D297353CC}">
                <c16:uniqueId val="{00000001-1B53-44C8-8667-81036A13AA9B}"/>
              </c:ext>
            </c:extLst>
          </c:dPt>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vzdělání'!$C$21:$C$44</c:f>
              <c:numCache>
                <c:formatCode>#\ ##0.0</c:formatCode>
                <c:ptCount val="24"/>
                <c:pt idx="0">
                  <c:v>6.7</c:v>
                </c:pt>
                <c:pt idx="1">
                  <c:v>59.7</c:v>
                </c:pt>
                <c:pt idx="2">
                  <c:v>92.9</c:v>
                </c:pt>
                <c:pt idx="3">
                  <c:v>97.5</c:v>
                </c:pt>
                <c:pt idx="4">
                  <c:v>97.1</c:v>
                </c:pt>
                <c:pt idx="5">
                  <c:v>96.7</c:v>
                </c:pt>
                <c:pt idx="6">
                  <c:v>95.9</c:v>
                </c:pt>
                <c:pt idx="7">
                  <c:v>94.6</c:v>
                </c:pt>
                <c:pt idx="8">
                  <c:v>90.6</c:v>
                </c:pt>
                <c:pt idx="9">
                  <c:v>60.9</c:v>
                </c:pt>
                <c:pt idx="10">
                  <c:v>17.5</c:v>
                </c:pt>
                <c:pt idx="11">
                  <c:v>9</c:v>
                </c:pt>
                <c:pt idx="12">
                  <c:v>5.0999999999999996</c:v>
                </c:pt>
                <c:pt idx="13">
                  <c:v>45.4</c:v>
                </c:pt>
                <c:pt idx="14">
                  <c:v>69.900000000000006</c:v>
                </c:pt>
                <c:pt idx="15">
                  <c:v>65.5</c:v>
                </c:pt>
                <c:pt idx="16">
                  <c:v>80.5</c:v>
                </c:pt>
                <c:pt idx="17">
                  <c:v>89</c:v>
                </c:pt>
                <c:pt idx="18">
                  <c:v>93.4</c:v>
                </c:pt>
                <c:pt idx="19">
                  <c:v>92.7</c:v>
                </c:pt>
                <c:pt idx="20">
                  <c:v>84.9</c:v>
                </c:pt>
                <c:pt idx="21">
                  <c:v>34.4</c:v>
                </c:pt>
                <c:pt idx="22">
                  <c:v>11.1</c:v>
                </c:pt>
                <c:pt idx="23">
                  <c:v>5.0999999999999996</c:v>
                </c:pt>
              </c:numCache>
            </c:numRef>
          </c:val>
          <c:smooth val="0"/>
          <c:extLst>
            <c:ext xmlns:c16="http://schemas.microsoft.com/office/drawing/2014/chart" uri="{C3380CC4-5D6E-409C-BE32-E72D297353CC}">
              <c16:uniqueId val="{00000002-1B53-44C8-8667-81036A13AA9B}"/>
            </c:ext>
          </c:extLst>
        </c:ser>
        <c:ser>
          <c:idx val="1"/>
          <c:order val="1"/>
          <c:tx>
            <c:strRef>
              <c:f>'Graf-2-Míry EA dle vzdělání'!$D$20</c:f>
              <c:strCache>
                <c:ptCount val="1"/>
                <c:pt idx="0">
                  <c:v>Základní vzdělání a bez vzděl. (0–2)</c:v>
                </c:pt>
              </c:strCache>
            </c:strRef>
          </c:tx>
          <c:spPr>
            <a:ln w="12700" cap="rnd">
              <a:solidFill>
                <a:srgbClr val="0070C0"/>
              </a:solidFill>
              <a:prstDash val="solid"/>
              <a:round/>
            </a:ln>
            <a:effectLst/>
          </c:spPr>
          <c:marker>
            <c:symbol val="none"/>
          </c:marker>
          <c:dPt>
            <c:idx val="12"/>
            <c:bubble3D val="0"/>
            <c:spPr>
              <a:ln w="12700" cap="rnd">
                <a:noFill/>
                <a:prstDash val="solid"/>
                <a:round/>
              </a:ln>
              <a:effectLst/>
            </c:spPr>
            <c:extLst>
              <c:ext xmlns:c16="http://schemas.microsoft.com/office/drawing/2014/chart" uri="{C3380CC4-5D6E-409C-BE32-E72D297353CC}">
                <c16:uniqueId val="{00000004-1B53-44C8-8667-81036A13AA9B}"/>
              </c:ext>
            </c:extLst>
          </c:dPt>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vzdělání'!$D$21:$D$44</c:f>
              <c:numCache>
                <c:formatCode>#\ ##0.0</c:formatCode>
                <c:ptCount val="24"/>
                <c:pt idx="0">
                  <c:v>2.9</c:v>
                </c:pt>
                <c:pt idx="1">
                  <c:v>59.1</c:v>
                </c:pt>
                <c:pt idx="2">
                  <c:v>71.900000000000006</c:v>
                </c:pt>
                <c:pt idx="3">
                  <c:v>79.400000000000006</c:v>
                </c:pt>
                <c:pt idx="4">
                  <c:v>78.5</c:v>
                </c:pt>
                <c:pt idx="5">
                  <c:v>78.7</c:v>
                </c:pt>
                <c:pt idx="6">
                  <c:v>77.599999999999994</c:v>
                </c:pt>
                <c:pt idx="7">
                  <c:v>65.599999999999994</c:v>
                </c:pt>
                <c:pt idx="8">
                  <c:v>61</c:v>
                </c:pt>
                <c:pt idx="9">
                  <c:v>35.299999999999997</c:v>
                </c:pt>
                <c:pt idx="10">
                  <c:v>5.7</c:v>
                </c:pt>
                <c:pt idx="11">
                  <c:v>2.4</c:v>
                </c:pt>
                <c:pt idx="12">
                  <c:v>2.5</c:v>
                </c:pt>
                <c:pt idx="13">
                  <c:v>40.799999999999997</c:v>
                </c:pt>
                <c:pt idx="14">
                  <c:v>42.2</c:v>
                </c:pt>
                <c:pt idx="15">
                  <c:v>46.7</c:v>
                </c:pt>
                <c:pt idx="16">
                  <c:v>64.900000000000006</c:v>
                </c:pt>
                <c:pt idx="17">
                  <c:v>64.5</c:v>
                </c:pt>
                <c:pt idx="18">
                  <c:v>72.8</c:v>
                </c:pt>
                <c:pt idx="19">
                  <c:v>73.900000000000006</c:v>
                </c:pt>
                <c:pt idx="20">
                  <c:v>63.4</c:v>
                </c:pt>
                <c:pt idx="21">
                  <c:v>15.7</c:v>
                </c:pt>
                <c:pt idx="22">
                  <c:v>4.8</c:v>
                </c:pt>
                <c:pt idx="23">
                  <c:v>2.4</c:v>
                </c:pt>
              </c:numCache>
            </c:numRef>
          </c:val>
          <c:smooth val="0"/>
          <c:extLst>
            <c:ext xmlns:c16="http://schemas.microsoft.com/office/drawing/2014/chart" uri="{C3380CC4-5D6E-409C-BE32-E72D297353CC}">
              <c16:uniqueId val="{00000005-1B53-44C8-8667-81036A13AA9B}"/>
            </c:ext>
          </c:extLst>
        </c:ser>
        <c:ser>
          <c:idx val="2"/>
          <c:order val="2"/>
          <c:tx>
            <c:strRef>
              <c:f>'Graf-2-Míry EA dle vzdělání'!$E$20</c:f>
              <c:strCache>
                <c:ptCount val="1"/>
                <c:pt idx="0">
                  <c:v>Střední vzdělání (3–4)</c:v>
                </c:pt>
              </c:strCache>
            </c:strRef>
          </c:tx>
          <c:spPr>
            <a:ln w="12700" cap="rnd">
              <a:solidFill>
                <a:srgbClr val="00B050"/>
              </a:solidFill>
              <a:prstDash val="solid"/>
              <a:round/>
            </a:ln>
            <a:effectLst/>
          </c:spPr>
          <c:marker>
            <c:symbol val="none"/>
          </c:marker>
          <c:dPt>
            <c:idx val="12"/>
            <c:bubble3D val="0"/>
            <c:spPr>
              <a:ln w="12700" cap="rnd">
                <a:noFill/>
                <a:prstDash val="solid"/>
                <a:round/>
              </a:ln>
              <a:effectLst/>
            </c:spPr>
            <c:extLst>
              <c:ext xmlns:c16="http://schemas.microsoft.com/office/drawing/2014/chart" uri="{C3380CC4-5D6E-409C-BE32-E72D297353CC}">
                <c16:uniqueId val="{00000007-1B53-44C8-8667-81036A13AA9B}"/>
              </c:ext>
            </c:extLst>
          </c:dPt>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vzdělání'!$E$21:$E$44</c:f>
              <c:numCache>
                <c:formatCode>#\ ##0.0</c:formatCode>
                <c:ptCount val="24"/>
                <c:pt idx="0">
                  <c:v>38.9</c:v>
                </c:pt>
                <c:pt idx="1">
                  <c:v>62.1</c:v>
                </c:pt>
                <c:pt idx="2">
                  <c:v>95.5</c:v>
                </c:pt>
                <c:pt idx="3">
                  <c:v>98.3</c:v>
                </c:pt>
                <c:pt idx="4">
                  <c:v>97.7</c:v>
                </c:pt>
                <c:pt idx="5">
                  <c:v>97</c:v>
                </c:pt>
                <c:pt idx="6">
                  <c:v>96</c:v>
                </c:pt>
                <c:pt idx="7">
                  <c:v>94.9</c:v>
                </c:pt>
                <c:pt idx="8">
                  <c:v>90.6</c:v>
                </c:pt>
                <c:pt idx="9">
                  <c:v>58.6</c:v>
                </c:pt>
                <c:pt idx="10">
                  <c:v>14.1</c:v>
                </c:pt>
                <c:pt idx="11">
                  <c:v>7.2</c:v>
                </c:pt>
                <c:pt idx="12">
                  <c:v>27.6</c:v>
                </c:pt>
                <c:pt idx="13">
                  <c:v>44.7</c:v>
                </c:pt>
                <c:pt idx="14">
                  <c:v>67.599999999999994</c:v>
                </c:pt>
                <c:pt idx="15">
                  <c:v>67.5</c:v>
                </c:pt>
                <c:pt idx="16">
                  <c:v>82.3</c:v>
                </c:pt>
                <c:pt idx="17">
                  <c:v>90.5</c:v>
                </c:pt>
                <c:pt idx="18">
                  <c:v>93.5</c:v>
                </c:pt>
                <c:pt idx="19">
                  <c:v>93.1</c:v>
                </c:pt>
                <c:pt idx="20">
                  <c:v>85.7</c:v>
                </c:pt>
                <c:pt idx="21">
                  <c:v>32.200000000000003</c:v>
                </c:pt>
                <c:pt idx="22">
                  <c:v>10.1</c:v>
                </c:pt>
                <c:pt idx="23">
                  <c:v>5.0999999999999996</c:v>
                </c:pt>
              </c:numCache>
            </c:numRef>
          </c:val>
          <c:smooth val="0"/>
          <c:extLst>
            <c:ext xmlns:c16="http://schemas.microsoft.com/office/drawing/2014/chart" uri="{C3380CC4-5D6E-409C-BE32-E72D297353CC}">
              <c16:uniqueId val="{00000008-1B53-44C8-8667-81036A13AA9B}"/>
            </c:ext>
          </c:extLst>
        </c:ser>
        <c:ser>
          <c:idx val="3"/>
          <c:order val="3"/>
          <c:tx>
            <c:strRef>
              <c:f>'Graf-2-Míry EA dle vzdělání'!$F$20</c:f>
              <c:strCache>
                <c:ptCount val="1"/>
                <c:pt idx="0">
                  <c:v>Terciární vzdělání (5–8)</c:v>
                </c:pt>
              </c:strCache>
            </c:strRef>
          </c:tx>
          <c:spPr>
            <a:ln w="12700" cap="rnd">
              <a:solidFill>
                <a:schemeClr val="accent6">
                  <a:lumMod val="75000"/>
                </a:schemeClr>
              </a:solidFill>
              <a:prstDash val="solid"/>
              <a:round/>
            </a:ln>
            <a:effectLst/>
          </c:spPr>
          <c:marker>
            <c:symbol val="none"/>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vzdělání'!$F$21:$F$44</c:f>
              <c:numCache>
                <c:formatCode>#\ ##0.0</c:formatCode>
                <c:ptCount val="24"/>
                <c:pt idx="1">
                  <c:v>38.200000000000003</c:v>
                </c:pt>
                <c:pt idx="2">
                  <c:v>91</c:v>
                </c:pt>
                <c:pt idx="3">
                  <c:v>99.6</c:v>
                </c:pt>
                <c:pt idx="4">
                  <c:v>99.8</c:v>
                </c:pt>
                <c:pt idx="5">
                  <c:v>99.2</c:v>
                </c:pt>
                <c:pt idx="6">
                  <c:v>99</c:v>
                </c:pt>
                <c:pt idx="7">
                  <c:v>98.7</c:v>
                </c:pt>
                <c:pt idx="8">
                  <c:v>97.6</c:v>
                </c:pt>
                <c:pt idx="9">
                  <c:v>77</c:v>
                </c:pt>
                <c:pt idx="10">
                  <c:v>39.9</c:v>
                </c:pt>
                <c:pt idx="11">
                  <c:v>20.100000000000001</c:v>
                </c:pt>
                <c:pt idx="13">
                  <c:v>51.6</c:v>
                </c:pt>
                <c:pt idx="14">
                  <c:v>78.2</c:v>
                </c:pt>
                <c:pt idx="15">
                  <c:v>65.2</c:v>
                </c:pt>
                <c:pt idx="16">
                  <c:v>79.900000000000006</c:v>
                </c:pt>
                <c:pt idx="17">
                  <c:v>89.3</c:v>
                </c:pt>
                <c:pt idx="18">
                  <c:v>97.6</c:v>
                </c:pt>
                <c:pt idx="19">
                  <c:v>97.9</c:v>
                </c:pt>
                <c:pt idx="20">
                  <c:v>94.3</c:v>
                </c:pt>
                <c:pt idx="21">
                  <c:v>66</c:v>
                </c:pt>
                <c:pt idx="22">
                  <c:v>30.1</c:v>
                </c:pt>
                <c:pt idx="23">
                  <c:v>11.3</c:v>
                </c:pt>
              </c:numCache>
            </c:numRef>
          </c:val>
          <c:smooth val="0"/>
          <c:extLst>
            <c:ext xmlns:c16="http://schemas.microsoft.com/office/drawing/2014/chart" uri="{C3380CC4-5D6E-409C-BE32-E72D297353CC}">
              <c16:uniqueId val="{00000009-1B53-44C8-8667-81036A13AA9B}"/>
            </c:ext>
          </c:extLst>
        </c:ser>
        <c:ser>
          <c:idx val="4"/>
          <c:order val="4"/>
          <c:tx>
            <c:strRef>
              <c:f>'Graf-2-Míry EA dle vzdělání'!$G$20</c:f>
              <c:strCache>
                <c:ptCount val="1"/>
                <c:pt idx="0">
                  <c:v>Vzdělání celkem, rok 2008</c:v>
                </c:pt>
              </c:strCache>
            </c:strRef>
          </c:tx>
          <c:spPr>
            <a:ln w="12700" cap="rnd">
              <a:noFill/>
              <a:prstDash val="sysDot"/>
              <a:round/>
            </a:ln>
            <a:effectLst/>
          </c:spPr>
          <c:marker>
            <c:symbol val="diamond"/>
            <c:size val="4"/>
            <c:spPr>
              <a:solidFill>
                <a:schemeClr val="tx1">
                  <a:lumMod val="95000"/>
                  <a:lumOff val="5000"/>
                </a:schemeClr>
              </a:solidFill>
              <a:ln w="9525">
                <a:noFill/>
              </a:ln>
              <a:effectLst/>
            </c:spPr>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vzdělání'!$G$21:$G$44</c:f>
              <c:numCache>
                <c:formatCode>#\ ##0.0</c:formatCode>
                <c:ptCount val="24"/>
                <c:pt idx="0">
                  <c:v>8.4</c:v>
                </c:pt>
                <c:pt idx="1">
                  <c:v>60.8</c:v>
                </c:pt>
                <c:pt idx="2">
                  <c:v>90.9</c:v>
                </c:pt>
                <c:pt idx="3">
                  <c:v>96.8</c:v>
                </c:pt>
                <c:pt idx="4">
                  <c:v>97.6</c:v>
                </c:pt>
                <c:pt idx="5">
                  <c:v>96.5</c:v>
                </c:pt>
                <c:pt idx="6">
                  <c:v>94.6</c:v>
                </c:pt>
                <c:pt idx="7">
                  <c:v>91.7</c:v>
                </c:pt>
                <c:pt idx="8">
                  <c:v>84.8</c:v>
                </c:pt>
                <c:pt idx="9">
                  <c:v>40.700000000000003</c:v>
                </c:pt>
                <c:pt idx="10">
                  <c:v>13.3</c:v>
                </c:pt>
                <c:pt idx="11">
                  <c:v>5.9</c:v>
                </c:pt>
                <c:pt idx="12">
                  <c:v>6.3</c:v>
                </c:pt>
                <c:pt idx="13">
                  <c:v>44.4</c:v>
                </c:pt>
                <c:pt idx="14">
                  <c:v>66.400000000000006</c:v>
                </c:pt>
                <c:pt idx="15">
                  <c:v>66</c:v>
                </c:pt>
                <c:pt idx="16">
                  <c:v>80</c:v>
                </c:pt>
                <c:pt idx="17">
                  <c:v>91</c:v>
                </c:pt>
                <c:pt idx="18">
                  <c:v>92.5</c:v>
                </c:pt>
                <c:pt idx="19">
                  <c:v>87.7</c:v>
                </c:pt>
                <c:pt idx="20">
                  <c:v>55.7</c:v>
                </c:pt>
                <c:pt idx="21">
                  <c:v>15.1</c:v>
                </c:pt>
                <c:pt idx="22">
                  <c:v>6.5</c:v>
                </c:pt>
                <c:pt idx="23">
                  <c:v>2.5</c:v>
                </c:pt>
              </c:numCache>
            </c:numRef>
          </c:val>
          <c:smooth val="0"/>
          <c:extLst>
            <c:ext xmlns:c16="http://schemas.microsoft.com/office/drawing/2014/chart" uri="{C3380CC4-5D6E-409C-BE32-E72D297353CC}">
              <c16:uniqueId val="{0000000A-1B53-44C8-8667-81036A13AA9B}"/>
            </c:ext>
          </c:extLst>
        </c:ser>
        <c:ser>
          <c:idx val="5"/>
          <c:order val="5"/>
          <c:tx>
            <c:strRef>
              <c:f>'Graf-2-Míry EA dle vzdělání'!$H$20</c:f>
              <c:strCache>
                <c:ptCount val="1"/>
                <c:pt idx="0">
                  <c:v>Základní vzdělání a bez vzděl. (0–2)</c:v>
                </c:pt>
              </c:strCache>
            </c:strRef>
          </c:tx>
          <c:spPr>
            <a:ln w="12700" cap="rnd">
              <a:noFill/>
              <a:prstDash val="sysDot"/>
              <a:round/>
            </a:ln>
            <a:effectLst/>
          </c:spPr>
          <c:marker>
            <c:symbol val="diamond"/>
            <c:size val="4"/>
            <c:spPr>
              <a:solidFill>
                <a:srgbClr val="0070C0"/>
              </a:solidFill>
              <a:ln w="9525">
                <a:noFill/>
              </a:ln>
              <a:effectLst/>
            </c:spPr>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vzdělání'!$H$21:$H$44</c:f>
              <c:numCache>
                <c:formatCode>#\ ##0.0</c:formatCode>
                <c:ptCount val="24"/>
                <c:pt idx="0">
                  <c:v>3</c:v>
                </c:pt>
                <c:pt idx="1">
                  <c:v>53.7</c:v>
                </c:pt>
                <c:pt idx="2">
                  <c:v>78.7</c:v>
                </c:pt>
                <c:pt idx="3">
                  <c:v>78.900000000000006</c:v>
                </c:pt>
                <c:pt idx="4">
                  <c:v>81.599999999999994</c:v>
                </c:pt>
                <c:pt idx="5">
                  <c:v>76.5</c:v>
                </c:pt>
                <c:pt idx="6">
                  <c:v>75.099999999999994</c:v>
                </c:pt>
                <c:pt idx="7">
                  <c:v>74.400000000000006</c:v>
                </c:pt>
                <c:pt idx="8">
                  <c:v>66.8</c:v>
                </c:pt>
                <c:pt idx="9">
                  <c:v>26.9</c:v>
                </c:pt>
                <c:pt idx="10">
                  <c:v>3</c:v>
                </c:pt>
                <c:pt idx="11">
                  <c:v>1</c:v>
                </c:pt>
                <c:pt idx="12">
                  <c:v>2.5</c:v>
                </c:pt>
                <c:pt idx="13">
                  <c:v>29.5</c:v>
                </c:pt>
                <c:pt idx="14">
                  <c:v>42.7</c:v>
                </c:pt>
                <c:pt idx="15">
                  <c:v>59.9</c:v>
                </c:pt>
                <c:pt idx="16">
                  <c:v>62</c:v>
                </c:pt>
                <c:pt idx="17">
                  <c:v>75.599999999999994</c:v>
                </c:pt>
                <c:pt idx="18">
                  <c:v>81.099999999999994</c:v>
                </c:pt>
                <c:pt idx="19">
                  <c:v>76.400000000000006</c:v>
                </c:pt>
                <c:pt idx="20">
                  <c:v>40</c:v>
                </c:pt>
                <c:pt idx="21">
                  <c:v>7.9</c:v>
                </c:pt>
                <c:pt idx="22">
                  <c:v>4.0999999999999996</c:v>
                </c:pt>
                <c:pt idx="23">
                  <c:v>1.1000000000000001</c:v>
                </c:pt>
              </c:numCache>
            </c:numRef>
          </c:val>
          <c:smooth val="0"/>
          <c:extLst>
            <c:ext xmlns:c16="http://schemas.microsoft.com/office/drawing/2014/chart" uri="{C3380CC4-5D6E-409C-BE32-E72D297353CC}">
              <c16:uniqueId val="{0000000B-1B53-44C8-8667-81036A13AA9B}"/>
            </c:ext>
          </c:extLst>
        </c:ser>
        <c:ser>
          <c:idx val="6"/>
          <c:order val="6"/>
          <c:tx>
            <c:strRef>
              <c:f>'Graf-2-Míry EA dle vzdělání'!$I$20</c:f>
              <c:strCache>
                <c:ptCount val="1"/>
                <c:pt idx="0">
                  <c:v>Střední vzdělání (3–4)</c:v>
                </c:pt>
              </c:strCache>
            </c:strRef>
          </c:tx>
          <c:spPr>
            <a:ln w="12700" cap="rnd">
              <a:noFill/>
              <a:prstDash val="sysDot"/>
              <a:round/>
            </a:ln>
            <a:effectLst/>
          </c:spPr>
          <c:marker>
            <c:symbol val="diamond"/>
            <c:size val="4"/>
            <c:spPr>
              <a:solidFill>
                <a:srgbClr val="00B050"/>
              </a:solidFill>
              <a:ln w="9525">
                <a:noFill/>
              </a:ln>
              <a:effectLst/>
            </c:spPr>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vzdělání'!$I$21:$I$44</c:f>
              <c:numCache>
                <c:formatCode>#\ ##0.0</c:formatCode>
                <c:ptCount val="24"/>
                <c:pt idx="0">
                  <c:v>46.7</c:v>
                </c:pt>
                <c:pt idx="1">
                  <c:v>62.9</c:v>
                </c:pt>
                <c:pt idx="2">
                  <c:v>92.6</c:v>
                </c:pt>
                <c:pt idx="3">
                  <c:v>97.6</c:v>
                </c:pt>
                <c:pt idx="4">
                  <c:v>98.3</c:v>
                </c:pt>
                <c:pt idx="5">
                  <c:v>97.2</c:v>
                </c:pt>
                <c:pt idx="6">
                  <c:v>94.9</c:v>
                </c:pt>
                <c:pt idx="7">
                  <c:v>91.7</c:v>
                </c:pt>
                <c:pt idx="8">
                  <c:v>84.7</c:v>
                </c:pt>
                <c:pt idx="9">
                  <c:v>38</c:v>
                </c:pt>
                <c:pt idx="10">
                  <c:v>10.3</c:v>
                </c:pt>
                <c:pt idx="11">
                  <c:v>4.8</c:v>
                </c:pt>
                <c:pt idx="12">
                  <c:v>34.1</c:v>
                </c:pt>
                <c:pt idx="13">
                  <c:v>44.9</c:v>
                </c:pt>
                <c:pt idx="14">
                  <c:v>64</c:v>
                </c:pt>
                <c:pt idx="15">
                  <c:v>67.400000000000006</c:v>
                </c:pt>
                <c:pt idx="16">
                  <c:v>81.900000000000006</c:v>
                </c:pt>
                <c:pt idx="17">
                  <c:v>92.5</c:v>
                </c:pt>
                <c:pt idx="18">
                  <c:v>93.8</c:v>
                </c:pt>
                <c:pt idx="19">
                  <c:v>89.3</c:v>
                </c:pt>
                <c:pt idx="20">
                  <c:v>57</c:v>
                </c:pt>
                <c:pt idx="21">
                  <c:v>14.8</c:v>
                </c:pt>
                <c:pt idx="22">
                  <c:v>6.5</c:v>
                </c:pt>
                <c:pt idx="23">
                  <c:v>2.8</c:v>
                </c:pt>
              </c:numCache>
            </c:numRef>
          </c:val>
          <c:smooth val="0"/>
          <c:extLst>
            <c:ext xmlns:c16="http://schemas.microsoft.com/office/drawing/2014/chart" uri="{C3380CC4-5D6E-409C-BE32-E72D297353CC}">
              <c16:uniqueId val="{0000000C-1B53-44C8-8667-81036A13AA9B}"/>
            </c:ext>
          </c:extLst>
        </c:ser>
        <c:ser>
          <c:idx val="7"/>
          <c:order val="7"/>
          <c:tx>
            <c:strRef>
              <c:f>'Graf-2-Míry EA dle vzdělání'!$J$20</c:f>
              <c:strCache>
                <c:ptCount val="1"/>
                <c:pt idx="0">
                  <c:v>Terciární vzdělání (5–8)</c:v>
                </c:pt>
              </c:strCache>
            </c:strRef>
          </c:tx>
          <c:spPr>
            <a:ln w="12700" cap="rnd">
              <a:noFill/>
              <a:prstDash val="sysDot"/>
              <a:round/>
            </a:ln>
            <a:effectLst/>
          </c:spPr>
          <c:marker>
            <c:symbol val="diamond"/>
            <c:size val="4"/>
            <c:spPr>
              <a:solidFill>
                <a:schemeClr val="accent6">
                  <a:lumMod val="75000"/>
                </a:schemeClr>
              </a:solidFill>
              <a:ln w="9525">
                <a:noFill/>
              </a:ln>
              <a:effectLst/>
            </c:spPr>
          </c:marker>
          <c:cat>
            <c:multiLvlStrRef>
              <c:f>'Graf-2-Míry EA dle vzdělání'!$A$21:$B$44</c:f>
              <c:multiLvlStrCache>
                <c:ptCount val="24"/>
                <c:lvl>
                  <c:pt idx="0">
                    <c:v>15-19</c:v>
                  </c:pt>
                  <c:pt idx="1">
                    <c:v>20-24</c:v>
                  </c:pt>
                  <c:pt idx="2">
                    <c:v>25-29</c:v>
                  </c:pt>
                  <c:pt idx="3">
                    <c:v>30-34</c:v>
                  </c:pt>
                  <c:pt idx="4">
                    <c:v>35-39</c:v>
                  </c:pt>
                  <c:pt idx="5">
                    <c:v>40-44</c:v>
                  </c:pt>
                  <c:pt idx="6">
                    <c:v>45-49</c:v>
                  </c:pt>
                  <c:pt idx="7">
                    <c:v>50-54</c:v>
                  </c:pt>
                  <c:pt idx="8">
                    <c:v>55-59</c:v>
                  </c:pt>
                  <c:pt idx="9">
                    <c:v>60-64</c:v>
                  </c:pt>
                  <c:pt idx="10">
                    <c:v>65-69</c:v>
                  </c:pt>
                  <c:pt idx="11">
                    <c:v>70-74</c:v>
                  </c:pt>
                  <c:pt idx="12">
                    <c:v>15-19</c:v>
                  </c:pt>
                  <c:pt idx="13">
                    <c:v>20-24</c:v>
                  </c:pt>
                  <c:pt idx="14">
                    <c:v>25-29</c:v>
                  </c:pt>
                  <c:pt idx="15">
                    <c:v>30-34</c:v>
                  </c:pt>
                  <c:pt idx="16">
                    <c:v>35-39</c:v>
                  </c:pt>
                  <c:pt idx="17">
                    <c:v>40-44</c:v>
                  </c:pt>
                  <c:pt idx="18">
                    <c:v>45-49</c:v>
                  </c:pt>
                  <c:pt idx="19">
                    <c:v>50-54</c:v>
                  </c:pt>
                  <c:pt idx="20">
                    <c:v>55-59</c:v>
                  </c:pt>
                  <c:pt idx="21">
                    <c:v>60-64</c:v>
                  </c:pt>
                  <c:pt idx="22">
                    <c:v>65-69</c:v>
                  </c:pt>
                  <c:pt idx="23">
                    <c:v>70-74</c:v>
                  </c:pt>
                </c:lvl>
                <c:lvl>
                  <c:pt idx="0">
                    <c:v>muži</c:v>
                  </c:pt>
                  <c:pt idx="12">
                    <c:v>ženy</c:v>
                  </c:pt>
                </c:lvl>
              </c:multiLvlStrCache>
            </c:multiLvlStrRef>
          </c:cat>
          <c:val>
            <c:numRef>
              <c:f>'Graf-2-Míry EA dle vzdělání'!$J$21:$J$44</c:f>
              <c:numCache>
                <c:formatCode>#\ ##0.0</c:formatCode>
                <c:ptCount val="24"/>
                <c:pt idx="1">
                  <c:v>33.6</c:v>
                </c:pt>
                <c:pt idx="2">
                  <c:v>87.3</c:v>
                </c:pt>
                <c:pt idx="3">
                  <c:v>98.5</c:v>
                </c:pt>
                <c:pt idx="4">
                  <c:v>99.6</c:v>
                </c:pt>
                <c:pt idx="5">
                  <c:v>99.2</c:v>
                </c:pt>
                <c:pt idx="6">
                  <c:v>98.9</c:v>
                </c:pt>
                <c:pt idx="7">
                  <c:v>98.2</c:v>
                </c:pt>
                <c:pt idx="8">
                  <c:v>96</c:v>
                </c:pt>
                <c:pt idx="9">
                  <c:v>64.2</c:v>
                </c:pt>
                <c:pt idx="10">
                  <c:v>37.9</c:v>
                </c:pt>
                <c:pt idx="11">
                  <c:v>19.5</c:v>
                </c:pt>
                <c:pt idx="13">
                  <c:v>53.7</c:v>
                </c:pt>
                <c:pt idx="14">
                  <c:v>79</c:v>
                </c:pt>
                <c:pt idx="15">
                  <c:v>61.7</c:v>
                </c:pt>
                <c:pt idx="16">
                  <c:v>75.8</c:v>
                </c:pt>
                <c:pt idx="17">
                  <c:v>92.5</c:v>
                </c:pt>
                <c:pt idx="18">
                  <c:v>95.3</c:v>
                </c:pt>
                <c:pt idx="19">
                  <c:v>95</c:v>
                </c:pt>
                <c:pt idx="20">
                  <c:v>88</c:v>
                </c:pt>
                <c:pt idx="21">
                  <c:v>37</c:v>
                </c:pt>
                <c:pt idx="22">
                  <c:v>18.5</c:v>
                </c:pt>
                <c:pt idx="23">
                  <c:v>11.7</c:v>
                </c:pt>
              </c:numCache>
            </c:numRef>
          </c:val>
          <c:smooth val="0"/>
          <c:extLst>
            <c:ext xmlns:c16="http://schemas.microsoft.com/office/drawing/2014/chart" uri="{C3380CC4-5D6E-409C-BE32-E72D297353CC}">
              <c16:uniqueId val="{0000000D-1B53-44C8-8667-81036A13AA9B}"/>
            </c:ext>
          </c:extLst>
        </c:ser>
        <c:dLbls>
          <c:showLegendKey val="0"/>
          <c:showVal val="0"/>
          <c:showCatName val="0"/>
          <c:showSerName val="0"/>
          <c:showPercent val="0"/>
          <c:showBubbleSize val="0"/>
        </c:dLbls>
        <c:smooth val="0"/>
        <c:axId val="355665792"/>
        <c:axId val="355667328"/>
      </c:lineChart>
      <c:catAx>
        <c:axId val="355665792"/>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5667328"/>
        <c:crosses val="autoZero"/>
        <c:auto val="1"/>
        <c:lblAlgn val="ctr"/>
        <c:lblOffset val="0"/>
        <c:noMultiLvlLbl val="0"/>
      </c:catAx>
      <c:valAx>
        <c:axId val="35566732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355665792"/>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5.6512860559410488E-2"/>
          <c:y val="0.87451626073861277"/>
          <c:w val="0.91225013899202889"/>
          <c:h val="0.11876560654886728"/>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99962741733386E-2"/>
          <c:y val="1.6099489550526948E-2"/>
          <c:w val="0.92836229463414977"/>
          <c:h val="0.6118417970823028"/>
        </c:manualLayout>
      </c:layout>
      <c:barChart>
        <c:barDir val="col"/>
        <c:grouping val="clustered"/>
        <c:varyColors val="0"/>
        <c:ser>
          <c:idx val="8"/>
          <c:order val="8"/>
          <c:tx>
            <c:strRef>
              <c:f>'Graf-3-EA-ženy s dětmi'!$A$16</c:f>
              <c:strCache>
                <c:ptCount val="1"/>
                <c:pt idx="0">
                  <c:v>Práce na zkrácený úvazek: všechny ženy s nejml. dítětem do 6 let</c:v>
                </c:pt>
              </c:strCache>
            </c:strRef>
          </c:tx>
          <c:spPr>
            <a:solidFill>
              <a:schemeClr val="bg1">
                <a:lumMod val="85000"/>
              </a:schemeClr>
            </a:solidFill>
            <a:ln>
              <a:noFill/>
            </a:ln>
            <a:effectLst/>
          </c:spPr>
          <c:invertIfNegative val="0"/>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dětmi'!$B$16:$O$16</c:f>
              <c:numCache>
                <c:formatCode>#\ ##0.0</c:formatCode>
                <c:ptCount val="14"/>
                <c:pt idx="0">
                  <c:v>18.399999999999999</c:v>
                </c:pt>
                <c:pt idx="1">
                  <c:v>20.9</c:v>
                </c:pt>
                <c:pt idx="2">
                  <c:v>21.4</c:v>
                </c:pt>
                <c:pt idx="3">
                  <c:v>19.7</c:v>
                </c:pt>
                <c:pt idx="4">
                  <c:v>19.2</c:v>
                </c:pt>
                <c:pt idx="5">
                  <c:v>22.5</c:v>
                </c:pt>
                <c:pt idx="6">
                  <c:v>15.2</c:v>
                </c:pt>
                <c:pt idx="7">
                  <c:v>17.7</c:v>
                </c:pt>
                <c:pt idx="8">
                  <c:v>18.100000000000001</c:v>
                </c:pt>
                <c:pt idx="9">
                  <c:v>18.600000000000001</c:v>
                </c:pt>
                <c:pt idx="10">
                  <c:v>18</c:v>
                </c:pt>
                <c:pt idx="11">
                  <c:v>20.399999999999999</c:v>
                </c:pt>
                <c:pt idx="12">
                  <c:v>23</c:v>
                </c:pt>
                <c:pt idx="13">
                  <c:v>23.7</c:v>
                </c:pt>
              </c:numCache>
            </c:numRef>
          </c:val>
          <c:extLst>
            <c:ext xmlns:c16="http://schemas.microsoft.com/office/drawing/2014/chart" uri="{C3380CC4-5D6E-409C-BE32-E72D297353CC}">
              <c16:uniqueId val="{00000000-AC6C-4369-AAE8-5A142143413C}"/>
            </c:ext>
          </c:extLst>
        </c:ser>
        <c:ser>
          <c:idx val="9"/>
          <c:order val="9"/>
          <c:tx>
            <c:strRef>
              <c:f>'Graf-3-EA-ženy s dětmi'!$A$17</c:f>
              <c:strCache>
                <c:ptCount val="1"/>
                <c:pt idx="0">
                  <c:v>Práce na zkrácený úvazek: všechny ženy s nejml. dítětem ve věku 6–11 let</c:v>
                </c:pt>
              </c:strCache>
            </c:strRef>
          </c:tx>
          <c:spPr>
            <a:solidFill>
              <a:schemeClr val="bg1">
                <a:lumMod val="65000"/>
              </a:schemeClr>
            </a:solidFill>
            <a:ln>
              <a:noFill/>
            </a:ln>
            <a:effectLst/>
          </c:spPr>
          <c:invertIfNegative val="0"/>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dětmi'!$B$17:$O$17</c:f>
              <c:numCache>
                <c:formatCode>#\ ##0.0</c:formatCode>
                <c:ptCount val="14"/>
                <c:pt idx="0">
                  <c:v>10.6</c:v>
                </c:pt>
                <c:pt idx="1">
                  <c:v>10.8</c:v>
                </c:pt>
                <c:pt idx="2">
                  <c:v>9.1999999999999993</c:v>
                </c:pt>
                <c:pt idx="3">
                  <c:v>9.4</c:v>
                </c:pt>
                <c:pt idx="4">
                  <c:v>9</c:v>
                </c:pt>
                <c:pt idx="5">
                  <c:v>10.6</c:v>
                </c:pt>
                <c:pt idx="6">
                  <c:v>10.5</c:v>
                </c:pt>
                <c:pt idx="7">
                  <c:v>8.1999999999999993</c:v>
                </c:pt>
                <c:pt idx="8">
                  <c:v>10.6</c:v>
                </c:pt>
                <c:pt idx="9">
                  <c:v>10.3</c:v>
                </c:pt>
                <c:pt idx="10">
                  <c:v>9.6</c:v>
                </c:pt>
                <c:pt idx="11">
                  <c:v>10</c:v>
                </c:pt>
                <c:pt idx="12">
                  <c:v>10.199999999999999</c:v>
                </c:pt>
                <c:pt idx="13">
                  <c:v>11.4</c:v>
                </c:pt>
              </c:numCache>
            </c:numRef>
          </c:val>
          <c:extLst>
            <c:ext xmlns:c16="http://schemas.microsoft.com/office/drawing/2014/chart" uri="{C3380CC4-5D6E-409C-BE32-E72D297353CC}">
              <c16:uniqueId val="{00000001-AC6C-4369-AAE8-5A142143413C}"/>
            </c:ext>
          </c:extLst>
        </c:ser>
        <c:dLbls>
          <c:showLegendKey val="0"/>
          <c:showVal val="0"/>
          <c:showCatName val="0"/>
          <c:showSerName val="0"/>
          <c:showPercent val="0"/>
          <c:showBubbleSize val="0"/>
        </c:dLbls>
        <c:gapWidth val="150"/>
        <c:axId val="151240064"/>
        <c:axId val="148845696"/>
      </c:barChart>
      <c:lineChart>
        <c:grouping val="standard"/>
        <c:varyColors val="0"/>
        <c:ser>
          <c:idx val="0"/>
          <c:order val="0"/>
          <c:tx>
            <c:strRef>
              <c:f>'Graf-3-EA-ženy s dětmi'!$A$8</c:f>
              <c:strCache>
                <c:ptCount val="1"/>
                <c:pt idx="0">
                  <c:v>Míra zaměstnanosti: všechny ženy, nejml. dítě do 6 let </c:v>
                </c:pt>
              </c:strCache>
            </c:strRef>
          </c:tx>
          <c:spPr>
            <a:ln w="19050" cap="rnd">
              <a:solidFill>
                <a:srgbClr val="BD1B21"/>
              </a:solidFill>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dětmi'!$B$8:$O$8</c:f>
              <c:numCache>
                <c:formatCode>#\ ##0.0</c:formatCode>
                <c:ptCount val="14"/>
                <c:pt idx="0">
                  <c:v>36.200000000000003</c:v>
                </c:pt>
                <c:pt idx="1">
                  <c:v>35.1</c:v>
                </c:pt>
                <c:pt idx="2">
                  <c:v>33.9</c:v>
                </c:pt>
                <c:pt idx="3">
                  <c:v>34</c:v>
                </c:pt>
                <c:pt idx="4">
                  <c:v>34.6</c:v>
                </c:pt>
                <c:pt idx="5">
                  <c:v>36.5</c:v>
                </c:pt>
                <c:pt idx="6">
                  <c:v>40.5</c:v>
                </c:pt>
                <c:pt idx="7">
                  <c:v>40.4</c:v>
                </c:pt>
                <c:pt idx="8">
                  <c:v>43.7</c:v>
                </c:pt>
                <c:pt idx="9">
                  <c:v>45.3</c:v>
                </c:pt>
                <c:pt idx="10">
                  <c:v>44.2</c:v>
                </c:pt>
                <c:pt idx="11">
                  <c:v>45.6</c:v>
                </c:pt>
                <c:pt idx="12">
                  <c:v>45.1</c:v>
                </c:pt>
                <c:pt idx="13">
                  <c:v>47.9</c:v>
                </c:pt>
              </c:numCache>
            </c:numRef>
          </c:val>
          <c:smooth val="0"/>
          <c:extLst>
            <c:ext xmlns:c16="http://schemas.microsoft.com/office/drawing/2014/chart" uri="{C3380CC4-5D6E-409C-BE32-E72D297353CC}">
              <c16:uniqueId val="{00000002-AC6C-4369-AAE8-5A142143413C}"/>
            </c:ext>
          </c:extLst>
        </c:ser>
        <c:ser>
          <c:idx val="1"/>
          <c:order val="1"/>
          <c:tx>
            <c:strRef>
              <c:f>'Graf-3-EA-ženy s dětmi'!$A$9</c:f>
              <c:strCache>
                <c:ptCount val="1"/>
                <c:pt idx="0">
                  <c:v>z toho ženy s primárním a nižším sekundárním vzděl. (ISCED 0–2)</c:v>
                </c:pt>
              </c:strCache>
            </c:strRef>
          </c:tx>
          <c:spPr>
            <a:ln w="12700" cap="rnd">
              <a:solidFill>
                <a:schemeClr val="accent6">
                  <a:lumMod val="75000"/>
                </a:schemeClr>
              </a:solidFill>
              <a:prstDash val="sysDash"/>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dětmi'!$B$9:$O$9</c:f>
              <c:numCache>
                <c:formatCode>#\ ##0.0</c:formatCode>
                <c:ptCount val="14"/>
                <c:pt idx="0">
                  <c:v>17.8</c:v>
                </c:pt>
                <c:pt idx="1">
                  <c:v>23.5</c:v>
                </c:pt>
                <c:pt idx="2">
                  <c:v>22.7</c:v>
                </c:pt>
                <c:pt idx="3">
                  <c:v>23.6</c:v>
                </c:pt>
                <c:pt idx="4">
                  <c:v>22.5</c:v>
                </c:pt>
                <c:pt idx="5">
                  <c:v>22.9</c:v>
                </c:pt>
                <c:pt idx="6">
                  <c:v>18</c:v>
                </c:pt>
                <c:pt idx="7">
                  <c:v>19.7</c:v>
                </c:pt>
                <c:pt idx="8">
                  <c:v>23.5</c:v>
                </c:pt>
                <c:pt idx="9">
                  <c:v>15.8</c:v>
                </c:pt>
                <c:pt idx="10">
                  <c:v>26.6</c:v>
                </c:pt>
                <c:pt idx="11">
                  <c:v>24.5</c:v>
                </c:pt>
                <c:pt idx="12">
                  <c:v>19.8</c:v>
                </c:pt>
                <c:pt idx="13">
                  <c:v>33</c:v>
                </c:pt>
              </c:numCache>
            </c:numRef>
          </c:val>
          <c:smooth val="0"/>
          <c:extLst>
            <c:ext xmlns:c16="http://schemas.microsoft.com/office/drawing/2014/chart" uri="{C3380CC4-5D6E-409C-BE32-E72D297353CC}">
              <c16:uniqueId val="{00000003-AC6C-4369-AAE8-5A142143413C}"/>
            </c:ext>
          </c:extLst>
        </c:ser>
        <c:ser>
          <c:idx val="2"/>
          <c:order val="2"/>
          <c:tx>
            <c:strRef>
              <c:f>'Graf-3-EA-ženy s dětmi'!$A$10</c:f>
              <c:strCache>
                <c:ptCount val="1"/>
                <c:pt idx="0">
                  <c:v>z toho ženy s vyšším sekundárním vzděl. (ISCED 3–4)</c:v>
                </c:pt>
              </c:strCache>
            </c:strRef>
          </c:tx>
          <c:spPr>
            <a:ln w="15875" cap="rnd">
              <a:solidFill>
                <a:schemeClr val="accent6">
                  <a:lumMod val="75000"/>
                </a:schemeClr>
              </a:solidFill>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dětmi'!$B$10:$O$10</c:f>
              <c:numCache>
                <c:formatCode>#\ ##0.0</c:formatCode>
                <c:ptCount val="14"/>
                <c:pt idx="0">
                  <c:v>36.5</c:v>
                </c:pt>
                <c:pt idx="1">
                  <c:v>35</c:v>
                </c:pt>
                <c:pt idx="2">
                  <c:v>33.200000000000003</c:v>
                </c:pt>
                <c:pt idx="3">
                  <c:v>33.4</c:v>
                </c:pt>
                <c:pt idx="4">
                  <c:v>34.799999999999997</c:v>
                </c:pt>
                <c:pt idx="5">
                  <c:v>37.1</c:v>
                </c:pt>
                <c:pt idx="6">
                  <c:v>42</c:v>
                </c:pt>
                <c:pt idx="7">
                  <c:v>40.6</c:v>
                </c:pt>
                <c:pt idx="8">
                  <c:v>44.9</c:v>
                </c:pt>
                <c:pt idx="9">
                  <c:v>46.5</c:v>
                </c:pt>
                <c:pt idx="10">
                  <c:v>44.8</c:v>
                </c:pt>
                <c:pt idx="11">
                  <c:v>46.7</c:v>
                </c:pt>
                <c:pt idx="12">
                  <c:v>46</c:v>
                </c:pt>
                <c:pt idx="13">
                  <c:v>46.4</c:v>
                </c:pt>
              </c:numCache>
            </c:numRef>
          </c:val>
          <c:smooth val="0"/>
          <c:extLst>
            <c:ext xmlns:c16="http://schemas.microsoft.com/office/drawing/2014/chart" uri="{C3380CC4-5D6E-409C-BE32-E72D297353CC}">
              <c16:uniqueId val="{00000004-AC6C-4369-AAE8-5A142143413C}"/>
            </c:ext>
          </c:extLst>
        </c:ser>
        <c:ser>
          <c:idx val="3"/>
          <c:order val="3"/>
          <c:tx>
            <c:strRef>
              <c:f>'Graf-3-EA-ženy s dětmi'!$A$11</c:f>
              <c:strCache>
                <c:ptCount val="1"/>
                <c:pt idx="0">
                  <c:v>z toho ženy s terciárním vzděláním (ISCED 5–8)</c:v>
                </c:pt>
              </c:strCache>
            </c:strRef>
          </c:tx>
          <c:spPr>
            <a:ln w="15875" cap="rnd">
              <a:solidFill>
                <a:schemeClr val="accent6">
                  <a:lumMod val="75000"/>
                </a:schemeClr>
              </a:solidFill>
              <a:prstDash val="dash"/>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dětmi'!$B$11:$O$11</c:f>
              <c:numCache>
                <c:formatCode>#\ ##0.0</c:formatCode>
                <c:ptCount val="14"/>
                <c:pt idx="0">
                  <c:v>45.5</c:v>
                </c:pt>
                <c:pt idx="1">
                  <c:v>41.6</c:v>
                </c:pt>
                <c:pt idx="2">
                  <c:v>42.8</c:v>
                </c:pt>
                <c:pt idx="3">
                  <c:v>40.9</c:v>
                </c:pt>
                <c:pt idx="4">
                  <c:v>38.700000000000003</c:v>
                </c:pt>
                <c:pt idx="5">
                  <c:v>39.299999999999997</c:v>
                </c:pt>
                <c:pt idx="6">
                  <c:v>43.4</c:v>
                </c:pt>
                <c:pt idx="7">
                  <c:v>44.9</c:v>
                </c:pt>
                <c:pt idx="8">
                  <c:v>45</c:v>
                </c:pt>
                <c:pt idx="9">
                  <c:v>47.5</c:v>
                </c:pt>
                <c:pt idx="10">
                  <c:v>46.8</c:v>
                </c:pt>
                <c:pt idx="11">
                  <c:v>47.7</c:v>
                </c:pt>
                <c:pt idx="12">
                  <c:v>48.3</c:v>
                </c:pt>
                <c:pt idx="13">
                  <c:v>52.9</c:v>
                </c:pt>
              </c:numCache>
            </c:numRef>
          </c:val>
          <c:smooth val="0"/>
          <c:extLst>
            <c:ext xmlns:c16="http://schemas.microsoft.com/office/drawing/2014/chart" uri="{C3380CC4-5D6E-409C-BE32-E72D297353CC}">
              <c16:uniqueId val="{00000005-AC6C-4369-AAE8-5A142143413C}"/>
            </c:ext>
          </c:extLst>
        </c:ser>
        <c:ser>
          <c:idx val="4"/>
          <c:order val="4"/>
          <c:tx>
            <c:strRef>
              <c:f>'Graf-3-EA-ženy s dětmi'!$A$12</c:f>
              <c:strCache>
                <c:ptCount val="1"/>
                <c:pt idx="0">
                  <c:v>Míra zaměstnanosti: všechny ženy, nejml. dítě ve věku 6–11 let </c:v>
                </c:pt>
              </c:strCache>
            </c:strRef>
          </c:tx>
          <c:spPr>
            <a:ln w="19050" cap="rnd">
              <a:solidFill>
                <a:srgbClr val="00B050"/>
              </a:solidFill>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dětmi'!$B$12:$O$12</c:f>
              <c:numCache>
                <c:formatCode>#\ ##0.0</c:formatCode>
                <c:ptCount val="14"/>
                <c:pt idx="0">
                  <c:v>80.099999999999994</c:v>
                </c:pt>
                <c:pt idx="1">
                  <c:v>81.5</c:v>
                </c:pt>
                <c:pt idx="2">
                  <c:v>82.9</c:v>
                </c:pt>
                <c:pt idx="3">
                  <c:v>84.9</c:v>
                </c:pt>
                <c:pt idx="4">
                  <c:v>84.8</c:v>
                </c:pt>
                <c:pt idx="5">
                  <c:v>84.8</c:v>
                </c:pt>
                <c:pt idx="6">
                  <c:v>85.8</c:v>
                </c:pt>
                <c:pt idx="7">
                  <c:v>85.8</c:v>
                </c:pt>
                <c:pt idx="8">
                  <c:v>85.4</c:v>
                </c:pt>
                <c:pt idx="9">
                  <c:v>85.2</c:v>
                </c:pt>
                <c:pt idx="10">
                  <c:v>85</c:v>
                </c:pt>
                <c:pt idx="11">
                  <c:v>91.8</c:v>
                </c:pt>
                <c:pt idx="12">
                  <c:v>90</c:v>
                </c:pt>
                <c:pt idx="13">
                  <c:v>92.4</c:v>
                </c:pt>
              </c:numCache>
            </c:numRef>
          </c:val>
          <c:smooth val="0"/>
          <c:extLst>
            <c:ext xmlns:c16="http://schemas.microsoft.com/office/drawing/2014/chart" uri="{C3380CC4-5D6E-409C-BE32-E72D297353CC}">
              <c16:uniqueId val="{00000006-AC6C-4369-AAE8-5A142143413C}"/>
            </c:ext>
          </c:extLst>
        </c:ser>
        <c:ser>
          <c:idx val="5"/>
          <c:order val="5"/>
          <c:tx>
            <c:strRef>
              <c:f>'Graf-3-EA-ženy s dětmi'!$A$13</c:f>
              <c:strCache>
                <c:ptCount val="1"/>
                <c:pt idx="0">
                  <c:v>z toho ženy s primárním a nižším sekundárním vzděláním</c:v>
                </c:pt>
              </c:strCache>
            </c:strRef>
          </c:tx>
          <c:spPr>
            <a:ln w="12700" cap="rnd">
              <a:solidFill>
                <a:srgbClr val="92D050"/>
              </a:solidFill>
              <a:prstDash val="sysDash"/>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dětmi'!$B$13:$O$13</c:f>
              <c:numCache>
                <c:formatCode>#\ ##0.0</c:formatCode>
                <c:ptCount val="14"/>
                <c:pt idx="0">
                  <c:v>46.5</c:v>
                </c:pt>
                <c:pt idx="1">
                  <c:v>51.2</c:v>
                </c:pt>
                <c:pt idx="2">
                  <c:v>52.3</c:v>
                </c:pt>
                <c:pt idx="3">
                  <c:v>53.3</c:v>
                </c:pt>
                <c:pt idx="4">
                  <c:v>50.6</c:v>
                </c:pt>
                <c:pt idx="5">
                  <c:v>53.2</c:v>
                </c:pt>
                <c:pt idx="6">
                  <c:v>61.6</c:v>
                </c:pt>
                <c:pt idx="7">
                  <c:v>59.1</c:v>
                </c:pt>
                <c:pt idx="8">
                  <c:v>63.6</c:v>
                </c:pt>
                <c:pt idx="9">
                  <c:v>53.6</c:v>
                </c:pt>
                <c:pt idx="10">
                  <c:v>44.7</c:v>
                </c:pt>
                <c:pt idx="11">
                  <c:v>70.400000000000006</c:v>
                </c:pt>
                <c:pt idx="12">
                  <c:v>63.5</c:v>
                </c:pt>
                <c:pt idx="13">
                  <c:v>63.8</c:v>
                </c:pt>
              </c:numCache>
            </c:numRef>
          </c:val>
          <c:smooth val="0"/>
          <c:extLst>
            <c:ext xmlns:c16="http://schemas.microsoft.com/office/drawing/2014/chart" uri="{C3380CC4-5D6E-409C-BE32-E72D297353CC}">
              <c16:uniqueId val="{00000007-AC6C-4369-AAE8-5A142143413C}"/>
            </c:ext>
          </c:extLst>
        </c:ser>
        <c:ser>
          <c:idx val="6"/>
          <c:order val="6"/>
          <c:tx>
            <c:strRef>
              <c:f>'Graf-3-EA-ženy s dětmi'!$A$14</c:f>
              <c:strCache>
                <c:ptCount val="1"/>
                <c:pt idx="0">
                  <c:v>z toho ženy s vyšším sekundárním vzděláním</c:v>
                </c:pt>
              </c:strCache>
            </c:strRef>
          </c:tx>
          <c:spPr>
            <a:ln w="15875" cap="rnd">
              <a:solidFill>
                <a:srgbClr val="92D050"/>
              </a:solidFill>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dětmi'!$B$14:$O$14</c:f>
              <c:numCache>
                <c:formatCode>#\ ##0.0</c:formatCode>
                <c:ptCount val="14"/>
                <c:pt idx="0">
                  <c:v>81.8</c:v>
                </c:pt>
                <c:pt idx="1">
                  <c:v>82.9</c:v>
                </c:pt>
                <c:pt idx="2">
                  <c:v>84.2</c:v>
                </c:pt>
                <c:pt idx="3">
                  <c:v>86.8</c:v>
                </c:pt>
                <c:pt idx="4">
                  <c:v>86.6</c:v>
                </c:pt>
                <c:pt idx="5">
                  <c:v>85.8</c:v>
                </c:pt>
                <c:pt idx="6">
                  <c:v>85.9</c:v>
                </c:pt>
                <c:pt idx="7">
                  <c:v>86.8</c:v>
                </c:pt>
                <c:pt idx="8">
                  <c:v>84.4</c:v>
                </c:pt>
                <c:pt idx="9">
                  <c:v>85.7</c:v>
                </c:pt>
                <c:pt idx="10">
                  <c:v>85.7</c:v>
                </c:pt>
                <c:pt idx="11">
                  <c:v>92</c:v>
                </c:pt>
                <c:pt idx="12">
                  <c:v>91</c:v>
                </c:pt>
                <c:pt idx="13">
                  <c:v>93.2</c:v>
                </c:pt>
              </c:numCache>
            </c:numRef>
          </c:val>
          <c:smooth val="0"/>
          <c:extLst>
            <c:ext xmlns:c16="http://schemas.microsoft.com/office/drawing/2014/chart" uri="{C3380CC4-5D6E-409C-BE32-E72D297353CC}">
              <c16:uniqueId val="{00000008-AC6C-4369-AAE8-5A142143413C}"/>
            </c:ext>
          </c:extLst>
        </c:ser>
        <c:ser>
          <c:idx val="7"/>
          <c:order val="7"/>
          <c:tx>
            <c:strRef>
              <c:f>'Graf-3-EA-ženy s dětmi'!$A$15</c:f>
              <c:strCache>
                <c:ptCount val="1"/>
                <c:pt idx="0">
                  <c:v>z toho ženy s terciárním vzděláním</c:v>
                </c:pt>
              </c:strCache>
            </c:strRef>
          </c:tx>
          <c:spPr>
            <a:ln w="15875" cap="rnd">
              <a:solidFill>
                <a:srgbClr val="92D050"/>
              </a:solidFill>
              <a:prstDash val="dash"/>
              <a:round/>
            </a:ln>
            <a:effectLst/>
          </c:spPr>
          <c:marker>
            <c:symbol val="none"/>
          </c:marker>
          <c:cat>
            <c:strRef>
              <c:f>'Graf-3-EA-ženy s dětmi'!$B$7:$O$7</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'Graf-3-EA-ženy s dětmi'!$B$15:$O$15</c:f>
              <c:numCache>
                <c:formatCode>#\ ##0.0</c:formatCode>
                <c:ptCount val="14"/>
                <c:pt idx="0">
                  <c:v>96</c:v>
                </c:pt>
                <c:pt idx="1">
                  <c:v>95.7</c:v>
                </c:pt>
                <c:pt idx="2">
                  <c:v>95.8</c:v>
                </c:pt>
                <c:pt idx="3">
                  <c:v>94.4</c:v>
                </c:pt>
                <c:pt idx="4">
                  <c:v>95.4</c:v>
                </c:pt>
                <c:pt idx="5">
                  <c:v>94.9</c:v>
                </c:pt>
                <c:pt idx="6">
                  <c:v>95.4</c:v>
                </c:pt>
                <c:pt idx="7">
                  <c:v>93.3</c:v>
                </c:pt>
                <c:pt idx="8">
                  <c:v>95.9</c:v>
                </c:pt>
                <c:pt idx="9">
                  <c:v>94.3</c:v>
                </c:pt>
                <c:pt idx="10">
                  <c:v>92.2</c:v>
                </c:pt>
                <c:pt idx="11">
                  <c:v>96.7</c:v>
                </c:pt>
                <c:pt idx="12">
                  <c:v>94</c:v>
                </c:pt>
                <c:pt idx="13">
                  <c:v>97</c:v>
                </c:pt>
              </c:numCache>
            </c:numRef>
          </c:val>
          <c:smooth val="0"/>
          <c:extLst>
            <c:ext xmlns:c16="http://schemas.microsoft.com/office/drawing/2014/chart" uri="{C3380CC4-5D6E-409C-BE32-E72D297353CC}">
              <c16:uniqueId val="{00000009-AC6C-4369-AAE8-5A142143413C}"/>
            </c:ext>
          </c:extLst>
        </c:ser>
        <c:dLbls>
          <c:showLegendKey val="0"/>
          <c:showVal val="0"/>
          <c:showCatName val="0"/>
          <c:showSerName val="0"/>
          <c:showPercent val="0"/>
          <c:showBubbleSize val="0"/>
        </c:dLbls>
        <c:marker val="1"/>
        <c:smooth val="0"/>
        <c:axId val="151240064"/>
        <c:axId val="148845696"/>
      </c:lineChart>
      <c:catAx>
        <c:axId val="151240064"/>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18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8845696"/>
        <c:crosses val="autoZero"/>
        <c:auto val="1"/>
        <c:lblAlgn val="ctr"/>
        <c:lblOffset val="0"/>
        <c:noMultiLvlLbl val="0"/>
      </c:catAx>
      <c:valAx>
        <c:axId val="1488456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51240064"/>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5.6429633205414734E-2"/>
          <c:y val="0.69167377719220124"/>
          <c:w val="0.93162726077736313"/>
          <c:h val="0.29949296369273748"/>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2.0121757685483802E-2"/>
          <c:w val="0.93317151422629663"/>
          <c:h val="0.73673488686900745"/>
        </c:manualLayout>
      </c:layout>
      <c:barChart>
        <c:barDir val="col"/>
        <c:grouping val="clustered"/>
        <c:varyColors val="0"/>
        <c:ser>
          <c:idx val="0"/>
          <c:order val="0"/>
          <c:tx>
            <c:strRef>
              <c:f>'Graf-4-SNÚ-zaměstn+podniktal'!$B$67</c:f>
              <c:strCache>
                <c:ptCount val="1"/>
                <c:pt idx="0">
                  <c:v>Zaměstnanost celkem (úvazky na plnou pracovní dobu)</c:v>
                </c:pt>
              </c:strCache>
            </c:strRef>
          </c:tx>
          <c:spPr>
            <a:solidFill>
              <a:schemeClr val="bg1">
                <a:lumMod val="65000"/>
              </a:schemeClr>
            </a:solidFill>
            <a:ln w="15875">
              <a:noFill/>
            </a:ln>
            <a:effectLst/>
          </c:spPr>
          <c:invertIfNegative val="0"/>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'Graf-4-SNÚ-zaměstn+podniktal'!$C$67:$P$67</c:f>
              <c:numCache>
                <c:formatCode>0.0</c:formatCode>
                <c:ptCount val="14"/>
                <c:pt idx="0">
                  <c:v>1.514640384121904</c:v>
                </c:pt>
                <c:pt idx="1">
                  <c:v>0.40841243183827292</c:v>
                </c:pt>
                <c:pt idx="2">
                  <c:v>1.9657856990307891</c:v>
                </c:pt>
                <c:pt idx="3">
                  <c:v>2.2957458900292904</c:v>
                </c:pt>
                <c:pt idx="4">
                  <c:v>-1.8395839269729781</c:v>
                </c:pt>
                <c:pt idx="5">
                  <c:v>-0.90904659729640969</c:v>
                </c:pt>
                <c:pt idx="6">
                  <c:v>-0.10762084642082957</c:v>
                </c:pt>
                <c:pt idx="7">
                  <c:v>9.425972621616549E-2</c:v>
                </c:pt>
                <c:pt idx="8">
                  <c:v>7.9830205455238196E-2</c:v>
                </c:pt>
                <c:pt idx="9">
                  <c:v>0.65747679844861295</c:v>
                </c:pt>
                <c:pt idx="10">
                  <c:v>1.3109120746584346</c:v>
                </c:pt>
                <c:pt idx="11">
                  <c:v>1.2505069279832541</c:v>
                </c:pt>
                <c:pt idx="12">
                  <c:v>1.2028924777152519</c:v>
                </c:pt>
                <c:pt idx="13">
                  <c:v>1.3242014785300711</c:v>
                </c:pt>
              </c:numCache>
            </c:numRef>
          </c:val>
          <c:extLst>
            <c:ext xmlns:c16="http://schemas.microsoft.com/office/drawing/2014/chart" uri="{C3380CC4-5D6E-409C-BE32-E72D297353CC}">
              <c16:uniqueId val="{00000000-1F52-4421-9F0D-BE05BCF83221}"/>
            </c:ext>
          </c:extLst>
        </c:ser>
        <c:ser>
          <c:idx val="1"/>
          <c:order val="1"/>
          <c:tx>
            <c:strRef>
              <c:f>'Graf-4-SNÚ-zaměstn+podniktal'!$B$68</c:f>
              <c:strCache>
                <c:ptCount val="1"/>
                <c:pt idx="0">
                  <c:v>Zaměstnanost celkem (odpracované hodiny)</c:v>
                </c:pt>
              </c:strCache>
            </c:strRef>
          </c:tx>
          <c:spPr>
            <a:solidFill>
              <a:schemeClr val="bg1">
                <a:lumMod val="85000"/>
              </a:schemeClr>
            </a:solidFill>
            <a:ln w="12700">
              <a:noFill/>
              <a:prstDash val="sysDot"/>
            </a:ln>
            <a:effectLst/>
          </c:spPr>
          <c:invertIfNegative val="0"/>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'Graf-4-SNÚ-zaměstn+podniktal'!$C$68:$P$68</c:f>
              <c:numCache>
                <c:formatCode>0.0</c:formatCode>
                <c:ptCount val="14"/>
                <c:pt idx="0">
                  <c:v>1.9373544912762122</c:v>
                </c:pt>
                <c:pt idx="1">
                  <c:v>0.35360755620932594</c:v>
                </c:pt>
                <c:pt idx="2">
                  <c:v>1.2478934118478258</c:v>
                </c:pt>
                <c:pt idx="3">
                  <c:v>2.4746209789637397</c:v>
                </c:pt>
                <c:pt idx="4">
                  <c:v>-2.3970483131377116</c:v>
                </c:pt>
                <c:pt idx="5">
                  <c:v>0.11913514638639827</c:v>
                </c:pt>
                <c:pt idx="6">
                  <c:v>6.6446854713348102E-2</c:v>
                </c:pt>
                <c:pt idx="7">
                  <c:v>-1.2206374903874178</c:v>
                </c:pt>
                <c:pt idx="8">
                  <c:v>-0.41900327889992245</c:v>
                </c:pt>
                <c:pt idx="9">
                  <c:v>1.3351077463600101</c:v>
                </c:pt>
                <c:pt idx="10">
                  <c:v>0.25303782545887543</c:v>
                </c:pt>
                <c:pt idx="11">
                  <c:v>2.8836952933693847</c:v>
                </c:pt>
                <c:pt idx="12">
                  <c:v>1.8874592905544711</c:v>
                </c:pt>
                <c:pt idx="13">
                  <c:v>1.4792740304981178</c:v>
                </c:pt>
              </c:numCache>
            </c:numRef>
          </c:val>
          <c:extLst>
            <c:ext xmlns:c16="http://schemas.microsoft.com/office/drawing/2014/chart" uri="{C3380CC4-5D6E-409C-BE32-E72D297353CC}">
              <c16:uniqueId val="{00000001-1F52-4421-9F0D-BE05BCF83221}"/>
            </c:ext>
          </c:extLst>
        </c:ser>
        <c:dLbls>
          <c:showLegendKey val="0"/>
          <c:showVal val="0"/>
          <c:showCatName val="0"/>
          <c:showSerName val="0"/>
          <c:showPercent val="0"/>
          <c:showBubbleSize val="0"/>
        </c:dLbls>
        <c:gapWidth val="150"/>
        <c:axId val="100938112"/>
        <c:axId val="100939648"/>
      </c:barChart>
      <c:lineChart>
        <c:grouping val="standard"/>
        <c:varyColors val="0"/>
        <c:ser>
          <c:idx val="2"/>
          <c:order val="2"/>
          <c:tx>
            <c:strRef>
              <c:f>'Graf-4-SNÚ-zaměstn+podniktal'!$B$69</c:f>
              <c:strCache>
                <c:ptCount val="1"/>
                <c:pt idx="0">
                  <c:v>Zaměstnanci (úvazky na plnou pracovní dobu)</c:v>
                </c:pt>
              </c:strCache>
            </c:strRef>
          </c:tx>
          <c:spPr>
            <a:ln w="15875" cap="rnd">
              <a:solidFill>
                <a:srgbClr val="BD1B21"/>
              </a:solidFill>
              <a:round/>
            </a:ln>
            <a:effectLst/>
          </c:spPr>
          <c:marker>
            <c:symbol val="none"/>
          </c:marker>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'Graf-4-SNÚ-zaměstn+podniktal'!$C$69:$P$69</c:f>
              <c:numCache>
                <c:formatCode>0.0</c:formatCode>
                <c:ptCount val="14"/>
                <c:pt idx="0">
                  <c:v>2.6820134957257791</c:v>
                </c:pt>
                <c:pt idx="1">
                  <c:v>0.2717276336820903</c:v>
                </c:pt>
                <c:pt idx="2">
                  <c:v>2.3021385855294771</c:v>
                </c:pt>
                <c:pt idx="3">
                  <c:v>2.4906193413417981</c:v>
                </c:pt>
                <c:pt idx="4">
                  <c:v>-2.3440642101986797</c:v>
                </c:pt>
                <c:pt idx="5">
                  <c:v>-1.7557918174797846</c:v>
                </c:pt>
                <c:pt idx="6">
                  <c:v>-0.40467687699499877</c:v>
                </c:pt>
                <c:pt idx="7">
                  <c:v>0.33434590429837452</c:v>
                </c:pt>
                <c:pt idx="8">
                  <c:v>0.88214404708688265</c:v>
                </c:pt>
                <c:pt idx="9">
                  <c:v>0.84652771313400965</c:v>
                </c:pt>
                <c:pt idx="10">
                  <c:v>1.765345111158354</c:v>
                </c:pt>
                <c:pt idx="11">
                  <c:v>1.5048223350835173</c:v>
                </c:pt>
                <c:pt idx="12">
                  <c:v>1.3396956219851006</c:v>
                </c:pt>
                <c:pt idx="13">
                  <c:v>1.4882101530696159</c:v>
                </c:pt>
              </c:numCache>
            </c:numRef>
          </c:val>
          <c:smooth val="0"/>
          <c:extLst>
            <c:ext xmlns:c16="http://schemas.microsoft.com/office/drawing/2014/chart" uri="{C3380CC4-5D6E-409C-BE32-E72D297353CC}">
              <c16:uniqueId val="{00000002-1F52-4421-9F0D-BE05BCF83221}"/>
            </c:ext>
          </c:extLst>
        </c:ser>
        <c:ser>
          <c:idx val="3"/>
          <c:order val="3"/>
          <c:tx>
            <c:strRef>
              <c:f>'Graf-4-SNÚ-zaměstn+podniktal'!$B$70</c:f>
              <c:strCache>
                <c:ptCount val="1"/>
                <c:pt idx="0">
                  <c:v>Zaměstnanci (odpracované hodiny)</c:v>
                </c:pt>
              </c:strCache>
            </c:strRef>
          </c:tx>
          <c:spPr>
            <a:ln w="12700" cap="rnd">
              <a:solidFill>
                <a:srgbClr val="C00000"/>
              </a:solidFill>
              <a:prstDash val="sysDot"/>
              <a:round/>
            </a:ln>
            <a:effectLst/>
          </c:spPr>
          <c:marker>
            <c:symbol val="x"/>
            <c:size val="3"/>
            <c:spPr>
              <a:noFill/>
              <a:ln w="9525">
                <a:solidFill>
                  <a:srgbClr val="BD1B21"/>
                </a:solidFill>
              </a:ln>
              <a:effectLst/>
            </c:spPr>
          </c:marker>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'Graf-4-SNÚ-zaměstn+podniktal'!$C$70:$P$70</c:f>
              <c:numCache>
                <c:formatCode>0.0</c:formatCode>
                <c:ptCount val="14"/>
                <c:pt idx="0">
                  <c:v>3.5158225500839535</c:v>
                </c:pt>
                <c:pt idx="1">
                  <c:v>0.45168501795859584</c:v>
                </c:pt>
                <c:pt idx="2">
                  <c:v>2.0414070762211196</c:v>
                </c:pt>
                <c:pt idx="3">
                  <c:v>2.8040015403437053</c:v>
                </c:pt>
                <c:pt idx="4">
                  <c:v>-2.5800956422020604</c:v>
                </c:pt>
                <c:pt idx="5">
                  <c:v>-0.62608673111684254</c:v>
                </c:pt>
                <c:pt idx="6">
                  <c:v>-3.6410139571785381E-3</c:v>
                </c:pt>
                <c:pt idx="7">
                  <c:v>-6.9304061413646659E-2</c:v>
                </c:pt>
                <c:pt idx="8">
                  <c:v>0.69333091146992842</c:v>
                </c:pt>
                <c:pt idx="9">
                  <c:v>1.6227049339919284</c:v>
                </c:pt>
                <c:pt idx="10">
                  <c:v>0.65870845205440154</c:v>
                </c:pt>
                <c:pt idx="11">
                  <c:v>3.2694946602231312</c:v>
                </c:pt>
                <c:pt idx="12">
                  <c:v>1.9663538892499042</c:v>
                </c:pt>
                <c:pt idx="13">
                  <c:v>1.4758993064125689</c:v>
                </c:pt>
              </c:numCache>
            </c:numRef>
          </c:val>
          <c:smooth val="0"/>
          <c:extLst>
            <c:ext xmlns:c16="http://schemas.microsoft.com/office/drawing/2014/chart" uri="{C3380CC4-5D6E-409C-BE32-E72D297353CC}">
              <c16:uniqueId val="{00000003-1F52-4421-9F0D-BE05BCF83221}"/>
            </c:ext>
          </c:extLst>
        </c:ser>
        <c:ser>
          <c:idx val="4"/>
          <c:order val="4"/>
          <c:tx>
            <c:strRef>
              <c:f>'Graf-4-SNÚ-zaměstn+podniktal'!$B$71</c:f>
              <c:strCache>
                <c:ptCount val="1"/>
                <c:pt idx="0">
                  <c:v>Sebezaměstnaní (úvazky na plnou pracovní dobu)</c:v>
                </c:pt>
              </c:strCache>
            </c:strRef>
          </c:tx>
          <c:spPr>
            <a:ln w="15875" cap="rnd">
              <a:solidFill>
                <a:srgbClr val="00B050"/>
              </a:solidFill>
              <a:round/>
            </a:ln>
            <a:effectLst/>
          </c:spPr>
          <c:marker>
            <c:symbol val="none"/>
          </c:marker>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'Graf-4-SNÚ-zaměstn+podniktal'!$C$71:$P$71</c:f>
              <c:numCache>
                <c:formatCode>0.0</c:formatCode>
                <c:ptCount val="14"/>
                <c:pt idx="0">
                  <c:v>-4.5736448992914802</c:v>
                </c:pt>
                <c:pt idx="1">
                  <c:v>1.1754763677337661</c:v>
                </c:pt>
                <c:pt idx="2">
                  <c:v>9.5061571260373526E-2</c:v>
                </c:pt>
                <c:pt idx="3">
                  <c:v>1.1880020928122421</c:v>
                </c:pt>
                <c:pt idx="4">
                  <c:v>1.0650134697500162</c:v>
                </c:pt>
                <c:pt idx="5">
                  <c:v>3.8017278226067512</c:v>
                </c:pt>
                <c:pt idx="6">
                  <c:v>1.4565360072471067</c:v>
                </c:pt>
                <c:pt idx="7">
                  <c:v>-1.146729471955922</c:v>
                </c:pt>
                <c:pt idx="8">
                  <c:v>-4.1294099936424704</c:v>
                </c:pt>
                <c:pt idx="9">
                  <c:v>-0.38620260063848388</c:v>
                </c:pt>
                <c:pt idx="10">
                  <c:v>-1.2288888541487641</c:v>
                </c:pt>
                <c:pt idx="11">
                  <c:v>-0.21393590627971548</c:v>
                </c:pt>
                <c:pt idx="12">
                  <c:v>0.40156024262802226</c:v>
                </c:pt>
                <c:pt idx="13">
                  <c:v>0.35453476691940122</c:v>
                </c:pt>
              </c:numCache>
            </c:numRef>
          </c:val>
          <c:smooth val="0"/>
          <c:extLst>
            <c:ext xmlns:c16="http://schemas.microsoft.com/office/drawing/2014/chart" uri="{C3380CC4-5D6E-409C-BE32-E72D297353CC}">
              <c16:uniqueId val="{00000004-1F52-4421-9F0D-BE05BCF83221}"/>
            </c:ext>
          </c:extLst>
        </c:ser>
        <c:ser>
          <c:idx val="5"/>
          <c:order val="5"/>
          <c:tx>
            <c:strRef>
              <c:f>'Graf-4-SNÚ-zaměstn+podniktal'!$B$72</c:f>
              <c:strCache>
                <c:ptCount val="1"/>
                <c:pt idx="0">
                  <c:v>Sebezaměstnaní (odpracované hodiny)</c:v>
                </c:pt>
              </c:strCache>
            </c:strRef>
          </c:tx>
          <c:spPr>
            <a:ln w="12700" cap="rnd">
              <a:solidFill>
                <a:srgbClr val="00B050"/>
              </a:solidFill>
              <a:prstDash val="sysDot"/>
              <a:round/>
            </a:ln>
            <a:effectLst/>
          </c:spPr>
          <c:marker>
            <c:symbol val="x"/>
            <c:size val="3"/>
            <c:spPr>
              <a:noFill/>
              <a:ln w="9525">
                <a:solidFill>
                  <a:srgbClr val="00B050"/>
                </a:solidFill>
              </a:ln>
              <a:effectLst/>
            </c:spPr>
          </c:marker>
          <c:cat>
            <c:numRef>
              <c:f>'Graf-4-SNÚ-zaměstn+podniktal'!$C$66:$P$66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'Graf-4-SNÚ-zaměstn+podniktal'!$C$72:$P$72</c:f>
              <c:numCache>
                <c:formatCode>0.0</c:formatCode>
                <c:ptCount val="14"/>
                <c:pt idx="0">
                  <c:v>-4.1605860857834358</c:v>
                </c:pt>
                <c:pt idx="1">
                  <c:v>-5.5633499000094892E-2</c:v>
                </c:pt>
                <c:pt idx="2">
                  <c:v>-2.0799531538954739</c:v>
                </c:pt>
                <c:pt idx="3">
                  <c:v>1.0351209561617341</c:v>
                </c:pt>
                <c:pt idx="4">
                  <c:v>-1.5830663891265715</c:v>
                </c:pt>
                <c:pt idx="5">
                  <c:v>3.3994447072470848</c:v>
                </c:pt>
                <c:pt idx="6">
                  <c:v>0.36294793033468492</c:v>
                </c:pt>
                <c:pt idx="7">
                  <c:v>-6.0734701076717101</c:v>
                </c:pt>
                <c:pt idx="8">
                  <c:v>-5.4071603247698192</c:v>
                </c:pt>
                <c:pt idx="9">
                  <c:v>-3.7770143539432872E-2</c:v>
                </c:pt>
                <c:pt idx="10">
                  <c:v>-1.7156445531122535</c:v>
                </c:pt>
                <c:pt idx="11">
                  <c:v>0.96621653537107477</c:v>
                </c:pt>
                <c:pt idx="12">
                  <c:v>1.486396573412762</c:v>
                </c:pt>
                <c:pt idx="13">
                  <c:v>1.4965106600934917</c:v>
                </c:pt>
              </c:numCache>
            </c:numRef>
          </c:val>
          <c:smooth val="0"/>
          <c:extLst>
            <c:ext xmlns:c16="http://schemas.microsoft.com/office/drawing/2014/chart" uri="{C3380CC4-5D6E-409C-BE32-E72D297353CC}">
              <c16:uniqueId val="{00000005-1F52-4421-9F0D-BE05BCF83221}"/>
            </c:ext>
          </c:extLst>
        </c:ser>
        <c:dLbls>
          <c:showLegendKey val="0"/>
          <c:showVal val="0"/>
          <c:showCatName val="0"/>
          <c:showSerName val="0"/>
          <c:showPercent val="0"/>
          <c:showBubbleSize val="0"/>
        </c:dLbls>
        <c:marker val="1"/>
        <c:smooth val="0"/>
        <c:axId val="100938112"/>
        <c:axId val="100939648"/>
      </c:lineChart>
      <c:catAx>
        <c:axId val="100938112"/>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0939648"/>
        <c:crossesAt val="0"/>
        <c:auto val="1"/>
        <c:lblAlgn val="ctr"/>
        <c:lblOffset val="0"/>
        <c:noMultiLvlLbl val="0"/>
      </c:catAx>
      <c:valAx>
        <c:axId val="100939648"/>
        <c:scaling>
          <c:orientation val="minMax"/>
          <c:max val="4"/>
          <c:min val="-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0938112"/>
        <c:crosses val="autoZero"/>
        <c:crossBetween val="between"/>
        <c:majorUnit val="1"/>
      </c:valAx>
      <c:spPr>
        <a:noFill/>
        <a:ln w="6350">
          <a:solidFill>
            <a:schemeClr val="tx1">
              <a:lumMod val="95000"/>
              <a:lumOff val="5000"/>
            </a:schemeClr>
          </a:solidFill>
        </a:ln>
        <a:effectLst/>
      </c:spPr>
    </c:plotArea>
    <c:legend>
      <c:legendPos val="b"/>
      <c:layout>
        <c:manualLayout>
          <c:xMode val="edge"/>
          <c:yMode val="edge"/>
          <c:x val="5.36963050396689E-2"/>
          <c:y val="0.80716134773889991"/>
          <c:w val="0.92153829646649965"/>
          <c:h val="0.17677458214287406"/>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6667989341713259E-2"/>
          <c:w val="0.93541051170689848"/>
          <c:h val="0.68882375745146662"/>
        </c:manualLayout>
      </c:layout>
      <c:barChart>
        <c:barDir val="col"/>
        <c:grouping val="stacked"/>
        <c:varyColors val="0"/>
        <c:ser>
          <c:idx val="0"/>
          <c:order val="0"/>
          <c:tx>
            <c:strRef>
              <c:f>'Graf-5-zaměstn-průmysl'!$A$161</c:f>
              <c:strCache>
                <c:ptCount val="1"/>
                <c:pt idx="0">
                  <c:v>Těžební průmysl</c:v>
                </c:pt>
              </c:strCache>
            </c:strRef>
          </c:tx>
          <c:spPr>
            <a:solidFill>
              <a:schemeClr val="tx1">
                <a:lumMod val="95000"/>
                <a:lumOff val="5000"/>
              </a:schemeClr>
            </a:solidFill>
            <a:ln w="6350">
              <a:noFill/>
            </a:ln>
            <a:effectLst/>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'Graf-5-zaměstn-průmysl'!$N$161:$AA$161</c:f>
              <c:numCache>
                <c:formatCode>0.00</c:formatCode>
                <c:ptCount val="14"/>
                <c:pt idx="0">
                  <c:v>-6.9744724601931984E-2</c:v>
                </c:pt>
                <c:pt idx="1">
                  <c:v>4.5544615029043372E-3</c:v>
                </c:pt>
                <c:pt idx="2">
                  <c:v>-0.18561027591049598</c:v>
                </c:pt>
                <c:pt idx="3">
                  <c:v>0.15327964314040493</c:v>
                </c:pt>
                <c:pt idx="4">
                  <c:v>-0.37188001219496147</c:v>
                </c:pt>
                <c:pt idx="5">
                  <c:v>-0.16186188309800489</c:v>
                </c:pt>
                <c:pt idx="6">
                  <c:v>-6.9960247850747614E-2</c:v>
                </c:pt>
                <c:pt idx="7">
                  <c:v>-3.1187451536622741E-2</c:v>
                </c:pt>
                <c:pt idx="8">
                  <c:v>-9.6536163550946297E-2</c:v>
                </c:pt>
                <c:pt idx="9">
                  <c:v>0.12887385281668118</c:v>
                </c:pt>
                <c:pt idx="10">
                  <c:v>-0.10085170667000992</c:v>
                </c:pt>
                <c:pt idx="11">
                  <c:v>-0.15784177364416091</c:v>
                </c:pt>
                <c:pt idx="12">
                  <c:v>-0.15155335536334671</c:v>
                </c:pt>
                <c:pt idx="13">
                  <c:v>-0.11187504823622064</c:v>
                </c:pt>
              </c:numCache>
            </c:numRef>
          </c:val>
          <c:extLst>
            <c:ext xmlns:c16="http://schemas.microsoft.com/office/drawing/2014/chart" uri="{C3380CC4-5D6E-409C-BE32-E72D297353CC}">
              <c16:uniqueId val="{00000000-78A9-4FD6-AE47-F22C21268808}"/>
            </c:ext>
          </c:extLst>
        </c:ser>
        <c:ser>
          <c:idx val="1"/>
          <c:order val="1"/>
          <c:tx>
            <c:strRef>
              <c:f>'Graf-5-zaměstn-průmysl'!$A$162</c:f>
              <c:strCache>
                <c:ptCount val="1"/>
                <c:pt idx="0">
                  <c:v>Potravinářský, nápojový a tabák. průmysl</c:v>
                </c:pt>
              </c:strCache>
            </c:strRef>
          </c:tx>
          <c:spPr>
            <a:solidFill>
              <a:schemeClr val="accent3">
                <a:lumMod val="40000"/>
                <a:lumOff val="60000"/>
              </a:schemeClr>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'Graf-5-zaměstn-průmysl'!$N$162:$AA$162</c:f>
              <c:numCache>
                <c:formatCode>0.00</c:formatCode>
                <c:ptCount val="14"/>
                <c:pt idx="0">
                  <c:v>-0.5065158627651235</c:v>
                </c:pt>
                <c:pt idx="1">
                  <c:v>-0.42499243755459482</c:v>
                </c:pt>
                <c:pt idx="2">
                  <c:v>-0.58858715812325146</c:v>
                </c:pt>
                <c:pt idx="3">
                  <c:v>0.10142916228732959</c:v>
                </c:pt>
                <c:pt idx="4">
                  <c:v>0.18093609575694958</c:v>
                </c:pt>
                <c:pt idx="5">
                  <c:v>-0.45544190937020312</c:v>
                </c:pt>
                <c:pt idx="6">
                  <c:v>-6.5836275345861395E-2</c:v>
                </c:pt>
                <c:pt idx="7">
                  <c:v>0.1174869749667297</c:v>
                </c:pt>
                <c:pt idx="8">
                  <c:v>-0.12880925048586644</c:v>
                </c:pt>
                <c:pt idx="9">
                  <c:v>-0.10116668490129799</c:v>
                </c:pt>
                <c:pt idx="10">
                  <c:v>0.20387452646972137</c:v>
                </c:pt>
                <c:pt idx="11">
                  <c:v>0.10232876070086361</c:v>
                </c:pt>
                <c:pt idx="12">
                  <c:v>1.8095923028459287E-2</c:v>
                </c:pt>
                <c:pt idx="13">
                  <c:v>2.1240427790131477E-2</c:v>
                </c:pt>
              </c:numCache>
            </c:numRef>
          </c:val>
          <c:extLst>
            <c:ext xmlns:c16="http://schemas.microsoft.com/office/drawing/2014/chart" uri="{C3380CC4-5D6E-409C-BE32-E72D297353CC}">
              <c16:uniqueId val="{00000001-78A9-4FD6-AE47-F22C21268808}"/>
            </c:ext>
          </c:extLst>
        </c:ser>
        <c:ser>
          <c:idx val="2"/>
          <c:order val="2"/>
          <c:tx>
            <c:strRef>
              <c:f>'Graf-5-zaměstn-průmysl'!$A$163</c:f>
              <c:strCache>
                <c:ptCount val="1"/>
                <c:pt idx="0">
                  <c:v>Textilní, oděvní a kožedělný průmysl</c:v>
                </c:pt>
              </c:strCache>
            </c:strRef>
          </c:tx>
          <c:spPr>
            <a:solidFill>
              <a:srgbClr val="9DD553"/>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'Graf-5-zaměstn-průmysl'!$N$163:$AA$163</c:f>
              <c:numCache>
                <c:formatCode>0.00</c:formatCode>
                <c:ptCount val="14"/>
                <c:pt idx="0">
                  <c:v>-0.28036547344951596</c:v>
                </c:pt>
                <c:pt idx="1">
                  <c:v>-0.87289313669842705</c:v>
                </c:pt>
                <c:pt idx="2">
                  <c:v>-0.37156275365711011</c:v>
                </c:pt>
                <c:pt idx="3">
                  <c:v>-0.48790233400664146</c:v>
                </c:pt>
                <c:pt idx="4">
                  <c:v>-0.64553757240757792</c:v>
                </c:pt>
                <c:pt idx="5">
                  <c:v>-0.31222342940043218</c:v>
                </c:pt>
                <c:pt idx="6">
                  <c:v>1.1782778585389079E-3</c:v>
                </c:pt>
                <c:pt idx="7">
                  <c:v>-5.8814691710617449E-2</c:v>
                </c:pt>
                <c:pt idx="8">
                  <c:v>-4.6074078058406062E-2</c:v>
                </c:pt>
                <c:pt idx="9">
                  <c:v>-4.9375594105619411E-2</c:v>
                </c:pt>
                <c:pt idx="10">
                  <c:v>8.3973052984265245E-2</c:v>
                </c:pt>
                <c:pt idx="11">
                  <c:v>2.4596953103394829E-2</c:v>
                </c:pt>
                <c:pt idx="12">
                  <c:v>-5.1227429161447263E-2</c:v>
                </c:pt>
                <c:pt idx="13">
                  <c:v>-2.0976571544291341E-2</c:v>
                </c:pt>
              </c:numCache>
            </c:numRef>
          </c:val>
          <c:extLst>
            <c:ext xmlns:c16="http://schemas.microsoft.com/office/drawing/2014/chart" uri="{C3380CC4-5D6E-409C-BE32-E72D297353CC}">
              <c16:uniqueId val="{00000002-78A9-4FD6-AE47-F22C21268808}"/>
            </c:ext>
          </c:extLst>
        </c:ser>
        <c:ser>
          <c:idx val="3"/>
          <c:order val="3"/>
          <c:tx>
            <c:strRef>
              <c:f>'Graf-5-zaměstn-průmysl'!$A$164</c:f>
              <c:strCache>
                <c:ptCount val="1"/>
                <c:pt idx="0">
                  <c:v>Dřevozprac., papírenský, nábytkář. průmysl</c:v>
                </c:pt>
              </c:strCache>
            </c:strRef>
          </c:tx>
          <c:spPr>
            <a:solidFill>
              <a:srgbClr val="00B050"/>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'Graf-5-zaměstn-průmysl'!$N$164:$AA$164</c:f>
              <c:numCache>
                <c:formatCode>0.00</c:formatCode>
                <c:ptCount val="14"/>
                <c:pt idx="0">
                  <c:v>-0.30560113921005538</c:v>
                </c:pt>
                <c:pt idx="1">
                  <c:v>-2.5695320120863296E-2</c:v>
                </c:pt>
                <c:pt idx="2">
                  <c:v>-0.26041559728592834</c:v>
                </c:pt>
                <c:pt idx="3">
                  <c:v>6.8888976494227164E-2</c:v>
                </c:pt>
                <c:pt idx="4">
                  <c:v>-0.2601370607494598</c:v>
                </c:pt>
                <c:pt idx="5">
                  <c:v>-0.13371820174733731</c:v>
                </c:pt>
                <c:pt idx="6">
                  <c:v>-0.31099171228811201</c:v>
                </c:pt>
                <c:pt idx="7">
                  <c:v>-4.9486937940531828E-2</c:v>
                </c:pt>
                <c:pt idx="8">
                  <c:v>-0.27630291972352888</c:v>
                </c:pt>
                <c:pt idx="9">
                  <c:v>-0.11807516173171147</c:v>
                </c:pt>
                <c:pt idx="10">
                  <c:v>2.9064901575037581E-2</c:v>
                </c:pt>
                <c:pt idx="11">
                  <c:v>-4.1719693937802463E-2</c:v>
                </c:pt>
                <c:pt idx="12">
                  <c:v>-0.10125733400483453</c:v>
                </c:pt>
                <c:pt idx="13">
                  <c:v>7.064750982369819E-2</c:v>
                </c:pt>
              </c:numCache>
            </c:numRef>
          </c:val>
          <c:extLst>
            <c:ext xmlns:c16="http://schemas.microsoft.com/office/drawing/2014/chart" uri="{C3380CC4-5D6E-409C-BE32-E72D297353CC}">
              <c16:uniqueId val="{00000003-78A9-4FD6-AE47-F22C21268808}"/>
            </c:ext>
          </c:extLst>
        </c:ser>
        <c:ser>
          <c:idx val="4"/>
          <c:order val="4"/>
          <c:tx>
            <c:strRef>
              <c:f>'Graf-5-zaměstn-průmysl'!$A$165</c:f>
              <c:strCache>
                <c:ptCount val="1"/>
                <c:pt idx="0">
                  <c:v>(Petro-)chemický a farmaceutický průmysl</c:v>
                </c:pt>
              </c:strCache>
            </c:strRef>
          </c:tx>
          <c:spPr>
            <a:solidFill>
              <a:srgbClr val="7030A0"/>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'Graf-5-zaměstn-průmysl'!$N$165:$AA$165</c:f>
              <c:numCache>
                <c:formatCode>0.00</c:formatCode>
                <c:ptCount val="14"/>
                <c:pt idx="0">
                  <c:v>5.3660454117192113E-2</c:v>
                </c:pt>
                <c:pt idx="1">
                  <c:v>-0.10366498196909116</c:v>
                </c:pt>
                <c:pt idx="2">
                  <c:v>-0.18704752362219243</c:v>
                </c:pt>
                <c:pt idx="3">
                  <c:v>6.7485806264955799E-3</c:v>
                </c:pt>
                <c:pt idx="4">
                  <c:v>0.10948953486830765</c:v>
                </c:pt>
                <c:pt idx="5">
                  <c:v>-0.10821745493975173</c:v>
                </c:pt>
                <c:pt idx="6">
                  <c:v>-3.5053766291532396E-2</c:v>
                </c:pt>
                <c:pt idx="7">
                  <c:v>4.6638768850428981E-2</c:v>
                </c:pt>
                <c:pt idx="8">
                  <c:v>-4.2252265131902333E-2</c:v>
                </c:pt>
                <c:pt idx="9">
                  <c:v>6.7349731240470792E-2</c:v>
                </c:pt>
                <c:pt idx="10">
                  <c:v>-9.4548475003134475E-3</c:v>
                </c:pt>
                <c:pt idx="11">
                  <c:v>4.8922116669735595E-2</c:v>
                </c:pt>
                <c:pt idx="12">
                  <c:v>5.4420827342940181E-2</c:v>
                </c:pt>
                <c:pt idx="13">
                  <c:v>-1.431420133682774E-2</c:v>
                </c:pt>
              </c:numCache>
            </c:numRef>
          </c:val>
          <c:extLst>
            <c:ext xmlns:c16="http://schemas.microsoft.com/office/drawing/2014/chart" uri="{C3380CC4-5D6E-409C-BE32-E72D297353CC}">
              <c16:uniqueId val="{00000004-78A9-4FD6-AE47-F22C21268808}"/>
            </c:ext>
          </c:extLst>
        </c:ser>
        <c:ser>
          <c:idx val="5"/>
          <c:order val="5"/>
          <c:tx>
            <c:strRef>
              <c:f>'Graf-5-zaměstn-průmysl'!$A$166</c:f>
              <c:strCache>
                <c:ptCount val="1"/>
                <c:pt idx="0">
                  <c:v>Gumárenský a plastikářský průmysl</c:v>
                </c:pt>
              </c:strCache>
            </c:strRef>
          </c:tx>
          <c:spPr>
            <a:solidFill>
              <a:schemeClr val="accent1">
                <a:lumMod val="40000"/>
                <a:lumOff val="60000"/>
              </a:schemeClr>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'Graf-5-zaměstn-průmysl'!$N$166:$AA$166</c:f>
              <c:numCache>
                <c:formatCode>0.00</c:formatCode>
                <c:ptCount val="14"/>
                <c:pt idx="0">
                  <c:v>0.44730910848077976</c:v>
                </c:pt>
                <c:pt idx="1">
                  <c:v>0.44722092877026232</c:v>
                </c:pt>
                <c:pt idx="2">
                  <c:v>0.51439780005283398</c:v>
                </c:pt>
                <c:pt idx="3">
                  <c:v>0.42121833930126923</c:v>
                </c:pt>
                <c:pt idx="4">
                  <c:v>-0.76304661921236461</c:v>
                </c:pt>
                <c:pt idx="5">
                  <c:v>-0.32615240874911361</c:v>
                </c:pt>
                <c:pt idx="6">
                  <c:v>0.38308758875746246</c:v>
                </c:pt>
                <c:pt idx="7">
                  <c:v>-2.0934042812253674E-2</c:v>
                </c:pt>
                <c:pt idx="8">
                  <c:v>2.7885079500786513E-2</c:v>
                </c:pt>
                <c:pt idx="9">
                  <c:v>0.1239718154162672</c:v>
                </c:pt>
                <c:pt idx="10">
                  <c:v>0.34331601812249285</c:v>
                </c:pt>
                <c:pt idx="11">
                  <c:v>0.34211507976683181</c:v>
                </c:pt>
                <c:pt idx="12">
                  <c:v>0.21482255683417295</c:v>
                </c:pt>
                <c:pt idx="13">
                  <c:v>9.9275912497353708E-2</c:v>
                </c:pt>
              </c:numCache>
            </c:numRef>
          </c:val>
          <c:extLst>
            <c:ext xmlns:c16="http://schemas.microsoft.com/office/drawing/2014/chart" uri="{C3380CC4-5D6E-409C-BE32-E72D297353CC}">
              <c16:uniqueId val="{00000005-78A9-4FD6-AE47-F22C21268808}"/>
            </c:ext>
          </c:extLst>
        </c:ser>
        <c:ser>
          <c:idx val="6"/>
          <c:order val="6"/>
          <c:tx>
            <c:strRef>
              <c:f>'Graf-5-zaměstn-průmysl'!$A$167</c:f>
              <c:strCache>
                <c:ptCount val="1"/>
                <c:pt idx="0">
                  <c:v>Kovovýroba</c:v>
                </c:pt>
              </c:strCache>
            </c:strRef>
          </c:tx>
          <c:spPr>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'Graf-5-zaměstn-průmysl'!$N$167:$AA$167</c:f>
              <c:numCache>
                <c:formatCode>0.00</c:formatCode>
                <c:ptCount val="14"/>
                <c:pt idx="0">
                  <c:v>0.69155430209172009</c:v>
                </c:pt>
                <c:pt idx="1">
                  <c:v>-0.22221693511931742</c:v>
                </c:pt>
                <c:pt idx="2">
                  <c:v>0.18335174379211591</c:v>
                </c:pt>
                <c:pt idx="3">
                  <c:v>0.591001937043104</c:v>
                </c:pt>
                <c:pt idx="4">
                  <c:v>-1.1049031693641387</c:v>
                </c:pt>
                <c:pt idx="5">
                  <c:v>3.3429550436834196E-2</c:v>
                </c:pt>
                <c:pt idx="6">
                  <c:v>0.64127772450979992</c:v>
                </c:pt>
                <c:pt idx="7">
                  <c:v>0.28068706382960573</c:v>
                </c:pt>
                <c:pt idx="8">
                  <c:v>0.19512478219205143</c:v>
                </c:pt>
                <c:pt idx="9">
                  <c:v>0.39159463987075438</c:v>
                </c:pt>
                <c:pt idx="10">
                  <c:v>0.52954149592496158</c:v>
                </c:pt>
                <c:pt idx="11">
                  <c:v>9.1661021371490903E-2</c:v>
                </c:pt>
                <c:pt idx="12">
                  <c:v>0.11003917900394</c:v>
                </c:pt>
                <c:pt idx="13">
                  <c:v>0.37065206134394141</c:v>
                </c:pt>
              </c:numCache>
            </c:numRef>
          </c:val>
          <c:extLst>
            <c:ext xmlns:c16="http://schemas.microsoft.com/office/drawing/2014/chart" uri="{C3380CC4-5D6E-409C-BE32-E72D297353CC}">
              <c16:uniqueId val="{00000006-78A9-4FD6-AE47-F22C21268808}"/>
            </c:ext>
          </c:extLst>
        </c:ser>
        <c:ser>
          <c:idx val="7"/>
          <c:order val="7"/>
          <c:tx>
            <c:strRef>
              <c:f>'Graf-5-zaměstn-průmysl'!$A$168</c:f>
              <c:strCache>
                <c:ptCount val="1"/>
                <c:pt idx="0">
                  <c:v>Výroba PC, optic. přístrojů, elektrotechnika</c:v>
                </c:pt>
              </c:strCache>
            </c:strRef>
          </c:tx>
          <c:spPr>
            <a:solidFill>
              <a:srgbClr val="FFFF00"/>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'Graf-5-zaměstn-průmysl'!$N$168:$AA$168</c:f>
              <c:numCache>
                <c:formatCode>0.00</c:formatCode>
                <c:ptCount val="14"/>
                <c:pt idx="0">
                  <c:v>0.42685712661440856</c:v>
                </c:pt>
                <c:pt idx="1">
                  <c:v>0.61390062436909099</c:v>
                </c:pt>
                <c:pt idx="2">
                  <c:v>0.65990202077028015</c:v>
                </c:pt>
                <c:pt idx="3">
                  <c:v>7.0158511463567896E-3</c:v>
                </c:pt>
                <c:pt idx="4">
                  <c:v>-1.122797948065376</c:v>
                </c:pt>
                <c:pt idx="5">
                  <c:v>-0.24136421138047626</c:v>
                </c:pt>
                <c:pt idx="6">
                  <c:v>0.58214290448437733</c:v>
                </c:pt>
                <c:pt idx="7">
                  <c:v>0.35011118540085445</c:v>
                </c:pt>
                <c:pt idx="8">
                  <c:v>4.5437109237322103E-2</c:v>
                </c:pt>
                <c:pt idx="9">
                  <c:v>0.15302881971727222</c:v>
                </c:pt>
                <c:pt idx="10">
                  <c:v>0.29513131382459845</c:v>
                </c:pt>
                <c:pt idx="11">
                  <c:v>0.43669783866165368</c:v>
                </c:pt>
                <c:pt idx="12">
                  <c:v>0.25760078664042046</c:v>
                </c:pt>
                <c:pt idx="13">
                  <c:v>0.18621654550168099</c:v>
                </c:pt>
              </c:numCache>
            </c:numRef>
          </c:val>
          <c:extLst>
            <c:ext xmlns:c16="http://schemas.microsoft.com/office/drawing/2014/chart" uri="{C3380CC4-5D6E-409C-BE32-E72D297353CC}">
              <c16:uniqueId val="{00000007-78A9-4FD6-AE47-F22C21268808}"/>
            </c:ext>
          </c:extLst>
        </c:ser>
        <c:ser>
          <c:idx val="8"/>
          <c:order val="8"/>
          <c:tx>
            <c:strRef>
              <c:f>'Graf-5-zaměstn-průmysl'!$A$169</c:f>
              <c:strCache>
                <c:ptCount val="1"/>
                <c:pt idx="0">
                  <c:v>Strojírenský průmysl</c:v>
                </c:pt>
              </c:strCache>
            </c:strRef>
          </c:tx>
          <c:spPr>
            <a:solidFill>
              <a:srgbClr val="F8A124"/>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'Graf-5-zaměstn-průmysl'!$N$169:$AA$169</c:f>
              <c:numCache>
                <c:formatCode>0.00</c:formatCode>
                <c:ptCount val="14"/>
                <c:pt idx="0">
                  <c:v>0.47081155543908482</c:v>
                </c:pt>
                <c:pt idx="1">
                  <c:v>0.19665756907316737</c:v>
                </c:pt>
                <c:pt idx="2">
                  <c:v>1.363605876563686</c:v>
                </c:pt>
                <c:pt idx="3">
                  <c:v>-5.4990909461444193E-2</c:v>
                </c:pt>
                <c:pt idx="4">
                  <c:v>-1.4997150090799418</c:v>
                </c:pt>
                <c:pt idx="5">
                  <c:v>-0.43315554241231319</c:v>
                </c:pt>
                <c:pt idx="6">
                  <c:v>0.44833472517405393</c:v>
                </c:pt>
                <c:pt idx="7">
                  <c:v>0.36812585489575295</c:v>
                </c:pt>
                <c:pt idx="8">
                  <c:v>1.8896741692157361E-2</c:v>
                </c:pt>
                <c:pt idx="9">
                  <c:v>4.0495091568637526E-3</c:v>
                </c:pt>
                <c:pt idx="10">
                  <c:v>0.30150458139888503</c:v>
                </c:pt>
                <c:pt idx="11">
                  <c:v>0.12196555475302161</c:v>
                </c:pt>
                <c:pt idx="12">
                  <c:v>0.12733675248702631</c:v>
                </c:pt>
                <c:pt idx="13">
                  <c:v>8.5225567406366068E-2</c:v>
                </c:pt>
              </c:numCache>
            </c:numRef>
          </c:val>
          <c:extLst>
            <c:ext xmlns:c16="http://schemas.microsoft.com/office/drawing/2014/chart" uri="{C3380CC4-5D6E-409C-BE32-E72D297353CC}">
              <c16:uniqueId val="{00000008-78A9-4FD6-AE47-F22C21268808}"/>
            </c:ext>
          </c:extLst>
        </c:ser>
        <c:ser>
          <c:idx val="9"/>
          <c:order val="9"/>
          <c:tx>
            <c:strRef>
              <c:f>'Graf-5-zaměstn-průmysl'!$A$170</c:f>
              <c:strCache>
                <c:ptCount val="1"/>
                <c:pt idx="0">
                  <c:v>Výroba dopravních prostředků</c:v>
                </c:pt>
              </c:strCache>
            </c:strRef>
          </c:tx>
          <c:spPr>
            <a:solidFill>
              <a:srgbClr val="BD1B21"/>
            </a:solidFill>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'Graf-5-zaměstn-průmysl'!$N$170:$AA$170</c:f>
              <c:numCache>
                <c:formatCode>0.00</c:formatCode>
                <c:ptCount val="14"/>
                <c:pt idx="0">
                  <c:v>1.1152916348621054</c:v>
                </c:pt>
                <c:pt idx="1">
                  <c:v>0.39426681666933022</c:v>
                </c:pt>
                <c:pt idx="2">
                  <c:v>1.1335093619578283</c:v>
                </c:pt>
                <c:pt idx="3">
                  <c:v>0.18241212980527696</c:v>
                </c:pt>
                <c:pt idx="4">
                  <c:v>-0.90766294190161645</c:v>
                </c:pt>
                <c:pt idx="5">
                  <c:v>1.4714716645273171E-2</c:v>
                </c:pt>
                <c:pt idx="6">
                  <c:v>1.3936817795530481</c:v>
                </c:pt>
                <c:pt idx="7">
                  <c:v>-0.12204404551089362</c:v>
                </c:pt>
                <c:pt idx="8">
                  <c:v>-0.16787667151234892</c:v>
                </c:pt>
                <c:pt idx="9">
                  <c:v>0.53908202600494859</c:v>
                </c:pt>
                <c:pt idx="10">
                  <c:v>1.2579849688935543</c:v>
                </c:pt>
                <c:pt idx="11">
                  <c:v>0.86503814905889465</c:v>
                </c:pt>
                <c:pt idx="12">
                  <c:v>0.31814229383122222</c:v>
                </c:pt>
                <c:pt idx="13">
                  <c:v>8.5225567406366068E-2</c:v>
                </c:pt>
              </c:numCache>
            </c:numRef>
          </c:val>
          <c:extLst>
            <c:ext xmlns:c16="http://schemas.microsoft.com/office/drawing/2014/chart" uri="{C3380CC4-5D6E-409C-BE32-E72D297353CC}">
              <c16:uniqueId val="{00000009-78A9-4FD6-AE47-F22C21268808}"/>
            </c:ext>
          </c:extLst>
        </c:ser>
        <c:ser>
          <c:idx val="10"/>
          <c:order val="10"/>
          <c:tx>
            <c:strRef>
              <c:f>'Graf-5-zaměstn-průmysl'!$A$171</c:f>
              <c:strCache>
                <c:ptCount val="1"/>
                <c:pt idx="0">
                  <c:v>Energetika, vodní a odpadové hospodářství</c:v>
                </c:pt>
              </c:strCache>
            </c:strRef>
          </c:tx>
          <c:spPr>
            <a:solidFill>
              <a:schemeClr val="bg2">
                <a:lumMod val="50000"/>
              </a:schemeClr>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'Graf-5-zaměstn-průmysl'!$N$171:$AA$171</c:f>
              <c:numCache>
                <c:formatCode>0.00</c:formatCode>
                <c:ptCount val="14"/>
                <c:pt idx="0">
                  <c:v>-0.10309185435693127</c:v>
                </c:pt>
                <c:pt idx="1">
                  <c:v>-0.38420621514052672</c:v>
                </c:pt>
                <c:pt idx="2">
                  <c:v>0.11114715637118196</c:v>
                </c:pt>
                <c:pt idx="3">
                  <c:v>0.15207692580102924</c:v>
                </c:pt>
                <c:pt idx="4">
                  <c:v>4.7653132911811932E-2</c:v>
                </c:pt>
                <c:pt idx="5">
                  <c:v>-7.5930795116142771E-2</c:v>
                </c:pt>
                <c:pt idx="6">
                  <c:v>7.850276232515449E-2</c:v>
                </c:pt>
                <c:pt idx="7">
                  <c:v>-6.4083804527307123E-4</c:v>
                </c:pt>
                <c:pt idx="8">
                  <c:v>4.2181490818448748E-2</c:v>
                </c:pt>
                <c:pt idx="9">
                  <c:v>7.6301277797748424E-2</c:v>
                </c:pt>
                <c:pt idx="10">
                  <c:v>9.7700090836572204E-2</c:v>
                </c:pt>
                <c:pt idx="11">
                  <c:v>3.920564072005206E-2</c:v>
                </c:pt>
                <c:pt idx="12">
                  <c:v>0.1217483056694136</c:v>
                </c:pt>
                <c:pt idx="13">
                  <c:v>7.9816514366643401E-2</c:v>
                </c:pt>
              </c:numCache>
            </c:numRef>
          </c:val>
          <c:extLst>
            <c:ext xmlns:c16="http://schemas.microsoft.com/office/drawing/2014/chart" uri="{C3380CC4-5D6E-409C-BE32-E72D297353CC}">
              <c16:uniqueId val="{0000000A-78A9-4FD6-AE47-F22C21268808}"/>
            </c:ext>
          </c:extLst>
        </c:ser>
        <c:ser>
          <c:idx val="11"/>
          <c:order val="11"/>
          <c:tx>
            <c:strRef>
              <c:f>'Graf-5-zaměstn-průmysl'!$A$172</c:f>
              <c:strCache>
                <c:ptCount val="1"/>
                <c:pt idx="0">
                  <c:v>Ostatní průmyslové obory*</c:v>
                </c:pt>
              </c:strCache>
            </c:strRef>
          </c:tx>
          <c:spPr>
            <a:solidFill>
              <a:schemeClr val="bg1">
                <a:lumMod val="85000"/>
              </a:schemeClr>
            </a:solidFill>
            <a:ln>
              <a:noFill/>
            </a:ln>
          </c:spPr>
          <c:invertIfNegative val="0"/>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'Graf-5-zaměstn-průmysl'!$N$172:$AA$172</c:f>
              <c:numCache>
                <c:formatCode>0.00</c:formatCode>
                <c:ptCount val="14"/>
                <c:pt idx="0">
                  <c:v>4.8322140206308713E-2</c:v>
                </c:pt>
                <c:pt idx="1">
                  <c:v>-0.29991468881811828</c:v>
                </c:pt>
                <c:pt idx="2">
                  <c:v>5.5915780021709084E-2</c:v>
                </c:pt>
                <c:pt idx="3">
                  <c:v>-0.32540185793102488</c:v>
                </c:pt>
                <c:pt idx="4">
                  <c:v>-0.87737437202582258</c:v>
                </c:pt>
                <c:pt idx="5">
                  <c:v>-0.80338067043391925</c:v>
                </c:pt>
                <c:pt idx="6">
                  <c:v>0.37778533839403666</c:v>
                </c:pt>
                <c:pt idx="7">
                  <c:v>-0.27249857769556046</c:v>
                </c:pt>
                <c:pt idx="8">
                  <c:v>4.8692727656195797E-2</c:v>
                </c:pt>
                <c:pt idx="9">
                  <c:v>0.22378866393194366</c:v>
                </c:pt>
                <c:pt idx="10">
                  <c:v>4.1951508538427697E-2</c:v>
                </c:pt>
                <c:pt idx="11">
                  <c:v>0.25881158665975457</c:v>
                </c:pt>
                <c:pt idx="12">
                  <c:v>-6.1539444122517793E-2</c:v>
                </c:pt>
                <c:pt idx="13">
                  <c:v>0.15831374750408583</c:v>
                </c:pt>
              </c:numCache>
            </c:numRef>
          </c:val>
          <c:extLst>
            <c:ext xmlns:c16="http://schemas.microsoft.com/office/drawing/2014/chart" uri="{C3380CC4-5D6E-409C-BE32-E72D297353CC}">
              <c16:uniqueId val="{0000000B-78A9-4FD6-AE47-F22C21268808}"/>
            </c:ext>
          </c:extLst>
        </c:ser>
        <c:dLbls>
          <c:showLegendKey val="0"/>
          <c:showVal val="0"/>
          <c:showCatName val="0"/>
          <c:showSerName val="0"/>
          <c:showPercent val="0"/>
          <c:showBubbleSize val="0"/>
        </c:dLbls>
        <c:gapWidth val="38"/>
        <c:overlap val="100"/>
        <c:axId val="101018624"/>
        <c:axId val="101040896"/>
      </c:barChart>
      <c:lineChart>
        <c:grouping val="standard"/>
        <c:varyColors val="0"/>
        <c:ser>
          <c:idx val="12"/>
          <c:order val="12"/>
          <c:tx>
            <c:strRef>
              <c:f>'Graf-5-zaměstn-průmysl'!$A$173</c:f>
              <c:strCache>
                <c:ptCount val="1"/>
                <c:pt idx="0">
                  <c:v>Průmysl celkem</c:v>
                </c:pt>
              </c:strCache>
            </c:strRef>
          </c:tx>
          <c:spPr>
            <a:ln w="19050">
              <a:noFill/>
              <a:prstDash val="sysDot"/>
            </a:ln>
          </c:spPr>
          <c:marker>
            <c:symbol val="diamond"/>
            <c:size val="7"/>
            <c:spPr>
              <a:solidFill>
                <a:schemeClr val="bg1"/>
              </a:solidFill>
              <a:ln>
                <a:solidFill>
                  <a:schemeClr val="tx1">
                    <a:lumMod val="95000"/>
                    <a:lumOff val="5000"/>
                  </a:schemeClr>
                </a:solidFill>
              </a:ln>
            </c:spPr>
          </c:marker>
          <c:cat>
            <c:numRef>
              <c:f>'Graf-5-zaměstn-průmysl'!$N$160:$AA$160</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'Graf-5-zaměstn-průmysl'!$N$173:$AA$173</c:f>
              <c:numCache>
                <c:formatCode>0.00</c:formatCode>
                <c:ptCount val="14"/>
                <c:pt idx="0">
                  <c:v>1.9884872674280443</c:v>
                </c:pt>
                <c:pt idx="1">
                  <c:v>-0.67698331503618314</c:v>
                </c:pt>
                <c:pt idx="2">
                  <c:v>2.4286064309306568</c:v>
                </c:pt>
                <c:pt idx="3">
                  <c:v>0.81577644424638163</c:v>
                </c:pt>
                <c:pt idx="4">
                  <c:v>-7.2149759414641865</c:v>
                </c:pt>
                <c:pt idx="5">
                  <c:v>-3.0033022395655848</c:v>
                </c:pt>
                <c:pt idx="6">
                  <c:v>3.4241490992802137</c:v>
                </c:pt>
                <c:pt idx="7">
                  <c:v>0.60744326269161775</c:v>
                </c:pt>
                <c:pt idx="8">
                  <c:v>-0.37963341736603695</c:v>
                </c:pt>
                <c:pt idx="9">
                  <c:v>1.4394228952143171</c:v>
                </c:pt>
                <c:pt idx="10">
                  <c:v>3.0737359043981907</c:v>
                </c:pt>
                <c:pt idx="11">
                  <c:v>2.1317812338837268</c:v>
                </c:pt>
                <c:pt idx="12">
                  <c:v>0.85662906218544965</c:v>
                </c:pt>
                <c:pt idx="13">
                  <c:v>1.0094480325229256</c:v>
                </c:pt>
              </c:numCache>
            </c:numRef>
          </c:val>
          <c:smooth val="0"/>
          <c:extLst>
            <c:ext xmlns:c16="http://schemas.microsoft.com/office/drawing/2014/chart" uri="{C3380CC4-5D6E-409C-BE32-E72D297353CC}">
              <c16:uniqueId val="{0000000C-78A9-4FD6-AE47-F22C21268808}"/>
            </c:ext>
          </c:extLst>
        </c:ser>
        <c:dLbls>
          <c:showLegendKey val="0"/>
          <c:showVal val="0"/>
          <c:showCatName val="0"/>
          <c:showSerName val="0"/>
          <c:showPercent val="0"/>
          <c:showBubbleSize val="0"/>
        </c:dLbls>
        <c:marker val="1"/>
        <c:smooth val="0"/>
        <c:axId val="101018624"/>
        <c:axId val="101040896"/>
      </c:lineChart>
      <c:catAx>
        <c:axId val="101018624"/>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040896"/>
        <c:crossesAt val="0"/>
        <c:auto val="1"/>
        <c:lblAlgn val="ctr"/>
        <c:lblOffset val="10"/>
        <c:noMultiLvlLbl val="0"/>
      </c:catAx>
      <c:valAx>
        <c:axId val="101040896"/>
        <c:scaling>
          <c:orientation val="minMax"/>
          <c:max val="4.2"/>
          <c:min val="-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018624"/>
        <c:crossesAt val="1"/>
        <c:crossBetween val="between"/>
        <c:majorUnit val="1"/>
        <c:minorUnit val="1"/>
      </c:valAx>
      <c:spPr>
        <a:noFill/>
        <a:ln w="6350">
          <a:solidFill>
            <a:schemeClr val="tx1">
              <a:lumMod val="95000"/>
              <a:lumOff val="5000"/>
            </a:schemeClr>
          </a:solidFill>
        </a:ln>
        <a:effectLst/>
      </c:spPr>
    </c:plotArea>
    <c:legend>
      <c:legendPos val="b"/>
      <c:layout>
        <c:manualLayout>
          <c:xMode val="edge"/>
          <c:yMode val="edge"/>
          <c:x val="4.7612208383927324E-2"/>
          <c:y val="0.78610772888038449"/>
          <c:w val="0.93834592128180894"/>
          <c:h val="0.20296539210570352"/>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6667989341713225E-2"/>
          <c:w val="0.93541051170689848"/>
          <c:h val="0.68882375745146662"/>
        </c:manualLayout>
      </c:layout>
      <c:barChart>
        <c:barDir val="col"/>
        <c:grouping val="stacked"/>
        <c:varyColors val="0"/>
        <c:ser>
          <c:idx val="0"/>
          <c:order val="0"/>
          <c:tx>
            <c:strRef>
              <c:f>'Graf-6-zaměstn-služby'!$A$184</c:f>
              <c:strCache>
                <c:ptCount val="1"/>
                <c:pt idx="0">
                  <c:v>Obchod</c:v>
                </c:pt>
              </c:strCache>
            </c:strRef>
          </c:tx>
          <c:spPr>
            <a:solidFill>
              <a:srgbClr val="93FFC4"/>
            </a:solidFill>
            <a:ln w="6350">
              <a:noFill/>
            </a:ln>
            <a:effectLst/>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'Graf-6-zaměstn-služby'!$M$184:$Z$184</c:f>
              <c:numCache>
                <c:formatCode>0.00</c:formatCode>
                <c:ptCount val="14"/>
                <c:pt idx="0">
                  <c:v>0.51919879865739016</c:v>
                </c:pt>
                <c:pt idx="1">
                  <c:v>0.42733549172176288</c:v>
                </c:pt>
                <c:pt idx="2">
                  <c:v>0.15636465406931063</c:v>
                </c:pt>
                <c:pt idx="3">
                  <c:v>1.0668372120050948</c:v>
                </c:pt>
                <c:pt idx="4">
                  <c:v>-0.25183443098013136</c:v>
                </c:pt>
                <c:pt idx="5">
                  <c:v>0.36185015615390215</c:v>
                </c:pt>
                <c:pt idx="6">
                  <c:v>-4.4686141689696604E-2</c:v>
                </c:pt>
                <c:pt idx="7">
                  <c:v>-3.2909335281444192E-2</c:v>
                </c:pt>
                <c:pt idx="8">
                  <c:v>9.8068781437907052E-2</c:v>
                </c:pt>
                <c:pt idx="9">
                  <c:v>0.15152207349201285</c:v>
                </c:pt>
                <c:pt idx="10">
                  <c:v>-0.10046297479155498</c:v>
                </c:pt>
                <c:pt idx="11">
                  <c:v>-0.24925997900216756</c:v>
                </c:pt>
                <c:pt idx="12">
                  <c:v>-2.7163758107533711E-2</c:v>
                </c:pt>
                <c:pt idx="13">
                  <c:v>0.27854276199690475</c:v>
                </c:pt>
              </c:numCache>
            </c:numRef>
          </c:val>
          <c:extLst>
            <c:ext xmlns:c16="http://schemas.microsoft.com/office/drawing/2014/chart" uri="{C3380CC4-5D6E-409C-BE32-E72D297353CC}">
              <c16:uniqueId val="{00000000-1520-497A-8D16-5B4BD64C5784}"/>
            </c:ext>
          </c:extLst>
        </c:ser>
        <c:ser>
          <c:idx val="1"/>
          <c:order val="1"/>
          <c:tx>
            <c:strRef>
              <c:f>'Graf-6-zaměstn-služby'!$A$185</c:f>
              <c:strCache>
                <c:ptCount val="1"/>
                <c:pt idx="0">
                  <c:v>Doprava a skladování</c:v>
                </c:pt>
              </c:strCache>
            </c:strRef>
          </c:tx>
          <c:spPr>
            <a:solidFill>
              <a:srgbClr val="92D050"/>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'Graf-6-zaměstn-služby'!$M$185:$Z$185</c:f>
              <c:numCache>
                <c:formatCode>0.00</c:formatCode>
                <c:ptCount val="14"/>
                <c:pt idx="0">
                  <c:v>-3.169172813593775E-2</c:v>
                </c:pt>
                <c:pt idx="1">
                  <c:v>-0.20256514262697026</c:v>
                </c:pt>
                <c:pt idx="2">
                  <c:v>0.30343514904768043</c:v>
                </c:pt>
                <c:pt idx="3">
                  <c:v>0.31685004028589875</c:v>
                </c:pt>
                <c:pt idx="4">
                  <c:v>-0.19716093529268111</c:v>
                </c:pt>
                <c:pt idx="5">
                  <c:v>-0.16954417421248377</c:v>
                </c:pt>
                <c:pt idx="6">
                  <c:v>-6.5825489898623191E-2</c:v>
                </c:pt>
                <c:pt idx="7">
                  <c:v>-0.20489145420919411</c:v>
                </c:pt>
                <c:pt idx="8">
                  <c:v>4.098695248679092E-2</c:v>
                </c:pt>
                <c:pt idx="9">
                  <c:v>6.362801513035804E-2</c:v>
                </c:pt>
                <c:pt idx="10">
                  <c:v>0.25962489018515317</c:v>
                </c:pt>
                <c:pt idx="11">
                  <c:v>0.13329792573364158</c:v>
                </c:pt>
                <c:pt idx="12">
                  <c:v>0.17939598552289931</c:v>
                </c:pt>
                <c:pt idx="13">
                  <c:v>0.26242273327050986</c:v>
                </c:pt>
              </c:numCache>
            </c:numRef>
          </c:val>
          <c:extLst>
            <c:ext xmlns:c16="http://schemas.microsoft.com/office/drawing/2014/chart" uri="{C3380CC4-5D6E-409C-BE32-E72D297353CC}">
              <c16:uniqueId val="{00000001-1520-497A-8D16-5B4BD64C5784}"/>
            </c:ext>
          </c:extLst>
        </c:ser>
        <c:ser>
          <c:idx val="2"/>
          <c:order val="2"/>
          <c:tx>
            <c:strRef>
              <c:f>'Graf-6-zaměstn-služby'!$A$186</c:f>
              <c:strCache>
                <c:ptCount val="1"/>
                <c:pt idx="0">
                  <c:v>Ubytování, stravování a pohostinství</c:v>
                </c:pt>
              </c:strCache>
            </c:strRef>
          </c:tx>
          <c:spPr>
            <a:solidFill>
              <a:srgbClr val="00B050"/>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'Graf-6-zaměstn-služby'!$M$186:$Z$186</c:f>
              <c:numCache>
                <c:formatCode>0.00</c:formatCode>
                <c:ptCount val="14"/>
                <c:pt idx="0">
                  <c:v>-8.2190325516758155E-3</c:v>
                </c:pt>
                <c:pt idx="1">
                  <c:v>0.11907497840375927</c:v>
                </c:pt>
                <c:pt idx="2">
                  <c:v>0.22685406290509733</c:v>
                </c:pt>
                <c:pt idx="3">
                  <c:v>0.2231950948732071</c:v>
                </c:pt>
                <c:pt idx="4">
                  <c:v>0.36856795011980209</c:v>
                </c:pt>
                <c:pt idx="5">
                  <c:v>-0.12945572268409972</c:v>
                </c:pt>
                <c:pt idx="6">
                  <c:v>-6.6946765778659861E-3</c:v>
                </c:pt>
                <c:pt idx="7">
                  <c:v>-8.635783017116562E-2</c:v>
                </c:pt>
                <c:pt idx="8">
                  <c:v>-7.17105054890846E-2</c:v>
                </c:pt>
                <c:pt idx="9">
                  <c:v>-0.2663305836231688</c:v>
                </c:pt>
                <c:pt idx="10">
                  <c:v>0.10196975563290206</c:v>
                </c:pt>
                <c:pt idx="11">
                  <c:v>9.3561768622590108E-2</c:v>
                </c:pt>
                <c:pt idx="12">
                  <c:v>0.20719964370363755</c:v>
                </c:pt>
                <c:pt idx="13">
                  <c:v>-1.1271426336033896E-2</c:v>
                </c:pt>
              </c:numCache>
            </c:numRef>
          </c:val>
          <c:extLst>
            <c:ext xmlns:c16="http://schemas.microsoft.com/office/drawing/2014/chart" uri="{C3380CC4-5D6E-409C-BE32-E72D297353CC}">
              <c16:uniqueId val="{00000002-1520-497A-8D16-5B4BD64C5784}"/>
            </c:ext>
          </c:extLst>
        </c:ser>
        <c:ser>
          <c:idx val="3"/>
          <c:order val="3"/>
          <c:tx>
            <c:strRef>
              <c:f>'Graf-6-zaměstn-služby'!$A$187</c:f>
              <c:strCache>
                <c:ptCount val="1"/>
                <c:pt idx="0">
                  <c:v>Informační a komunikační čin.</c:v>
                </c:pt>
              </c:strCache>
            </c:strRef>
          </c:tx>
          <c:spPr>
            <a:solidFill>
              <a:srgbClr val="93CFF1"/>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'Graf-6-zaměstn-služby'!$M$187:$Z$187</c:f>
              <c:numCache>
                <c:formatCode>0.00</c:formatCode>
                <c:ptCount val="14"/>
                <c:pt idx="0">
                  <c:v>0.27524786305153631</c:v>
                </c:pt>
                <c:pt idx="1">
                  <c:v>0.20577766057382535</c:v>
                </c:pt>
                <c:pt idx="2">
                  <c:v>0.22681925332048705</c:v>
                </c:pt>
                <c:pt idx="3">
                  <c:v>0.3413512070647633</c:v>
                </c:pt>
                <c:pt idx="4">
                  <c:v>0.17684798393956327</c:v>
                </c:pt>
                <c:pt idx="5">
                  <c:v>-0.11759718320158677</c:v>
                </c:pt>
                <c:pt idx="6">
                  <c:v>-0.17241265590681465</c:v>
                </c:pt>
                <c:pt idx="7">
                  <c:v>5.9416854581087697E-2</c:v>
                </c:pt>
                <c:pt idx="8">
                  <c:v>6.2446787772557875E-2</c:v>
                </c:pt>
                <c:pt idx="9">
                  <c:v>0.13857797676153943</c:v>
                </c:pt>
                <c:pt idx="10">
                  <c:v>9.1848119111679213E-2</c:v>
                </c:pt>
                <c:pt idx="11">
                  <c:v>0.2229964568593239</c:v>
                </c:pt>
                <c:pt idx="12">
                  <c:v>0.11886143859774762</c:v>
                </c:pt>
                <c:pt idx="13">
                  <c:v>0.17215686928891999</c:v>
                </c:pt>
              </c:numCache>
            </c:numRef>
          </c:val>
          <c:extLst>
            <c:ext xmlns:c16="http://schemas.microsoft.com/office/drawing/2014/chart" uri="{C3380CC4-5D6E-409C-BE32-E72D297353CC}">
              <c16:uniqueId val="{00000003-1520-497A-8D16-5B4BD64C5784}"/>
            </c:ext>
          </c:extLst>
        </c:ser>
        <c:ser>
          <c:idx val="4"/>
          <c:order val="4"/>
          <c:tx>
            <c:strRef>
              <c:f>'Graf-6-zaměstn-služby'!$A$188</c:f>
              <c:strCache>
                <c:ptCount val="1"/>
                <c:pt idx="0">
                  <c:v>Peněžnictví a pojišťovnictví</c:v>
                </c:pt>
              </c:strCache>
            </c:strRef>
          </c:tx>
          <c:spPr>
            <a:solidFill>
              <a:schemeClr val="tx1">
                <a:lumMod val="85000"/>
                <a:lumOff val="15000"/>
              </a:schemeClr>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'Graf-6-zaměstn-služby'!$M$188:$Z$188</c:f>
              <c:numCache>
                <c:formatCode>0.00</c:formatCode>
                <c:ptCount val="14"/>
                <c:pt idx="0">
                  <c:v>2.4728879598710202E-2</c:v>
                </c:pt>
                <c:pt idx="1">
                  <c:v>6.7921808019221125E-2</c:v>
                </c:pt>
                <c:pt idx="2">
                  <c:v>0.10749199727649847</c:v>
                </c:pt>
                <c:pt idx="3">
                  <c:v>8.5669128224018745E-2</c:v>
                </c:pt>
                <c:pt idx="4">
                  <c:v>2.2423387857337874E-2</c:v>
                </c:pt>
                <c:pt idx="5">
                  <c:v>-8.1428637779922264E-2</c:v>
                </c:pt>
                <c:pt idx="6">
                  <c:v>4.2641462143747387E-2</c:v>
                </c:pt>
                <c:pt idx="7">
                  <c:v>0.175249712501794</c:v>
                </c:pt>
                <c:pt idx="8">
                  <c:v>1.8993953591439693E-2</c:v>
                </c:pt>
                <c:pt idx="9">
                  <c:v>6.0019558497054697E-2</c:v>
                </c:pt>
                <c:pt idx="10">
                  <c:v>-7.6911335119195012E-2</c:v>
                </c:pt>
                <c:pt idx="11">
                  <c:v>2.1166645781377082E-2</c:v>
                </c:pt>
                <c:pt idx="12">
                  <c:v>-0.11390221303041224</c:v>
                </c:pt>
                <c:pt idx="13">
                  <c:v>4.949352569900918E-2</c:v>
                </c:pt>
              </c:numCache>
            </c:numRef>
          </c:val>
          <c:extLst>
            <c:ext xmlns:c16="http://schemas.microsoft.com/office/drawing/2014/chart" uri="{C3380CC4-5D6E-409C-BE32-E72D297353CC}">
              <c16:uniqueId val="{00000004-1520-497A-8D16-5B4BD64C5784}"/>
            </c:ext>
          </c:extLst>
        </c:ser>
        <c:ser>
          <c:idx val="5"/>
          <c:order val="5"/>
          <c:tx>
            <c:strRef>
              <c:f>'Graf-6-zaměstn-služby'!$A$189</c:f>
              <c:strCache>
                <c:ptCount val="1"/>
                <c:pt idx="0">
                  <c:v>Profesní vědecké a technic. čin.</c:v>
                </c:pt>
              </c:strCache>
            </c:strRef>
          </c:tx>
          <c:spPr>
            <a:solidFill>
              <a:srgbClr val="00B0F0"/>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'Graf-6-zaměstn-služby'!$M$189:$Z$189</c:f>
              <c:numCache>
                <c:formatCode>0.00</c:formatCode>
                <c:ptCount val="14"/>
                <c:pt idx="0">
                  <c:v>0.38744304102768745</c:v>
                </c:pt>
                <c:pt idx="1">
                  <c:v>0.16567413983066773</c:v>
                </c:pt>
                <c:pt idx="2">
                  <c:v>0.49067590466629613</c:v>
                </c:pt>
                <c:pt idx="3">
                  <c:v>8.0945602312420734E-2</c:v>
                </c:pt>
                <c:pt idx="4">
                  <c:v>9.1441256659408721E-2</c:v>
                </c:pt>
                <c:pt idx="5">
                  <c:v>6.0511491748267476E-2</c:v>
                </c:pt>
                <c:pt idx="6">
                  <c:v>-0.41164016278287308</c:v>
                </c:pt>
                <c:pt idx="7">
                  <c:v>0.24416926268086711</c:v>
                </c:pt>
                <c:pt idx="8">
                  <c:v>6.7111969356420262E-2</c:v>
                </c:pt>
                <c:pt idx="9">
                  <c:v>0.2862929629798836</c:v>
                </c:pt>
                <c:pt idx="10">
                  <c:v>0.1955539483226551</c:v>
                </c:pt>
                <c:pt idx="11">
                  <c:v>0.39327108434908276</c:v>
                </c:pt>
                <c:pt idx="12">
                  <c:v>0.14858479699809957</c:v>
                </c:pt>
                <c:pt idx="13">
                  <c:v>0.39793172475176658</c:v>
                </c:pt>
              </c:numCache>
            </c:numRef>
          </c:val>
          <c:extLst>
            <c:ext xmlns:c16="http://schemas.microsoft.com/office/drawing/2014/chart" uri="{C3380CC4-5D6E-409C-BE32-E72D297353CC}">
              <c16:uniqueId val="{00000005-1520-497A-8D16-5B4BD64C5784}"/>
            </c:ext>
          </c:extLst>
        </c:ser>
        <c:ser>
          <c:idx val="6"/>
          <c:order val="6"/>
          <c:tx>
            <c:strRef>
              <c:f>'Graf-6-zaměstn-služby'!$A$190</c:f>
              <c:strCache>
                <c:ptCount val="1"/>
                <c:pt idx="0">
                  <c:v>Administrativní a podpůrné čin.</c:v>
                </c:pt>
              </c:strCache>
            </c:strRef>
          </c:tx>
          <c:spPr>
            <a:solidFill>
              <a:srgbClr val="0070C0"/>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'Graf-6-zaměstn-služby'!$M$190:$Z$190</c:f>
              <c:numCache>
                <c:formatCode>0.00</c:formatCode>
                <c:ptCount val="14"/>
                <c:pt idx="0">
                  <c:v>-3.5783298925854974E-2</c:v>
                </c:pt>
                <c:pt idx="1">
                  <c:v>3.8338400992138325E-2</c:v>
                </c:pt>
                <c:pt idx="2">
                  <c:v>0.28825817015760491</c:v>
                </c:pt>
                <c:pt idx="3">
                  <c:v>0.28596021975609587</c:v>
                </c:pt>
                <c:pt idx="4">
                  <c:v>-0.14855494455486343</c:v>
                </c:pt>
                <c:pt idx="5">
                  <c:v>-0.15778445589232509</c:v>
                </c:pt>
                <c:pt idx="6">
                  <c:v>-1.8632966830021094E-2</c:v>
                </c:pt>
                <c:pt idx="7">
                  <c:v>-3.3342791571878616E-3</c:v>
                </c:pt>
                <c:pt idx="8">
                  <c:v>0.14668663808687285</c:v>
                </c:pt>
                <c:pt idx="9">
                  <c:v>5.7967041879946377E-2</c:v>
                </c:pt>
                <c:pt idx="10">
                  <c:v>0.11579283204699931</c:v>
                </c:pt>
                <c:pt idx="11">
                  <c:v>-7.1096555615361677E-3</c:v>
                </c:pt>
                <c:pt idx="12">
                  <c:v>-7.582815867474074E-3</c:v>
                </c:pt>
                <c:pt idx="13">
                  <c:v>0.15814629744664321</c:v>
                </c:pt>
              </c:numCache>
            </c:numRef>
          </c:val>
          <c:extLst>
            <c:ext xmlns:c16="http://schemas.microsoft.com/office/drawing/2014/chart" uri="{C3380CC4-5D6E-409C-BE32-E72D297353CC}">
              <c16:uniqueId val="{00000006-1520-497A-8D16-5B4BD64C5784}"/>
            </c:ext>
          </c:extLst>
        </c:ser>
        <c:ser>
          <c:idx val="7"/>
          <c:order val="7"/>
          <c:tx>
            <c:strRef>
              <c:f>'Graf-6-zaměstn-služby'!$A$191</c:f>
              <c:strCache>
                <c:ptCount val="1"/>
                <c:pt idx="0">
                  <c:v>Veř. správa, obrana, soc. zabezp.</c:v>
                </c:pt>
              </c:strCache>
            </c:strRef>
          </c:tx>
          <c:spPr>
            <a:solidFill>
              <a:schemeClr val="accent4">
                <a:lumMod val="40000"/>
                <a:lumOff val="60000"/>
              </a:schemeClr>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'Graf-6-zaměstn-služby'!$M$191:$Z$191</c:f>
              <c:numCache>
                <c:formatCode>0.00</c:formatCode>
                <c:ptCount val="14"/>
                <c:pt idx="0">
                  <c:v>3.5532062122965315E-2</c:v>
                </c:pt>
                <c:pt idx="1">
                  <c:v>2.6476796265288899E-2</c:v>
                </c:pt>
                <c:pt idx="2">
                  <c:v>2.102498910460009E-2</c:v>
                </c:pt>
                <c:pt idx="3">
                  <c:v>-3.0821856128197146E-2</c:v>
                </c:pt>
                <c:pt idx="4">
                  <c:v>-0.13487008284781163</c:v>
                </c:pt>
                <c:pt idx="5">
                  <c:v>0.2544644930622571</c:v>
                </c:pt>
                <c:pt idx="6">
                  <c:v>-0.70643678312545455</c:v>
                </c:pt>
                <c:pt idx="7">
                  <c:v>-0.52048097643702518</c:v>
                </c:pt>
                <c:pt idx="8">
                  <c:v>9.646929060915424E-2</c:v>
                </c:pt>
                <c:pt idx="9">
                  <c:v>9.9282215075933281E-2</c:v>
                </c:pt>
                <c:pt idx="10">
                  <c:v>0.16486147770651979</c:v>
                </c:pt>
                <c:pt idx="11">
                  <c:v>0.29295676615206562</c:v>
                </c:pt>
                <c:pt idx="12">
                  <c:v>0.1331632052338696</c:v>
                </c:pt>
                <c:pt idx="13">
                  <c:v>8.5039448417954078E-2</c:v>
                </c:pt>
              </c:numCache>
            </c:numRef>
          </c:val>
          <c:extLst>
            <c:ext xmlns:c16="http://schemas.microsoft.com/office/drawing/2014/chart" uri="{C3380CC4-5D6E-409C-BE32-E72D297353CC}">
              <c16:uniqueId val="{00000007-1520-497A-8D16-5B4BD64C5784}"/>
            </c:ext>
          </c:extLst>
        </c:ser>
        <c:ser>
          <c:idx val="8"/>
          <c:order val="8"/>
          <c:tx>
            <c:strRef>
              <c:f>'Graf-6-zaměstn-služby'!$A$192</c:f>
              <c:strCache>
                <c:ptCount val="1"/>
                <c:pt idx="0">
                  <c:v>Vzdělávání</c:v>
                </c:pt>
              </c:strCache>
            </c:strRef>
          </c:tx>
          <c:spPr>
            <a:solidFill>
              <a:srgbClr val="F8A124"/>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'Graf-6-zaměstn-služby'!$M$192:$Z$192</c:f>
              <c:numCache>
                <c:formatCode>0.00</c:formatCode>
                <c:ptCount val="14"/>
                <c:pt idx="0">
                  <c:v>9.2598707350758092E-2</c:v>
                </c:pt>
                <c:pt idx="1">
                  <c:v>-3.2054574678509765E-2</c:v>
                </c:pt>
                <c:pt idx="2">
                  <c:v>0.15361469688509966</c:v>
                </c:pt>
                <c:pt idx="3">
                  <c:v>-8.9033366103502223E-2</c:v>
                </c:pt>
                <c:pt idx="4">
                  <c:v>-0.24382136737817095</c:v>
                </c:pt>
                <c:pt idx="5">
                  <c:v>-0.23697314732555047</c:v>
                </c:pt>
                <c:pt idx="6">
                  <c:v>0.25182537117529391</c:v>
                </c:pt>
                <c:pt idx="7">
                  <c:v>1.5404369706207921E-2</c:v>
                </c:pt>
                <c:pt idx="8">
                  <c:v>0.17167868228613561</c:v>
                </c:pt>
                <c:pt idx="9">
                  <c:v>0.11530508673206923</c:v>
                </c:pt>
                <c:pt idx="10">
                  <c:v>7.8287091539555407E-3</c:v>
                </c:pt>
                <c:pt idx="11">
                  <c:v>0.13732348413378076</c:v>
                </c:pt>
                <c:pt idx="12">
                  <c:v>0.39113891974628923</c:v>
                </c:pt>
                <c:pt idx="13">
                  <c:v>5.2201186774145814E-2</c:v>
                </c:pt>
              </c:numCache>
            </c:numRef>
          </c:val>
          <c:extLst>
            <c:ext xmlns:c16="http://schemas.microsoft.com/office/drawing/2014/chart" uri="{C3380CC4-5D6E-409C-BE32-E72D297353CC}">
              <c16:uniqueId val="{00000008-1520-497A-8D16-5B4BD64C5784}"/>
            </c:ext>
          </c:extLst>
        </c:ser>
        <c:ser>
          <c:idx val="9"/>
          <c:order val="9"/>
          <c:tx>
            <c:strRef>
              <c:f>'Graf-6-zaměstn-služby'!$A$193</c:f>
              <c:strCache>
                <c:ptCount val="1"/>
                <c:pt idx="0">
                  <c:v>Zdravotní a sociální péče</c:v>
                </c:pt>
              </c:strCache>
            </c:strRef>
          </c:tx>
          <c:spPr>
            <a:solidFill>
              <a:srgbClr val="BD1B21"/>
            </a:solidFill>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'Graf-6-zaměstn-služby'!$M$193:$Z$193</c:f>
              <c:numCache>
                <c:formatCode>0.00</c:formatCode>
                <c:ptCount val="14"/>
                <c:pt idx="0">
                  <c:v>0.30916483144163964</c:v>
                </c:pt>
                <c:pt idx="1">
                  <c:v>0.18900902293914235</c:v>
                </c:pt>
                <c:pt idx="2">
                  <c:v>0.1018876541542458</c:v>
                </c:pt>
                <c:pt idx="3">
                  <c:v>0.4111846297146477</c:v>
                </c:pt>
                <c:pt idx="4">
                  <c:v>0.21384657390417075</c:v>
                </c:pt>
                <c:pt idx="5">
                  <c:v>-4.713769444298898E-2</c:v>
                </c:pt>
                <c:pt idx="6">
                  <c:v>0.27138174167122753</c:v>
                </c:pt>
                <c:pt idx="7">
                  <c:v>0.10402950970426128</c:v>
                </c:pt>
                <c:pt idx="8">
                  <c:v>5.0084056575322562E-2</c:v>
                </c:pt>
                <c:pt idx="9">
                  <c:v>0.23468210159162756</c:v>
                </c:pt>
                <c:pt idx="10">
                  <c:v>8.2250580274403171E-2</c:v>
                </c:pt>
                <c:pt idx="11">
                  <c:v>0.2328655677757942</c:v>
                </c:pt>
                <c:pt idx="12">
                  <c:v>0.35037728508315857</c:v>
                </c:pt>
                <c:pt idx="13">
                  <c:v>0.20298012734192886</c:v>
                </c:pt>
              </c:numCache>
            </c:numRef>
          </c:val>
          <c:extLst>
            <c:ext xmlns:c16="http://schemas.microsoft.com/office/drawing/2014/chart" uri="{C3380CC4-5D6E-409C-BE32-E72D297353CC}">
              <c16:uniqueId val="{00000009-1520-497A-8D16-5B4BD64C5784}"/>
            </c:ext>
          </c:extLst>
        </c:ser>
        <c:ser>
          <c:idx val="10"/>
          <c:order val="10"/>
          <c:tx>
            <c:strRef>
              <c:f>'Graf-6-zaměstn-služby'!$A$194</c:f>
              <c:strCache>
                <c:ptCount val="1"/>
                <c:pt idx="0">
                  <c:v>Kulturní, zábavní a rekreační čin.</c:v>
                </c:pt>
              </c:strCache>
            </c:strRef>
          </c:tx>
          <c:spPr>
            <a:solidFill>
              <a:srgbClr val="DC8488"/>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'Graf-6-zaměstn-služby'!$M$194:$Z$194</c:f>
              <c:numCache>
                <c:formatCode>0.00</c:formatCode>
                <c:ptCount val="14"/>
                <c:pt idx="0">
                  <c:v>-9.4034346224413264E-3</c:v>
                </c:pt>
                <c:pt idx="1">
                  <c:v>2.478228130431041E-2</c:v>
                </c:pt>
                <c:pt idx="2">
                  <c:v>1.9354129043307366E-2</c:v>
                </c:pt>
                <c:pt idx="3">
                  <c:v>7.9688260882714773E-2</c:v>
                </c:pt>
                <c:pt idx="4">
                  <c:v>5.8960319836647235E-2</c:v>
                </c:pt>
                <c:pt idx="5">
                  <c:v>-1.482317435314119E-2</c:v>
                </c:pt>
                <c:pt idx="6">
                  <c:v>5.4348901479424352E-2</c:v>
                </c:pt>
                <c:pt idx="7">
                  <c:v>7.1620316296395273E-2</c:v>
                </c:pt>
                <c:pt idx="8">
                  <c:v>7.4309678085807927E-3</c:v>
                </c:pt>
                <c:pt idx="9">
                  <c:v>1.0494318832634495E-2</c:v>
                </c:pt>
                <c:pt idx="10">
                  <c:v>8.3397043958036834E-2</c:v>
                </c:pt>
                <c:pt idx="11">
                  <c:v>5.7916098272970423E-2</c:v>
                </c:pt>
                <c:pt idx="12">
                  <c:v>0.10088024654069938</c:v>
                </c:pt>
                <c:pt idx="13">
                  <c:v>-0.1038986226505918</c:v>
                </c:pt>
              </c:numCache>
            </c:numRef>
          </c:val>
          <c:extLst>
            <c:ext xmlns:c16="http://schemas.microsoft.com/office/drawing/2014/chart" uri="{C3380CC4-5D6E-409C-BE32-E72D297353CC}">
              <c16:uniqueId val="{0000000A-1520-497A-8D16-5B4BD64C5784}"/>
            </c:ext>
          </c:extLst>
        </c:ser>
        <c:ser>
          <c:idx val="11"/>
          <c:order val="11"/>
          <c:tx>
            <c:strRef>
              <c:f>'Graf-6-zaměstn-služby'!$A$195</c:f>
              <c:strCache>
                <c:ptCount val="1"/>
                <c:pt idx="0">
                  <c:v>Ostatní odvětví služeb*</c:v>
                </c:pt>
              </c:strCache>
            </c:strRef>
          </c:tx>
          <c:spPr>
            <a:solidFill>
              <a:schemeClr val="bg1">
                <a:lumMod val="75000"/>
              </a:schemeClr>
            </a:solidFill>
            <a:ln>
              <a:noFill/>
            </a:ln>
          </c:spPr>
          <c:invertIfNegative val="0"/>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'Graf-6-zaměstn-služby'!$M$195:$Z$195</c:f>
              <c:numCache>
                <c:formatCode>0.00</c:formatCode>
                <c:ptCount val="14"/>
                <c:pt idx="0">
                  <c:v>0.10842662593280628</c:v>
                </c:pt>
                <c:pt idx="1">
                  <c:v>0.38596108475787139</c:v>
                </c:pt>
                <c:pt idx="2">
                  <c:v>0.33897573493476107</c:v>
                </c:pt>
                <c:pt idx="3">
                  <c:v>0.2808289074348635</c:v>
                </c:pt>
                <c:pt idx="4">
                  <c:v>0.1509621611924894</c:v>
                </c:pt>
                <c:pt idx="5">
                  <c:v>0.16173730238649608</c:v>
                </c:pt>
                <c:pt idx="6">
                  <c:v>-0.2858264133022882</c:v>
                </c:pt>
                <c:pt idx="7">
                  <c:v>0.23830093136421646</c:v>
                </c:pt>
                <c:pt idx="8">
                  <c:v>-3.0890166630288766E-2</c:v>
                </c:pt>
                <c:pt idx="9">
                  <c:v>0.11401398756969464</c:v>
                </c:pt>
                <c:pt idx="10">
                  <c:v>-2.6532445249807479E-2</c:v>
                </c:pt>
                <c:pt idx="11">
                  <c:v>0.13742087667571962</c:v>
                </c:pt>
                <c:pt idx="12">
                  <c:v>0.14071402609768346</c:v>
                </c:pt>
                <c:pt idx="13">
                  <c:v>0.11721653700853128</c:v>
                </c:pt>
              </c:numCache>
            </c:numRef>
          </c:val>
          <c:extLst>
            <c:ext xmlns:c16="http://schemas.microsoft.com/office/drawing/2014/chart" uri="{C3380CC4-5D6E-409C-BE32-E72D297353CC}">
              <c16:uniqueId val="{0000000B-1520-497A-8D16-5B4BD64C5784}"/>
            </c:ext>
          </c:extLst>
        </c:ser>
        <c:dLbls>
          <c:showLegendKey val="0"/>
          <c:showVal val="0"/>
          <c:showCatName val="0"/>
          <c:showSerName val="0"/>
          <c:showPercent val="0"/>
          <c:showBubbleSize val="0"/>
        </c:dLbls>
        <c:gapWidth val="38"/>
        <c:overlap val="100"/>
        <c:axId val="142208000"/>
        <c:axId val="142512896"/>
      </c:barChart>
      <c:lineChart>
        <c:grouping val="standard"/>
        <c:varyColors val="0"/>
        <c:ser>
          <c:idx val="12"/>
          <c:order val="12"/>
          <c:tx>
            <c:strRef>
              <c:f>'Graf-6-zaměstn-služby'!$A$196</c:f>
              <c:strCache>
                <c:ptCount val="1"/>
                <c:pt idx="0">
                  <c:v>Služby celkem</c:v>
                </c:pt>
              </c:strCache>
            </c:strRef>
          </c:tx>
          <c:spPr>
            <a:ln w="19050">
              <a:noFill/>
              <a:prstDash val="sysDot"/>
            </a:ln>
          </c:spPr>
          <c:marker>
            <c:symbol val="diamond"/>
            <c:size val="7"/>
            <c:spPr>
              <a:solidFill>
                <a:schemeClr val="bg1"/>
              </a:solidFill>
              <a:ln>
                <a:solidFill>
                  <a:schemeClr val="tx1">
                    <a:lumMod val="95000"/>
                    <a:lumOff val="5000"/>
                  </a:schemeClr>
                </a:solidFill>
              </a:ln>
            </c:spPr>
          </c:marker>
          <c:cat>
            <c:numRef>
              <c:f>'Graf-6-zaměstn-služby'!$M$183:$Z$183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'Graf-6-zaměstn-služby'!$M$196:$Z$196</c:f>
              <c:numCache>
                <c:formatCode>0.00</c:formatCode>
                <c:ptCount val="14"/>
                <c:pt idx="0">
                  <c:v>1.6672433149475836</c:v>
                </c:pt>
                <c:pt idx="1">
                  <c:v>1.4157319475025076</c:v>
                </c:pt>
                <c:pt idx="2">
                  <c:v>2.4347563955649889</c:v>
                </c:pt>
                <c:pt idx="3">
                  <c:v>3.052655080322026</c:v>
                </c:pt>
                <c:pt idx="4">
                  <c:v>0.10680787245576084</c:v>
                </c:pt>
                <c:pt idx="5">
                  <c:v>-0.11618074654117549</c:v>
                </c:pt>
                <c:pt idx="6">
                  <c:v>-1.0919578136439441</c:v>
                </c:pt>
                <c:pt idx="7">
                  <c:v>6.0217081578812781E-2</c:v>
                </c:pt>
                <c:pt idx="8">
                  <c:v>0.65735740789180852</c:v>
                </c:pt>
                <c:pt idx="9">
                  <c:v>1.0654547549195854</c:v>
                </c:pt>
                <c:pt idx="10">
                  <c:v>0.89922060123174674</c:v>
                </c:pt>
                <c:pt idx="11">
                  <c:v>1.4664070397926423</c:v>
                </c:pt>
                <c:pt idx="12">
                  <c:v>1.6216667605186643</c:v>
                </c:pt>
                <c:pt idx="13">
                  <c:v>1.6609611630096879</c:v>
                </c:pt>
              </c:numCache>
            </c:numRef>
          </c:val>
          <c:smooth val="0"/>
          <c:extLst>
            <c:ext xmlns:c16="http://schemas.microsoft.com/office/drawing/2014/chart" uri="{C3380CC4-5D6E-409C-BE32-E72D297353CC}">
              <c16:uniqueId val="{0000000C-1520-497A-8D16-5B4BD64C5784}"/>
            </c:ext>
          </c:extLst>
        </c:ser>
        <c:dLbls>
          <c:showLegendKey val="0"/>
          <c:showVal val="0"/>
          <c:showCatName val="0"/>
          <c:showSerName val="0"/>
          <c:showPercent val="0"/>
          <c:showBubbleSize val="0"/>
        </c:dLbls>
        <c:marker val="1"/>
        <c:smooth val="0"/>
        <c:axId val="142208000"/>
        <c:axId val="142512896"/>
      </c:lineChart>
      <c:catAx>
        <c:axId val="142208000"/>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512896"/>
        <c:crossesAt val="0"/>
        <c:auto val="1"/>
        <c:lblAlgn val="ctr"/>
        <c:lblOffset val="10"/>
        <c:noMultiLvlLbl val="0"/>
      </c:catAx>
      <c:valAx>
        <c:axId val="142512896"/>
        <c:scaling>
          <c:orientation val="minMax"/>
          <c:max val="3.5"/>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208000"/>
        <c:crossesAt val="1"/>
        <c:crossBetween val="between"/>
        <c:majorUnit val="0.5"/>
        <c:minorUnit val="0.5"/>
      </c:valAx>
      <c:spPr>
        <a:noFill/>
        <a:ln w="6350">
          <a:solidFill>
            <a:schemeClr val="tx1">
              <a:lumMod val="95000"/>
              <a:lumOff val="5000"/>
            </a:schemeClr>
          </a:solidFill>
        </a:ln>
        <a:effectLst/>
      </c:spPr>
    </c:plotArea>
    <c:legend>
      <c:legendPos val="b"/>
      <c:layout>
        <c:manualLayout>
          <c:xMode val="edge"/>
          <c:yMode val="edge"/>
          <c:x val="5.8626432976154393E-2"/>
          <c:y val="0.7897173962287859"/>
          <c:w val="0.93559244568924438"/>
          <c:h val="0.20296539210570325"/>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86414492110076E-2"/>
          <c:w val="0.93317151422629663"/>
          <c:h val="0.75795221065990215"/>
        </c:manualLayout>
      </c:layout>
      <c:barChart>
        <c:barDir val="col"/>
        <c:grouping val="clustered"/>
        <c:varyColors val="0"/>
        <c:ser>
          <c:idx val="0"/>
          <c:order val="0"/>
          <c:tx>
            <c:strRef>
              <c:f>'Graf-7-Produktivita-celkem'!$A$5</c:f>
              <c:strCache>
                <c:ptCount val="1"/>
                <c:pt idx="0">
                  <c:v>Hodinová produktivita práce v národním hospodářství (meziročně v %)</c:v>
                </c:pt>
              </c:strCache>
            </c:strRef>
          </c:tx>
          <c:spPr>
            <a:solidFill>
              <a:schemeClr val="bg1">
                <a:lumMod val="85000"/>
              </a:schemeClr>
            </a:solidFill>
            <a:ln w="15875">
              <a:noFill/>
            </a:ln>
            <a:effectLst/>
          </c:spPr>
          <c:invertIfNegative val="0"/>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'Graf-7-Produktivita-celkem'!$B$5:$O$5</c:f>
              <c:numCache>
                <c:formatCode>0.0</c:formatCode>
                <c:ptCount val="14"/>
                <c:pt idx="0">
                  <c:v>4.5087635809083935</c:v>
                </c:pt>
                <c:pt idx="1">
                  <c:v>6.4770115751568085</c:v>
                </c:pt>
                <c:pt idx="2">
                  <c:v>4.301077411455779</c:v>
                </c:pt>
                <c:pt idx="3">
                  <c:v>0.2026470003056744</c:v>
                </c:pt>
                <c:pt idx="4">
                  <c:v>-2.4646014660150968</c:v>
                </c:pt>
                <c:pt idx="5">
                  <c:v>2.1517214487730456</c:v>
                </c:pt>
                <c:pt idx="6">
                  <c:v>1.7102499246272771</c:v>
                </c:pt>
                <c:pt idx="7">
                  <c:v>0.42599303996301785</c:v>
                </c:pt>
                <c:pt idx="8">
                  <c:v>-6.4939861953575928E-2</c:v>
                </c:pt>
                <c:pt idx="9">
                  <c:v>1.3618265336749431</c:v>
                </c:pt>
                <c:pt idx="10">
                  <c:v>5.0434388855549201</c:v>
                </c:pt>
                <c:pt idx="11">
                  <c:v>-0.42101219706196957</c:v>
                </c:pt>
                <c:pt idx="12">
                  <c:v>2.4194775734321894</c:v>
                </c:pt>
                <c:pt idx="13">
                  <c:v>1.4569580408452083</c:v>
                </c:pt>
              </c:numCache>
            </c:numRef>
          </c:val>
          <c:extLst>
            <c:ext xmlns:c16="http://schemas.microsoft.com/office/drawing/2014/chart" uri="{C3380CC4-5D6E-409C-BE32-E72D297353CC}">
              <c16:uniqueId val="{00000000-2C82-491D-8327-8947C355BA18}"/>
            </c:ext>
          </c:extLst>
        </c:ser>
        <c:ser>
          <c:idx val="1"/>
          <c:order val="1"/>
          <c:tx>
            <c:strRef>
              <c:f>'Graf-7-Produktivita-celkem'!$A$6</c:f>
              <c:strCache>
                <c:ptCount val="1"/>
                <c:pt idx="0">
                  <c:v>Produktivita práce na zaměstnanou osobu v NH (meziročně v %)</c:v>
                </c:pt>
              </c:strCache>
            </c:strRef>
          </c:tx>
          <c:spPr>
            <a:solidFill>
              <a:schemeClr val="bg1">
                <a:lumMod val="65000"/>
              </a:schemeClr>
            </a:solidFill>
            <a:ln w="12700">
              <a:noFill/>
              <a:prstDash val="sysDot"/>
            </a:ln>
            <a:effectLst/>
          </c:spPr>
          <c:invertIfNegative val="0"/>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'Graf-7-Produktivita-celkem'!$B$6:$O$6</c:f>
              <c:numCache>
                <c:formatCode>0.0</c:formatCode>
                <c:ptCount val="14"/>
                <c:pt idx="0">
                  <c:v>4.5044886581885919</c:v>
                </c:pt>
                <c:pt idx="1">
                  <c:v>5.4327216142360015</c:v>
                </c:pt>
                <c:pt idx="2">
                  <c:v>3.4428368658525557</c:v>
                </c:pt>
                <c:pt idx="3">
                  <c:v>0.49339171870079213</c:v>
                </c:pt>
                <c:pt idx="4">
                  <c:v>-3.0518120127293429</c:v>
                </c:pt>
                <c:pt idx="5">
                  <c:v>3.3423963394217679</c:v>
                </c:pt>
                <c:pt idx="6">
                  <c:v>2.0563811595486641</c:v>
                </c:pt>
                <c:pt idx="7">
                  <c:v>-1.2147923037447725</c:v>
                </c:pt>
                <c:pt idx="8">
                  <c:v>-0.803063903099698</c:v>
                </c:pt>
                <c:pt idx="9">
                  <c:v>2.1514358981803383</c:v>
                </c:pt>
                <c:pt idx="10">
                  <c:v>3.8267960865420321</c:v>
                </c:pt>
                <c:pt idx="11">
                  <c:v>0.84715852195753882</c:v>
                </c:pt>
                <c:pt idx="12">
                  <c:v>2.7560908143028371</c:v>
                </c:pt>
                <c:pt idx="13">
                  <c:v>1.5891291956798455</c:v>
                </c:pt>
              </c:numCache>
            </c:numRef>
          </c:val>
          <c:extLst>
            <c:ext xmlns:c16="http://schemas.microsoft.com/office/drawing/2014/chart" uri="{C3380CC4-5D6E-409C-BE32-E72D297353CC}">
              <c16:uniqueId val="{00000001-2C82-491D-8327-8947C355BA18}"/>
            </c:ext>
          </c:extLst>
        </c:ser>
        <c:dLbls>
          <c:showLegendKey val="0"/>
          <c:showVal val="0"/>
          <c:showCatName val="0"/>
          <c:showSerName val="0"/>
          <c:showPercent val="0"/>
          <c:showBubbleSize val="0"/>
        </c:dLbls>
        <c:gapWidth val="150"/>
        <c:axId val="142800384"/>
        <c:axId val="142801920"/>
      </c:barChart>
      <c:lineChart>
        <c:grouping val="standard"/>
        <c:varyColors val="0"/>
        <c:ser>
          <c:idx val="2"/>
          <c:order val="2"/>
          <c:tx>
            <c:strRef>
              <c:f>'Graf-7-Produktivita-celkem'!$A$7</c:f>
              <c:strCache>
                <c:ptCount val="1"/>
                <c:pt idx="0">
                  <c:v>Produktivita práce na zaměstnanou osobu v NH (úroveň roku 2010 = 100)</c:v>
                </c:pt>
              </c:strCache>
            </c:strRef>
          </c:tx>
          <c:spPr>
            <a:ln w="15875">
              <a:solidFill>
                <a:schemeClr val="tx1">
                  <a:lumMod val="95000"/>
                  <a:lumOff val="5000"/>
                </a:schemeClr>
              </a:solidFill>
            </a:ln>
          </c:spPr>
          <c:marker>
            <c:symbol val="none"/>
          </c:marker>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'Graf-7-Produktivita-celkem'!$B$7:$O$7</c:f>
              <c:numCache>
                <c:formatCode>0</c:formatCode>
                <c:ptCount val="14"/>
                <c:pt idx="0">
                  <c:v>91.068552112280216</c:v>
                </c:pt>
                <c:pt idx="1">
                  <c:v>96.01605302665584</c:v>
                </c:pt>
                <c:pt idx="2">
                  <c:v>99.321729097394069</c:v>
                </c:pt>
                <c:pt idx="3">
                  <c:v>99.811774283631067</c:v>
                </c:pt>
                <c:pt idx="4">
                  <c:v>96.765706565924916</c:v>
                </c:pt>
                <c:pt idx="5">
                  <c:v>100</c:v>
                </c:pt>
                <c:pt idx="6">
                  <c:v>102.05638115954866</c:v>
                </c:pt>
                <c:pt idx="7">
                  <c:v>100.81660809574204</c:v>
                </c:pt>
                <c:pt idx="8">
                  <c:v>100.00698630779566</c:v>
                </c:pt>
                <c:pt idx="9">
                  <c:v>102.15857251190985</c:v>
                </c:pt>
                <c:pt idx="10">
                  <c:v>106.06797276686284</c:v>
                </c:pt>
                <c:pt idx="11">
                  <c:v>106.96653663722491</c:v>
                </c:pt>
                <c:pt idx="12">
                  <c:v>109.91463152786135</c:v>
                </c:pt>
                <c:pt idx="13">
                  <c:v>111.66131702779451</c:v>
                </c:pt>
              </c:numCache>
            </c:numRef>
          </c:val>
          <c:smooth val="0"/>
          <c:extLst>
            <c:ext xmlns:c16="http://schemas.microsoft.com/office/drawing/2014/chart" uri="{C3380CC4-5D6E-409C-BE32-E72D297353CC}">
              <c16:uniqueId val="{00000002-2C82-491D-8327-8947C355BA18}"/>
            </c:ext>
          </c:extLst>
        </c:ser>
        <c:ser>
          <c:idx val="3"/>
          <c:order val="3"/>
          <c:tx>
            <c:strRef>
              <c:f>'Graf-7-Produktivita-celkem'!$A$8</c:f>
              <c:strCache>
                <c:ptCount val="1"/>
                <c:pt idx="0">
                  <c:v>Produktivita práce na zaměstnanou osobu  v průmyslu (úroveň roku 2010 = 100)</c:v>
                </c:pt>
              </c:strCache>
            </c:strRef>
          </c:tx>
          <c:spPr>
            <a:ln w="15875">
              <a:solidFill>
                <a:srgbClr val="BD1B21"/>
              </a:solidFill>
            </a:ln>
          </c:spPr>
          <c:marker>
            <c:symbol val="none"/>
          </c:marker>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'Graf-7-Produktivita-celkem'!$B$8:$O$8</c:f>
              <c:numCache>
                <c:formatCode>0</c:formatCode>
                <c:ptCount val="14"/>
                <c:pt idx="0">
                  <c:v>73.888115210880429</c:v>
                </c:pt>
                <c:pt idx="1">
                  <c:v>86.461207291338155</c:v>
                </c:pt>
                <c:pt idx="2">
                  <c:v>88.855981887664171</c:v>
                </c:pt>
                <c:pt idx="3">
                  <c:v>95.246933066877062</c:v>
                </c:pt>
                <c:pt idx="4">
                  <c:v>91.044680232474363</c:v>
                </c:pt>
                <c:pt idx="5">
                  <c:v>100</c:v>
                </c:pt>
                <c:pt idx="6">
                  <c:v>103.18767687655668</c:v>
                </c:pt>
                <c:pt idx="7">
                  <c:v>99.395748460081208</c:v>
                </c:pt>
                <c:pt idx="8">
                  <c:v>95.101171031620439</c:v>
                </c:pt>
                <c:pt idx="9">
                  <c:v>98.607957228598451</c:v>
                </c:pt>
                <c:pt idx="10">
                  <c:v>99.484296964416046</c:v>
                </c:pt>
                <c:pt idx="11">
                  <c:v>99.060966246639296</c:v>
                </c:pt>
                <c:pt idx="12">
                  <c:v>106.70862732802627</c:v>
                </c:pt>
                <c:pt idx="13">
                  <c:v>106.70732821477489</c:v>
                </c:pt>
              </c:numCache>
            </c:numRef>
          </c:val>
          <c:smooth val="0"/>
          <c:extLst>
            <c:ext xmlns:c16="http://schemas.microsoft.com/office/drawing/2014/chart" uri="{C3380CC4-5D6E-409C-BE32-E72D297353CC}">
              <c16:uniqueId val="{00000003-2C82-491D-8327-8947C355BA18}"/>
            </c:ext>
          </c:extLst>
        </c:ser>
        <c:ser>
          <c:idx val="4"/>
          <c:order val="4"/>
          <c:tx>
            <c:strRef>
              <c:f>'Graf-7-Produktivita-celkem'!$A$9</c:f>
              <c:strCache>
                <c:ptCount val="1"/>
                <c:pt idx="0">
                  <c:v>Produktivita pr. na zaměstn. osobu v tržních službách* (úroveň roku 2010 = 100)</c:v>
                </c:pt>
              </c:strCache>
            </c:strRef>
          </c:tx>
          <c:spPr>
            <a:ln w="15875">
              <a:solidFill>
                <a:srgbClr val="0071BC"/>
              </a:solidFill>
            </a:ln>
          </c:spPr>
          <c:marker>
            <c:symbol val="none"/>
          </c:marker>
          <c:cat>
            <c:numRef>
              <c:f>'Graf-7-Produktivita-celkem'!$B$4:$O$4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'Graf-7-Produktivita-celkem'!$B$9:$O$9</c:f>
              <c:numCache>
                <c:formatCode>0</c:formatCode>
                <c:ptCount val="14"/>
                <c:pt idx="0">
                  <c:v>97.883403272231121</c:v>
                </c:pt>
                <c:pt idx="1">
                  <c:v>100.45245963401828</c:v>
                </c:pt>
                <c:pt idx="2">
                  <c:v>105.62746688607281</c:v>
                </c:pt>
                <c:pt idx="3">
                  <c:v>103.11870212388821</c:v>
                </c:pt>
                <c:pt idx="4">
                  <c:v>97.957023253087115</c:v>
                </c:pt>
                <c:pt idx="5">
                  <c:v>100</c:v>
                </c:pt>
                <c:pt idx="6">
                  <c:v>103.19327315375402</c:v>
                </c:pt>
                <c:pt idx="7">
                  <c:v>102.49226919967001</c:v>
                </c:pt>
                <c:pt idx="8">
                  <c:v>103.5611334059839</c:v>
                </c:pt>
                <c:pt idx="9">
                  <c:v>105.92455226626423</c:v>
                </c:pt>
                <c:pt idx="10">
                  <c:v>111.74067474559696</c:v>
                </c:pt>
                <c:pt idx="11">
                  <c:v>113.74326309205433</c:v>
                </c:pt>
                <c:pt idx="12">
                  <c:v>115.77295012342988</c:v>
                </c:pt>
                <c:pt idx="13">
                  <c:v>118.86870388798047</c:v>
                </c:pt>
              </c:numCache>
            </c:numRef>
          </c:val>
          <c:smooth val="0"/>
          <c:extLst>
            <c:ext xmlns:c16="http://schemas.microsoft.com/office/drawing/2014/chart" uri="{C3380CC4-5D6E-409C-BE32-E72D297353CC}">
              <c16:uniqueId val="{00000004-2C82-491D-8327-8947C355BA18}"/>
            </c:ext>
          </c:extLst>
        </c:ser>
        <c:dLbls>
          <c:showLegendKey val="0"/>
          <c:showVal val="0"/>
          <c:showCatName val="0"/>
          <c:showSerName val="0"/>
          <c:showPercent val="0"/>
          <c:showBubbleSize val="0"/>
        </c:dLbls>
        <c:marker val="1"/>
        <c:smooth val="0"/>
        <c:axId val="142551296"/>
        <c:axId val="142549760"/>
      </c:lineChart>
      <c:catAx>
        <c:axId val="142800384"/>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801920"/>
        <c:crossesAt val="0"/>
        <c:auto val="1"/>
        <c:lblAlgn val="ctr"/>
        <c:lblOffset val="0"/>
        <c:noMultiLvlLbl val="0"/>
      </c:catAx>
      <c:valAx>
        <c:axId val="142801920"/>
        <c:scaling>
          <c:orientation val="minMax"/>
          <c:max val="7.5"/>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800384"/>
        <c:crosses val="autoZero"/>
        <c:crossBetween val="between"/>
        <c:majorUnit val="1"/>
      </c:valAx>
      <c:valAx>
        <c:axId val="142549760"/>
        <c:scaling>
          <c:orientation val="minMax"/>
          <c:max val="137.5"/>
          <c:min val="75"/>
        </c:scaling>
        <c:delete val="0"/>
        <c:axPos val="r"/>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42551296"/>
        <c:crosses val="max"/>
        <c:crossBetween val="between"/>
        <c:majorUnit val="5"/>
      </c:valAx>
      <c:catAx>
        <c:axId val="142551296"/>
        <c:scaling>
          <c:orientation val="minMax"/>
        </c:scaling>
        <c:delete val="1"/>
        <c:axPos val="b"/>
        <c:numFmt formatCode="General" sourceLinked="1"/>
        <c:majorTickMark val="out"/>
        <c:minorTickMark val="none"/>
        <c:tickLblPos val="none"/>
        <c:crossAx val="142549760"/>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4.2503844066719663E-2"/>
          <c:y val="0.82122196433188466"/>
          <c:w val="0.88789008341726949"/>
          <c:h val="0.16271401018155021"/>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1607291098123944"/>
          <c:h val="0.74427381712421181"/>
        </c:manualLayout>
      </c:layout>
      <c:lineChart>
        <c:grouping val="standard"/>
        <c:varyColors val="0"/>
        <c:ser>
          <c:idx val="0"/>
          <c:order val="0"/>
          <c:tx>
            <c:strRef>
              <c:f>'Graf-8-produktivita-odvětví'!$A$44</c:f>
              <c:strCache>
                <c:ptCount val="1"/>
                <c:pt idx="0">
                  <c:v>Všechna odvětví NH</c:v>
                </c:pt>
              </c:strCache>
            </c:strRef>
          </c:tx>
          <c:spPr>
            <a:ln w="19050">
              <a:solidFill>
                <a:schemeClr val="tx1">
                  <a:lumMod val="95000"/>
                  <a:lumOff val="5000"/>
                </a:schemeClr>
              </a:solidFill>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'Graf-8-produktivita-odvětví'!$B$44:$O$44</c:f>
              <c:numCache>
                <c:formatCode>0</c:formatCode>
                <c:ptCount val="14"/>
                <c:pt idx="0">
                  <c:v>100</c:v>
                </c:pt>
                <c:pt idx="1">
                  <c:v>107.04162531734592</c:v>
                </c:pt>
                <c:pt idx="2">
                  <c:v>111.32626297765835</c:v>
                </c:pt>
                <c:pt idx="3">
                  <c:v>112.51579176073247</c:v>
                </c:pt>
                <c:pt idx="4">
                  <c:v>109.01222785267248</c:v>
                </c:pt>
                <c:pt idx="5">
                  <c:v>111.97193057903641</c:v>
                </c:pt>
                <c:pt idx="6">
                  <c:v>114.14313587400331</c:v>
                </c:pt>
                <c:pt idx="7">
                  <c:v>114.57947447234578</c:v>
                </c:pt>
                <c:pt idx="8">
                  <c:v>114.49644010205182</c:v>
                </c:pt>
                <c:pt idx="9">
                  <c:v>116.83008065974867</c:v>
                </c:pt>
                <c:pt idx="10">
                  <c:v>122.04150294597542</c:v>
                </c:pt>
                <c:pt idx="11">
                  <c:v>121.455408848004</c:v>
                </c:pt>
                <c:pt idx="12">
                  <c:v>124.25746172163474</c:v>
                </c:pt>
                <c:pt idx="13">
                  <c:v>126.26028245133602</c:v>
                </c:pt>
              </c:numCache>
            </c:numRef>
          </c:val>
          <c:smooth val="0"/>
          <c:extLst>
            <c:ext xmlns:c16="http://schemas.microsoft.com/office/drawing/2014/chart" uri="{C3380CC4-5D6E-409C-BE32-E72D297353CC}">
              <c16:uniqueId val="{00000000-F573-49C7-BBE2-AEAA4B816C81}"/>
            </c:ext>
          </c:extLst>
        </c:ser>
        <c:ser>
          <c:idx val="1"/>
          <c:order val="1"/>
          <c:tx>
            <c:strRef>
              <c:f>'Graf-8-produktivita-odvětví'!$A$45</c:f>
              <c:strCache>
                <c:ptCount val="1"/>
                <c:pt idx="0">
                  <c:v>Zemědělství, lesnictví a rybářství</c:v>
                </c:pt>
              </c:strCache>
            </c:strRef>
          </c:tx>
          <c:spPr>
            <a:ln w="15875">
              <a:solidFill>
                <a:srgbClr val="48AEE7"/>
              </a:solidFill>
              <a:prstDash val="soli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'Graf-8-produktivita-odvětví'!$B$45:$O$45</c:f>
              <c:numCache>
                <c:formatCode>0</c:formatCode>
                <c:ptCount val="14"/>
                <c:pt idx="0">
                  <c:v>100</c:v>
                </c:pt>
                <c:pt idx="1">
                  <c:v>95.242947167764584</c:v>
                </c:pt>
                <c:pt idx="2">
                  <c:v>72.574280236549797</c:v>
                </c:pt>
                <c:pt idx="3">
                  <c:v>80.178715537023962</c:v>
                </c:pt>
                <c:pt idx="4">
                  <c:v>98.473068543449571</c:v>
                </c:pt>
                <c:pt idx="5">
                  <c:v>84.722094079911599</c:v>
                </c:pt>
                <c:pt idx="6">
                  <c:v>83.461151189842511</c:v>
                </c:pt>
                <c:pt idx="7">
                  <c:v>87.805979720719819</c:v>
                </c:pt>
                <c:pt idx="8">
                  <c:v>84.803667104748513</c:v>
                </c:pt>
                <c:pt idx="9">
                  <c:v>92.13799266361687</c:v>
                </c:pt>
                <c:pt idx="10">
                  <c:v>98.014643619188419</c:v>
                </c:pt>
                <c:pt idx="11">
                  <c:v>101.99104019987669</c:v>
                </c:pt>
                <c:pt idx="12">
                  <c:v>98.383606932800149</c:v>
                </c:pt>
                <c:pt idx="13">
                  <c:v>102.3250468094283</c:v>
                </c:pt>
              </c:numCache>
            </c:numRef>
          </c:val>
          <c:smooth val="0"/>
          <c:extLst>
            <c:ext xmlns:c16="http://schemas.microsoft.com/office/drawing/2014/chart" uri="{C3380CC4-5D6E-409C-BE32-E72D297353CC}">
              <c16:uniqueId val="{00000001-F573-49C7-BBE2-AEAA4B816C81}"/>
            </c:ext>
          </c:extLst>
        </c:ser>
        <c:ser>
          <c:idx val="2"/>
          <c:order val="2"/>
          <c:tx>
            <c:strRef>
              <c:f>'Graf-8-produktivita-odvětví'!$A$46</c:f>
              <c:strCache>
                <c:ptCount val="1"/>
                <c:pt idx="0">
                  <c:v>Zpracovatelský průmysl</c:v>
                </c:pt>
              </c:strCache>
            </c:strRef>
          </c:tx>
          <c:spPr>
            <a:ln w="15875" cap="rnd">
              <a:solidFill>
                <a:srgbClr val="0071BC"/>
              </a:solidFill>
              <a:roun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'Graf-8-produktivita-odvětví'!$B$46:$O$46</c:f>
              <c:numCache>
                <c:formatCode>0</c:formatCode>
                <c:ptCount val="14"/>
                <c:pt idx="0">
                  <c:v>100</c:v>
                </c:pt>
                <c:pt idx="1">
                  <c:v>120.85396685752868</c:v>
                </c:pt>
                <c:pt idx="2">
                  <c:v>126.56754823028544</c:v>
                </c:pt>
                <c:pt idx="3">
                  <c:v>135.84701392976339</c:v>
                </c:pt>
                <c:pt idx="4">
                  <c:v>132.01189959994562</c:v>
                </c:pt>
                <c:pt idx="5">
                  <c:v>146.13994484067962</c:v>
                </c:pt>
                <c:pt idx="6">
                  <c:v>155.92617603485553</c:v>
                </c:pt>
                <c:pt idx="7">
                  <c:v>150.88191608788802</c:v>
                </c:pt>
                <c:pt idx="8">
                  <c:v>147.55117395848612</c:v>
                </c:pt>
                <c:pt idx="9">
                  <c:v>154.28911452835834</c:v>
                </c:pt>
                <c:pt idx="10">
                  <c:v>157.89879393671134</c:v>
                </c:pt>
                <c:pt idx="11">
                  <c:v>158.62525611012086</c:v>
                </c:pt>
                <c:pt idx="12">
                  <c:v>172.57007521839552</c:v>
                </c:pt>
                <c:pt idx="13">
                  <c:v>173.14363784197138</c:v>
                </c:pt>
              </c:numCache>
            </c:numRef>
          </c:val>
          <c:smooth val="0"/>
          <c:extLst>
            <c:ext xmlns:c16="http://schemas.microsoft.com/office/drawing/2014/chart" uri="{C3380CC4-5D6E-409C-BE32-E72D297353CC}">
              <c16:uniqueId val="{00000002-F573-49C7-BBE2-AEAA4B816C81}"/>
            </c:ext>
          </c:extLst>
        </c:ser>
        <c:ser>
          <c:idx val="3"/>
          <c:order val="3"/>
          <c:tx>
            <c:strRef>
              <c:f>'Graf-8-produktivita-odvětví'!$A$47</c:f>
              <c:strCache>
                <c:ptCount val="1"/>
                <c:pt idx="0">
                  <c:v>Těžba,energetika,hosp.s vodou i odpady</c:v>
                </c:pt>
              </c:strCache>
            </c:strRef>
          </c:tx>
          <c:spPr>
            <a:ln w="15875" cap="rnd">
              <a:solidFill>
                <a:schemeClr val="bg1">
                  <a:lumMod val="50000"/>
                </a:schemeClr>
              </a:solidFill>
              <a:prstDash val="sysDash"/>
              <a:roun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'Graf-8-produktivita-odvětví'!$B$47:$O$47</c:f>
              <c:numCache>
                <c:formatCode>0</c:formatCode>
                <c:ptCount val="14"/>
                <c:pt idx="0">
                  <c:v>100</c:v>
                </c:pt>
                <c:pt idx="1">
                  <c:v>107.63874872864457</c:v>
                </c:pt>
                <c:pt idx="2">
                  <c:v>108.01538749137352</c:v>
                </c:pt>
                <c:pt idx="3">
                  <c:v>111.64794236056241</c:v>
                </c:pt>
                <c:pt idx="4">
                  <c:v>105.71665196039731</c:v>
                </c:pt>
                <c:pt idx="5">
                  <c:v>97.145923244437867</c:v>
                </c:pt>
                <c:pt idx="6">
                  <c:v>90.697552185844103</c:v>
                </c:pt>
                <c:pt idx="7">
                  <c:v>90.60252340387197</c:v>
                </c:pt>
                <c:pt idx="8">
                  <c:v>80.466595351141564</c:v>
                </c:pt>
                <c:pt idx="9">
                  <c:v>79.145663274903214</c:v>
                </c:pt>
                <c:pt idx="10">
                  <c:v>78.992693329197166</c:v>
                </c:pt>
                <c:pt idx="11">
                  <c:v>74.791353365116251</c:v>
                </c:pt>
                <c:pt idx="12">
                  <c:v>74.955310904715205</c:v>
                </c:pt>
                <c:pt idx="13">
                  <c:v>73.364440990104413</c:v>
                </c:pt>
              </c:numCache>
            </c:numRef>
          </c:val>
          <c:smooth val="0"/>
          <c:extLst>
            <c:ext xmlns:c16="http://schemas.microsoft.com/office/drawing/2014/chart" uri="{C3380CC4-5D6E-409C-BE32-E72D297353CC}">
              <c16:uniqueId val="{00000003-F573-49C7-BBE2-AEAA4B816C81}"/>
            </c:ext>
          </c:extLst>
        </c:ser>
        <c:ser>
          <c:idx val="4"/>
          <c:order val="4"/>
          <c:tx>
            <c:strRef>
              <c:f>'Graf-8-produktivita-odvětví'!$A$48</c:f>
              <c:strCache>
                <c:ptCount val="1"/>
                <c:pt idx="0">
                  <c:v>Stavebnictví</c:v>
                </c:pt>
              </c:strCache>
            </c:strRef>
          </c:tx>
          <c:spPr>
            <a:ln w="15875" cap="rnd">
              <a:solidFill>
                <a:srgbClr val="7030A0"/>
              </a:solidFill>
              <a:roun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'Graf-8-produktivita-odvětví'!$B$48:$O$48</c:f>
              <c:numCache>
                <c:formatCode>0</c:formatCode>
                <c:ptCount val="14"/>
                <c:pt idx="0">
                  <c:v>100</c:v>
                </c:pt>
                <c:pt idx="1">
                  <c:v>100.47065962375619</c:v>
                </c:pt>
                <c:pt idx="2">
                  <c:v>107.00442357514413</c:v>
                </c:pt>
                <c:pt idx="3">
                  <c:v>103.59802686831819</c:v>
                </c:pt>
                <c:pt idx="4">
                  <c:v>97.332121155737354</c:v>
                </c:pt>
                <c:pt idx="5">
                  <c:v>99.599061866285652</c:v>
                </c:pt>
                <c:pt idx="6">
                  <c:v>97.083309074416889</c:v>
                </c:pt>
                <c:pt idx="7">
                  <c:v>97.252099283862094</c:v>
                </c:pt>
                <c:pt idx="8">
                  <c:v>102.01489406955289</c:v>
                </c:pt>
                <c:pt idx="9">
                  <c:v>107.35866245190347</c:v>
                </c:pt>
                <c:pt idx="10">
                  <c:v>113.50411217418031</c:v>
                </c:pt>
                <c:pt idx="11">
                  <c:v>110.69271718250144</c:v>
                </c:pt>
                <c:pt idx="12">
                  <c:v>106.26657872817573</c:v>
                </c:pt>
                <c:pt idx="13">
                  <c:v>110.23010364668457</c:v>
                </c:pt>
              </c:numCache>
            </c:numRef>
          </c:val>
          <c:smooth val="0"/>
          <c:extLst>
            <c:ext xmlns:c16="http://schemas.microsoft.com/office/drawing/2014/chart" uri="{C3380CC4-5D6E-409C-BE32-E72D297353CC}">
              <c16:uniqueId val="{00000004-F573-49C7-BBE2-AEAA4B816C81}"/>
            </c:ext>
          </c:extLst>
        </c:ser>
        <c:ser>
          <c:idx val="5"/>
          <c:order val="5"/>
          <c:tx>
            <c:strRef>
              <c:f>'Graf-8-produktivita-odvětví'!$A$49</c:f>
              <c:strCache>
                <c:ptCount val="1"/>
                <c:pt idx="0">
                  <c:v>Obchod</c:v>
                </c:pt>
              </c:strCache>
            </c:strRef>
          </c:tx>
          <c:spPr>
            <a:ln w="15875" cap="rnd">
              <a:solidFill>
                <a:srgbClr val="92D050"/>
              </a:solidFill>
              <a:prstDash val="solid"/>
              <a:round/>
            </a:ln>
            <a:effectLst/>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'Graf-8-produktivita-odvětví'!$B$49:$O$49</c:f>
              <c:numCache>
                <c:formatCode>0</c:formatCode>
                <c:ptCount val="14"/>
                <c:pt idx="0">
                  <c:v>100</c:v>
                </c:pt>
                <c:pt idx="1">
                  <c:v>105.85115624647246</c:v>
                </c:pt>
                <c:pt idx="2">
                  <c:v>116.76356577059327</c:v>
                </c:pt>
                <c:pt idx="3">
                  <c:v>111.5723217784936</c:v>
                </c:pt>
                <c:pt idx="4">
                  <c:v>104.80254621953279</c:v>
                </c:pt>
                <c:pt idx="5">
                  <c:v>112.11658262302731</c:v>
                </c:pt>
                <c:pt idx="6">
                  <c:v>115.82901286408924</c:v>
                </c:pt>
                <c:pt idx="7">
                  <c:v>121.29410636501318</c:v>
                </c:pt>
                <c:pt idx="8">
                  <c:v>121.09846525866021</c:v>
                </c:pt>
                <c:pt idx="9">
                  <c:v>130.41001368310492</c:v>
                </c:pt>
                <c:pt idx="10">
                  <c:v>145.91532496724</c:v>
                </c:pt>
                <c:pt idx="11">
                  <c:v>145.14429513958854</c:v>
                </c:pt>
                <c:pt idx="12">
                  <c:v>146.90516720016478</c:v>
                </c:pt>
                <c:pt idx="13">
                  <c:v>151.40580664474811</c:v>
                </c:pt>
              </c:numCache>
            </c:numRef>
          </c:val>
          <c:smooth val="0"/>
          <c:extLst>
            <c:ext xmlns:c16="http://schemas.microsoft.com/office/drawing/2014/chart" uri="{C3380CC4-5D6E-409C-BE32-E72D297353CC}">
              <c16:uniqueId val="{00000005-F573-49C7-BBE2-AEAA4B816C81}"/>
            </c:ext>
          </c:extLst>
        </c:ser>
        <c:ser>
          <c:idx val="6"/>
          <c:order val="6"/>
          <c:tx>
            <c:strRef>
              <c:f>'Graf-8-produktivita-odvětví'!$A$50</c:f>
              <c:strCache>
                <c:ptCount val="1"/>
                <c:pt idx="0">
                  <c:v>Doprava, skladování</c:v>
                </c:pt>
              </c:strCache>
            </c:strRef>
          </c:tx>
          <c:spPr>
            <a:ln w="15875">
              <a:solidFill>
                <a:srgbClr val="00B050"/>
              </a:solidFill>
            </a:ln>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'Graf-8-produktivita-odvětví'!$B$50:$O$50</c:f>
              <c:numCache>
                <c:formatCode>0</c:formatCode>
                <c:ptCount val="14"/>
                <c:pt idx="0">
                  <c:v>100</c:v>
                </c:pt>
                <c:pt idx="1">
                  <c:v>109.87247622610745</c:v>
                </c:pt>
                <c:pt idx="2">
                  <c:v>109.5782394024798</c:v>
                </c:pt>
                <c:pt idx="3">
                  <c:v>103.87959173705735</c:v>
                </c:pt>
                <c:pt idx="4">
                  <c:v>95.030649761220999</c:v>
                </c:pt>
                <c:pt idx="5">
                  <c:v>96.13168168136373</c:v>
                </c:pt>
                <c:pt idx="6">
                  <c:v>90.553403589790292</c:v>
                </c:pt>
                <c:pt idx="7">
                  <c:v>90.258407491328498</c:v>
                </c:pt>
                <c:pt idx="8">
                  <c:v>88.96316386017655</c:v>
                </c:pt>
                <c:pt idx="9">
                  <c:v>83.839601509955912</c:v>
                </c:pt>
                <c:pt idx="10">
                  <c:v>84.522368939282359</c:v>
                </c:pt>
                <c:pt idx="11">
                  <c:v>85.134391067048981</c:v>
                </c:pt>
                <c:pt idx="12">
                  <c:v>87.088878781421158</c:v>
                </c:pt>
                <c:pt idx="13">
                  <c:v>92.110698636654249</c:v>
                </c:pt>
              </c:numCache>
            </c:numRef>
          </c:val>
          <c:smooth val="0"/>
          <c:extLst>
            <c:ext xmlns:c16="http://schemas.microsoft.com/office/drawing/2014/chart" uri="{C3380CC4-5D6E-409C-BE32-E72D297353CC}">
              <c16:uniqueId val="{00000006-F573-49C7-BBE2-AEAA4B816C81}"/>
            </c:ext>
          </c:extLst>
        </c:ser>
        <c:ser>
          <c:idx val="7"/>
          <c:order val="7"/>
          <c:tx>
            <c:strRef>
              <c:f>'Graf-8-produktivita-odvětví'!$A$51</c:f>
              <c:strCache>
                <c:ptCount val="1"/>
                <c:pt idx="0">
                  <c:v>Informační a komunikační čin.</c:v>
                </c:pt>
              </c:strCache>
            </c:strRef>
          </c:tx>
          <c:spPr>
            <a:ln w="15875">
              <a:solidFill>
                <a:srgbClr val="F8A124"/>
              </a:solidFill>
            </a:ln>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'Graf-8-produktivita-odvětví'!$B$51:$O$51</c:f>
              <c:numCache>
                <c:formatCode>0</c:formatCode>
                <c:ptCount val="14"/>
                <c:pt idx="0">
                  <c:v>100</c:v>
                </c:pt>
                <c:pt idx="1">
                  <c:v>104.82049844759574</c:v>
                </c:pt>
                <c:pt idx="2">
                  <c:v>111.90125587795063</c:v>
                </c:pt>
                <c:pt idx="3">
                  <c:v>106.47587023331005</c:v>
                </c:pt>
                <c:pt idx="4">
                  <c:v>100.05655065332834</c:v>
                </c:pt>
                <c:pt idx="5">
                  <c:v>103.05535611871861</c:v>
                </c:pt>
                <c:pt idx="6">
                  <c:v>109.97162677906989</c:v>
                </c:pt>
                <c:pt idx="7">
                  <c:v>106.41101236826763</c:v>
                </c:pt>
                <c:pt idx="8">
                  <c:v>107.95786604692856</c:v>
                </c:pt>
                <c:pt idx="9">
                  <c:v>113.19409622009526</c:v>
                </c:pt>
                <c:pt idx="10">
                  <c:v>125.51583237142907</c:v>
                </c:pt>
                <c:pt idx="11">
                  <c:v>121.53693127191372</c:v>
                </c:pt>
                <c:pt idx="12">
                  <c:v>124.90361793950495</c:v>
                </c:pt>
                <c:pt idx="13">
                  <c:v>132.29075898349041</c:v>
                </c:pt>
              </c:numCache>
            </c:numRef>
          </c:val>
          <c:smooth val="0"/>
          <c:extLst>
            <c:ext xmlns:c16="http://schemas.microsoft.com/office/drawing/2014/chart" uri="{C3380CC4-5D6E-409C-BE32-E72D297353CC}">
              <c16:uniqueId val="{00000007-F573-49C7-BBE2-AEAA4B816C81}"/>
            </c:ext>
          </c:extLst>
        </c:ser>
        <c:ser>
          <c:idx val="8"/>
          <c:order val="8"/>
          <c:tx>
            <c:strRef>
              <c:f>'Graf-8-produktivita-odvětví'!$A$52</c:f>
              <c:strCache>
                <c:ptCount val="1"/>
                <c:pt idx="0">
                  <c:v>Peněžnictví a pojišťovnictví</c:v>
                </c:pt>
              </c:strCache>
            </c:strRef>
          </c:tx>
          <c:spPr>
            <a:ln w="15875">
              <a:solidFill>
                <a:srgbClr val="E8AFB2"/>
              </a:solidFill>
            </a:ln>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'Graf-8-produktivita-odvětví'!$B$52:$O$52</c:f>
              <c:numCache>
                <c:formatCode>0</c:formatCode>
                <c:ptCount val="14"/>
                <c:pt idx="0">
                  <c:v>100</c:v>
                </c:pt>
                <c:pt idx="1">
                  <c:v>102.65129852365874</c:v>
                </c:pt>
                <c:pt idx="2">
                  <c:v>120.78578835386158</c:v>
                </c:pt>
                <c:pt idx="3">
                  <c:v>130.56263301077254</c:v>
                </c:pt>
                <c:pt idx="4">
                  <c:v>141.64984724024998</c:v>
                </c:pt>
                <c:pt idx="5">
                  <c:v>144.84906367126709</c:v>
                </c:pt>
                <c:pt idx="6">
                  <c:v>145.11837218009285</c:v>
                </c:pt>
                <c:pt idx="7">
                  <c:v>140.13790091800476</c:v>
                </c:pt>
                <c:pt idx="8">
                  <c:v>152.0857520104436</c:v>
                </c:pt>
                <c:pt idx="9">
                  <c:v>148.82878581235389</c:v>
                </c:pt>
                <c:pt idx="10">
                  <c:v>164.27779525852759</c:v>
                </c:pt>
                <c:pt idx="11">
                  <c:v>173.6767553592571</c:v>
                </c:pt>
                <c:pt idx="12">
                  <c:v>192.12803967252987</c:v>
                </c:pt>
                <c:pt idx="13">
                  <c:v>198.18866048300029</c:v>
                </c:pt>
              </c:numCache>
            </c:numRef>
          </c:val>
          <c:smooth val="0"/>
          <c:extLst>
            <c:ext xmlns:c16="http://schemas.microsoft.com/office/drawing/2014/chart" uri="{C3380CC4-5D6E-409C-BE32-E72D297353CC}">
              <c16:uniqueId val="{00000008-F573-49C7-BBE2-AEAA4B816C81}"/>
            </c:ext>
          </c:extLst>
        </c:ser>
        <c:ser>
          <c:idx val="9"/>
          <c:order val="9"/>
          <c:tx>
            <c:strRef>
              <c:f>'Graf-8-produktivita-odvětví'!$A$53</c:f>
              <c:strCache>
                <c:ptCount val="1"/>
                <c:pt idx="0">
                  <c:v>Odvětví s převahou veř. sektoru*</c:v>
                </c:pt>
              </c:strCache>
            </c:strRef>
          </c:tx>
          <c:spPr>
            <a:ln w="15875">
              <a:solidFill>
                <a:srgbClr val="BD1B21"/>
              </a:solidFill>
            </a:ln>
          </c:spPr>
          <c:marker>
            <c:symbol val="none"/>
          </c:marker>
          <c:cat>
            <c:numRef>
              <c:f>'Graf-8-produktivita-odvětví'!$B$43:$O$43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'Graf-8-produktivita-odvětví'!$B$53:$O$53</c:f>
              <c:numCache>
                <c:formatCode>0</c:formatCode>
                <c:ptCount val="14"/>
                <c:pt idx="0">
                  <c:v>100</c:v>
                </c:pt>
                <c:pt idx="1">
                  <c:v>98.749764848964332</c:v>
                </c:pt>
                <c:pt idx="2">
                  <c:v>98.720919059779106</c:v>
                </c:pt>
                <c:pt idx="3">
                  <c:v>98.361066164220915</c:v>
                </c:pt>
                <c:pt idx="4">
                  <c:v>98.253919075838667</c:v>
                </c:pt>
                <c:pt idx="5">
                  <c:v>98.302953418345297</c:v>
                </c:pt>
                <c:pt idx="6">
                  <c:v>96.72878741678376</c:v>
                </c:pt>
                <c:pt idx="7">
                  <c:v>98.806458055010452</c:v>
                </c:pt>
                <c:pt idx="8">
                  <c:v>99.169436214931267</c:v>
                </c:pt>
                <c:pt idx="9">
                  <c:v>96.581343136756317</c:v>
                </c:pt>
                <c:pt idx="10">
                  <c:v>97.743616754935914</c:v>
                </c:pt>
                <c:pt idx="11">
                  <c:v>96.764129938160579</c:v>
                </c:pt>
                <c:pt idx="12">
                  <c:v>94.389346524849188</c:v>
                </c:pt>
                <c:pt idx="13">
                  <c:v>95.270303154840988</c:v>
                </c:pt>
              </c:numCache>
            </c:numRef>
          </c:val>
          <c:smooth val="0"/>
          <c:extLst>
            <c:ext xmlns:c16="http://schemas.microsoft.com/office/drawing/2014/chart" uri="{C3380CC4-5D6E-409C-BE32-E72D297353CC}">
              <c16:uniqueId val="{00000009-F573-49C7-BBE2-AEAA4B816C81}"/>
            </c:ext>
          </c:extLst>
        </c:ser>
        <c:dLbls>
          <c:showLegendKey val="0"/>
          <c:showVal val="0"/>
          <c:showCatName val="0"/>
          <c:showSerName val="0"/>
          <c:showPercent val="0"/>
          <c:showBubbleSize val="0"/>
        </c:dLbls>
        <c:smooth val="0"/>
        <c:axId val="101393536"/>
        <c:axId val="101395072"/>
      </c:lineChart>
      <c:catAx>
        <c:axId val="101393536"/>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395072"/>
        <c:crossesAt val="100"/>
        <c:auto val="1"/>
        <c:lblAlgn val="ctr"/>
        <c:lblOffset val="10"/>
        <c:noMultiLvlLbl val="0"/>
      </c:catAx>
      <c:valAx>
        <c:axId val="101395072"/>
        <c:scaling>
          <c:orientation val="minMax"/>
          <c:max val="200"/>
          <c:min val="7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1393536"/>
        <c:crosses val="autoZero"/>
        <c:crossBetween val="between"/>
        <c:majorUnit val="10"/>
      </c:valAx>
      <c:spPr>
        <a:noFill/>
        <a:ln w="6350">
          <a:solidFill>
            <a:schemeClr val="tx1">
              <a:lumMod val="95000"/>
              <a:lumOff val="5000"/>
            </a:schemeClr>
          </a:solidFill>
        </a:ln>
        <a:effectLst/>
      </c:spPr>
    </c:plotArea>
    <c:legend>
      <c:legendPos val="b"/>
      <c:layout>
        <c:manualLayout>
          <c:xMode val="edge"/>
          <c:yMode val="edge"/>
          <c:x val="1.1665268546928741E-2"/>
          <c:y val="0.81285947364687705"/>
          <c:w val="0.98079404333393461"/>
          <c:h val="0.17632971554231394"/>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55603720266684E-2"/>
          <c:y val="1.5999671172066066E-2"/>
          <c:w val="0.91607291098123966"/>
          <c:h val="0.72288743749310724"/>
        </c:manualLayout>
      </c:layout>
      <c:barChart>
        <c:barDir val="col"/>
        <c:grouping val="clustered"/>
        <c:varyColors val="0"/>
        <c:ser>
          <c:idx val="2"/>
          <c:order val="2"/>
          <c:tx>
            <c:strRef>
              <c:f>'Graf-9-Mzdy a produktivita'!$D$2</c:f>
              <c:strCache>
                <c:ptCount val="1"/>
                <c:pt idx="0">
                  <c:v>Podíl mezd a platů na HDP (pravá osa)</c:v>
                </c:pt>
              </c:strCache>
            </c:strRef>
          </c:tx>
          <c:spPr>
            <a:solidFill>
              <a:schemeClr val="bg1">
                <a:lumMod val="85000"/>
              </a:schemeClr>
            </a:solidFill>
            <a:ln>
              <a:noFill/>
            </a:ln>
          </c:spPr>
          <c:invertIfNegative val="0"/>
          <c:dLbls>
            <c:dLbl>
              <c:idx val="0"/>
              <c:layout>
                <c:manualLayout>
                  <c:x val="0"/>
                  <c:y val="7.2136240935044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F4-49CA-865B-C444FCF4F0F8}"/>
                </c:ext>
              </c:extLst>
            </c:dLbl>
            <c:dLbl>
              <c:idx val="1"/>
              <c:layout>
                <c:manualLayout>
                  <c:x val="0"/>
                  <c:y val="7.2136240935044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F4-49CA-865B-C444FCF4F0F8}"/>
                </c:ext>
              </c:extLst>
            </c:dLbl>
            <c:dLbl>
              <c:idx val="2"/>
              <c:layout>
                <c:manualLayout>
                  <c:x val="-2.76328142933452E-3"/>
                  <c:y val="7.213624093504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F4-49CA-865B-C444FCF4F0F8}"/>
                </c:ext>
              </c:extLst>
            </c:dLbl>
            <c:dLbl>
              <c:idx val="3"/>
              <c:layout>
                <c:manualLayout>
                  <c:x val="-2.5421434048999958E-17"/>
                  <c:y val="5.0283800867098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F4-49CA-865B-C444FCF4F0F8}"/>
                </c:ext>
              </c:extLst>
            </c:dLbl>
            <c:dLbl>
              <c:idx val="4"/>
              <c:layout>
                <c:manualLayout>
                  <c:x val="0"/>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F4-49CA-865B-C444FCF4F0F8}"/>
                </c:ext>
              </c:extLst>
            </c:dLbl>
            <c:dLbl>
              <c:idx val="5"/>
              <c:layout>
                <c:manualLayout>
                  <c:x val="-5.0659574314074186E-17"/>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F4-49CA-865B-C444FCF4F0F8}"/>
                </c:ext>
              </c:extLst>
            </c:dLbl>
            <c:dLbl>
              <c:idx val="6"/>
              <c:layout>
                <c:manualLayout>
                  <c:x val="-2.76328142933452E-3"/>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F4-49CA-865B-C444FCF4F0F8}"/>
                </c:ext>
              </c:extLst>
            </c:dLbl>
            <c:dLbl>
              <c:idx val="7"/>
              <c:layout>
                <c:manualLayout>
                  <c:x val="-5.0659574314074186E-17"/>
                  <c:y val="7.2136240935044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F4-49CA-865B-C444FCF4F0F8}"/>
                </c:ext>
              </c:extLst>
            </c:dLbl>
            <c:dLbl>
              <c:idx val="8"/>
              <c:layout>
                <c:manualLayout>
                  <c:x val="-5.0659574314074186E-17"/>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F4-49CA-865B-C444FCF4F0F8}"/>
                </c:ext>
              </c:extLst>
            </c:dLbl>
            <c:dLbl>
              <c:idx val="9"/>
              <c:layout>
                <c:manualLayout>
                  <c:x val="-2.7632814293346206E-3"/>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F4-49CA-865B-C444FCF4F0F8}"/>
                </c:ext>
              </c:extLst>
            </c:dLbl>
            <c:dLbl>
              <c:idx val="10"/>
              <c:layout>
                <c:manualLayout>
                  <c:x val="-1.0131914862814837E-16"/>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F4-49CA-865B-C444FCF4F0F8}"/>
                </c:ext>
              </c:extLst>
            </c:dLbl>
            <c:dLbl>
              <c:idx val="11"/>
              <c:layout>
                <c:manualLayout>
                  <c:x val="2.0099106070308961E-5"/>
                  <c:y val="1.0848849307980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F4-49CA-865B-C444FCF4F0F8}"/>
                </c:ext>
              </c:extLst>
            </c:dLbl>
            <c:dLbl>
              <c:idx val="12"/>
              <c:layout>
                <c:manualLayout>
                  <c:x val="0"/>
                  <c:y val="1.0820436140256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F4-49CA-865B-C444FCF4F0F8}"/>
                </c:ext>
              </c:extLst>
            </c:dLbl>
            <c:dLbl>
              <c:idx val="13"/>
              <c:layout>
                <c:manualLayout>
                  <c:x val="-1.0131914862814837E-16"/>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F4-49CA-865B-C444FCF4F0F8}"/>
                </c:ext>
              </c:extLst>
            </c:dLbl>
            <c:dLbl>
              <c:idx val="14"/>
              <c:layout>
                <c:manualLayout>
                  <c:x val="0"/>
                  <c:y val="1.0820436140256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FF4-49CA-865B-C444FCF4F0F8}"/>
                </c:ext>
              </c:extLst>
            </c:dLbl>
            <c:dLbl>
              <c:idx val="15"/>
              <c:layout>
                <c:manualLayout>
                  <c:x val="-1.0131914862814837E-16"/>
                  <c:y val="7.213624093504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FF4-49CA-865B-C444FCF4F0F8}"/>
                </c:ext>
              </c:extLst>
            </c:dLbl>
            <c:dLbl>
              <c:idx val="16"/>
              <c:layout>
                <c:manualLayout>
                  <c:x val="-2.0263829725629706E-16"/>
                  <c:y val="1.0820436140256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FF4-49CA-865B-C444FCF4F0F8}"/>
                </c:ext>
              </c:extLst>
            </c:dLbl>
            <c:dLbl>
              <c:idx val="17"/>
              <c:layout>
                <c:manualLayout>
                  <c:x val="0"/>
                  <c:y val="7.213624093504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FF4-49CA-865B-C444FCF4F0F8}"/>
                </c:ext>
              </c:extLst>
            </c:dLbl>
            <c:dLbl>
              <c:idx val="18"/>
              <c:layout>
                <c:manualLayout>
                  <c:x val="-1.0131914862814837E-16"/>
                  <c:y val="1.082043614025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FF4-49CA-865B-C444FCF4F0F8}"/>
                </c:ext>
              </c:extLst>
            </c:dLbl>
            <c:spPr>
              <a:noFill/>
              <a:ln>
                <a:noFill/>
              </a:ln>
              <a:effectLst/>
            </c:spPr>
            <c:txPr>
              <a:bodyPr wrap="square" lIns="38100" tIns="19050" rIns="38100" bIns="19050" anchor="ctr">
                <a:spAutoFit/>
              </a:bodyPr>
              <a:lstStyle/>
              <a:p>
                <a:pPr>
                  <a:defRPr sz="650">
                    <a:solidFill>
                      <a:schemeClr val="bg1">
                        <a:lumMod val="50000"/>
                      </a:schemeClr>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produktivita'!$D$10:$D$28</c:f>
              <c:numCache>
                <c:formatCode>0.0</c:formatCode>
                <c:ptCount val="19"/>
                <c:pt idx="0">
                  <c:v>29.016476050824728</c:v>
                </c:pt>
                <c:pt idx="1">
                  <c:v>29.128582269501063</c:v>
                </c:pt>
                <c:pt idx="2">
                  <c:v>29.863770135036567</c:v>
                </c:pt>
                <c:pt idx="3">
                  <c:v>29.974893092825106</c:v>
                </c:pt>
                <c:pt idx="4">
                  <c:v>29.904546825999105</c:v>
                </c:pt>
                <c:pt idx="5">
                  <c:v>30.105414172611916</c:v>
                </c:pt>
                <c:pt idx="6">
                  <c:v>29.981029367472878</c:v>
                </c:pt>
                <c:pt idx="7">
                  <c:v>29.691074516739985</c:v>
                </c:pt>
                <c:pt idx="8">
                  <c:v>30.474983704499646</c:v>
                </c:pt>
                <c:pt idx="9">
                  <c:v>30.57725035740555</c:v>
                </c:pt>
                <c:pt idx="10">
                  <c:v>30.563735090085359</c:v>
                </c:pt>
                <c:pt idx="11">
                  <c:v>30.661356478021101</c:v>
                </c:pt>
                <c:pt idx="12">
                  <c:v>31.250086208765115</c:v>
                </c:pt>
                <c:pt idx="13">
                  <c:v>31.102200809735571</c:v>
                </c:pt>
                <c:pt idx="14">
                  <c:v>30.617793313488445</c:v>
                </c:pt>
                <c:pt idx="15">
                  <c:v>30.124594655578825</c:v>
                </c:pt>
                <c:pt idx="16">
                  <c:v>30.697505657520257</c:v>
                </c:pt>
                <c:pt idx="17">
                  <c:v>31.397288869401997</c:v>
                </c:pt>
                <c:pt idx="18">
                  <c:v>32.555719571876118</c:v>
                </c:pt>
              </c:numCache>
            </c:numRef>
          </c:val>
          <c:extLst>
            <c:ext xmlns:c16="http://schemas.microsoft.com/office/drawing/2014/chart" uri="{C3380CC4-5D6E-409C-BE32-E72D297353CC}">
              <c16:uniqueId val="{00000013-7FF4-49CA-865B-C444FCF4F0F8}"/>
            </c:ext>
          </c:extLst>
        </c:ser>
        <c:dLbls>
          <c:showLegendKey val="0"/>
          <c:showVal val="0"/>
          <c:showCatName val="0"/>
          <c:showSerName val="0"/>
          <c:showPercent val="0"/>
          <c:showBubbleSize val="0"/>
        </c:dLbls>
        <c:gapWidth val="150"/>
        <c:axId val="142966144"/>
        <c:axId val="142964608"/>
      </c:barChart>
      <c:lineChart>
        <c:grouping val="standard"/>
        <c:varyColors val="0"/>
        <c:ser>
          <c:idx val="0"/>
          <c:order val="0"/>
          <c:tx>
            <c:strRef>
              <c:f>'Graf-9-Mzdy a produktivita'!$B$2</c:f>
              <c:strCache>
                <c:ptCount val="1"/>
                <c:pt idx="0">
                  <c:v>Reálná hodinová produktivita práce v celé ekonomice (2005 = 100)</c:v>
                </c:pt>
              </c:strCache>
            </c:strRef>
          </c:tx>
          <c:spPr>
            <a:ln w="15875">
              <a:solidFill>
                <a:schemeClr val="tx1">
                  <a:lumMod val="95000"/>
                  <a:lumOff val="5000"/>
                </a:schemeClr>
              </a:solidFill>
            </a:ln>
            <a:effectLst/>
          </c:spPr>
          <c:marker>
            <c:symbol val="none"/>
          </c:marker>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produktivita'!$B$10:$B$28</c:f>
              <c:numCache>
                <c:formatCode>0.0</c:formatCode>
                <c:ptCount val="19"/>
                <c:pt idx="0">
                  <c:v>80.168444193523797</c:v>
                </c:pt>
                <c:pt idx="1">
                  <c:v>86.234984633062936</c:v>
                </c:pt>
                <c:pt idx="2">
                  <c:v>87.197637711052096</c:v>
                </c:pt>
                <c:pt idx="3">
                  <c:v>91.583789349600579</c:v>
                </c:pt>
                <c:pt idx="4">
                  <c:v>95.685755503730732</c:v>
                </c:pt>
                <c:pt idx="5">
                  <c:v>100</c:v>
                </c:pt>
                <c:pt idx="6">
                  <c:v>106.47701157515681</c:v>
                </c:pt>
                <c:pt idx="7">
                  <c:v>111.05667026840904</c:v>
                </c:pt>
                <c:pt idx="8">
                  <c:v>111.28172327934736</c:v>
                </c:pt>
                <c:pt idx="9">
                  <c:v>108.53907229599768</c:v>
                </c:pt>
                <c:pt idx="10">
                  <c:v>110.87453079488996</c:v>
                </c:pt>
                <c:pt idx="11">
                  <c:v>112.77076237424039</c:v>
                </c:pt>
                <c:pt idx="12">
                  <c:v>113.2511579730679</c:v>
                </c:pt>
                <c:pt idx="13">
                  <c:v>113.17761282741937</c:v>
                </c:pt>
                <c:pt idx="14">
                  <c:v>114.71889558908306</c:v>
                </c:pt>
                <c:pt idx="15">
                  <c:v>120.50467297830203</c:v>
                </c:pt>
                <c:pt idx="16">
                  <c:v>119.99733360703372</c:v>
                </c:pt>
                <c:pt idx="17">
                  <c:v>122.90064218237251</c:v>
                </c:pt>
                <c:pt idx="18">
                  <c:v>124.69125297089899</c:v>
                </c:pt>
              </c:numCache>
            </c:numRef>
          </c:val>
          <c:smooth val="0"/>
          <c:extLst>
            <c:ext xmlns:c16="http://schemas.microsoft.com/office/drawing/2014/chart" uri="{C3380CC4-5D6E-409C-BE32-E72D297353CC}">
              <c16:uniqueId val="{00000014-7FF4-49CA-865B-C444FCF4F0F8}"/>
            </c:ext>
          </c:extLst>
        </c:ser>
        <c:ser>
          <c:idx val="1"/>
          <c:order val="1"/>
          <c:tx>
            <c:strRef>
              <c:f>'Graf-9-Mzdy a produktivita'!$C$2</c:f>
              <c:strCache>
                <c:ptCount val="1"/>
                <c:pt idx="0">
                  <c:v>Reálný objem mezd a platů na zaměstnanci odpracovanou hodinu (2005 = 100)**</c:v>
                </c:pt>
              </c:strCache>
            </c:strRef>
          </c:tx>
          <c:spPr>
            <a:ln w="15875"/>
          </c:spPr>
          <c:marker>
            <c:symbol val="none"/>
          </c:marker>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produktivita'!$C$10:$C$28</c:f>
              <c:numCache>
                <c:formatCode>0.0</c:formatCode>
                <c:ptCount val="19"/>
                <c:pt idx="0">
                  <c:v>74.23684092579326</c:v>
                </c:pt>
                <c:pt idx="1">
                  <c:v>81.645999756551632</c:v>
                </c:pt>
                <c:pt idx="2">
                  <c:v>86.772005640555989</c:v>
                </c:pt>
                <c:pt idx="3">
                  <c:v>94.091109705524275</c:v>
                </c:pt>
                <c:pt idx="4">
                  <c:v>97.495544172959512</c:v>
                </c:pt>
                <c:pt idx="5">
                  <c:v>100</c:v>
                </c:pt>
                <c:pt idx="6">
                  <c:v>104.71679067797595</c:v>
                </c:pt>
                <c:pt idx="7">
                  <c:v>107.92120170953157</c:v>
                </c:pt>
                <c:pt idx="8">
                  <c:v>107.56596768513444</c:v>
                </c:pt>
                <c:pt idx="9">
                  <c:v>107.48314668278634</c:v>
                </c:pt>
                <c:pt idx="10">
                  <c:v>108.35751713220645</c:v>
                </c:pt>
                <c:pt idx="11">
                  <c:v>108.62242440240375</c:v>
                </c:pt>
                <c:pt idx="12">
                  <c:v>109.1332155163544</c:v>
                </c:pt>
                <c:pt idx="13">
                  <c:v>107.97604685971471</c:v>
                </c:pt>
                <c:pt idx="14">
                  <c:v>109.30667165821558</c:v>
                </c:pt>
                <c:pt idx="15">
                  <c:v>113.69540156165681</c:v>
                </c:pt>
                <c:pt idx="16">
                  <c:v>115.70079139553677</c:v>
                </c:pt>
                <c:pt idx="17">
                  <c:v>119.86175688275422</c:v>
                </c:pt>
                <c:pt idx="18">
                  <c:v>126.32804074298993</c:v>
                </c:pt>
              </c:numCache>
            </c:numRef>
          </c:val>
          <c:smooth val="0"/>
          <c:extLst>
            <c:ext xmlns:c16="http://schemas.microsoft.com/office/drawing/2014/chart" uri="{C3380CC4-5D6E-409C-BE32-E72D297353CC}">
              <c16:uniqueId val="{00000015-7FF4-49CA-865B-C444FCF4F0F8}"/>
            </c:ext>
          </c:extLst>
        </c:ser>
        <c:ser>
          <c:idx val="4"/>
          <c:order val="4"/>
          <c:tx>
            <c:strRef>
              <c:f>'Graf-9-Mzdy a produktivita'!$F$2</c:f>
              <c:strCache>
                <c:ptCount val="1"/>
                <c:pt idx="0">
                  <c:v>Poměr mezd a platů na hrubém provoz. přebytku v nefinančních podnicích (v %)</c:v>
                </c:pt>
              </c:strCache>
            </c:strRef>
          </c:tx>
          <c:spPr>
            <a:ln w="15875"/>
          </c:spPr>
          <c:marker>
            <c:symbol val="none"/>
          </c:marker>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produktivita'!$F$10:$F$28</c:f>
              <c:numCache>
                <c:formatCode>0.0</c:formatCode>
                <c:ptCount val="19"/>
                <c:pt idx="0">
                  <c:v>72.841077031288279</c:v>
                </c:pt>
                <c:pt idx="1">
                  <c:v>69.943899097790847</c:v>
                </c:pt>
                <c:pt idx="2">
                  <c:v>73.049043287501249</c:v>
                </c:pt>
                <c:pt idx="3">
                  <c:v>74.358855453155499</c:v>
                </c:pt>
                <c:pt idx="4">
                  <c:v>75.019325092096622</c:v>
                </c:pt>
                <c:pt idx="5">
                  <c:v>74.163079394657004</c:v>
                </c:pt>
                <c:pt idx="6">
                  <c:v>71.214425004089804</c:v>
                </c:pt>
                <c:pt idx="7">
                  <c:v>70.889002733788814</c:v>
                </c:pt>
                <c:pt idx="8">
                  <c:v>76.392527220876048</c:v>
                </c:pt>
                <c:pt idx="9">
                  <c:v>79.062317462309736</c:v>
                </c:pt>
                <c:pt idx="10">
                  <c:v>80.570110454882411</c:v>
                </c:pt>
                <c:pt idx="11">
                  <c:v>81.120244143608971</c:v>
                </c:pt>
                <c:pt idx="12">
                  <c:v>82.987571122273479</c:v>
                </c:pt>
                <c:pt idx="13">
                  <c:v>82.649550001597405</c:v>
                </c:pt>
                <c:pt idx="14">
                  <c:v>74.339437349150359</c:v>
                </c:pt>
                <c:pt idx="15">
                  <c:v>72.7829318443342</c:v>
                </c:pt>
                <c:pt idx="16">
                  <c:v>75.917028104580993</c:v>
                </c:pt>
                <c:pt idx="17">
                  <c:v>79.207519898767302</c:v>
                </c:pt>
                <c:pt idx="18">
                  <c:v>87.588389009499451</c:v>
                </c:pt>
              </c:numCache>
            </c:numRef>
          </c:val>
          <c:smooth val="0"/>
          <c:extLst>
            <c:ext xmlns:c16="http://schemas.microsoft.com/office/drawing/2014/chart" uri="{C3380CC4-5D6E-409C-BE32-E72D297353CC}">
              <c16:uniqueId val="{00000016-7FF4-49CA-865B-C444FCF4F0F8}"/>
            </c:ext>
          </c:extLst>
        </c:ser>
        <c:dLbls>
          <c:showLegendKey val="0"/>
          <c:showVal val="0"/>
          <c:showCatName val="0"/>
          <c:showSerName val="0"/>
          <c:showPercent val="0"/>
          <c:showBubbleSize val="0"/>
        </c:dLbls>
        <c:marker val="1"/>
        <c:smooth val="0"/>
        <c:axId val="142944896"/>
        <c:axId val="142963072"/>
      </c:lineChart>
      <c:lineChart>
        <c:grouping val="standard"/>
        <c:varyColors val="0"/>
        <c:ser>
          <c:idx val="3"/>
          <c:order val="3"/>
          <c:tx>
            <c:strRef>
              <c:f>'Graf-9-Mzdy a produktivita'!$E$2</c:f>
              <c:strCache>
                <c:ptCount val="1"/>
                <c:pt idx="0">
                  <c:v>Podíl zaměstnanci odprac. hodin na celk. odprac. době v ekonomice (pravá osa)</c:v>
                </c:pt>
              </c:strCache>
            </c:strRef>
          </c:tx>
          <c:spPr>
            <a:ln>
              <a:noFill/>
            </a:ln>
          </c:spPr>
          <c:marker>
            <c:symbol val="diamond"/>
            <c:size val="5"/>
            <c:spPr>
              <a:solidFill>
                <a:schemeClr val="bg1">
                  <a:lumMod val="50000"/>
                </a:schemeClr>
              </a:solidFill>
              <a:ln>
                <a:noFill/>
              </a:ln>
            </c:spPr>
          </c:marker>
          <c:cat>
            <c:numRef>
              <c:f>'Graf-9-Mzdy a produktivita'!$A$10:$A$28</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'Graf-9-Mzdy a produktivita'!$E$10:$E$28</c:f>
              <c:numCache>
                <c:formatCode>#\ ##0.0</c:formatCode>
                <c:ptCount val="19"/>
                <c:pt idx="0">
                  <c:v>81.465232308430373</c:v>
                </c:pt>
                <c:pt idx="1">
                  <c:v>80.896856620436026</c:v>
                </c:pt>
                <c:pt idx="2">
                  <c:v>79.787425097316344</c:v>
                </c:pt>
                <c:pt idx="3">
                  <c:v>78.524870059574624</c:v>
                </c:pt>
                <c:pt idx="4">
                  <c:v>79.437414894349317</c:v>
                </c:pt>
                <c:pt idx="5">
                  <c:v>80.667478424158901</c:v>
                </c:pt>
                <c:pt idx="6">
                  <c:v>80.746316262899526</c:v>
                </c:pt>
                <c:pt idx="7">
                  <c:v>81.379152197982009</c:v>
                </c:pt>
                <c:pt idx="8">
                  <c:v>81.640726337798526</c:v>
                </c:pt>
                <c:pt idx="9">
                  <c:v>81.487615016463181</c:v>
                </c:pt>
                <c:pt idx="10">
                  <c:v>80.881074085331079</c:v>
                </c:pt>
                <c:pt idx="11">
                  <c:v>80.824423906608786</c:v>
                </c:pt>
                <c:pt idx="12">
                  <c:v>81.766481627543868</c:v>
                </c:pt>
                <c:pt idx="13">
                  <c:v>82.679825098038521</c:v>
                </c:pt>
                <c:pt idx="14">
                  <c:v>82.914477092800396</c:v>
                </c:pt>
                <c:pt idx="15">
                  <c:v>83.24998780255703</c:v>
                </c:pt>
                <c:pt idx="16">
                  <c:v>83.56216353159968</c:v>
                </c:pt>
                <c:pt idx="17">
                  <c:v>83.626868289220013</c:v>
                </c:pt>
                <c:pt idx="18">
                  <c:v>83.624087252310645</c:v>
                </c:pt>
              </c:numCache>
            </c:numRef>
          </c:val>
          <c:smooth val="0"/>
          <c:extLst>
            <c:ext xmlns:c16="http://schemas.microsoft.com/office/drawing/2014/chart" uri="{C3380CC4-5D6E-409C-BE32-E72D297353CC}">
              <c16:uniqueId val="{00000017-7FF4-49CA-865B-C444FCF4F0F8}"/>
            </c:ext>
          </c:extLst>
        </c:ser>
        <c:dLbls>
          <c:showLegendKey val="0"/>
          <c:showVal val="0"/>
          <c:showCatName val="0"/>
          <c:showSerName val="0"/>
          <c:showPercent val="0"/>
          <c:showBubbleSize val="0"/>
        </c:dLbls>
        <c:marker val="1"/>
        <c:smooth val="0"/>
        <c:axId val="142966144"/>
        <c:axId val="142964608"/>
      </c:lineChart>
      <c:catAx>
        <c:axId val="142944896"/>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18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963072"/>
        <c:crossesAt val="60"/>
        <c:auto val="1"/>
        <c:lblAlgn val="ctr"/>
        <c:lblOffset val="10"/>
        <c:noMultiLvlLbl val="0"/>
      </c:catAx>
      <c:valAx>
        <c:axId val="142963072"/>
        <c:scaling>
          <c:orientation val="minMax"/>
          <c:max val="150"/>
          <c:min val="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42944896"/>
        <c:crosses val="autoZero"/>
        <c:crossBetween val="between"/>
        <c:majorUnit val="10"/>
      </c:valAx>
      <c:valAx>
        <c:axId val="142964608"/>
        <c:scaling>
          <c:orientation val="minMax"/>
        </c:scaling>
        <c:delete val="0"/>
        <c:axPos val="r"/>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42966144"/>
        <c:crosses val="max"/>
        <c:crossBetween val="between"/>
      </c:valAx>
      <c:catAx>
        <c:axId val="142966144"/>
        <c:scaling>
          <c:orientation val="minMax"/>
        </c:scaling>
        <c:delete val="1"/>
        <c:axPos val="b"/>
        <c:numFmt formatCode="General" sourceLinked="1"/>
        <c:majorTickMark val="out"/>
        <c:minorTickMark val="none"/>
        <c:tickLblPos val="none"/>
        <c:crossAx val="142964608"/>
        <c:crosses val="autoZero"/>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6.1502446727156962E-2"/>
          <c:y val="0.80937337479269578"/>
          <c:w val="0.88586022306097278"/>
          <c:h val="0.17993331914591773"/>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0.05963</cdr:x>
      <cdr:y>0.93058</cdr:y>
    </cdr:from>
    <cdr:to>
      <cdr:x>0.96744</cdr:x>
      <cdr:y>0.93429</cdr:y>
    </cdr:to>
    <cdr:cxnSp macro="">
      <cdr:nvCxnSpPr>
        <cdr:cNvPr id="3" name="Přímá spojnice 2"/>
        <cdr:cNvCxnSpPr/>
      </cdr:nvCxnSpPr>
      <cdr:spPr>
        <a:xfrm xmlns:a="http://schemas.openxmlformats.org/drawingml/2006/main" flipV="1">
          <a:off x="270859" y="3230549"/>
          <a:ext cx="4123581" cy="12893"/>
        </a:xfrm>
        <a:prstGeom xmlns:a="http://schemas.openxmlformats.org/drawingml/2006/main" prst="line">
          <a:avLst/>
        </a:prstGeom>
        <a:ln xmlns:a="http://schemas.openxmlformats.org/drawingml/2006/main" w="3175">
          <a:solidFill>
            <a:schemeClr val="tx1">
              <a:lumMod val="95000"/>
              <a:lumOff val="5000"/>
            </a:schemeClr>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0.03542</cdr:x>
      <cdr:y>0</cdr:y>
    </cdr:from>
    <cdr:to>
      <cdr:x>0.30484</cdr:x>
      <cdr:y>0.08031</cdr:y>
    </cdr:to>
    <cdr:sp macro="" textlink="">
      <cdr:nvSpPr>
        <cdr:cNvPr id="2" name="TextovéPole 1"/>
        <cdr:cNvSpPr txBox="1"/>
      </cdr:nvSpPr>
      <cdr:spPr>
        <a:xfrm xmlns:a="http://schemas.openxmlformats.org/drawingml/2006/main">
          <a:off x="88208" y="0"/>
          <a:ext cx="670891" cy="2965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a:latin typeface="Arial" panose="020B0604020202020204" pitchFamily="34" charset="0"/>
              <a:cs typeface="Arial" panose="020B0604020202020204" pitchFamily="34" charset="0"/>
            </a:rPr>
            <a:t>Muži</a:t>
          </a:r>
        </a:p>
      </cdr:txBody>
    </cdr:sp>
  </cdr:relSizeAnchor>
  <cdr:relSizeAnchor xmlns:cdr="http://schemas.openxmlformats.org/drawingml/2006/chartDrawing">
    <cdr:from>
      <cdr:x>0.65265</cdr:x>
      <cdr:y>0.37302</cdr:y>
    </cdr:from>
    <cdr:to>
      <cdr:x>0.8418</cdr:x>
      <cdr:y>0.41246</cdr:y>
    </cdr:to>
    <cdr:sp macro="" textlink="">
      <cdr:nvSpPr>
        <cdr:cNvPr id="4" name="Přímá spojovací šipka 3"/>
        <cdr:cNvSpPr/>
      </cdr:nvSpPr>
      <cdr:spPr>
        <a:xfrm xmlns:a="http://schemas.openxmlformats.org/drawingml/2006/main" flipV="1">
          <a:off x="1478909" y="1195439"/>
          <a:ext cx="428626" cy="126387"/>
        </a:xfrm>
        <a:prstGeom xmlns:a="http://schemas.openxmlformats.org/drawingml/2006/main" prst="straightConnector1">
          <a:avLst/>
        </a:prstGeom>
        <a:ln xmlns:a="http://schemas.openxmlformats.org/drawingml/2006/main">
          <a:solidFill>
            <a:schemeClr val="tx1">
              <a:lumMod val="95000"/>
              <a:lumOff val="5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0.25568</cdr:x>
      <cdr:y>0.25601</cdr:y>
    </cdr:from>
    <cdr:to>
      <cdr:x>0.73817</cdr:x>
      <cdr:y>0.53463</cdr:y>
    </cdr:to>
    <cdr:sp macro="" textlink="">
      <cdr:nvSpPr>
        <cdr:cNvPr id="5" name="TextovéPole 4"/>
        <cdr:cNvSpPr txBox="1"/>
      </cdr:nvSpPr>
      <cdr:spPr>
        <a:xfrm xmlns:a="http://schemas.openxmlformats.org/drawingml/2006/main">
          <a:off x="579367" y="820443"/>
          <a:ext cx="1093344" cy="89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750">
              <a:latin typeface="Arial" pitchFamily="34" charset="0"/>
              <a:cs typeface="Arial" pitchFamily="34" charset="0"/>
            </a:rPr>
            <a:t>všichni zaměstnanci na trhu práce v ČR</a:t>
          </a:r>
        </a:p>
        <a:p xmlns:a="http://schemas.openxmlformats.org/drawingml/2006/main">
          <a:pPr algn="ctr"/>
          <a:endParaRPr lang="cs-CZ" sz="500">
            <a:latin typeface="Arial" pitchFamily="34" charset="0"/>
            <a:cs typeface="Arial" pitchFamily="34" charset="0"/>
          </a:endParaRPr>
        </a:p>
        <a:p xmlns:a="http://schemas.openxmlformats.org/drawingml/2006/main">
          <a:pPr algn="ctr"/>
          <a:r>
            <a:rPr lang="cs-CZ" sz="750">
              <a:latin typeface="Arial" pitchFamily="34" charset="0"/>
              <a:cs typeface="Arial" pitchFamily="34" charset="0"/>
            </a:rPr>
            <a:t>z toho cizinci:</a:t>
          </a:r>
        </a:p>
        <a:p xmlns:a="http://schemas.openxmlformats.org/drawingml/2006/main">
          <a:pPr algn="ctr"/>
          <a:r>
            <a:rPr lang="cs-CZ" sz="750">
              <a:latin typeface="Arial" pitchFamily="34" charset="0"/>
              <a:cs typeface="Arial" pitchFamily="34" charset="0"/>
            </a:rPr>
            <a:t>ze států EU15</a:t>
          </a:r>
        </a:p>
        <a:p xmlns:a="http://schemas.openxmlformats.org/drawingml/2006/main">
          <a:pPr algn="ctr"/>
          <a:r>
            <a:rPr lang="cs-CZ" sz="750">
              <a:latin typeface="Arial" pitchFamily="34" charset="0"/>
              <a:cs typeface="Arial" pitchFamily="34" charset="0"/>
            </a:rPr>
            <a:t>z ostatních států EU</a:t>
          </a:r>
        </a:p>
        <a:p xmlns:a="http://schemas.openxmlformats.org/drawingml/2006/main">
          <a:pPr algn="ctr"/>
          <a:r>
            <a:rPr lang="cs-CZ" sz="750">
              <a:latin typeface="Arial" pitchFamily="34" charset="0"/>
              <a:cs typeface="Arial" pitchFamily="34" charset="0"/>
            </a:rPr>
            <a:t>ze států mimo EU</a:t>
          </a:r>
        </a:p>
        <a:p xmlns:a="http://schemas.openxmlformats.org/drawingml/2006/main">
          <a:pPr algn="ctr"/>
          <a:endParaRPr lang="cs-CZ" sz="750">
            <a:latin typeface="Arial" pitchFamily="34" charset="0"/>
            <a:cs typeface="Arial" pitchFamily="34" charset="0"/>
          </a:endParaRPr>
        </a:p>
        <a:p xmlns:a="http://schemas.openxmlformats.org/drawingml/2006/main">
          <a:pPr algn="ctr"/>
          <a:endParaRPr lang="cs-CZ" sz="750">
            <a:latin typeface="Arial" pitchFamily="34" charset="0"/>
            <a:cs typeface="Arial" pitchFamily="34" charset="0"/>
          </a:endParaRPr>
        </a:p>
      </cdr:txBody>
    </cdr:sp>
  </cdr:relSizeAnchor>
  <cdr:relSizeAnchor xmlns:cdr="http://schemas.openxmlformats.org/drawingml/2006/chartDrawing">
    <cdr:from>
      <cdr:x>0.58843</cdr:x>
      <cdr:y>0.2366</cdr:y>
    </cdr:from>
    <cdr:to>
      <cdr:x>0.7009</cdr:x>
      <cdr:y>0.2717</cdr:y>
    </cdr:to>
    <cdr:sp macro="" textlink="">
      <cdr:nvSpPr>
        <cdr:cNvPr id="6" name="Přímá spojovací šipka 5"/>
        <cdr:cNvSpPr/>
      </cdr:nvSpPr>
      <cdr:spPr>
        <a:xfrm xmlns:a="http://schemas.openxmlformats.org/drawingml/2006/main" flipV="1">
          <a:off x="1333398" y="758235"/>
          <a:ext cx="254841" cy="112505"/>
        </a:xfrm>
        <a:prstGeom xmlns:a="http://schemas.openxmlformats.org/drawingml/2006/main" prst="straightConnector1">
          <a:avLst/>
        </a:prstGeom>
        <a:noFill xmlns:a="http://schemas.openxmlformats.org/drawingml/2006/main"/>
        <a:ln xmlns:a="http://schemas.openxmlformats.org/drawingml/2006/main" w="6350" cap="flat" cmpd="sng" algn="ctr">
          <a:solidFill>
            <a:sysClr val="windowText" lastClr="000000">
              <a:lumMod val="95000"/>
              <a:lumOff val="5000"/>
            </a:sysClr>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0.69468</cdr:x>
      <cdr:y>0.38602</cdr:y>
    </cdr:from>
    <cdr:to>
      <cdr:x>0.90485</cdr:x>
      <cdr:y>0.43432</cdr:y>
    </cdr:to>
    <cdr:sp macro="" textlink="">
      <cdr:nvSpPr>
        <cdr:cNvPr id="8" name="Přímá spojovací šipka 7"/>
        <cdr:cNvSpPr/>
      </cdr:nvSpPr>
      <cdr:spPr>
        <a:xfrm xmlns:a="http://schemas.openxmlformats.org/drawingml/2006/main" flipV="1">
          <a:off x="1574159" y="1237112"/>
          <a:ext cx="476250" cy="154781"/>
        </a:xfrm>
        <a:prstGeom xmlns:a="http://schemas.openxmlformats.org/drawingml/2006/main" prst="straightConnector1">
          <a:avLst/>
        </a:prstGeom>
        <a:noFill xmlns:a="http://schemas.openxmlformats.org/drawingml/2006/main"/>
        <a:ln xmlns:a="http://schemas.openxmlformats.org/drawingml/2006/main" w="6350" cap="flat" cmpd="sng" algn="ctr">
          <a:solidFill>
            <a:sysClr val="windowText" lastClr="000000">
              <a:lumMod val="95000"/>
              <a:lumOff val="5000"/>
            </a:sysClr>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0.66578</cdr:x>
      <cdr:y>0.4046</cdr:y>
    </cdr:from>
    <cdr:to>
      <cdr:x>0.9679</cdr:x>
      <cdr:y>0.4789</cdr:y>
    </cdr:to>
    <cdr:sp macro="" textlink="">
      <cdr:nvSpPr>
        <cdr:cNvPr id="9" name="Přímá spojovací šipka 8"/>
        <cdr:cNvSpPr/>
      </cdr:nvSpPr>
      <cdr:spPr>
        <a:xfrm xmlns:a="http://schemas.openxmlformats.org/drawingml/2006/main" flipV="1">
          <a:off x="1508675" y="1296644"/>
          <a:ext cx="684609" cy="238124"/>
        </a:xfrm>
        <a:prstGeom xmlns:a="http://schemas.openxmlformats.org/drawingml/2006/main" prst="straightConnector1">
          <a:avLst/>
        </a:prstGeom>
        <a:noFill xmlns:a="http://schemas.openxmlformats.org/drawingml/2006/main"/>
        <a:ln xmlns:a="http://schemas.openxmlformats.org/drawingml/2006/main" w="6350" cap="flat" cmpd="sng" algn="ctr">
          <a:solidFill>
            <a:sysClr val="windowText" lastClr="000000">
              <a:lumMod val="95000"/>
              <a:lumOff val="5000"/>
            </a:sysClr>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0.0462</cdr:x>
      <cdr:y>2.70858E-7</cdr:y>
    </cdr:from>
    <cdr:to>
      <cdr:x>0.26073</cdr:x>
      <cdr:y>0.08076</cdr:y>
    </cdr:to>
    <cdr:sp macro="" textlink="">
      <cdr:nvSpPr>
        <cdr:cNvPr id="2" name="TextovéPole 1"/>
        <cdr:cNvSpPr txBox="1"/>
      </cdr:nvSpPr>
      <cdr:spPr>
        <a:xfrm xmlns:a="http://schemas.openxmlformats.org/drawingml/2006/main">
          <a:off x="115955" y="1"/>
          <a:ext cx="538369" cy="298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a:latin typeface="Arial" panose="020B0604020202020204" pitchFamily="34" charset="0"/>
              <a:cs typeface="Arial" panose="020B0604020202020204" pitchFamily="34" charset="0"/>
            </a:rPr>
            <a:t>Ženy</a:t>
          </a:r>
        </a:p>
      </cdr:txBody>
    </cdr:sp>
  </cdr:relSizeAnchor>
</c:userShapes>
</file>

<file path=word/drawings/drawing4.xml><?xml version="1.0" encoding="utf-8"?>
<c:userShapes xmlns:c="http://schemas.openxmlformats.org/drawingml/2006/chart">
  <cdr:relSizeAnchor xmlns:cdr="http://schemas.openxmlformats.org/drawingml/2006/chartDrawing">
    <cdr:from>
      <cdr:x>0.06691</cdr:x>
      <cdr:y>0.04051</cdr:y>
    </cdr:from>
    <cdr:to>
      <cdr:x>0.06707</cdr:x>
      <cdr:y>0.47374</cdr:y>
    </cdr:to>
    <cdr:cxnSp macro="">
      <cdr:nvCxnSpPr>
        <cdr:cNvPr id="3" name="Přímá spojnice 2"/>
        <cdr:cNvCxnSpPr/>
      </cdr:nvCxnSpPr>
      <cdr:spPr>
        <a:xfrm xmlns:a="http://schemas.openxmlformats.org/drawingml/2006/main">
          <a:off x="306823" y="141506"/>
          <a:ext cx="735" cy="1513338"/>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0.77787</cdr:x>
      <cdr:y>0.27388</cdr:y>
    </cdr:from>
    <cdr:to>
      <cdr:x>0.77807</cdr:x>
      <cdr:y>0.64568</cdr:y>
    </cdr:to>
    <cdr:cxnSp macro="">
      <cdr:nvCxnSpPr>
        <cdr:cNvPr id="4" name="Přímá spojnice 3"/>
        <cdr:cNvCxnSpPr/>
      </cdr:nvCxnSpPr>
      <cdr:spPr>
        <a:xfrm xmlns:a="http://schemas.openxmlformats.org/drawingml/2006/main" flipH="1">
          <a:off x="3567235" y="958399"/>
          <a:ext cx="954" cy="130105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0.93211</cdr:x>
      <cdr:y>0.22057</cdr:y>
    </cdr:from>
    <cdr:to>
      <cdr:x>0.93252</cdr:x>
      <cdr:y>0.65325</cdr:y>
    </cdr:to>
    <cdr:cxnSp macro="">
      <cdr:nvCxnSpPr>
        <cdr:cNvPr id="6" name="Přímá spojnice 5"/>
        <cdr:cNvCxnSpPr/>
      </cdr:nvCxnSpPr>
      <cdr:spPr>
        <a:xfrm xmlns:a="http://schemas.openxmlformats.org/drawingml/2006/main" flipH="1">
          <a:off x="4288119" y="770196"/>
          <a:ext cx="1903" cy="151087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0.90123</cdr:x>
      <cdr:y>0.11491</cdr:y>
    </cdr:from>
    <cdr:to>
      <cdr:x>0.90161</cdr:x>
      <cdr:y>0.62829</cdr:y>
    </cdr:to>
    <cdr:cxnSp macro="">
      <cdr:nvCxnSpPr>
        <cdr:cNvPr id="7" name="Přímá spojnice 6"/>
        <cdr:cNvCxnSpPr/>
      </cdr:nvCxnSpPr>
      <cdr:spPr>
        <a:xfrm xmlns:a="http://schemas.openxmlformats.org/drawingml/2006/main" flipH="1">
          <a:off x="4146052" y="401255"/>
          <a:ext cx="1752" cy="179264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0.96299</cdr:x>
      <cdr:y>0.26348</cdr:y>
    </cdr:from>
    <cdr:to>
      <cdr:x>0.96426</cdr:x>
      <cdr:y>0.6625</cdr:y>
    </cdr:to>
    <cdr:cxnSp macro="">
      <cdr:nvCxnSpPr>
        <cdr:cNvPr id="8" name="Přímá spojnice 7"/>
        <cdr:cNvCxnSpPr/>
      </cdr:nvCxnSpPr>
      <cdr:spPr>
        <a:xfrm xmlns:a="http://schemas.openxmlformats.org/drawingml/2006/main" flipH="1">
          <a:off x="4430187" y="920031"/>
          <a:ext cx="5847" cy="139333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0.09718</cdr:x>
      <cdr:y>0.0913</cdr:y>
    </cdr:from>
    <cdr:to>
      <cdr:x>0.09837</cdr:x>
      <cdr:y>0.50646</cdr:y>
    </cdr:to>
    <cdr:cxnSp macro="">
      <cdr:nvCxnSpPr>
        <cdr:cNvPr id="9" name="Přímá spojnice 8"/>
        <cdr:cNvCxnSpPr/>
      </cdr:nvCxnSpPr>
      <cdr:spPr>
        <a:xfrm xmlns:a="http://schemas.openxmlformats.org/drawingml/2006/main" flipH="1">
          <a:off x="445670" y="318925"/>
          <a:ext cx="5436" cy="1450219"/>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0.71662</cdr:x>
      <cdr:y>0.16683</cdr:y>
    </cdr:from>
    <cdr:to>
      <cdr:x>0.71699</cdr:x>
      <cdr:y>0.62373</cdr:y>
    </cdr:to>
    <cdr:cxnSp macro="">
      <cdr:nvCxnSpPr>
        <cdr:cNvPr id="10" name="Přímá spojnice 9"/>
        <cdr:cNvCxnSpPr/>
      </cdr:nvCxnSpPr>
      <cdr:spPr>
        <a:xfrm xmlns:a="http://schemas.openxmlformats.org/drawingml/2006/main">
          <a:off x="3286361" y="583807"/>
          <a:ext cx="1681" cy="1598834"/>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0.74631</cdr:x>
      <cdr:y>0.26507</cdr:y>
    </cdr:from>
    <cdr:to>
      <cdr:x>0.74692</cdr:x>
      <cdr:y>0.63734</cdr:y>
    </cdr:to>
    <cdr:cxnSp macro="">
      <cdr:nvCxnSpPr>
        <cdr:cNvPr id="11" name="Přímá spojnice 10"/>
        <cdr:cNvCxnSpPr/>
      </cdr:nvCxnSpPr>
      <cdr:spPr>
        <a:xfrm xmlns:a="http://schemas.openxmlformats.org/drawingml/2006/main" flipH="1">
          <a:off x="3422513" y="927582"/>
          <a:ext cx="2801" cy="1302684"/>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0.40614</cdr:x>
      <cdr:y>0.54395</cdr:y>
    </cdr:from>
    <cdr:to>
      <cdr:x>0.4077</cdr:x>
      <cdr:y>0.69801</cdr:y>
    </cdr:to>
    <cdr:cxnSp macro="">
      <cdr:nvCxnSpPr>
        <cdr:cNvPr id="12" name="Přímá spojnice 11"/>
        <cdr:cNvCxnSpPr/>
      </cdr:nvCxnSpPr>
      <cdr:spPr>
        <a:xfrm xmlns:a="http://schemas.openxmlformats.org/drawingml/2006/main">
          <a:off x="1862514" y="1900113"/>
          <a:ext cx="7144" cy="538162"/>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0.34447</cdr:x>
      <cdr:y>0.23121</cdr:y>
    </cdr:from>
    <cdr:to>
      <cdr:x>0.34487</cdr:x>
      <cdr:y>0.68506</cdr:y>
    </cdr:to>
    <cdr:cxnSp macro="">
      <cdr:nvCxnSpPr>
        <cdr:cNvPr id="13" name="Přímá spojnice 12"/>
        <cdr:cNvCxnSpPr/>
      </cdr:nvCxnSpPr>
      <cdr:spPr>
        <a:xfrm xmlns:a="http://schemas.openxmlformats.org/drawingml/2006/main">
          <a:off x="1579691" y="807647"/>
          <a:ext cx="1835" cy="1585385"/>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0.3755</cdr:x>
      <cdr:y>0.50578</cdr:y>
    </cdr:from>
    <cdr:to>
      <cdr:x>0.37602</cdr:x>
      <cdr:y>0.6912</cdr:y>
    </cdr:to>
    <cdr:cxnSp macro="">
      <cdr:nvCxnSpPr>
        <cdr:cNvPr id="14" name="Přímá spojnice 13"/>
        <cdr:cNvCxnSpPr/>
      </cdr:nvCxnSpPr>
      <cdr:spPr>
        <a:xfrm xmlns:a="http://schemas.openxmlformats.org/drawingml/2006/main">
          <a:off x="1722020" y="1766763"/>
          <a:ext cx="2381" cy="64770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0.43652</cdr:x>
      <cdr:y>0.21948</cdr:y>
    </cdr:from>
    <cdr:to>
      <cdr:x>0.43781</cdr:x>
      <cdr:y>0.63257</cdr:y>
    </cdr:to>
    <cdr:cxnSp macro="">
      <cdr:nvCxnSpPr>
        <cdr:cNvPr id="15" name="Přímá spojnice 14"/>
        <cdr:cNvCxnSpPr/>
      </cdr:nvCxnSpPr>
      <cdr:spPr>
        <a:xfrm xmlns:a="http://schemas.openxmlformats.org/drawingml/2006/main">
          <a:off x="2001838" y="766684"/>
          <a:ext cx="5932" cy="1442991"/>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0.46845</cdr:x>
      <cdr:y>0.26342</cdr:y>
    </cdr:from>
    <cdr:to>
      <cdr:x>0.46881</cdr:x>
      <cdr:y>0.65643</cdr:y>
    </cdr:to>
    <cdr:cxnSp macro="">
      <cdr:nvCxnSpPr>
        <cdr:cNvPr id="16" name="Přímá spojnice 15"/>
        <cdr:cNvCxnSpPr/>
      </cdr:nvCxnSpPr>
      <cdr:spPr>
        <a:xfrm xmlns:a="http://schemas.openxmlformats.org/drawingml/2006/main" flipH="1">
          <a:off x="2148264" y="920170"/>
          <a:ext cx="1684" cy="1372849"/>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0.4996</cdr:x>
      <cdr:y>0.35664</cdr:y>
    </cdr:from>
    <cdr:to>
      <cdr:x>0.50027</cdr:x>
      <cdr:y>0.67279</cdr:y>
    </cdr:to>
    <cdr:cxnSp macro="">
      <cdr:nvCxnSpPr>
        <cdr:cNvPr id="17" name="Přímá spojnice 16"/>
        <cdr:cNvCxnSpPr/>
      </cdr:nvCxnSpPr>
      <cdr:spPr>
        <a:xfrm xmlns:a="http://schemas.openxmlformats.org/drawingml/2006/main" flipH="1">
          <a:off x="2291139" y="1245792"/>
          <a:ext cx="3064" cy="110437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0.59237</cdr:x>
      <cdr:y>0.28589</cdr:y>
    </cdr:from>
    <cdr:to>
      <cdr:x>0.59298</cdr:x>
      <cdr:y>0.65175</cdr:y>
    </cdr:to>
    <cdr:cxnSp macro="">
      <cdr:nvCxnSpPr>
        <cdr:cNvPr id="18" name="Přímá spojnice 17"/>
        <cdr:cNvCxnSpPr/>
      </cdr:nvCxnSpPr>
      <cdr:spPr>
        <a:xfrm xmlns:a="http://schemas.openxmlformats.org/drawingml/2006/main">
          <a:off x="2716542" y="1000421"/>
          <a:ext cx="2802" cy="1280272"/>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0.62291</cdr:x>
      <cdr:y>0.04643</cdr:y>
    </cdr:from>
    <cdr:to>
      <cdr:x>0.62297</cdr:x>
      <cdr:y>0.64294</cdr:y>
    </cdr:to>
    <cdr:cxnSp macro="">
      <cdr:nvCxnSpPr>
        <cdr:cNvPr id="19" name="Přímá spojnice 18"/>
        <cdr:cNvCxnSpPr/>
      </cdr:nvCxnSpPr>
      <cdr:spPr>
        <a:xfrm xmlns:a="http://schemas.openxmlformats.org/drawingml/2006/main" flipH="1">
          <a:off x="2856616" y="162480"/>
          <a:ext cx="253" cy="208739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0.65407</cdr:x>
      <cdr:y>0.18824</cdr:y>
    </cdr:from>
    <cdr:to>
      <cdr:x>0.65415</cdr:x>
      <cdr:y>0.66136</cdr:y>
    </cdr:to>
    <cdr:cxnSp macro="">
      <cdr:nvCxnSpPr>
        <cdr:cNvPr id="20" name="Přímá spojnice 19"/>
        <cdr:cNvCxnSpPr/>
      </cdr:nvCxnSpPr>
      <cdr:spPr>
        <a:xfrm xmlns:a="http://schemas.openxmlformats.org/drawingml/2006/main" flipH="1">
          <a:off x="2999491" y="658708"/>
          <a:ext cx="397" cy="1655602"/>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0.68473</cdr:x>
      <cdr:y>0.23478</cdr:y>
    </cdr:from>
    <cdr:to>
      <cdr:x>0.68522</cdr:x>
      <cdr:y>0.67337</cdr:y>
    </cdr:to>
    <cdr:cxnSp macro="">
      <cdr:nvCxnSpPr>
        <cdr:cNvPr id="21" name="Přímá spojnice 20"/>
        <cdr:cNvCxnSpPr/>
      </cdr:nvCxnSpPr>
      <cdr:spPr>
        <a:xfrm xmlns:a="http://schemas.openxmlformats.org/drawingml/2006/main">
          <a:off x="3140103" y="821562"/>
          <a:ext cx="2263" cy="153477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0.77787</cdr:x>
      <cdr:y>0.21842</cdr:y>
    </cdr:from>
    <cdr:to>
      <cdr:x>0.77787</cdr:x>
      <cdr:y>0.27052</cdr:y>
    </cdr:to>
    <cdr:cxnSp macro="">
      <cdr:nvCxnSpPr>
        <cdr:cNvPr id="29" name="Přímá spojnice 28"/>
        <cdr:cNvCxnSpPr/>
      </cdr:nvCxnSpPr>
      <cdr:spPr>
        <a:xfrm xmlns:a="http://schemas.openxmlformats.org/drawingml/2006/main" flipV="1">
          <a:off x="3581422" y="764560"/>
          <a:ext cx="0" cy="182395"/>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0.71686</cdr:x>
      <cdr:y>0.11925</cdr:y>
    </cdr:from>
    <cdr:to>
      <cdr:x>0.71686</cdr:x>
      <cdr:y>0.17136</cdr:y>
    </cdr:to>
    <cdr:cxnSp macro="">
      <cdr:nvCxnSpPr>
        <cdr:cNvPr id="37" name="Přímá spojnice 36"/>
        <cdr:cNvCxnSpPr/>
      </cdr:nvCxnSpPr>
      <cdr:spPr>
        <a:xfrm xmlns:a="http://schemas.openxmlformats.org/drawingml/2006/main" flipV="1">
          <a:off x="3287461" y="417304"/>
          <a:ext cx="0" cy="182335"/>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0.74687</cdr:x>
      <cdr:y>0.21463</cdr:y>
    </cdr:from>
    <cdr:to>
      <cdr:x>0.74687</cdr:x>
      <cdr:y>0.26673</cdr:y>
    </cdr:to>
    <cdr:cxnSp macro="">
      <cdr:nvCxnSpPr>
        <cdr:cNvPr id="38" name="Přímá spojnice 37"/>
        <cdr:cNvCxnSpPr/>
      </cdr:nvCxnSpPr>
      <cdr:spPr>
        <a:xfrm xmlns:a="http://schemas.openxmlformats.org/drawingml/2006/main" flipV="1">
          <a:off x="3425106" y="751052"/>
          <a:ext cx="0" cy="182335"/>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0.56121</cdr:x>
      <cdr:y>0.25227</cdr:y>
    </cdr:from>
    <cdr:to>
      <cdr:x>0.56121</cdr:x>
      <cdr:y>0.65095</cdr:y>
    </cdr:to>
    <cdr:cxnSp macro="">
      <cdr:nvCxnSpPr>
        <cdr:cNvPr id="44" name="Přímá spojnice 43"/>
        <cdr:cNvCxnSpPr/>
      </cdr:nvCxnSpPr>
      <cdr:spPr>
        <a:xfrm xmlns:a="http://schemas.openxmlformats.org/drawingml/2006/main">
          <a:off x="2573667" y="882759"/>
          <a:ext cx="0" cy="1395132"/>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0.53006</cdr:x>
      <cdr:y>0.12417</cdr:y>
    </cdr:from>
    <cdr:to>
      <cdr:x>0.53128</cdr:x>
      <cdr:y>0.65736</cdr:y>
    </cdr:to>
    <cdr:cxnSp macro="">
      <cdr:nvCxnSpPr>
        <cdr:cNvPr id="45" name="Přímá spojnice 44"/>
        <cdr:cNvCxnSpPr/>
      </cdr:nvCxnSpPr>
      <cdr:spPr>
        <a:xfrm xmlns:a="http://schemas.openxmlformats.org/drawingml/2006/main" flipH="1">
          <a:off x="2430792" y="434524"/>
          <a:ext cx="5604" cy="1865779"/>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0.53166</cdr:x>
      <cdr:y>0.06979</cdr:y>
    </cdr:from>
    <cdr:to>
      <cdr:x>0.53166</cdr:x>
      <cdr:y>0.12189</cdr:y>
    </cdr:to>
    <cdr:cxnSp macro="">
      <cdr:nvCxnSpPr>
        <cdr:cNvPr id="50" name="Přímá spojnice 49"/>
        <cdr:cNvCxnSpPr/>
      </cdr:nvCxnSpPr>
      <cdr:spPr>
        <a:xfrm xmlns:a="http://schemas.openxmlformats.org/drawingml/2006/main" flipV="1">
          <a:off x="2438148" y="243778"/>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0.59266</cdr:x>
      <cdr:y>0.23671</cdr:y>
    </cdr:from>
    <cdr:to>
      <cdr:x>0.59266</cdr:x>
      <cdr:y>0.28882</cdr:y>
    </cdr:to>
    <cdr:cxnSp macro="">
      <cdr:nvCxnSpPr>
        <cdr:cNvPr id="51" name="Přímá spojnice 50"/>
        <cdr:cNvCxnSpPr/>
      </cdr:nvCxnSpPr>
      <cdr:spPr>
        <a:xfrm xmlns:a="http://schemas.openxmlformats.org/drawingml/2006/main" flipV="1">
          <a:off x="2717876" y="826870"/>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0.56082</cdr:x>
      <cdr:y>0.1971</cdr:y>
    </cdr:from>
    <cdr:to>
      <cdr:x>0.56082</cdr:x>
      <cdr:y>0.2492</cdr:y>
    </cdr:to>
    <cdr:cxnSp macro="">
      <cdr:nvCxnSpPr>
        <cdr:cNvPr id="52" name="Přímá spojnice 51"/>
        <cdr:cNvCxnSpPr/>
      </cdr:nvCxnSpPr>
      <cdr:spPr>
        <a:xfrm xmlns:a="http://schemas.openxmlformats.org/drawingml/2006/main" flipV="1">
          <a:off x="2571873" y="688495"/>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0.12834</cdr:x>
      <cdr:y>0.18538</cdr:y>
    </cdr:from>
    <cdr:to>
      <cdr:x>0.12938</cdr:x>
      <cdr:y>0.51328</cdr:y>
    </cdr:to>
    <cdr:cxnSp macro="">
      <cdr:nvCxnSpPr>
        <cdr:cNvPr id="53" name="Přímá spojnice 52"/>
        <cdr:cNvCxnSpPr/>
      </cdr:nvCxnSpPr>
      <cdr:spPr>
        <a:xfrm xmlns:a="http://schemas.openxmlformats.org/drawingml/2006/main">
          <a:off x="588572" y="647580"/>
          <a:ext cx="4736" cy="114537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0.15947</cdr:x>
      <cdr:y>0.26391</cdr:y>
    </cdr:from>
    <cdr:to>
      <cdr:x>0.16001</cdr:x>
      <cdr:y>0.5978</cdr:y>
    </cdr:to>
    <cdr:cxnSp macro="">
      <cdr:nvCxnSpPr>
        <cdr:cNvPr id="54" name="Přímá spojnice 53"/>
        <cdr:cNvCxnSpPr/>
      </cdr:nvCxnSpPr>
      <cdr:spPr>
        <a:xfrm xmlns:a="http://schemas.openxmlformats.org/drawingml/2006/main">
          <a:off x="731320" y="921895"/>
          <a:ext cx="2481" cy="1166337"/>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0.19029</cdr:x>
      <cdr:y>0.42246</cdr:y>
    </cdr:from>
    <cdr:to>
      <cdr:x>0.19065</cdr:x>
      <cdr:y>0.64075</cdr:y>
    </cdr:to>
    <cdr:cxnSp macro="">
      <cdr:nvCxnSpPr>
        <cdr:cNvPr id="55" name="Přímá spojnice 54"/>
        <cdr:cNvCxnSpPr/>
      </cdr:nvCxnSpPr>
      <cdr:spPr>
        <a:xfrm xmlns:a="http://schemas.openxmlformats.org/drawingml/2006/main">
          <a:off x="872660" y="1475729"/>
          <a:ext cx="1635" cy="762521"/>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0.22128</cdr:x>
      <cdr:y>0.40421</cdr:y>
    </cdr:from>
    <cdr:to>
      <cdr:x>0.22128</cdr:x>
      <cdr:y>0.65029</cdr:y>
    </cdr:to>
    <cdr:cxnSp macro="">
      <cdr:nvCxnSpPr>
        <cdr:cNvPr id="56" name="Přímá spojnice 55"/>
        <cdr:cNvCxnSpPr/>
      </cdr:nvCxnSpPr>
      <cdr:spPr>
        <a:xfrm xmlns:a="http://schemas.openxmlformats.org/drawingml/2006/main">
          <a:off x="1014789" y="1411957"/>
          <a:ext cx="0" cy="859631"/>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0.25244</cdr:x>
      <cdr:y>0.20937</cdr:y>
    </cdr:from>
    <cdr:to>
      <cdr:x>0.25251</cdr:x>
      <cdr:y>0.63189</cdr:y>
    </cdr:to>
    <cdr:cxnSp macro="">
      <cdr:nvCxnSpPr>
        <cdr:cNvPr id="57" name="Přímá spojnice 56"/>
        <cdr:cNvCxnSpPr/>
      </cdr:nvCxnSpPr>
      <cdr:spPr>
        <a:xfrm xmlns:a="http://schemas.openxmlformats.org/drawingml/2006/main" flipH="1">
          <a:off x="1157664" y="731379"/>
          <a:ext cx="310" cy="1475915"/>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0.28256</cdr:x>
      <cdr:y>0.23689</cdr:y>
    </cdr:from>
    <cdr:to>
      <cdr:x>0.28375</cdr:x>
      <cdr:y>0.65166</cdr:y>
    </cdr:to>
    <cdr:cxnSp macro="">
      <cdr:nvCxnSpPr>
        <cdr:cNvPr id="58" name="Přímá spojnice 57"/>
        <cdr:cNvCxnSpPr/>
      </cdr:nvCxnSpPr>
      <cdr:spPr>
        <a:xfrm xmlns:a="http://schemas.openxmlformats.org/drawingml/2006/main" flipH="1">
          <a:off x="1295776" y="827500"/>
          <a:ext cx="5483" cy="1448850"/>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0.31384</cdr:x>
      <cdr:y>0.23763</cdr:y>
    </cdr:from>
    <cdr:to>
      <cdr:x>0.31423</cdr:x>
      <cdr:y>0.66938</cdr:y>
    </cdr:to>
    <cdr:cxnSp macro="">
      <cdr:nvCxnSpPr>
        <cdr:cNvPr id="59" name="Přímá spojnice 58"/>
        <cdr:cNvCxnSpPr/>
      </cdr:nvCxnSpPr>
      <cdr:spPr>
        <a:xfrm xmlns:a="http://schemas.openxmlformats.org/drawingml/2006/main">
          <a:off x="1439244" y="830075"/>
          <a:ext cx="1789" cy="1508188"/>
        </a:xfrm>
        <a:prstGeom xmlns:a="http://schemas.openxmlformats.org/drawingml/2006/main" prst="line">
          <a:avLst/>
        </a:prstGeom>
        <a:ln xmlns:a="http://schemas.openxmlformats.org/drawingml/2006/main" w="3175">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0.34421</cdr:x>
      <cdr:y>0.18083</cdr:y>
    </cdr:from>
    <cdr:to>
      <cdr:x>0.34421</cdr:x>
      <cdr:y>0.23294</cdr:y>
    </cdr:to>
    <cdr:cxnSp macro="">
      <cdr:nvCxnSpPr>
        <cdr:cNvPr id="75" name="Přímá spojnice 74"/>
        <cdr:cNvCxnSpPr/>
      </cdr:nvCxnSpPr>
      <cdr:spPr>
        <a:xfrm xmlns:a="http://schemas.openxmlformats.org/drawingml/2006/main" flipV="1">
          <a:off x="1578518" y="631675"/>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0.37554</cdr:x>
      <cdr:y>0.45305</cdr:y>
    </cdr:from>
    <cdr:to>
      <cdr:x>0.37554</cdr:x>
      <cdr:y>0.50516</cdr:y>
    </cdr:to>
    <cdr:cxnSp macro="">
      <cdr:nvCxnSpPr>
        <cdr:cNvPr id="76" name="Přímá spojnice 75"/>
        <cdr:cNvCxnSpPr/>
      </cdr:nvCxnSpPr>
      <cdr:spPr>
        <a:xfrm xmlns:a="http://schemas.openxmlformats.org/drawingml/2006/main" flipV="1">
          <a:off x="1722186" y="1582588"/>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0.40687</cdr:x>
      <cdr:y>0.4935</cdr:y>
    </cdr:from>
    <cdr:to>
      <cdr:x>0.40687</cdr:x>
      <cdr:y>0.54561</cdr:y>
    </cdr:to>
    <cdr:cxnSp macro="">
      <cdr:nvCxnSpPr>
        <cdr:cNvPr id="77" name="Přímá spojnice 76"/>
        <cdr:cNvCxnSpPr/>
      </cdr:nvCxnSpPr>
      <cdr:spPr>
        <a:xfrm xmlns:a="http://schemas.openxmlformats.org/drawingml/2006/main" flipV="1">
          <a:off x="1865854" y="1723876"/>
          <a:ext cx="0" cy="182014"/>
        </a:xfrm>
        <a:prstGeom xmlns:a="http://schemas.openxmlformats.org/drawingml/2006/main" prst="line">
          <a:avLst/>
        </a:prstGeom>
        <a:ln xmlns:a="http://schemas.openxmlformats.org/drawingml/2006/main" w="3175">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BBB60-103F-4A35-9511-FF8744AA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Anaýza ekonomického vývoje v roce 2017.dotx</Template>
  <TotalTime>1</TotalTime>
  <Pages>27</Pages>
  <Words>9523</Words>
  <Characters>56190</Characters>
  <Application>Microsoft Office Word</Application>
  <DocSecurity>0</DocSecurity>
  <Lines>468</Lines>
  <Paragraphs>131</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65582</CharactersWithSpaces>
  <SharedDoc>false</SharedDoc>
  <HLinks>
    <vt:vector size="18" baseType="variant">
      <vt:variant>
        <vt:i4>7602181</vt:i4>
      </vt:variant>
      <vt:variant>
        <vt:i4>11092</vt:i4>
      </vt:variant>
      <vt:variant>
        <vt:i4>1025</vt:i4>
      </vt:variant>
      <vt:variant>
        <vt:i4>1</vt:i4>
      </vt:variant>
      <vt:variant>
        <vt:lpwstr>msoFAAF</vt:lpwstr>
      </vt:variant>
      <vt:variant>
        <vt:lpwstr/>
      </vt:variant>
      <vt:variant>
        <vt:i4>7995509</vt:i4>
      </vt:variant>
      <vt:variant>
        <vt:i4>-1</vt:i4>
      </vt:variant>
      <vt:variant>
        <vt:i4>2058</vt:i4>
      </vt:variant>
      <vt:variant>
        <vt:i4>1</vt:i4>
      </vt:variant>
      <vt:variant>
        <vt:lpwstr>CSU RGB CZ logo-02</vt:lpwstr>
      </vt:variant>
      <vt:variant>
        <vt:lpwstr/>
      </vt:variant>
      <vt:variant>
        <vt:i4>7929973</vt:i4>
      </vt:variant>
      <vt:variant>
        <vt:i4>-1</vt:i4>
      </vt:variant>
      <vt:variant>
        <vt:i4>2059</vt:i4>
      </vt:variant>
      <vt:variant>
        <vt:i4>1</vt:i4>
      </vt:variant>
      <vt:variant>
        <vt:lpwstr>CSU RGB CZ logo-01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Mgr. Karolína Súkupová</dc:creator>
  <cp:lastModifiedBy>kamenicky3604</cp:lastModifiedBy>
  <cp:revision>3</cp:revision>
  <cp:lastPrinted>2014-07-17T14:07:00Z</cp:lastPrinted>
  <dcterms:created xsi:type="dcterms:W3CDTF">2019-09-11T12:28:00Z</dcterms:created>
  <dcterms:modified xsi:type="dcterms:W3CDTF">2019-09-11T12:29:00Z</dcterms:modified>
</cp:coreProperties>
</file>