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7B" w:rsidRPr="0022157B" w:rsidRDefault="0022157B" w:rsidP="0022157B">
      <w:pPr>
        <w:keepNext/>
        <w:keepLines/>
        <w:spacing w:line="288" w:lineRule="auto"/>
        <w:ind w:left="0" w:firstLine="0"/>
        <w:outlineLvl w:val="2"/>
        <w:rPr>
          <w:rFonts w:ascii="Arial" w:eastAsia="MS Gothic" w:hAnsi="Arial"/>
          <w:b/>
          <w:bCs/>
          <w:i/>
          <w:color w:val="0071BC"/>
          <w:lang w:val="cs-CZ"/>
        </w:rPr>
      </w:pPr>
      <w:bookmarkStart w:id="0" w:name="_Toc62658596"/>
      <w:proofErr w:type="spellStart"/>
      <w:r w:rsidRPr="0022157B">
        <w:rPr>
          <w:rFonts w:ascii="Arial" w:eastAsia="MS Gothic" w:hAnsi="Arial"/>
          <w:b/>
          <w:bCs/>
          <w:i/>
          <w:color w:val="0071BC"/>
          <w:lang w:val="cs-CZ"/>
        </w:rPr>
        <w:t>Methodological</w:t>
      </w:r>
      <w:proofErr w:type="spellEnd"/>
      <w:r w:rsidRPr="0022157B">
        <w:rPr>
          <w:rFonts w:ascii="Arial" w:eastAsia="MS Gothic" w:hAnsi="Arial"/>
          <w:b/>
          <w:bCs/>
          <w:i/>
          <w:color w:val="0071BC"/>
          <w:lang w:val="cs-CZ"/>
        </w:rPr>
        <w:t xml:space="preserve"> notes</w:t>
      </w:r>
      <w:bookmarkEnd w:id="0"/>
    </w:p>
    <w:p w:rsidR="0022157B" w:rsidRPr="0022157B" w:rsidRDefault="0022157B" w:rsidP="0022157B">
      <w:pPr>
        <w:spacing w:after="240" w:line="288" w:lineRule="auto"/>
        <w:ind w:left="0" w:firstLine="0"/>
        <w:rPr>
          <w:rFonts w:ascii="Arial" w:eastAsia="MS Gothic" w:hAnsi="Arial"/>
          <w:b/>
          <w:bCs/>
          <w:color w:val="0071BC"/>
          <w:sz w:val="32"/>
          <w:szCs w:val="28"/>
          <w:lang w:val="cs-CZ"/>
        </w:rPr>
      </w:pPr>
    </w:p>
    <w:p w:rsidR="0022157B" w:rsidRPr="0022157B" w:rsidRDefault="0022157B" w:rsidP="0022157B">
      <w:pPr>
        <w:tabs>
          <w:tab w:val="left" w:pos="684"/>
        </w:tabs>
        <w:spacing w:line="240" w:lineRule="atLeast"/>
        <w:ind w:left="0" w:firstLine="709"/>
        <w:jc w:val="both"/>
        <w:rPr>
          <w:rFonts w:ascii="Arial" w:hAnsi="Arial" w:cs="Arial"/>
          <w:i/>
          <w:sz w:val="20"/>
          <w:szCs w:val="20"/>
          <w:lang w:val="cs-CZ"/>
        </w:rPr>
      </w:pPr>
      <w:r w:rsidRPr="0022157B">
        <w:rPr>
          <w:rFonts w:ascii="Arial" w:hAnsi="Arial" w:cs="Arial"/>
          <w:i/>
          <w:iCs/>
          <w:sz w:val="20"/>
          <w:szCs w:val="20"/>
          <w:lang w:val="en-GB"/>
        </w:rPr>
        <w:t xml:space="preserve">The Czech Statistical Office has been carrying out a </w:t>
      </w:r>
      <w:r w:rsidRPr="0022157B">
        <w:rPr>
          <w:rFonts w:ascii="Arial" w:hAnsi="Arial" w:cs="Arial"/>
          <w:b/>
          <w:bCs/>
          <w:i/>
          <w:iCs/>
          <w:sz w:val="20"/>
          <w:szCs w:val="20"/>
          <w:lang w:val="en-GB"/>
        </w:rPr>
        <w:t>statistical survey on the waste generation and management</w:t>
      </w:r>
      <w:r w:rsidRPr="0022157B">
        <w:rPr>
          <w:rFonts w:ascii="Arial" w:hAnsi="Arial" w:cs="Arial"/>
          <w:i/>
          <w:iCs/>
          <w:sz w:val="20"/>
          <w:szCs w:val="20"/>
          <w:lang w:val="en-GB"/>
        </w:rPr>
        <w:t xml:space="preserve"> every year, already since 1992. </w:t>
      </w:r>
      <w:r w:rsidRPr="0022157B">
        <w:rPr>
          <w:rFonts w:ascii="Arial" w:hAnsi="Arial" w:cs="Arial"/>
          <w:b/>
          <w:i/>
          <w:iCs/>
          <w:sz w:val="20"/>
          <w:szCs w:val="20"/>
          <w:lang w:val="en-GB"/>
        </w:rPr>
        <w:t>The scope and structure of the survey serve as a basis to ensure reporting duties of the Czech Republic following from the Regulation (EC) No 2150/2002 of the European Parliament and of the Council on waste statistics</w:t>
      </w:r>
      <w:r w:rsidRPr="0022157B">
        <w:rPr>
          <w:rFonts w:ascii="Arial" w:hAnsi="Arial" w:cs="Arial"/>
          <w:i/>
          <w:iCs/>
          <w:sz w:val="20"/>
          <w:szCs w:val="20"/>
          <w:lang w:val="en-GB"/>
        </w:rPr>
        <w:t>;</w:t>
      </w:r>
      <w:r w:rsidRPr="0022157B">
        <w:rPr>
          <w:rFonts w:ascii="Arial" w:hAnsi="Arial" w:cs="Arial"/>
          <w:b/>
          <w:i/>
          <w:iCs/>
          <w:sz w:val="20"/>
          <w:szCs w:val="20"/>
          <w:lang w:val="en-GB"/>
        </w:rPr>
        <w:t xml:space="preserve"> </w:t>
      </w:r>
      <w:r w:rsidRPr="0022157B">
        <w:rPr>
          <w:rFonts w:ascii="Arial" w:hAnsi="Arial" w:cs="Arial"/>
          <w:i/>
          <w:iCs/>
          <w:sz w:val="20"/>
          <w:szCs w:val="20"/>
          <w:lang w:val="en-GB"/>
        </w:rPr>
        <w:t>the Czech Statistical Office is the administrator thereto</w:t>
      </w:r>
      <w:r w:rsidRPr="0022157B">
        <w:rPr>
          <w:rFonts w:ascii="Arial" w:hAnsi="Arial" w:cs="Arial"/>
          <w:i/>
          <w:sz w:val="20"/>
          <w:szCs w:val="20"/>
          <w:lang w:val="cs-CZ"/>
        </w:rPr>
        <w:t xml:space="preserve">. In 2020,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process</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of</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modernizing</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methodology</w:t>
      </w:r>
      <w:proofErr w:type="spellEnd"/>
      <w:r w:rsidRPr="0022157B">
        <w:rPr>
          <w:rFonts w:ascii="Arial" w:hAnsi="Arial" w:cs="Arial"/>
          <w:i/>
          <w:sz w:val="20"/>
          <w:szCs w:val="20"/>
          <w:lang w:val="cs-CZ"/>
        </w:rPr>
        <w:t xml:space="preserve">, data </w:t>
      </w:r>
      <w:proofErr w:type="spellStart"/>
      <w:r w:rsidRPr="0022157B">
        <w:rPr>
          <w:rFonts w:ascii="Arial" w:hAnsi="Arial" w:cs="Arial"/>
          <w:i/>
          <w:sz w:val="20"/>
          <w:szCs w:val="20"/>
          <w:lang w:val="cs-CZ"/>
        </w:rPr>
        <w:t>collection</w:t>
      </w:r>
      <w:proofErr w:type="spellEnd"/>
      <w:r w:rsidRPr="0022157B">
        <w:rPr>
          <w:rFonts w:ascii="Arial" w:hAnsi="Arial" w:cs="Arial"/>
          <w:i/>
          <w:sz w:val="20"/>
          <w:szCs w:val="20"/>
          <w:lang w:val="cs-CZ"/>
        </w:rPr>
        <w:t xml:space="preserve"> and </w:t>
      </w:r>
      <w:proofErr w:type="spellStart"/>
      <w:r w:rsidRPr="0022157B">
        <w:rPr>
          <w:rFonts w:ascii="Arial" w:hAnsi="Arial" w:cs="Arial"/>
          <w:i/>
          <w:sz w:val="20"/>
          <w:szCs w:val="20"/>
          <w:lang w:val="cs-CZ"/>
        </w:rPr>
        <w:t>processing</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was</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completed</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which</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affects</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content</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of</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publication</w:t>
      </w:r>
      <w:proofErr w:type="spellEnd"/>
      <w:r w:rsidRPr="0022157B">
        <w:rPr>
          <w:rFonts w:ascii="Arial" w:hAnsi="Arial" w:cs="Arial"/>
          <w:i/>
          <w:sz w:val="20"/>
          <w:szCs w:val="20"/>
          <w:lang w:val="cs-CZ"/>
        </w:rPr>
        <w:t xml:space="preserve"> and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form</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of</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the</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presented</w:t>
      </w:r>
      <w:proofErr w:type="spellEnd"/>
      <w:r w:rsidRPr="0022157B">
        <w:rPr>
          <w:rFonts w:ascii="Arial" w:hAnsi="Arial" w:cs="Arial"/>
          <w:i/>
          <w:sz w:val="20"/>
          <w:szCs w:val="20"/>
          <w:lang w:val="cs-CZ"/>
        </w:rPr>
        <w:t xml:space="preserve"> </w:t>
      </w:r>
      <w:proofErr w:type="spellStart"/>
      <w:r w:rsidRPr="0022157B">
        <w:rPr>
          <w:rFonts w:ascii="Arial" w:hAnsi="Arial" w:cs="Arial"/>
          <w:i/>
          <w:sz w:val="20"/>
          <w:szCs w:val="20"/>
          <w:lang w:val="cs-CZ"/>
        </w:rPr>
        <w:t>results</w:t>
      </w:r>
      <w:proofErr w:type="spellEnd"/>
      <w:r w:rsidRPr="0022157B">
        <w:rPr>
          <w:rFonts w:ascii="Arial" w:hAnsi="Arial" w:cs="Arial"/>
          <w:i/>
          <w:sz w:val="20"/>
          <w:szCs w:val="20"/>
          <w:lang w:val="cs-CZ"/>
        </w:rPr>
        <w:t>.</w:t>
      </w:r>
    </w:p>
    <w:p w:rsidR="0022157B" w:rsidRPr="0022157B" w:rsidRDefault="0022157B" w:rsidP="0022157B">
      <w:pPr>
        <w:tabs>
          <w:tab w:val="left" w:pos="684"/>
        </w:tabs>
        <w:spacing w:line="240" w:lineRule="atLeast"/>
        <w:ind w:left="0" w:firstLine="709"/>
        <w:jc w:val="both"/>
        <w:rPr>
          <w:rFonts w:ascii="Arial" w:hAnsi="Arial" w:cs="Arial"/>
          <w:i/>
          <w:sz w:val="20"/>
          <w:szCs w:val="20"/>
          <w:lang w:val="cs-CZ"/>
        </w:rPr>
      </w:pPr>
    </w:p>
    <w:p w:rsidR="0022157B" w:rsidRPr="0022157B" w:rsidRDefault="0022157B" w:rsidP="0022157B">
      <w:pPr>
        <w:tabs>
          <w:tab w:val="left" w:pos="684"/>
        </w:tabs>
        <w:spacing w:line="240" w:lineRule="atLeast"/>
        <w:ind w:left="0" w:firstLine="709"/>
        <w:jc w:val="both"/>
        <w:rPr>
          <w:rFonts w:ascii="Arial" w:hAnsi="Arial" w:cs="Arial"/>
          <w:b/>
          <w:i/>
          <w:sz w:val="20"/>
          <w:szCs w:val="20"/>
          <w:lang w:val="cs-CZ"/>
        </w:rPr>
      </w:pPr>
      <w:r w:rsidRPr="0022157B">
        <w:rPr>
          <w:rFonts w:ascii="Arial" w:hAnsi="Arial" w:cs="Arial"/>
          <w:b/>
          <w:i/>
          <w:sz w:val="20"/>
          <w:szCs w:val="20"/>
          <w:lang w:val="en-GB"/>
        </w:rPr>
        <w:t>This publication differs from the previous ones as for the following:</w:t>
      </w:r>
      <w:r w:rsidRPr="0022157B">
        <w:rPr>
          <w:rFonts w:ascii="Arial" w:hAnsi="Arial" w:cs="Arial"/>
          <w:b/>
          <w:i/>
          <w:sz w:val="20"/>
          <w:szCs w:val="20"/>
          <w:lang w:val="cs-CZ"/>
        </w:rPr>
        <w:t xml:space="preserve"> </w:t>
      </w:r>
    </w:p>
    <w:p w:rsidR="0022157B" w:rsidRPr="0022157B" w:rsidRDefault="0022157B" w:rsidP="0022157B">
      <w:pPr>
        <w:tabs>
          <w:tab w:val="left" w:pos="684"/>
        </w:tabs>
        <w:spacing w:line="240" w:lineRule="atLeast"/>
        <w:ind w:left="0" w:firstLine="709"/>
        <w:jc w:val="both"/>
        <w:rPr>
          <w:rFonts w:ascii="Arial" w:hAnsi="Arial" w:cs="Arial"/>
          <w:b/>
          <w:i/>
          <w:sz w:val="20"/>
          <w:szCs w:val="20"/>
          <w:lang w:val="cs-CZ"/>
        </w:rPr>
      </w:pPr>
    </w:p>
    <w:p w:rsidR="0022157B" w:rsidRPr="0022157B" w:rsidRDefault="0022157B" w:rsidP="0022157B">
      <w:pPr>
        <w:numPr>
          <w:ilvl w:val="0"/>
          <w:numId w:val="4"/>
        </w:numPr>
        <w:tabs>
          <w:tab w:val="left" w:pos="684"/>
        </w:tabs>
        <w:spacing w:after="240" w:line="240" w:lineRule="atLeast"/>
        <w:jc w:val="both"/>
        <w:rPr>
          <w:rFonts w:ascii="Arial" w:hAnsi="Arial" w:cs="Arial"/>
          <w:i/>
          <w:sz w:val="20"/>
          <w:lang w:val="cs-CZ"/>
        </w:rPr>
      </w:pPr>
      <w:r w:rsidRPr="0022157B">
        <w:rPr>
          <w:rFonts w:ascii="Arial" w:hAnsi="Arial" w:cs="Arial"/>
          <w:i/>
          <w:sz w:val="20"/>
          <w:lang w:val="en-GB"/>
        </w:rPr>
        <w:t xml:space="preserve">Since 2017, processing of data from the </w:t>
      </w:r>
      <w:r w:rsidRPr="0022157B">
        <w:rPr>
          <w:rFonts w:ascii="Arial" w:hAnsi="Arial" w:cs="Arial"/>
          <w:i/>
          <w:sz w:val="20"/>
          <w:szCs w:val="20"/>
          <w:lang w:val="en-GB"/>
        </w:rPr>
        <w:t>Integrated Environmental Reporting System (</w:t>
      </w:r>
      <w:r w:rsidRPr="0022157B">
        <w:rPr>
          <w:rFonts w:ascii="Arial" w:hAnsi="Arial" w:cs="Arial"/>
          <w:i/>
          <w:iCs/>
          <w:sz w:val="20"/>
          <w:szCs w:val="20"/>
          <w:lang w:val="en-GB"/>
        </w:rPr>
        <w:t>administrative system of waste records</w:t>
      </w:r>
      <w:r w:rsidRPr="0022157B">
        <w:rPr>
          <w:rFonts w:ascii="Arial" w:hAnsi="Arial" w:cs="Arial"/>
          <w:i/>
          <w:sz w:val="20"/>
          <w:szCs w:val="20"/>
          <w:lang w:val="en-GB"/>
        </w:rPr>
        <w:t xml:space="preserve"> in Czech abbreviated as ISPOP)</w:t>
      </w:r>
      <w:r w:rsidRPr="0022157B">
        <w:rPr>
          <w:rFonts w:ascii="Arial" w:hAnsi="Arial" w:cs="Arial"/>
          <w:i/>
          <w:iCs/>
          <w:sz w:val="20"/>
          <w:szCs w:val="20"/>
          <w:lang w:val="en-GB"/>
        </w:rPr>
        <w:t xml:space="preserve"> </w:t>
      </w:r>
      <w:r w:rsidRPr="0022157B">
        <w:rPr>
          <w:rFonts w:ascii="Arial" w:hAnsi="Arial" w:cs="Arial"/>
          <w:i/>
          <w:sz w:val="20"/>
          <w:szCs w:val="20"/>
          <w:lang w:val="en-GB"/>
        </w:rPr>
        <w:t xml:space="preserve">of the Ministry of the Environment </w:t>
      </w:r>
      <w:proofErr w:type="gramStart"/>
      <w:r w:rsidRPr="0022157B">
        <w:rPr>
          <w:rFonts w:ascii="Arial" w:hAnsi="Arial" w:cs="Arial"/>
          <w:i/>
          <w:sz w:val="20"/>
          <w:szCs w:val="20"/>
          <w:lang w:val="en-GB"/>
        </w:rPr>
        <w:t>has been tested</w:t>
      </w:r>
      <w:proofErr w:type="gramEnd"/>
      <w:r w:rsidRPr="0022157B">
        <w:rPr>
          <w:rFonts w:ascii="Arial" w:hAnsi="Arial" w:cs="Arial"/>
          <w:i/>
          <w:sz w:val="20"/>
          <w:szCs w:val="20"/>
          <w:lang w:val="en-GB"/>
        </w:rPr>
        <w:t xml:space="preserve"> in order to reduce administrative burden of enterprises and duplications in monitoring of waste generation and management have been gradually eliminated</w:t>
      </w:r>
      <w:r w:rsidRPr="0022157B">
        <w:rPr>
          <w:rFonts w:ascii="Arial" w:hAnsi="Arial" w:cs="Arial"/>
          <w:i/>
          <w:sz w:val="20"/>
          <w:lang w:val="cs-CZ"/>
        </w:rPr>
        <w:t>.</w:t>
      </w:r>
    </w:p>
    <w:p w:rsidR="0022157B" w:rsidRPr="0022157B" w:rsidRDefault="0022157B" w:rsidP="0022157B">
      <w:pPr>
        <w:tabs>
          <w:tab w:val="left" w:pos="684"/>
        </w:tabs>
        <w:spacing w:line="240" w:lineRule="atLeast"/>
        <w:ind w:left="709" w:firstLine="0"/>
        <w:jc w:val="both"/>
        <w:rPr>
          <w:rFonts w:ascii="Arial" w:hAnsi="Arial" w:cs="Arial"/>
          <w:i/>
          <w:sz w:val="20"/>
          <w:lang w:val="cs-CZ"/>
        </w:rPr>
      </w:pPr>
    </w:p>
    <w:p w:rsidR="0022157B" w:rsidRPr="0022157B" w:rsidRDefault="0022157B" w:rsidP="0022157B">
      <w:pPr>
        <w:numPr>
          <w:ilvl w:val="0"/>
          <w:numId w:val="4"/>
        </w:numPr>
        <w:tabs>
          <w:tab w:val="left" w:pos="684"/>
        </w:tabs>
        <w:spacing w:after="240" w:line="240" w:lineRule="atLeast"/>
        <w:jc w:val="both"/>
        <w:rPr>
          <w:rFonts w:ascii="Arial" w:hAnsi="Arial" w:cs="Arial"/>
          <w:i/>
          <w:sz w:val="20"/>
          <w:szCs w:val="20"/>
          <w:lang w:val="en-GB"/>
        </w:rPr>
      </w:pPr>
      <w:r w:rsidRPr="0022157B">
        <w:rPr>
          <w:rFonts w:ascii="Arial" w:hAnsi="Arial" w:cs="Arial"/>
          <w:i/>
          <w:sz w:val="20"/>
          <w:szCs w:val="20"/>
          <w:lang w:val="en-GB"/>
        </w:rPr>
        <w:t xml:space="preserve">Having analysed the possibility to draw information and data from the Integrated Environmental Reporting System (ISPOP), the CZSO concluded that these data are usable for the purposes of compiling of European waste statistics.  </w:t>
      </w:r>
    </w:p>
    <w:p w:rsidR="0022157B" w:rsidRPr="0022157B" w:rsidRDefault="0022157B" w:rsidP="0022157B">
      <w:pPr>
        <w:ind w:left="720"/>
        <w:contextualSpacing/>
        <w:rPr>
          <w:rFonts w:ascii="Arial" w:hAnsi="Arial" w:cs="Arial"/>
          <w:i/>
          <w:sz w:val="20"/>
          <w:szCs w:val="20"/>
          <w:highlight w:val="yellow"/>
        </w:rPr>
      </w:pPr>
    </w:p>
    <w:p w:rsidR="0022157B" w:rsidRPr="0022157B" w:rsidRDefault="0022157B" w:rsidP="0022157B">
      <w:pPr>
        <w:numPr>
          <w:ilvl w:val="0"/>
          <w:numId w:val="4"/>
        </w:numPr>
        <w:tabs>
          <w:tab w:val="left" w:pos="684"/>
        </w:tabs>
        <w:spacing w:after="240" w:line="240" w:lineRule="atLeast"/>
        <w:jc w:val="both"/>
        <w:rPr>
          <w:rFonts w:ascii="Arial" w:hAnsi="Arial" w:cs="Arial"/>
          <w:i/>
          <w:sz w:val="20"/>
          <w:lang w:val="cs-CZ"/>
        </w:rPr>
      </w:pPr>
      <w:r w:rsidRPr="0022157B">
        <w:rPr>
          <w:rFonts w:ascii="Arial" w:hAnsi="Arial" w:cs="Arial"/>
          <w:i/>
          <w:sz w:val="20"/>
          <w:lang w:val="en-GB"/>
        </w:rPr>
        <w:t>Support in the form of data from the ISPOP system was used in 2018 for the first time ever; it enabled to reduce the sample size for the “</w:t>
      </w:r>
      <w:proofErr w:type="spellStart"/>
      <w:r w:rsidRPr="0022157B">
        <w:rPr>
          <w:rFonts w:ascii="Arial" w:hAnsi="Arial" w:cs="Arial"/>
          <w:i/>
          <w:sz w:val="20"/>
          <w:lang w:val="en-GB"/>
        </w:rPr>
        <w:t>Odp</w:t>
      </w:r>
      <w:proofErr w:type="spellEnd"/>
      <w:r w:rsidRPr="0022157B">
        <w:rPr>
          <w:rFonts w:ascii="Arial" w:hAnsi="Arial" w:cs="Arial"/>
          <w:i/>
          <w:sz w:val="20"/>
          <w:lang w:val="en-GB"/>
        </w:rPr>
        <w:t xml:space="preserve"> 5-01” statistical form (questionnaire) at first in the segment of municipalities (for the year 2018) and then in the set of enterprises, too (for the year 2019)</w:t>
      </w:r>
      <w:r w:rsidRPr="0022157B">
        <w:rPr>
          <w:rFonts w:ascii="Arial" w:hAnsi="Arial" w:cs="Arial"/>
          <w:i/>
          <w:sz w:val="20"/>
          <w:lang w:val="cs-CZ"/>
        </w:rPr>
        <w:t>.</w:t>
      </w:r>
    </w:p>
    <w:p w:rsidR="0022157B" w:rsidRPr="0022157B" w:rsidRDefault="0022157B" w:rsidP="0022157B">
      <w:pPr>
        <w:ind w:left="720"/>
        <w:contextualSpacing/>
        <w:rPr>
          <w:rFonts w:ascii="Arial" w:hAnsi="Arial" w:cs="Arial"/>
          <w:i/>
          <w:sz w:val="20"/>
        </w:rPr>
      </w:pPr>
    </w:p>
    <w:p w:rsidR="0022157B" w:rsidRPr="0022157B" w:rsidRDefault="0022157B" w:rsidP="0022157B">
      <w:pPr>
        <w:numPr>
          <w:ilvl w:val="0"/>
          <w:numId w:val="4"/>
        </w:numPr>
        <w:tabs>
          <w:tab w:val="left" w:pos="684"/>
        </w:tabs>
        <w:spacing w:after="240" w:line="240" w:lineRule="atLeast"/>
        <w:jc w:val="both"/>
        <w:rPr>
          <w:rFonts w:ascii="Arial" w:hAnsi="Arial" w:cs="Arial"/>
          <w:i/>
          <w:sz w:val="20"/>
          <w:lang w:val="cs-CZ"/>
        </w:rPr>
      </w:pPr>
      <w:r w:rsidRPr="0022157B">
        <w:rPr>
          <w:rFonts w:ascii="Arial" w:hAnsi="Arial" w:cs="Arial"/>
          <w:i/>
          <w:sz w:val="20"/>
          <w:lang w:val="en-GB"/>
        </w:rPr>
        <w:t xml:space="preserve">On the contrary, by using information from the information system of the Ministry of the Environment, it was possible to increase the scope of coverage of data on waste generation and management. The range of entities for which results </w:t>
      </w:r>
      <w:proofErr w:type="gramStart"/>
      <w:r w:rsidRPr="0022157B">
        <w:rPr>
          <w:rFonts w:ascii="Arial" w:hAnsi="Arial" w:cs="Arial"/>
          <w:i/>
          <w:sz w:val="20"/>
          <w:lang w:val="en-GB"/>
        </w:rPr>
        <w:t>are processed</w:t>
      </w:r>
      <w:proofErr w:type="gramEnd"/>
      <w:r w:rsidRPr="0022157B">
        <w:rPr>
          <w:rFonts w:ascii="Arial" w:hAnsi="Arial" w:cs="Arial"/>
          <w:i/>
          <w:sz w:val="20"/>
          <w:lang w:val="en-GB"/>
        </w:rPr>
        <w:t xml:space="preserve"> in this publication thus widened to the whole population that has the duty to report on waste generation and management, i.e. all businesses (economic entities) that in the reference period (year) generated over 100 tonnes of waste or over 100 kg of hazardous waste. The ISPOP system enables also via information about the “partner” to find out waste generation from entities that do not fill in reports on waste generation and management, however, which handover waste for further processing within the ISPOP</w:t>
      </w:r>
      <w:r w:rsidRPr="0022157B">
        <w:rPr>
          <w:rFonts w:ascii="Arial" w:hAnsi="Arial" w:cs="Arial"/>
          <w:i/>
          <w:sz w:val="20"/>
          <w:lang w:val="cs-CZ"/>
        </w:rPr>
        <w:t>.</w:t>
      </w:r>
    </w:p>
    <w:p w:rsidR="0022157B" w:rsidRPr="0022157B" w:rsidRDefault="0022157B" w:rsidP="0022157B">
      <w:pPr>
        <w:ind w:left="720"/>
        <w:contextualSpacing/>
        <w:rPr>
          <w:rFonts w:ascii="Arial" w:hAnsi="Arial" w:cs="Arial"/>
          <w:i/>
          <w:sz w:val="20"/>
        </w:rPr>
      </w:pPr>
    </w:p>
    <w:p w:rsidR="0022157B" w:rsidRPr="0022157B" w:rsidRDefault="0022157B" w:rsidP="0022157B">
      <w:pPr>
        <w:numPr>
          <w:ilvl w:val="0"/>
          <w:numId w:val="4"/>
        </w:numPr>
        <w:tabs>
          <w:tab w:val="left" w:pos="684"/>
        </w:tabs>
        <w:spacing w:after="240" w:line="240" w:lineRule="atLeast"/>
        <w:jc w:val="both"/>
        <w:rPr>
          <w:rFonts w:ascii="Arial" w:hAnsi="Arial" w:cs="Arial"/>
          <w:i/>
          <w:sz w:val="20"/>
          <w:szCs w:val="20"/>
          <w:lang w:val="cs-CZ"/>
        </w:rPr>
      </w:pPr>
      <w:r w:rsidRPr="0022157B">
        <w:rPr>
          <w:rFonts w:ascii="Arial" w:hAnsi="Arial" w:cs="Arial"/>
          <w:i/>
          <w:sz w:val="20"/>
          <w:lang w:val="en-GB"/>
        </w:rPr>
        <w:t xml:space="preserve">Data for entities to which the statistical form (questionnaire) </w:t>
      </w:r>
      <w:proofErr w:type="gramStart"/>
      <w:r w:rsidRPr="0022157B">
        <w:rPr>
          <w:rFonts w:ascii="Arial" w:hAnsi="Arial" w:cs="Arial"/>
          <w:i/>
          <w:sz w:val="20"/>
          <w:lang w:val="en-GB"/>
        </w:rPr>
        <w:t>was not sent</w:t>
      </w:r>
      <w:proofErr w:type="gramEnd"/>
      <w:r w:rsidRPr="0022157B">
        <w:rPr>
          <w:rFonts w:ascii="Arial" w:hAnsi="Arial" w:cs="Arial"/>
          <w:i/>
          <w:sz w:val="20"/>
          <w:lang w:val="en-GB"/>
        </w:rPr>
        <w:t xml:space="preserve"> were taken over from the ISPOP system. The sample of the “</w:t>
      </w:r>
      <w:proofErr w:type="spellStart"/>
      <w:r w:rsidRPr="0022157B">
        <w:rPr>
          <w:rFonts w:ascii="Arial" w:hAnsi="Arial" w:cs="Arial"/>
          <w:i/>
          <w:sz w:val="20"/>
          <w:lang w:val="en-GB"/>
        </w:rPr>
        <w:t>Odp</w:t>
      </w:r>
      <w:proofErr w:type="spellEnd"/>
      <w:r w:rsidRPr="0022157B">
        <w:rPr>
          <w:rFonts w:ascii="Arial" w:hAnsi="Arial" w:cs="Arial"/>
          <w:i/>
          <w:sz w:val="20"/>
          <w:lang w:val="en-GB"/>
        </w:rPr>
        <w:t xml:space="preserve"> 5-01” statistical report/questionnaire was thus reduced to 3 233 entities in 2019. The administrative burden of businesses was gradually decreasing.</w:t>
      </w:r>
    </w:p>
    <w:p w:rsidR="0022157B" w:rsidRPr="0022157B" w:rsidRDefault="0022157B" w:rsidP="0022157B">
      <w:pPr>
        <w:tabs>
          <w:tab w:val="left" w:pos="684"/>
        </w:tabs>
        <w:spacing w:line="240" w:lineRule="atLeast"/>
        <w:ind w:left="0" w:firstLine="0"/>
        <w:jc w:val="both"/>
        <w:rPr>
          <w:rFonts w:ascii="Arial" w:hAnsi="Arial" w:cs="Arial"/>
          <w:i/>
          <w:sz w:val="20"/>
          <w:szCs w:val="20"/>
          <w:lang w:val="cs-CZ"/>
        </w:rPr>
      </w:pPr>
    </w:p>
    <w:p w:rsidR="0022157B" w:rsidRPr="0022157B" w:rsidRDefault="0022157B" w:rsidP="0022157B">
      <w:pPr>
        <w:tabs>
          <w:tab w:val="left" w:pos="684"/>
        </w:tabs>
        <w:spacing w:line="240" w:lineRule="atLeast"/>
        <w:ind w:left="1069" w:firstLine="0"/>
        <w:jc w:val="both"/>
        <w:rPr>
          <w:rFonts w:ascii="Arial" w:hAnsi="Arial" w:cs="Arial"/>
          <w:i/>
          <w:sz w:val="20"/>
          <w:szCs w:val="20"/>
          <w:lang w:val="cs-CZ"/>
        </w:rPr>
      </w:pPr>
    </w:p>
    <w:p w:rsidR="0022157B" w:rsidRPr="0022157B" w:rsidRDefault="0022157B" w:rsidP="0022157B">
      <w:pPr>
        <w:tabs>
          <w:tab w:val="left" w:pos="684"/>
        </w:tabs>
        <w:spacing w:line="240" w:lineRule="atLeast"/>
        <w:jc w:val="both"/>
        <w:rPr>
          <w:rFonts w:ascii="Arial" w:hAnsi="Arial" w:cs="Arial"/>
          <w:i/>
          <w:sz w:val="20"/>
          <w:szCs w:val="20"/>
          <w:lang w:val="en-GB"/>
        </w:rPr>
      </w:pPr>
      <w:r w:rsidRPr="0022157B">
        <w:rPr>
          <w:rFonts w:ascii="Arial" w:hAnsi="Arial" w:cs="Arial"/>
          <w:i/>
          <w:sz w:val="20"/>
          <w:szCs w:val="20"/>
          <w:lang w:val="en-GB"/>
        </w:rPr>
        <w:t xml:space="preserve">A widely discussed issue of </w:t>
      </w:r>
      <w:r w:rsidRPr="0022157B">
        <w:rPr>
          <w:rFonts w:ascii="Arial" w:hAnsi="Arial" w:cs="Arial"/>
          <w:b/>
          <w:i/>
          <w:sz w:val="20"/>
          <w:szCs w:val="20"/>
          <w:lang w:val="en-GB"/>
        </w:rPr>
        <w:t>municipal waste</w:t>
      </w:r>
      <w:r w:rsidRPr="0022157B">
        <w:rPr>
          <w:rFonts w:ascii="Arial" w:hAnsi="Arial" w:cs="Arial"/>
          <w:i/>
          <w:sz w:val="20"/>
          <w:szCs w:val="20"/>
          <w:lang w:val="en-GB"/>
        </w:rPr>
        <w:t xml:space="preserve"> </w:t>
      </w:r>
      <w:proofErr w:type="gramStart"/>
      <w:r w:rsidRPr="0022157B">
        <w:rPr>
          <w:rFonts w:ascii="Arial" w:hAnsi="Arial" w:cs="Arial"/>
          <w:i/>
          <w:sz w:val="20"/>
          <w:szCs w:val="20"/>
          <w:lang w:val="en-GB"/>
        </w:rPr>
        <w:t>has also been significantly changed</w:t>
      </w:r>
      <w:proofErr w:type="gramEnd"/>
      <w:r w:rsidRPr="0022157B">
        <w:rPr>
          <w:rFonts w:ascii="Arial" w:hAnsi="Arial" w:cs="Arial"/>
          <w:i/>
          <w:sz w:val="20"/>
          <w:szCs w:val="20"/>
          <w:lang w:val="en-GB"/>
        </w:rPr>
        <w:t>.</w:t>
      </w:r>
    </w:p>
    <w:p w:rsidR="0022157B" w:rsidRPr="0022157B" w:rsidRDefault="0022157B" w:rsidP="0022157B">
      <w:pPr>
        <w:numPr>
          <w:ilvl w:val="0"/>
          <w:numId w:val="5"/>
        </w:numPr>
        <w:tabs>
          <w:tab w:val="left" w:pos="684"/>
        </w:tabs>
        <w:spacing w:after="240" w:line="240" w:lineRule="atLeast"/>
        <w:jc w:val="both"/>
        <w:rPr>
          <w:rFonts w:ascii="Arial" w:hAnsi="Arial" w:cs="Arial"/>
          <w:i/>
          <w:sz w:val="20"/>
          <w:szCs w:val="20"/>
          <w:lang w:val="cs-CZ"/>
        </w:rPr>
      </w:pPr>
      <w:r w:rsidRPr="0022157B">
        <w:rPr>
          <w:rFonts w:ascii="Arial" w:hAnsi="Arial" w:cs="Arial"/>
          <w:i/>
          <w:sz w:val="20"/>
          <w:szCs w:val="20"/>
          <w:lang w:val="en-GB"/>
        </w:rPr>
        <w:t xml:space="preserve">Following the definition of municipal waste and its interpretation, which follows from the Directive (EU) 2018/851 of the European Parliament and of the Council on waste, Eurostat started preparation for harmonisation of reporting with data from the Joint Questionnaire of Eurostat and OECD. The goal is to harmonise reporting starting no later than from 2020, when the regular reporting will be mandatory under the current legislation. That means, in practice, narrowing of the space for an interpretation of the municipal waste definition in compliance with the methodological recommendation of the </w:t>
      </w:r>
      <w:r w:rsidRPr="0022157B">
        <w:rPr>
          <w:rFonts w:ascii="Arial" w:hAnsi="Arial" w:cs="Arial"/>
          <w:b/>
          <w:i/>
          <w:sz w:val="20"/>
          <w:szCs w:val="20"/>
          <w:lang w:val="en-GB"/>
        </w:rPr>
        <w:t>Guidance for the compilation and reporting of data on municipal waste according to Commission Implementing Decisions 2019/1004/EC and 2019/1885/EC, and the Joint Questionnaire of Eurostat and OECD</w:t>
      </w:r>
      <w:r w:rsidRPr="0022157B">
        <w:rPr>
          <w:rFonts w:ascii="Arial" w:hAnsi="Arial" w:cs="Arial"/>
          <w:i/>
          <w:sz w:val="20"/>
          <w:szCs w:val="20"/>
          <w:lang w:val="cs-CZ"/>
        </w:rPr>
        <w:t xml:space="preserve"> </w:t>
      </w:r>
      <w:r w:rsidRPr="0022157B">
        <w:rPr>
          <w:rFonts w:ascii="Arial" w:hAnsi="Arial" w:cs="Arial"/>
          <w:i/>
          <w:sz w:val="20"/>
          <w:szCs w:val="20"/>
          <w:lang w:val="en-GB"/>
        </w:rPr>
        <w:t>(version of 20/10/2020)</w:t>
      </w:r>
      <w:r w:rsidRPr="0022157B">
        <w:rPr>
          <w:rFonts w:ascii="Arial" w:hAnsi="Arial" w:cs="Arial"/>
          <w:i/>
          <w:sz w:val="20"/>
          <w:szCs w:val="20"/>
          <w:lang w:val="cs-CZ"/>
        </w:rPr>
        <w:t xml:space="preserve">. </w:t>
      </w:r>
      <w:r w:rsidRPr="0022157B">
        <w:rPr>
          <w:rFonts w:ascii="Arial" w:hAnsi="Arial" w:cs="Arial"/>
          <w:i/>
          <w:sz w:val="20"/>
          <w:szCs w:val="20"/>
          <w:lang w:val="en-GB"/>
        </w:rPr>
        <w:t xml:space="preserve">The interpretation of the existing definition of municipal waste </w:t>
      </w:r>
      <w:proofErr w:type="gramStart"/>
      <w:r w:rsidRPr="0022157B">
        <w:rPr>
          <w:rFonts w:ascii="Arial" w:hAnsi="Arial" w:cs="Arial"/>
          <w:i/>
          <w:sz w:val="20"/>
          <w:szCs w:val="20"/>
          <w:lang w:val="en-GB"/>
        </w:rPr>
        <w:t>has been made</w:t>
      </w:r>
      <w:proofErr w:type="gramEnd"/>
      <w:r w:rsidRPr="0022157B">
        <w:rPr>
          <w:rFonts w:ascii="Arial" w:hAnsi="Arial" w:cs="Arial"/>
          <w:i/>
          <w:sz w:val="20"/>
          <w:szCs w:val="20"/>
          <w:lang w:val="en-GB"/>
        </w:rPr>
        <w:t xml:space="preserve"> more precise </w:t>
      </w:r>
      <w:r w:rsidRPr="0022157B">
        <w:rPr>
          <w:rFonts w:ascii="Arial" w:hAnsi="Arial" w:cs="Arial"/>
          <w:i/>
          <w:sz w:val="20"/>
          <w:szCs w:val="20"/>
          <w:lang w:val="en-GB"/>
        </w:rPr>
        <w:lastRenderedPageBreak/>
        <w:t>mainly by an inclusion of waste similar to municipal waste, which is generated by the business sphere.</w:t>
      </w:r>
      <w:r w:rsidRPr="0022157B">
        <w:rPr>
          <w:rFonts w:ascii="Arial" w:hAnsi="Arial" w:cs="Arial"/>
          <w:i/>
          <w:sz w:val="20"/>
          <w:szCs w:val="20"/>
          <w:lang w:val="cs-CZ"/>
        </w:rPr>
        <w:t xml:space="preserve"> </w:t>
      </w:r>
    </w:p>
    <w:p w:rsidR="0022157B" w:rsidRPr="0022157B" w:rsidRDefault="0022157B" w:rsidP="0022157B">
      <w:pPr>
        <w:tabs>
          <w:tab w:val="left" w:pos="684"/>
        </w:tabs>
        <w:spacing w:line="240" w:lineRule="atLeast"/>
        <w:ind w:left="1050" w:firstLine="0"/>
        <w:jc w:val="both"/>
        <w:rPr>
          <w:rFonts w:ascii="Arial" w:hAnsi="Arial" w:cs="Arial"/>
          <w:i/>
          <w:sz w:val="20"/>
          <w:szCs w:val="20"/>
          <w:lang w:val="cs-CZ"/>
        </w:rPr>
      </w:pPr>
    </w:p>
    <w:p w:rsidR="0022157B" w:rsidRPr="0022157B" w:rsidRDefault="0022157B" w:rsidP="0022157B">
      <w:pPr>
        <w:numPr>
          <w:ilvl w:val="0"/>
          <w:numId w:val="5"/>
        </w:numPr>
        <w:tabs>
          <w:tab w:val="left" w:pos="684"/>
        </w:tabs>
        <w:spacing w:after="240" w:line="240" w:lineRule="atLeast"/>
        <w:jc w:val="both"/>
        <w:rPr>
          <w:rFonts w:ascii="Arial" w:hAnsi="Arial" w:cs="Arial"/>
          <w:i/>
          <w:sz w:val="20"/>
          <w:szCs w:val="20"/>
          <w:lang w:val="cs-CZ"/>
        </w:rPr>
      </w:pPr>
      <w:r w:rsidRPr="0022157B">
        <w:rPr>
          <w:rFonts w:ascii="Arial" w:hAnsi="Arial" w:cs="Arial"/>
          <w:i/>
          <w:sz w:val="20"/>
          <w:szCs w:val="20"/>
          <w:lang w:val="en-GB"/>
        </w:rPr>
        <w:t>In relation to the aforementioned, the CZSO established an audit team on municipal waste generation statistics (in which external specialists participated), which, based on methodological recommendations of Eurostat, recommended to the CZSO to make necessary changes. They lie mainly in inclusion of waste registered not only in the systems of municipalities, but also of waste similar in nature generated in other economic activities as well as waste of citizens handed over outside the systems of municipalities.</w:t>
      </w:r>
      <w:r w:rsidRPr="0022157B">
        <w:rPr>
          <w:rFonts w:ascii="Arial" w:hAnsi="Arial" w:cs="Arial"/>
          <w:i/>
          <w:sz w:val="20"/>
          <w:szCs w:val="20"/>
          <w:lang w:val="cs-CZ"/>
        </w:rPr>
        <w:t xml:space="preserve"> </w:t>
      </w:r>
    </w:p>
    <w:p w:rsidR="0022157B" w:rsidRPr="0022157B" w:rsidRDefault="0022157B" w:rsidP="0022157B">
      <w:pPr>
        <w:tabs>
          <w:tab w:val="left" w:pos="684"/>
        </w:tabs>
        <w:spacing w:line="240" w:lineRule="atLeast"/>
        <w:ind w:left="1050" w:firstLine="0"/>
        <w:jc w:val="both"/>
        <w:rPr>
          <w:rFonts w:ascii="Arial" w:hAnsi="Arial" w:cs="Arial"/>
          <w:i/>
          <w:sz w:val="20"/>
          <w:szCs w:val="20"/>
          <w:lang w:val="cs-CZ"/>
        </w:rPr>
      </w:pPr>
    </w:p>
    <w:p w:rsidR="0022157B" w:rsidRPr="0022157B" w:rsidRDefault="0022157B" w:rsidP="0022157B">
      <w:pPr>
        <w:numPr>
          <w:ilvl w:val="0"/>
          <w:numId w:val="5"/>
        </w:numPr>
        <w:tabs>
          <w:tab w:val="left" w:pos="684"/>
        </w:tabs>
        <w:spacing w:after="240" w:line="240" w:lineRule="atLeast"/>
        <w:jc w:val="both"/>
        <w:rPr>
          <w:rFonts w:ascii="Arial" w:hAnsi="Arial" w:cs="Arial"/>
          <w:i/>
          <w:sz w:val="20"/>
          <w:szCs w:val="20"/>
          <w:lang w:val="en-GB"/>
        </w:rPr>
      </w:pPr>
      <w:r w:rsidRPr="0022157B">
        <w:rPr>
          <w:rFonts w:ascii="Arial" w:hAnsi="Arial" w:cs="Arial"/>
          <w:i/>
          <w:sz w:val="20"/>
          <w:szCs w:val="20"/>
          <w:lang w:val="en-GB"/>
        </w:rPr>
        <w:t xml:space="preserve">Previously published data on municipal waste only contained data reported by municipalities for citizens and businesses included in the municipal waste collection system. This time series continues to publish the outputs; however, it </w:t>
      </w:r>
      <w:proofErr w:type="gramStart"/>
      <w:r w:rsidRPr="0022157B">
        <w:rPr>
          <w:rFonts w:ascii="Arial" w:hAnsi="Arial" w:cs="Arial"/>
          <w:i/>
          <w:sz w:val="20"/>
          <w:szCs w:val="20"/>
          <w:lang w:val="en-GB"/>
        </w:rPr>
        <w:t>cannot be considered</w:t>
      </w:r>
      <w:proofErr w:type="gramEnd"/>
      <w:r w:rsidRPr="0022157B">
        <w:rPr>
          <w:rFonts w:ascii="Arial" w:hAnsi="Arial" w:cs="Arial"/>
          <w:i/>
          <w:sz w:val="20"/>
          <w:szCs w:val="20"/>
          <w:lang w:val="en-GB"/>
        </w:rPr>
        <w:t xml:space="preserve"> identical with the term “municipal waste”.</w:t>
      </w:r>
    </w:p>
    <w:p w:rsidR="0022157B" w:rsidRPr="0022157B" w:rsidRDefault="0022157B" w:rsidP="0022157B">
      <w:pPr>
        <w:ind w:left="720"/>
        <w:contextualSpacing/>
        <w:rPr>
          <w:rFonts w:ascii="Arial" w:hAnsi="Arial" w:cs="Arial"/>
          <w:i/>
          <w:sz w:val="20"/>
          <w:szCs w:val="20"/>
          <w:highlight w:val="yellow"/>
        </w:rPr>
      </w:pPr>
    </w:p>
    <w:p w:rsidR="0022157B" w:rsidRPr="0022157B" w:rsidRDefault="0022157B" w:rsidP="0022157B">
      <w:pPr>
        <w:tabs>
          <w:tab w:val="left" w:pos="684"/>
        </w:tabs>
        <w:spacing w:line="240" w:lineRule="atLeast"/>
        <w:ind w:left="0" w:firstLine="709"/>
        <w:jc w:val="both"/>
        <w:rPr>
          <w:rFonts w:ascii="Arial" w:hAnsi="Arial" w:cs="Arial"/>
          <w:i/>
          <w:sz w:val="20"/>
          <w:lang w:val="cs-CZ"/>
        </w:rPr>
      </w:pPr>
      <w:r w:rsidRPr="0022157B">
        <w:rPr>
          <w:rFonts w:ascii="Arial" w:hAnsi="Arial" w:cs="Arial"/>
          <w:i/>
          <w:sz w:val="20"/>
          <w:lang w:val="cs-CZ"/>
        </w:rPr>
        <w:t>.</w:t>
      </w:r>
    </w:p>
    <w:p w:rsidR="0022157B" w:rsidRPr="0022157B" w:rsidRDefault="0022157B" w:rsidP="0022157B">
      <w:pPr>
        <w:tabs>
          <w:tab w:val="left" w:pos="684"/>
        </w:tabs>
        <w:spacing w:line="240" w:lineRule="atLeast"/>
        <w:ind w:left="0" w:firstLine="709"/>
        <w:jc w:val="both"/>
        <w:rPr>
          <w:rFonts w:ascii="Arial" w:hAnsi="Arial" w:cs="Arial"/>
          <w:b/>
          <w:i/>
          <w:sz w:val="20"/>
          <w:lang w:val="en-GB"/>
        </w:rPr>
      </w:pPr>
      <w:r w:rsidRPr="0022157B">
        <w:rPr>
          <w:rFonts w:ascii="Arial" w:hAnsi="Arial" w:cs="Arial"/>
          <w:b/>
          <w:i/>
          <w:sz w:val="20"/>
          <w:lang w:val="en-GB"/>
        </w:rPr>
        <w:t>Due to these changes, data in this publication are incomparable to data published in the previous years.</w:t>
      </w:r>
    </w:p>
    <w:p w:rsidR="0022157B" w:rsidRPr="0022157B" w:rsidRDefault="0022157B" w:rsidP="0022157B">
      <w:pPr>
        <w:tabs>
          <w:tab w:val="left" w:pos="684"/>
        </w:tabs>
        <w:spacing w:line="240" w:lineRule="atLeast"/>
        <w:ind w:left="0" w:firstLine="709"/>
        <w:jc w:val="both"/>
        <w:rPr>
          <w:rFonts w:ascii="Arial" w:hAnsi="Arial" w:cs="Arial"/>
          <w:b/>
          <w:i/>
          <w:sz w:val="20"/>
          <w:lang w:val="cs-CZ"/>
        </w:rPr>
      </w:pPr>
    </w:p>
    <w:p w:rsidR="0022157B" w:rsidRPr="0022157B" w:rsidRDefault="0022157B" w:rsidP="0022157B">
      <w:pPr>
        <w:tabs>
          <w:tab w:val="left" w:pos="684"/>
        </w:tabs>
        <w:spacing w:line="240" w:lineRule="atLeast"/>
        <w:ind w:left="0" w:firstLine="709"/>
        <w:jc w:val="both"/>
        <w:rPr>
          <w:rFonts w:ascii="Arial" w:hAnsi="Arial" w:cs="Arial"/>
          <w:b/>
          <w:i/>
          <w:sz w:val="20"/>
          <w:lang w:val="en-GB"/>
        </w:rPr>
      </w:pPr>
      <w:r w:rsidRPr="0022157B">
        <w:rPr>
          <w:rFonts w:ascii="Arial" w:hAnsi="Arial" w:cs="Arial"/>
          <w:b/>
          <w:i/>
          <w:sz w:val="20"/>
          <w:lang w:val="en-GB"/>
        </w:rPr>
        <w:t xml:space="preserve">The comparison table below shows the difference between data published for the years 2017 and 2018 in the previous years: </w:t>
      </w:r>
    </w:p>
    <w:p w:rsidR="0022157B" w:rsidRPr="0022157B" w:rsidRDefault="0022157B" w:rsidP="0022157B">
      <w:pPr>
        <w:tabs>
          <w:tab w:val="left" w:pos="684"/>
        </w:tabs>
        <w:spacing w:line="240" w:lineRule="atLeast"/>
        <w:jc w:val="both"/>
        <w:rPr>
          <w:rFonts w:ascii="Arial" w:hAnsi="Arial" w:cs="Arial"/>
          <w:b/>
          <w:i/>
          <w:sz w:val="20"/>
          <w:lang w:val="cs-CZ"/>
        </w:rPr>
      </w:pPr>
    </w:p>
    <w:p w:rsidR="0022157B" w:rsidRPr="0022157B" w:rsidRDefault="0022157B" w:rsidP="0022157B">
      <w:pPr>
        <w:tabs>
          <w:tab w:val="left" w:pos="684"/>
        </w:tabs>
        <w:spacing w:line="240" w:lineRule="atLeast"/>
        <w:ind w:left="0" w:firstLine="709"/>
        <w:jc w:val="both"/>
        <w:rPr>
          <w:rFonts w:ascii="Arial" w:hAnsi="Arial" w:cs="Arial"/>
          <w:i/>
          <w:sz w:val="20"/>
          <w:lang w:val="cs-CZ"/>
        </w:rPr>
      </w:pPr>
    </w:p>
    <w:tbl>
      <w:tblPr>
        <w:tblStyle w:val="Mkatabulky"/>
        <w:tblW w:w="0" w:type="auto"/>
        <w:jc w:val="right"/>
        <w:tblLook w:val="04A0" w:firstRow="1" w:lastRow="0" w:firstColumn="1" w:lastColumn="0" w:noHBand="0" w:noVBand="1"/>
      </w:tblPr>
      <w:tblGrid>
        <w:gridCol w:w="1711"/>
        <w:gridCol w:w="2551"/>
        <w:gridCol w:w="2146"/>
        <w:gridCol w:w="1667"/>
      </w:tblGrid>
      <w:tr w:rsidR="0022157B" w:rsidRPr="0022157B" w:rsidTr="002E40B6">
        <w:trPr>
          <w:jc w:val="right"/>
        </w:trPr>
        <w:tc>
          <w:tcPr>
            <w:tcW w:w="1711" w:type="dxa"/>
            <w:vAlign w:val="center"/>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bookmarkStart w:id="1" w:name="OLE_LINK1"/>
            <w:r w:rsidRPr="0022157B">
              <w:rPr>
                <w:rFonts w:ascii="Arial" w:hAnsi="Arial" w:cs="Arial"/>
                <w:i/>
                <w:sz w:val="16"/>
                <w:szCs w:val="16"/>
                <w:lang w:val="en-GB"/>
              </w:rPr>
              <w:t>Year</w:t>
            </w:r>
          </w:p>
        </w:tc>
        <w:tc>
          <w:tcPr>
            <w:tcW w:w="2551" w:type="dxa"/>
            <w:vAlign w:val="center"/>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en-GB"/>
              </w:rPr>
              <w:t>Indicator</w:t>
            </w:r>
          </w:p>
        </w:tc>
        <w:tc>
          <w:tcPr>
            <w:tcW w:w="2146" w:type="dxa"/>
            <w:vAlign w:val="center"/>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en-GB"/>
              </w:rPr>
              <w:t>Data from the “</w:t>
            </w:r>
            <w:proofErr w:type="spellStart"/>
            <w:r w:rsidRPr="0022157B">
              <w:rPr>
                <w:rFonts w:ascii="Arial" w:hAnsi="Arial" w:cs="Arial"/>
                <w:i/>
                <w:sz w:val="16"/>
                <w:szCs w:val="16"/>
                <w:lang w:val="en-GB"/>
              </w:rPr>
              <w:t>Odp</w:t>
            </w:r>
            <w:proofErr w:type="spellEnd"/>
            <w:r w:rsidRPr="0022157B">
              <w:rPr>
                <w:rFonts w:ascii="Arial" w:hAnsi="Arial" w:cs="Arial"/>
                <w:i/>
                <w:sz w:val="16"/>
                <w:szCs w:val="16"/>
                <w:lang w:val="en-GB"/>
              </w:rPr>
              <w:t xml:space="preserve"> 5-01” questionnaire (published previously)</w:t>
            </w:r>
          </w:p>
        </w:tc>
        <w:tc>
          <w:tcPr>
            <w:tcW w:w="1667" w:type="dxa"/>
            <w:vAlign w:val="center"/>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en-GB"/>
              </w:rPr>
              <w:t>Data with using information from the ISPOP system (this publication)</w:t>
            </w:r>
          </w:p>
        </w:tc>
      </w:tr>
      <w:tr w:rsidR="0022157B" w:rsidRPr="0022157B" w:rsidTr="002E40B6">
        <w:trPr>
          <w:jc w:val="right"/>
        </w:trPr>
        <w:tc>
          <w:tcPr>
            <w:tcW w:w="1711" w:type="dxa"/>
            <w:vMerge w:val="restart"/>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2017</w:t>
            </w:r>
          </w:p>
        </w:tc>
        <w:tc>
          <w:tcPr>
            <w:tcW w:w="2551" w:type="dxa"/>
          </w:tcPr>
          <w:p w:rsidR="0022157B" w:rsidRPr="0022157B" w:rsidRDefault="0022157B" w:rsidP="0022157B">
            <w:pPr>
              <w:tabs>
                <w:tab w:val="left" w:pos="684"/>
              </w:tabs>
              <w:spacing w:line="240" w:lineRule="atLeast"/>
              <w:ind w:left="0" w:firstLine="0"/>
              <w:jc w:val="both"/>
              <w:rPr>
                <w:rFonts w:ascii="Arial" w:hAnsi="Arial" w:cs="Arial"/>
                <w:i/>
                <w:sz w:val="16"/>
                <w:szCs w:val="16"/>
                <w:lang w:val="cs-CZ"/>
              </w:rPr>
            </w:pPr>
            <w:r w:rsidRPr="0022157B">
              <w:rPr>
                <w:rFonts w:ascii="Arial" w:hAnsi="Arial" w:cs="Arial"/>
                <w:i/>
                <w:sz w:val="16"/>
                <w:szCs w:val="16"/>
                <w:lang w:val="en-GB"/>
              </w:rPr>
              <w:t>Waste in total (thousand tonnes)</w:t>
            </w:r>
          </w:p>
        </w:tc>
        <w:tc>
          <w:tcPr>
            <w:tcW w:w="2146"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24 926</w:t>
            </w:r>
          </w:p>
        </w:tc>
        <w:tc>
          <w:tcPr>
            <w:tcW w:w="1667"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34 381</w:t>
            </w:r>
          </w:p>
        </w:tc>
      </w:tr>
      <w:tr w:rsidR="0022157B" w:rsidRPr="0022157B" w:rsidTr="002E40B6">
        <w:trPr>
          <w:jc w:val="right"/>
        </w:trPr>
        <w:tc>
          <w:tcPr>
            <w:tcW w:w="1711" w:type="dxa"/>
            <w:vMerge/>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p>
        </w:tc>
        <w:tc>
          <w:tcPr>
            <w:tcW w:w="2551" w:type="dxa"/>
          </w:tcPr>
          <w:p w:rsidR="0022157B" w:rsidRPr="0022157B" w:rsidRDefault="0022157B" w:rsidP="0022157B">
            <w:pPr>
              <w:tabs>
                <w:tab w:val="left" w:pos="684"/>
              </w:tabs>
              <w:spacing w:line="240" w:lineRule="atLeast"/>
              <w:ind w:left="0" w:firstLine="0"/>
              <w:jc w:val="both"/>
              <w:rPr>
                <w:rFonts w:ascii="Arial" w:hAnsi="Arial" w:cs="Arial"/>
                <w:i/>
                <w:sz w:val="16"/>
                <w:szCs w:val="16"/>
                <w:lang w:val="cs-CZ"/>
              </w:rPr>
            </w:pPr>
            <w:r w:rsidRPr="0022157B">
              <w:rPr>
                <w:rFonts w:ascii="Arial" w:hAnsi="Arial" w:cs="Arial"/>
                <w:i/>
                <w:sz w:val="16"/>
                <w:szCs w:val="16"/>
                <w:lang w:val="en-GB"/>
              </w:rPr>
              <w:t>Municipal waste (thousand tonnes)</w:t>
            </w:r>
          </w:p>
        </w:tc>
        <w:tc>
          <w:tcPr>
            <w:tcW w:w="2146"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3 642</w:t>
            </w:r>
          </w:p>
        </w:tc>
        <w:tc>
          <w:tcPr>
            <w:tcW w:w="1667"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5 176</w:t>
            </w:r>
          </w:p>
        </w:tc>
      </w:tr>
      <w:tr w:rsidR="0022157B" w:rsidRPr="0022157B" w:rsidTr="002E40B6">
        <w:trPr>
          <w:jc w:val="right"/>
        </w:trPr>
        <w:tc>
          <w:tcPr>
            <w:tcW w:w="1711" w:type="dxa"/>
            <w:vMerge w:val="restart"/>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2018</w:t>
            </w:r>
          </w:p>
        </w:tc>
        <w:tc>
          <w:tcPr>
            <w:tcW w:w="2551" w:type="dxa"/>
          </w:tcPr>
          <w:p w:rsidR="0022157B" w:rsidRPr="0022157B" w:rsidRDefault="0022157B" w:rsidP="0022157B">
            <w:pPr>
              <w:tabs>
                <w:tab w:val="left" w:pos="684"/>
              </w:tabs>
              <w:spacing w:line="240" w:lineRule="atLeast"/>
              <w:ind w:left="0" w:firstLine="0"/>
              <w:jc w:val="both"/>
              <w:rPr>
                <w:rFonts w:ascii="Arial" w:hAnsi="Arial" w:cs="Arial"/>
                <w:i/>
                <w:sz w:val="16"/>
                <w:szCs w:val="16"/>
                <w:lang w:val="cs-CZ"/>
              </w:rPr>
            </w:pPr>
            <w:r w:rsidRPr="0022157B">
              <w:rPr>
                <w:rFonts w:ascii="Arial" w:hAnsi="Arial" w:cs="Arial"/>
                <w:i/>
                <w:sz w:val="16"/>
                <w:szCs w:val="16"/>
                <w:lang w:val="en-GB"/>
              </w:rPr>
              <w:t>Waste in total (thousand tonnes)</w:t>
            </w:r>
          </w:p>
        </w:tc>
        <w:tc>
          <w:tcPr>
            <w:tcW w:w="2146"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28 353</w:t>
            </w:r>
          </w:p>
        </w:tc>
        <w:tc>
          <w:tcPr>
            <w:tcW w:w="1667"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37 665</w:t>
            </w:r>
          </w:p>
        </w:tc>
      </w:tr>
      <w:tr w:rsidR="0022157B" w:rsidRPr="0022157B" w:rsidTr="002E40B6">
        <w:trPr>
          <w:jc w:val="right"/>
        </w:trPr>
        <w:tc>
          <w:tcPr>
            <w:tcW w:w="1711" w:type="dxa"/>
            <w:vMerge/>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p>
        </w:tc>
        <w:tc>
          <w:tcPr>
            <w:tcW w:w="2551" w:type="dxa"/>
          </w:tcPr>
          <w:p w:rsidR="0022157B" w:rsidRPr="0022157B" w:rsidRDefault="0022157B" w:rsidP="0022157B">
            <w:pPr>
              <w:tabs>
                <w:tab w:val="left" w:pos="684"/>
              </w:tabs>
              <w:spacing w:line="240" w:lineRule="atLeast"/>
              <w:ind w:left="0" w:firstLine="0"/>
              <w:jc w:val="both"/>
              <w:rPr>
                <w:rFonts w:ascii="Arial" w:hAnsi="Arial" w:cs="Arial"/>
                <w:i/>
                <w:sz w:val="16"/>
                <w:szCs w:val="16"/>
                <w:lang w:val="cs-CZ"/>
              </w:rPr>
            </w:pPr>
            <w:r w:rsidRPr="0022157B">
              <w:rPr>
                <w:rFonts w:ascii="Arial" w:hAnsi="Arial" w:cs="Arial"/>
                <w:i/>
                <w:sz w:val="16"/>
                <w:szCs w:val="16"/>
                <w:lang w:val="en-GB"/>
              </w:rPr>
              <w:t>Municipal waste (thousand tonnes)</w:t>
            </w:r>
          </w:p>
        </w:tc>
        <w:tc>
          <w:tcPr>
            <w:tcW w:w="2146"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3 732</w:t>
            </w:r>
          </w:p>
        </w:tc>
        <w:tc>
          <w:tcPr>
            <w:tcW w:w="1667" w:type="dxa"/>
            <w:vAlign w:val="bottom"/>
          </w:tcPr>
          <w:p w:rsidR="0022157B" w:rsidRPr="0022157B" w:rsidRDefault="0022157B" w:rsidP="0022157B">
            <w:pPr>
              <w:tabs>
                <w:tab w:val="left" w:pos="684"/>
              </w:tabs>
              <w:spacing w:line="240" w:lineRule="atLeast"/>
              <w:ind w:left="0" w:firstLine="0"/>
              <w:jc w:val="center"/>
              <w:rPr>
                <w:rFonts w:ascii="Arial" w:hAnsi="Arial" w:cs="Arial"/>
                <w:i/>
                <w:sz w:val="16"/>
                <w:szCs w:val="16"/>
                <w:lang w:val="cs-CZ"/>
              </w:rPr>
            </w:pPr>
            <w:r w:rsidRPr="0022157B">
              <w:rPr>
                <w:rFonts w:ascii="Arial" w:hAnsi="Arial" w:cs="Arial"/>
                <w:i/>
                <w:sz w:val="16"/>
                <w:szCs w:val="16"/>
                <w:lang w:val="cs-CZ"/>
              </w:rPr>
              <w:t>5 247</w:t>
            </w:r>
          </w:p>
        </w:tc>
      </w:tr>
      <w:bookmarkEnd w:id="1"/>
    </w:tbl>
    <w:p w:rsidR="0022157B" w:rsidRPr="0022157B" w:rsidRDefault="0022157B" w:rsidP="0022157B">
      <w:pPr>
        <w:tabs>
          <w:tab w:val="left" w:pos="684"/>
        </w:tabs>
        <w:spacing w:line="240" w:lineRule="atLeast"/>
        <w:ind w:left="0" w:firstLine="709"/>
        <w:jc w:val="both"/>
        <w:rPr>
          <w:rFonts w:ascii="Arial" w:hAnsi="Arial" w:cs="Arial"/>
          <w:i/>
          <w:sz w:val="20"/>
          <w:lang w:val="cs-CZ"/>
        </w:rPr>
      </w:pPr>
    </w:p>
    <w:p w:rsidR="0022157B" w:rsidRPr="0022157B" w:rsidRDefault="0022157B" w:rsidP="0022157B">
      <w:pPr>
        <w:tabs>
          <w:tab w:val="left" w:pos="684"/>
        </w:tabs>
        <w:spacing w:line="240" w:lineRule="atLeast"/>
        <w:ind w:left="0" w:firstLine="709"/>
        <w:jc w:val="both"/>
        <w:rPr>
          <w:rFonts w:ascii="Arial" w:hAnsi="Arial" w:cs="Arial"/>
          <w:i/>
          <w:sz w:val="20"/>
          <w:lang w:val="cs-CZ"/>
        </w:rPr>
      </w:pPr>
      <w:r w:rsidRPr="0022157B">
        <w:rPr>
          <w:rFonts w:ascii="Arial" w:hAnsi="Arial" w:cs="Arial"/>
          <w:i/>
          <w:iCs/>
          <w:sz w:val="20"/>
          <w:szCs w:val="20"/>
          <w:lang w:val="en-GB"/>
        </w:rPr>
        <w:t>The publication provides data on waste in total and municipal waste broken down by economic activity (CZ-NACE) of waste-producing units, by Region, according to the List of Waste, and according to the European Waste Classification for Statistics (EWC-STAT). Further, it contains data on imports and exports of waste</w:t>
      </w:r>
      <w:r w:rsidRPr="0022157B">
        <w:rPr>
          <w:rFonts w:ascii="Arial" w:hAnsi="Arial" w:cs="Arial"/>
          <w:i/>
          <w:sz w:val="20"/>
          <w:lang w:val="cs-CZ"/>
        </w:rPr>
        <w:t>.</w:t>
      </w:r>
    </w:p>
    <w:p w:rsidR="0022157B" w:rsidRPr="0022157B" w:rsidRDefault="0022157B" w:rsidP="0022157B">
      <w:pPr>
        <w:tabs>
          <w:tab w:val="left" w:pos="684"/>
        </w:tabs>
        <w:spacing w:line="240" w:lineRule="auto"/>
        <w:ind w:left="0" w:firstLine="709"/>
        <w:jc w:val="both"/>
        <w:rPr>
          <w:rFonts w:ascii="Arial" w:hAnsi="Arial" w:cs="Arial"/>
          <w:i/>
          <w:sz w:val="20"/>
          <w:lang w:val="cs-CZ"/>
        </w:rPr>
      </w:pPr>
      <w:r w:rsidRPr="0022157B">
        <w:rPr>
          <w:rFonts w:ascii="Arial" w:hAnsi="Arial" w:cs="Arial"/>
          <w:i/>
          <w:iCs/>
          <w:sz w:val="20"/>
          <w:szCs w:val="20"/>
          <w:lang w:val="en-GB"/>
        </w:rPr>
        <w:t xml:space="preserve">Detailed tables publish only types of waste that </w:t>
      </w:r>
      <w:proofErr w:type="gramStart"/>
      <w:r w:rsidRPr="0022157B">
        <w:rPr>
          <w:rFonts w:ascii="Arial" w:hAnsi="Arial" w:cs="Arial"/>
          <w:i/>
          <w:iCs/>
          <w:sz w:val="20"/>
          <w:szCs w:val="20"/>
          <w:lang w:val="en-GB"/>
        </w:rPr>
        <w:t>were reported</w:t>
      </w:r>
      <w:proofErr w:type="gramEnd"/>
      <w:r w:rsidRPr="0022157B">
        <w:rPr>
          <w:rFonts w:ascii="Arial" w:hAnsi="Arial" w:cs="Arial"/>
          <w:i/>
          <w:iCs/>
          <w:sz w:val="20"/>
          <w:szCs w:val="20"/>
          <w:lang w:val="en-GB"/>
        </w:rPr>
        <w:t xml:space="preserve"> by three or more respondents in order to protect individual data</w:t>
      </w:r>
      <w:r w:rsidRPr="0022157B">
        <w:rPr>
          <w:rFonts w:ascii="Arial" w:hAnsi="Arial" w:cs="Arial"/>
          <w:i/>
          <w:sz w:val="20"/>
          <w:lang w:val="cs-CZ"/>
        </w:rPr>
        <w:t xml:space="preserve">. </w:t>
      </w:r>
    </w:p>
    <w:p w:rsidR="0022157B" w:rsidRPr="0022157B" w:rsidRDefault="0022157B" w:rsidP="0022157B">
      <w:pPr>
        <w:tabs>
          <w:tab w:val="left" w:pos="684"/>
        </w:tabs>
        <w:spacing w:line="240" w:lineRule="auto"/>
        <w:ind w:left="0" w:firstLine="709"/>
        <w:jc w:val="both"/>
        <w:rPr>
          <w:rFonts w:ascii="Arial" w:hAnsi="Arial" w:cs="Arial"/>
          <w:sz w:val="20"/>
          <w:lang w:val="cs-CZ"/>
        </w:rPr>
      </w:pPr>
    </w:p>
    <w:p w:rsidR="0022157B" w:rsidRPr="0022157B" w:rsidRDefault="0022157B" w:rsidP="0022157B">
      <w:pPr>
        <w:spacing w:after="240" w:line="288" w:lineRule="auto"/>
        <w:ind w:left="0" w:firstLine="0"/>
        <w:rPr>
          <w:rFonts w:ascii="Arial" w:eastAsia="MS Gothic" w:hAnsi="Arial"/>
          <w:b/>
          <w:bCs/>
          <w:color w:val="0071BC"/>
          <w:sz w:val="32"/>
          <w:szCs w:val="28"/>
          <w:lang w:val="cs-CZ"/>
        </w:rPr>
      </w:pPr>
    </w:p>
    <w:p w:rsidR="0022157B" w:rsidRPr="0022157B" w:rsidRDefault="0022157B" w:rsidP="0022157B">
      <w:pPr>
        <w:keepNext/>
        <w:keepLines/>
        <w:spacing w:line="288" w:lineRule="auto"/>
        <w:ind w:left="0" w:firstLine="0"/>
        <w:outlineLvl w:val="2"/>
        <w:rPr>
          <w:rFonts w:ascii="Arial" w:eastAsia="MS Gothic" w:hAnsi="Arial"/>
          <w:b/>
          <w:bCs/>
          <w:i/>
          <w:color w:val="0071BC"/>
          <w:lang w:val="cs-CZ"/>
        </w:rPr>
      </w:pPr>
      <w:bookmarkStart w:id="2" w:name="_Toc62658597"/>
      <w:proofErr w:type="spellStart"/>
      <w:r w:rsidRPr="0022157B">
        <w:rPr>
          <w:rFonts w:ascii="Arial" w:eastAsia="MS Gothic" w:hAnsi="Arial"/>
          <w:b/>
          <w:bCs/>
          <w:i/>
          <w:color w:val="0071BC"/>
          <w:lang w:val="cs-CZ"/>
        </w:rPr>
        <w:t>Definitions</w:t>
      </w:r>
      <w:bookmarkEnd w:id="2"/>
      <w:proofErr w:type="spellEnd"/>
    </w:p>
    <w:p w:rsidR="0022157B" w:rsidRPr="0022157B" w:rsidRDefault="0022157B" w:rsidP="0022157B">
      <w:pPr>
        <w:keepNext/>
        <w:keepLines/>
        <w:spacing w:line="288" w:lineRule="auto"/>
        <w:ind w:left="0" w:firstLine="0"/>
        <w:outlineLvl w:val="2"/>
        <w:rPr>
          <w:rFonts w:ascii="Arial" w:eastAsia="MS Gothic" w:hAnsi="Arial"/>
          <w:b/>
          <w:bCs/>
          <w:i/>
          <w:color w:val="0071BC"/>
          <w:lang w:val="cs-CZ"/>
        </w:rPr>
      </w:pPr>
    </w:p>
    <w:p w:rsidR="0022157B" w:rsidRPr="0022157B" w:rsidRDefault="0022157B" w:rsidP="0022157B">
      <w:pPr>
        <w:tabs>
          <w:tab w:val="left" w:pos="684"/>
        </w:tabs>
        <w:spacing w:line="240" w:lineRule="atLeast"/>
        <w:ind w:left="0" w:firstLine="709"/>
        <w:jc w:val="both"/>
        <w:rPr>
          <w:rFonts w:ascii="Arial" w:hAnsi="Arial" w:cs="Arial"/>
          <w:bCs/>
          <w:i/>
          <w:sz w:val="20"/>
          <w:lang w:val="cs-CZ"/>
        </w:rPr>
      </w:pPr>
      <w:r w:rsidRPr="0022157B">
        <w:rPr>
          <w:rFonts w:ascii="Arial" w:hAnsi="Arial" w:cs="Arial"/>
          <w:i/>
          <w:iCs/>
          <w:sz w:val="20"/>
          <w:szCs w:val="20"/>
          <w:lang w:val="en-GB"/>
        </w:rPr>
        <w:t xml:space="preserve">The statistical survey on waste </w:t>
      </w:r>
      <w:proofErr w:type="gramStart"/>
      <w:r w:rsidRPr="0022157B">
        <w:rPr>
          <w:rFonts w:ascii="Arial" w:hAnsi="Arial" w:cs="Arial"/>
          <w:i/>
          <w:iCs/>
          <w:sz w:val="20"/>
          <w:szCs w:val="20"/>
          <w:lang w:val="en-GB"/>
        </w:rPr>
        <w:t>is carried out</w:t>
      </w:r>
      <w:proofErr w:type="gramEnd"/>
      <w:r w:rsidRPr="0022157B">
        <w:rPr>
          <w:rFonts w:ascii="Arial" w:hAnsi="Arial" w:cs="Arial"/>
          <w:i/>
          <w:iCs/>
          <w:sz w:val="20"/>
          <w:szCs w:val="20"/>
          <w:lang w:val="en-GB"/>
        </w:rPr>
        <w:t xml:space="preserve"> in compliance with the Regulation (EC) No 2150/2002 of the European Parliament and of the Council on waste statistics</w:t>
      </w:r>
      <w:r w:rsidRPr="0022157B">
        <w:rPr>
          <w:rFonts w:ascii="Arial" w:hAnsi="Arial" w:cs="Arial"/>
          <w:bCs/>
          <w:i/>
          <w:iCs/>
          <w:sz w:val="20"/>
          <w:szCs w:val="20"/>
          <w:lang w:val="en-GB"/>
        </w:rPr>
        <w:t xml:space="preserve"> and with the Directive 2008/98/EC of the </w:t>
      </w:r>
      <w:r w:rsidRPr="0022157B">
        <w:rPr>
          <w:rFonts w:ascii="Arial" w:hAnsi="Arial" w:cs="Arial"/>
          <w:i/>
          <w:iCs/>
          <w:sz w:val="20"/>
          <w:szCs w:val="20"/>
          <w:lang w:val="en-GB"/>
        </w:rPr>
        <w:t>European Parliament and of the Council on waste.</w:t>
      </w:r>
      <w:r w:rsidRPr="0022157B">
        <w:rPr>
          <w:rFonts w:ascii="Arial" w:hAnsi="Arial" w:cs="Arial"/>
          <w:bCs/>
          <w:i/>
          <w:iCs/>
          <w:sz w:val="20"/>
          <w:szCs w:val="20"/>
          <w:lang w:val="en-GB"/>
        </w:rPr>
        <w:t xml:space="preserve"> Especially these regulations govern waste management and define basic concepts</w:t>
      </w:r>
      <w:r w:rsidRPr="0022157B">
        <w:rPr>
          <w:rFonts w:ascii="Arial" w:hAnsi="Arial" w:cs="Arial"/>
          <w:bCs/>
          <w:i/>
          <w:sz w:val="20"/>
          <w:lang w:val="cs-CZ"/>
        </w:rPr>
        <w:t>.</w:t>
      </w:r>
    </w:p>
    <w:p w:rsidR="0022157B" w:rsidRPr="0022157B" w:rsidRDefault="0022157B" w:rsidP="0022157B">
      <w:pPr>
        <w:tabs>
          <w:tab w:val="left" w:pos="684"/>
        </w:tabs>
        <w:spacing w:line="240" w:lineRule="atLeast"/>
        <w:ind w:left="0" w:firstLine="709"/>
        <w:jc w:val="both"/>
        <w:rPr>
          <w:rFonts w:ascii="Arial" w:hAnsi="Arial" w:cs="Arial"/>
          <w:bCs/>
          <w:i/>
          <w:sz w:val="20"/>
          <w:lang w:val="cs-CZ"/>
        </w:rPr>
      </w:pP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lang w:val="cs-CZ"/>
        </w:rPr>
      </w:pPr>
      <w:r w:rsidRPr="0022157B">
        <w:rPr>
          <w:rFonts w:ascii="Arial" w:hAnsi="Arial" w:cs="Arial"/>
          <w:b/>
          <w:bCs/>
          <w:i/>
          <w:iCs/>
          <w:sz w:val="20"/>
          <w:szCs w:val="20"/>
          <w:lang w:val="en-GB"/>
        </w:rPr>
        <w:t>Waste</w:t>
      </w:r>
      <w:r w:rsidRPr="0022157B">
        <w:rPr>
          <w:rFonts w:ascii="Arial" w:hAnsi="Arial" w:cs="Arial"/>
          <w:i/>
          <w:iCs/>
          <w:sz w:val="20"/>
          <w:szCs w:val="20"/>
          <w:lang w:val="en-GB"/>
        </w:rPr>
        <w:t xml:space="preserve"> means any substance or </w:t>
      </w:r>
      <w:proofErr w:type="gramStart"/>
      <w:r w:rsidRPr="0022157B">
        <w:rPr>
          <w:rFonts w:ascii="Arial" w:hAnsi="Arial" w:cs="Arial"/>
          <w:i/>
          <w:iCs/>
          <w:sz w:val="20"/>
          <w:szCs w:val="20"/>
          <w:lang w:val="en-GB"/>
        </w:rPr>
        <w:t>object which</w:t>
      </w:r>
      <w:proofErr w:type="gramEnd"/>
      <w:r w:rsidRPr="0022157B">
        <w:rPr>
          <w:rFonts w:ascii="Arial" w:hAnsi="Arial" w:cs="Arial"/>
          <w:i/>
          <w:iCs/>
          <w:sz w:val="20"/>
          <w:szCs w:val="20"/>
          <w:lang w:val="en-GB"/>
        </w:rPr>
        <w:t xml:space="preserve"> the holder discards or intends or is required to discard</w:t>
      </w:r>
      <w:r w:rsidRPr="0022157B">
        <w:rPr>
          <w:rFonts w:ascii="Arial" w:hAnsi="Arial" w:cs="Arial"/>
          <w:i/>
          <w:sz w:val="20"/>
          <w:lang w:val="cs-CZ"/>
        </w:rPr>
        <w:t>.</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lang w:val="cs-CZ"/>
        </w:rPr>
      </w:pP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szCs w:val="20"/>
          <w:lang w:val="cs-CZ"/>
        </w:rPr>
      </w:pPr>
      <w:r w:rsidRPr="0022157B">
        <w:rPr>
          <w:rFonts w:ascii="Arial" w:hAnsi="Arial" w:cs="Arial"/>
          <w:bCs/>
          <w:i/>
          <w:iCs/>
          <w:sz w:val="20"/>
          <w:szCs w:val="20"/>
          <w:lang w:val="en-GB"/>
        </w:rPr>
        <w:t xml:space="preserve">A </w:t>
      </w:r>
      <w:r w:rsidRPr="0022157B">
        <w:rPr>
          <w:rFonts w:ascii="Arial" w:hAnsi="Arial" w:cs="Arial"/>
          <w:b/>
          <w:bCs/>
          <w:i/>
          <w:iCs/>
          <w:sz w:val="20"/>
          <w:szCs w:val="20"/>
          <w:lang w:val="en-GB"/>
        </w:rPr>
        <w:t>hazardous waste</w:t>
      </w:r>
      <w:r w:rsidRPr="0022157B">
        <w:rPr>
          <w:rFonts w:ascii="Arial" w:hAnsi="Arial" w:cs="Arial"/>
          <w:i/>
          <w:iCs/>
          <w:sz w:val="20"/>
          <w:szCs w:val="20"/>
          <w:lang w:val="en-GB"/>
        </w:rPr>
        <w:t xml:space="preserve"> is defined as a waste that displays one or more of the hazardous properties listed in the Commission Regulation (EU) No 1357/2014 of 18 December 2014 replacing Annex III to Directive 2008/98/EC of the European Parliament and of the Council on waste and repealing certain Directives</w:t>
      </w:r>
      <w:r w:rsidRPr="0022157B">
        <w:rPr>
          <w:rFonts w:ascii="Arial" w:hAnsi="Arial" w:cs="Arial"/>
          <w:i/>
          <w:sz w:val="20"/>
          <w:szCs w:val="20"/>
          <w:lang w:val="cs-CZ"/>
        </w:rPr>
        <w:t>.</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szCs w:val="20"/>
          <w:lang w:val="cs-CZ"/>
        </w:rPr>
      </w:pP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Arial" w:hAnsi="Arial" w:cs="Arial"/>
          <w:i/>
          <w:sz w:val="20"/>
          <w:szCs w:val="20"/>
          <w:lang w:val="en"/>
        </w:rPr>
      </w:pPr>
      <w:r w:rsidRPr="0022157B">
        <w:rPr>
          <w:rFonts w:ascii="Arial" w:hAnsi="Arial" w:cs="Arial"/>
          <w:b/>
          <w:i/>
          <w:sz w:val="20"/>
          <w:szCs w:val="20"/>
          <w:lang w:val="en"/>
        </w:rPr>
        <w:t>Waste generation</w:t>
      </w:r>
      <w:r w:rsidRPr="0022157B">
        <w:rPr>
          <w:rFonts w:ascii="Arial" w:hAnsi="Arial" w:cs="Arial"/>
          <w:i/>
          <w:sz w:val="20"/>
          <w:szCs w:val="20"/>
          <w:lang w:val="en"/>
        </w:rPr>
        <w:t xml:space="preserve"> represents the volume of own waste, including the generation of secondary waste</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Arial" w:hAnsi="Arial" w:cs="Arial"/>
          <w:i/>
          <w:sz w:val="20"/>
          <w:szCs w:val="20"/>
          <w:lang w:val="en"/>
        </w:rPr>
      </w:pPr>
      <w:r w:rsidRPr="0022157B">
        <w:rPr>
          <w:rFonts w:ascii="Arial" w:hAnsi="Arial" w:cs="Arial"/>
          <w:i/>
          <w:sz w:val="20"/>
          <w:szCs w:val="20"/>
          <w:lang w:val="en"/>
        </w:rPr>
        <w:t>(</w:t>
      </w:r>
      <w:proofErr w:type="gramStart"/>
      <w:r w:rsidRPr="0022157B">
        <w:rPr>
          <w:rFonts w:ascii="Arial" w:hAnsi="Arial" w:cs="Arial"/>
          <w:i/>
          <w:sz w:val="20"/>
          <w:szCs w:val="20"/>
          <w:lang w:val="en"/>
        </w:rPr>
        <w:t>waste</w:t>
      </w:r>
      <w:proofErr w:type="gramEnd"/>
      <w:r w:rsidRPr="0022157B">
        <w:rPr>
          <w:rFonts w:ascii="Arial" w:hAnsi="Arial" w:cs="Arial"/>
          <w:i/>
          <w:sz w:val="20"/>
          <w:szCs w:val="20"/>
          <w:lang w:val="en"/>
        </w:rPr>
        <w:t xml:space="preserve"> from waste processing). It does not include the volume of waste taken from the warehouse,</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Arial" w:hAnsi="Arial" w:cs="Arial"/>
          <w:i/>
          <w:sz w:val="20"/>
          <w:szCs w:val="20"/>
          <w:lang w:val="en"/>
        </w:rPr>
      </w:pPr>
      <w:proofErr w:type="gramStart"/>
      <w:r w:rsidRPr="0022157B">
        <w:rPr>
          <w:rFonts w:ascii="Arial" w:hAnsi="Arial" w:cs="Arial"/>
          <w:i/>
          <w:sz w:val="20"/>
          <w:szCs w:val="20"/>
          <w:lang w:val="en"/>
        </w:rPr>
        <w:t>the</w:t>
      </w:r>
      <w:proofErr w:type="gramEnd"/>
      <w:r w:rsidRPr="0022157B">
        <w:rPr>
          <w:rFonts w:ascii="Arial" w:hAnsi="Arial" w:cs="Arial"/>
          <w:i/>
          <w:sz w:val="20"/>
          <w:szCs w:val="20"/>
          <w:lang w:val="en"/>
        </w:rPr>
        <w:t xml:space="preserve"> import of waste or waste taken over from another entity (with the exception of waste from</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Arial" w:hAnsi="Arial" w:cs="Arial"/>
          <w:i/>
          <w:sz w:val="20"/>
          <w:szCs w:val="20"/>
        </w:rPr>
      </w:pPr>
      <w:proofErr w:type="gramStart"/>
      <w:r w:rsidRPr="0022157B">
        <w:rPr>
          <w:rFonts w:ascii="Arial" w:hAnsi="Arial" w:cs="Arial"/>
          <w:i/>
          <w:sz w:val="20"/>
          <w:szCs w:val="20"/>
          <w:lang w:val="en"/>
        </w:rPr>
        <w:t>citizens</w:t>
      </w:r>
      <w:proofErr w:type="gramEnd"/>
      <w:r w:rsidRPr="0022157B">
        <w:rPr>
          <w:rFonts w:ascii="Arial" w:hAnsi="Arial" w:cs="Arial"/>
          <w:i/>
          <w:sz w:val="20"/>
          <w:szCs w:val="20"/>
          <w:lang w:val="en"/>
        </w:rPr>
        <w:t>).</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szCs w:val="20"/>
          <w:lang w:val="cs-CZ"/>
        </w:rPr>
      </w:pP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szCs w:val="20"/>
          <w:lang w:val="cs-CZ"/>
        </w:rPr>
      </w:pP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szCs w:val="20"/>
          <w:lang w:val="cs-CZ"/>
        </w:rPr>
      </w:pPr>
      <w:r w:rsidRPr="0022157B">
        <w:rPr>
          <w:rFonts w:ascii="Arial" w:hAnsi="Arial" w:cs="Arial"/>
          <w:b/>
          <w:bCs/>
          <w:i/>
          <w:iCs/>
          <w:sz w:val="20"/>
          <w:szCs w:val="20"/>
          <w:lang w:val="en-GB"/>
        </w:rPr>
        <w:t>Waste management</w:t>
      </w:r>
      <w:r w:rsidRPr="0022157B">
        <w:rPr>
          <w:rFonts w:ascii="Arial" w:hAnsi="Arial" w:cs="Arial"/>
          <w:i/>
          <w:iCs/>
          <w:sz w:val="20"/>
          <w:szCs w:val="20"/>
          <w:lang w:val="en-GB"/>
        </w:rPr>
        <w:t xml:space="preserve"> means the collection, transport, recovery, and disposal of waste, including the supervision of such operations and the after-care of disposal sites, and including actions taken as a dealer or broker</w:t>
      </w:r>
      <w:r w:rsidRPr="0022157B">
        <w:rPr>
          <w:rFonts w:ascii="Arial" w:hAnsi="Arial" w:cs="Arial"/>
          <w:i/>
          <w:sz w:val="20"/>
          <w:szCs w:val="20"/>
          <w:lang w:val="cs-CZ"/>
        </w:rPr>
        <w:t>.</w:t>
      </w:r>
    </w:p>
    <w:p w:rsidR="0022157B" w:rsidRPr="0022157B" w:rsidRDefault="0022157B" w:rsidP="002215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i/>
          <w:sz w:val="20"/>
          <w:lang w:val="cs-CZ"/>
        </w:rPr>
      </w:pPr>
    </w:p>
    <w:p w:rsidR="0022157B" w:rsidRPr="0022157B" w:rsidRDefault="0022157B" w:rsidP="0022157B">
      <w:pPr>
        <w:ind w:left="0" w:firstLine="0"/>
        <w:jc w:val="both"/>
        <w:rPr>
          <w:rFonts w:ascii="Arial" w:eastAsia="Arial Unicode MS" w:hAnsi="Arial" w:cs="Arial"/>
          <w:i/>
          <w:iCs/>
          <w:sz w:val="20"/>
          <w:szCs w:val="20"/>
          <w:lang w:val="en-GB"/>
        </w:rPr>
      </w:pPr>
      <w:r w:rsidRPr="0022157B">
        <w:rPr>
          <w:rFonts w:ascii="Arial" w:eastAsia="Arial Unicode MS" w:hAnsi="Arial" w:cs="Arial"/>
          <w:b/>
          <w:i/>
          <w:iCs/>
          <w:sz w:val="20"/>
          <w:szCs w:val="20"/>
          <w:lang w:val="en-GB"/>
        </w:rPr>
        <w:t>Waste treatment</w:t>
      </w:r>
      <w:r w:rsidRPr="0022157B">
        <w:rPr>
          <w:rFonts w:ascii="Arial" w:eastAsia="Arial Unicode MS" w:hAnsi="Arial" w:cs="Arial"/>
          <w:i/>
          <w:iCs/>
          <w:sz w:val="20"/>
          <w:szCs w:val="20"/>
          <w:lang w:val="en-GB"/>
        </w:rPr>
        <w:t>, according to the Regulation (EC) No 2150/2002 of the European Parliament and of the Council on waste statistics</w:t>
      </w:r>
      <w:r w:rsidRPr="0022157B">
        <w:rPr>
          <w:rFonts w:ascii="Arial" w:eastAsia="Arial Unicode MS" w:hAnsi="Arial" w:cs="Arial"/>
          <w:bCs/>
          <w:i/>
          <w:iCs/>
          <w:sz w:val="20"/>
          <w:szCs w:val="20"/>
          <w:lang w:val="en-GB"/>
        </w:rPr>
        <w:t xml:space="preserve">, as amended, </w:t>
      </w:r>
      <w:r w:rsidRPr="0022157B">
        <w:rPr>
          <w:rFonts w:ascii="Arial" w:eastAsia="Arial Unicode MS" w:hAnsi="Arial" w:cs="Arial"/>
          <w:i/>
          <w:iCs/>
          <w:sz w:val="20"/>
          <w:szCs w:val="20"/>
          <w:lang w:val="en-GB"/>
        </w:rPr>
        <w:t xml:space="preserve">are subdivided into groups as follows: </w:t>
      </w:r>
    </w:p>
    <w:p w:rsidR="0022157B" w:rsidRPr="0022157B" w:rsidRDefault="0022157B" w:rsidP="0022157B">
      <w:pPr>
        <w:ind w:left="0" w:firstLine="709"/>
        <w:jc w:val="both"/>
        <w:rPr>
          <w:rFonts w:ascii="Arial" w:eastAsia="Arial Unicode MS" w:hAnsi="Arial" w:cs="Arial"/>
          <w:i/>
          <w:iCs/>
          <w:color w:val="0078B3"/>
          <w:sz w:val="20"/>
          <w:szCs w:val="20"/>
          <w:lang w:val="en-GB"/>
        </w:rPr>
      </w:pPr>
      <w:r w:rsidRPr="0022157B">
        <w:rPr>
          <w:rFonts w:ascii="Arial" w:eastAsia="Arial Unicode MS" w:hAnsi="Arial" w:cs="Arial"/>
          <w:i/>
          <w:iCs/>
          <w:sz w:val="20"/>
          <w:szCs w:val="20"/>
          <w:lang w:val="en-GB"/>
        </w:rPr>
        <w:t xml:space="preserve">- </w:t>
      </w:r>
      <w:proofErr w:type="gramStart"/>
      <w:r w:rsidRPr="0022157B">
        <w:rPr>
          <w:rFonts w:ascii="Arial" w:eastAsia="Arial Unicode MS" w:hAnsi="Arial" w:cs="Arial"/>
          <w:b/>
          <w:bCs/>
          <w:i/>
          <w:iCs/>
          <w:sz w:val="20"/>
          <w:szCs w:val="20"/>
          <w:lang w:val="en-GB"/>
        </w:rPr>
        <w:t>waste</w:t>
      </w:r>
      <w:proofErr w:type="gramEnd"/>
      <w:r w:rsidRPr="0022157B">
        <w:rPr>
          <w:rFonts w:ascii="Arial" w:eastAsia="Arial Unicode MS" w:hAnsi="Arial" w:cs="Arial"/>
          <w:b/>
          <w:bCs/>
          <w:i/>
          <w:iCs/>
          <w:sz w:val="20"/>
          <w:szCs w:val="20"/>
          <w:lang w:val="en-GB"/>
        </w:rPr>
        <w:t xml:space="preserve"> recovery </w:t>
      </w:r>
      <w:r w:rsidRPr="0022157B">
        <w:rPr>
          <w:rFonts w:ascii="Arial" w:eastAsia="Arial Unicode MS" w:hAnsi="Arial" w:cs="Arial"/>
          <w:bCs/>
          <w:i/>
          <w:iCs/>
          <w:sz w:val="20"/>
          <w:szCs w:val="20"/>
          <w:lang w:val="en-GB"/>
        </w:rPr>
        <w:t>–</w:t>
      </w:r>
      <w:r w:rsidRPr="0022157B">
        <w:rPr>
          <w:rFonts w:ascii="Arial" w:eastAsia="Arial Unicode MS" w:hAnsi="Arial" w:cs="Arial"/>
          <w:b/>
          <w:bCs/>
          <w:i/>
          <w:iCs/>
          <w:sz w:val="20"/>
          <w:szCs w:val="20"/>
          <w:lang w:val="en-GB"/>
        </w:rPr>
        <w:t xml:space="preserve"> </w:t>
      </w:r>
      <w:r w:rsidRPr="0022157B">
        <w:rPr>
          <w:rFonts w:ascii="Arial" w:eastAsia="Arial Unicode MS" w:hAnsi="Arial" w:cs="Arial"/>
          <w:i/>
          <w:iCs/>
          <w:sz w:val="20"/>
          <w:szCs w:val="20"/>
          <w:lang w:val="en-GB"/>
        </w:rPr>
        <w:t xml:space="preserve">operations given in the Annex No II to the aforementioned Regulation; </w:t>
      </w:r>
    </w:p>
    <w:p w:rsidR="0022157B" w:rsidRPr="0022157B" w:rsidRDefault="0022157B" w:rsidP="0022157B">
      <w:pPr>
        <w:autoSpaceDE w:val="0"/>
        <w:autoSpaceDN w:val="0"/>
        <w:adjustRightInd w:val="0"/>
        <w:ind w:left="0" w:firstLine="709"/>
        <w:jc w:val="both"/>
        <w:rPr>
          <w:rFonts w:ascii="Arial" w:hAnsi="Arial" w:cs="Arial"/>
          <w:i/>
          <w:sz w:val="20"/>
          <w:szCs w:val="20"/>
          <w:lang w:val="cs-CZ"/>
        </w:rPr>
      </w:pPr>
      <w:r w:rsidRPr="0022157B">
        <w:rPr>
          <w:rFonts w:ascii="Arial" w:hAnsi="Arial" w:cs="Arial"/>
          <w:i/>
          <w:iCs/>
          <w:sz w:val="20"/>
          <w:szCs w:val="20"/>
          <w:lang w:val="en-GB"/>
        </w:rPr>
        <w:t xml:space="preserve">- </w:t>
      </w:r>
      <w:proofErr w:type="gramStart"/>
      <w:r w:rsidRPr="0022157B">
        <w:rPr>
          <w:rFonts w:ascii="Arial" w:hAnsi="Arial" w:cs="Arial"/>
          <w:b/>
          <w:bCs/>
          <w:i/>
          <w:iCs/>
          <w:sz w:val="20"/>
          <w:szCs w:val="20"/>
          <w:lang w:val="en-GB"/>
        </w:rPr>
        <w:t>waste</w:t>
      </w:r>
      <w:proofErr w:type="gramEnd"/>
      <w:r w:rsidRPr="0022157B">
        <w:rPr>
          <w:rFonts w:ascii="Arial" w:hAnsi="Arial" w:cs="Arial"/>
          <w:b/>
          <w:bCs/>
          <w:i/>
          <w:iCs/>
          <w:sz w:val="20"/>
          <w:szCs w:val="20"/>
          <w:lang w:val="en-GB"/>
        </w:rPr>
        <w:t xml:space="preserve"> disposal </w:t>
      </w:r>
      <w:r w:rsidRPr="0022157B">
        <w:rPr>
          <w:rFonts w:ascii="Arial" w:hAnsi="Arial" w:cs="Arial"/>
          <w:bCs/>
          <w:i/>
          <w:iCs/>
          <w:sz w:val="20"/>
          <w:szCs w:val="20"/>
          <w:lang w:val="en-GB"/>
        </w:rPr>
        <w:t xml:space="preserve">– </w:t>
      </w:r>
      <w:r w:rsidRPr="0022157B">
        <w:rPr>
          <w:rFonts w:ascii="Arial" w:hAnsi="Arial" w:cs="Arial"/>
          <w:i/>
          <w:iCs/>
          <w:sz w:val="20"/>
          <w:szCs w:val="20"/>
          <w:lang w:val="en-GB"/>
        </w:rPr>
        <w:t>operations given in the Annex No II to the aforementioned Regulation</w:t>
      </w:r>
      <w:r w:rsidRPr="0022157B">
        <w:rPr>
          <w:rFonts w:ascii="Arial" w:hAnsi="Arial" w:cs="Arial"/>
          <w:i/>
          <w:sz w:val="20"/>
          <w:szCs w:val="20"/>
          <w:lang w:val="cs-CZ"/>
        </w:rPr>
        <w:t>.</w:t>
      </w:r>
    </w:p>
    <w:p w:rsidR="0022157B" w:rsidRPr="0022157B" w:rsidRDefault="0022157B" w:rsidP="0022157B">
      <w:pPr>
        <w:autoSpaceDE w:val="0"/>
        <w:autoSpaceDN w:val="0"/>
        <w:adjustRightInd w:val="0"/>
        <w:jc w:val="both"/>
        <w:rPr>
          <w:rFonts w:ascii="Arial" w:hAnsi="Arial" w:cs="Arial"/>
          <w:i/>
          <w:sz w:val="20"/>
          <w:szCs w:val="20"/>
          <w:lang w:val="cs-CZ"/>
        </w:rPr>
      </w:pPr>
    </w:p>
    <w:p w:rsidR="0022157B" w:rsidRPr="0022157B" w:rsidRDefault="0022157B" w:rsidP="0022157B">
      <w:pPr>
        <w:autoSpaceDE w:val="0"/>
        <w:autoSpaceDN w:val="0"/>
        <w:adjustRightInd w:val="0"/>
        <w:ind w:left="0" w:firstLine="0"/>
        <w:jc w:val="both"/>
        <w:rPr>
          <w:rFonts w:ascii="Arial" w:hAnsi="Arial" w:cs="Arial"/>
          <w:i/>
          <w:sz w:val="20"/>
          <w:szCs w:val="20"/>
        </w:rPr>
      </w:pPr>
      <w:r w:rsidRPr="0022157B">
        <w:rPr>
          <w:rFonts w:ascii="Arial" w:hAnsi="Arial" w:cs="Arial"/>
          <w:i/>
          <w:sz w:val="20"/>
          <w:szCs w:val="20"/>
          <w:lang w:val="en"/>
        </w:rPr>
        <w:t xml:space="preserve">Waste treatment does not include the volume of secondary waste, preparatory operations, export of waste, </w:t>
      </w:r>
      <w:proofErr w:type="gramStart"/>
      <w:r w:rsidRPr="0022157B">
        <w:rPr>
          <w:rFonts w:ascii="Arial" w:hAnsi="Arial" w:cs="Arial"/>
          <w:i/>
          <w:sz w:val="20"/>
          <w:szCs w:val="20"/>
          <w:lang w:val="en"/>
        </w:rPr>
        <w:t>balance</w:t>
      </w:r>
      <w:proofErr w:type="gramEnd"/>
      <w:r w:rsidRPr="0022157B">
        <w:rPr>
          <w:rFonts w:ascii="Arial" w:hAnsi="Arial" w:cs="Arial"/>
          <w:i/>
          <w:sz w:val="20"/>
          <w:szCs w:val="20"/>
          <w:lang w:val="en"/>
        </w:rPr>
        <w:t xml:space="preserve"> in storage or transfer to another person. Conversely, in addition to own production, waste </w:t>
      </w:r>
      <w:proofErr w:type="gramStart"/>
      <w:r w:rsidRPr="0022157B">
        <w:rPr>
          <w:rFonts w:ascii="Arial" w:hAnsi="Arial" w:cs="Arial"/>
          <w:i/>
          <w:sz w:val="20"/>
          <w:szCs w:val="20"/>
          <w:lang w:val="en"/>
        </w:rPr>
        <w:t>treated  involves</w:t>
      </w:r>
      <w:proofErr w:type="gramEnd"/>
      <w:r w:rsidRPr="0022157B">
        <w:rPr>
          <w:rFonts w:ascii="Arial" w:hAnsi="Arial" w:cs="Arial"/>
          <w:i/>
          <w:sz w:val="20"/>
          <w:szCs w:val="20"/>
          <w:lang w:val="en"/>
        </w:rPr>
        <w:t xml:space="preserve"> the import of waste or the balance in storage from a previous period. For these reasons, the volume of waste generated is not equal the volume of waste that is treated.</w:t>
      </w:r>
    </w:p>
    <w:p w:rsidR="0022157B" w:rsidRPr="0022157B" w:rsidRDefault="0022157B" w:rsidP="0022157B">
      <w:pPr>
        <w:autoSpaceDE w:val="0"/>
        <w:autoSpaceDN w:val="0"/>
        <w:adjustRightInd w:val="0"/>
        <w:jc w:val="both"/>
        <w:rPr>
          <w:rFonts w:ascii="Arial" w:hAnsi="Arial" w:cs="Arial"/>
          <w:i/>
          <w:sz w:val="20"/>
          <w:szCs w:val="20"/>
          <w:lang w:val="cs-CZ"/>
        </w:rPr>
      </w:pPr>
    </w:p>
    <w:p w:rsidR="0022157B" w:rsidRPr="0022157B" w:rsidRDefault="0022157B" w:rsidP="0022157B">
      <w:pPr>
        <w:autoSpaceDE w:val="0"/>
        <w:autoSpaceDN w:val="0"/>
        <w:adjustRightInd w:val="0"/>
        <w:ind w:left="0" w:firstLine="0"/>
        <w:jc w:val="both"/>
        <w:rPr>
          <w:rFonts w:ascii="Arial" w:hAnsi="Arial" w:cs="Arial"/>
          <w:i/>
          <w:sz w:val="20"/>
          <w:lang w:val="cs-CZ"/>
        </w:rPr>
      </w:pPr>
    </w:p>
    <w:p w:rsidR="0022157B" w:rsidRPr="0022157B" w:rsidRDefault="0022157B" w:rsidP="0022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i/>
          <w:sz w:val="20"/>
          <w:szCs w:val="20"/>
          <w:lang w:val="en-GB"/>
        </w:rPr>
      </w:pPr>
      <w:r w:rsidRPr="0022157B">
        <w:rPr>
          <w:rFonts w:ascii="Arial" w:hAnsi="Arial" w:cs="Arial"/>
          <w:b/>
          <w:i/>
          <w:sz w:val="20"/>
          <w:szCs w:val="20"/>
          <w:lang w:val="en-GB"/>
        </w:rPr>
        <w:t>Municipal waste means:</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rPr>
      </w:pPr>
      <w:r w:rsidRPr="0022157B">
        <w:rPr>
          <w:rFonts w:ascii="Arial" w:eastAsia="Arial Unicode MS" w:hAnsi="Arial" w:cs="Arial"/>
          <w:i/>
          <w:iCs/>
          <w:sz w:val="20"/>
          <w:szCs w:val="17"/>
          <w:lang w:val="en-GB"/>
        </w:rPr>
        <w:t>mixed waste and separately collected waste from households, including paper and cardboard, glass, metals, plastics, bio-waste, wood, textiles, packaging, waste electrical and electronic equipment, waste batteries and accumulators, and bulky waste, including mattresses and furniture;</w:t>
      </w:r>
      <w:r w:rsidRPr="0022157B">
        <w:rPr>
          <w:rFonts w:ascii="Arial" w:hAnsi="Arial" w:cs="Arial"/>
          <w:i/>
          <w:sz w:val="20"/>
          <w:szCs w:val="20"/>
        </w:rPr>
        <w:t xml:space="preserve"> </w:t>
      </w:r>
    </w:p>
    <w:p w:rsidR="0022157B" w:rsidRPr="0022157B" w:rsidRDefault="0022157B" w:rsidP="0022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11"/>
        <w:rPr>
          <w:rFonts w:ascii="Arial" w:hAnsi="Arial" w:cs="Arial"/>
          <w:i/>
          <w:sz w:val="20"/>
          <w:szCs w:val="20"/>
        </w:rPr>
      </w:pPr>
      <w:r w:rsidRPr="0022157B">
        <w:rPr>
          <w:rFonts w:ascii="Arial" w:hAnsi="Arial" w:cs="Arial"/>
          <w:i/>
          <w:sz w:val="20"/>
          <w:szCs w:val="20"/>
        </w:rPr>
        <w:t>and</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rPr>
      </w:pPr>
      <w:proofErr w:type="gramStart"/>
      <w:r w:rsidRPr="0022157B">
        <w:rPr>
          <w:rFonts w:ascii="Arial" w:eastAsia="Arial Unicode MS" w:hAnsi="Arial" w:cs="Arial"/>
          <w:i/>
          <w:iCs/>
          <w:sz w:val="20"/>
          <w:szCs w:val="17"/>
          <w:lang w:val="en-GB"/>
        </w:rPr>
        <w:t>mixed</w:t>
      </w:r>
      <w:proofErr w:type="gramEnd"/>
      <w:r w:rsidRPr="0022157B">
        <w:rPr>
          <w:rFonts w:ascii="Arial" w:eastAsia="Arial Unicode MS" w:hAnsi="Arial" w:cs="Arial"/>
          <w:i/>
          <w:iCs/>
          <w:sz w:val="20"/>
          <w:szCs w:val="17"/>
          <w:lang w:val="en-GB"/>
        </w:rPr>
        <w:t xml:space="preserve"> waste and separately collected waste from other sources, where such waste is similar in nature and composition to waste from households</w:t>
      </w:r>
      <w:r w:rsidRPr="0022157B">
        <w:rPr>
          <w:rFonts w:ascii="Arial" w:hAnsi="Arial" w:cs="Arial"/>
          <w:i/>
          <w:sz w:val="20"/>
          <w:szCs w:val="20"/>
        </w:rPr>
        <w:t xml:space="preserve">. </w:t>
      </w:r>
    </w:p>
    <w:p w:rsidR="0022157B" w:rsidRPr="0022157B" w:rsidRDefault="0022157B" w:rsidP="0022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i/>
          <w:sz w:val="20"/>
          <w:szCs w:val="20"/>
        </w:rPr>
      </w:pPr>
    </w:p>
    <w:p w:rsidR="0022157B" w:rsidRPr="0022157B" w:rsidRDefault="0022157B" w:rsidP="00221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i/>
          <w:sz w:val="20"/>
          <w:szCs w:val="20"/>
        </w:rPr>
      </w:pPr>
      <w:r w:rsidRPr="0022157B">
        <w:rPr>
          <w:rFonts w:ascii="Arial" w:hAnsi="Arial" w:cs="Arial"/>
          <w:i/>
          <w:sz w:val="20"/>
          <w:szCs w:val="20"/>
          <w:lang w:val="en-GB"/>
        </w:rPr>
        <w:t xml:space="preserve">Municipal waste does not include waste from production, agriculture, forestry, fishing, septic tanks and sewage network and treatment, including sewage sludge, end-of-life vehicles or construction and demolition waste. </w:t>
      </w:r>
    </w:p>
    <w:p w:rsidR="0022157B" w:rsidRPr="0022157B" w:rsidRDefault="0022157B" w:rsidP="00221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i/>
          <w:sz w:val="20"/>
          <w:szCs w:val="20"/>
        </w:rPr>
      </w:pPr>
      <w:r w:rsidRPr="0022157B">
        <w:rPr>
          <w:rFonts w:ascii="Arial" w:hAnsi="Arial" w:cs="Arial"/>
          <w:i/>
          <w:sz w:val="20"/>
          <w:szCs w:val="20"/>
          <w:lang w:val="en-GB"/>
        </w:rPr>
        <w:t xml:space="preserve">This definition is without prejudice to the allocation of responsibilities for waste management between public and private actors. Waste from households and </w:t>
      </w:r>
      <w:r w:rsidRPr="0022157B">
        <w:rPr>
          <w:rFonts w:ascii="Arial" w:eastAsia="Arial Unicode MS" w:hAnsi="Arial" w:cs="Arial"/>
          <w:i/>
          <w:iCs/>
          <w:sz w:val="20"/>
          <w:szCs w:val="17"/>
          <w:lang w:val="en-GB"/>
        </w:rPr>
        <w:t>waste similar in nature and composition to waste from households will be included in municipal waste regardless of the waste collector.</w:t>
      </w:r>
      <w:r w:rsidRPr="0022157B">
        <w:rPr>
          <w:rFonts w:ascii="Arial" w:hAnsi="Arial" w:cs="Arial"/>
          <w:i/>
          <w:sz w:val="20"/>
          <w:szCs w:val="20"/>
        </w:rPr>
        <w:t xml:space="preserve"> </w:t>
      </w:r>
    </w:p>
    <w:p w:rsidR="0022157B" w:rsidRPr="0022157B" w:rsidRDefault="0022157B" w:rsidP="0022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i/>
          <w:sz w:val="20"/>
          <w:szCs w:val="20"/>
          <w:lang w:val="en-GB"/>
        </w:rPr>
      </w:pPr>
      <w:r w:rsidRPr="0022157B">
        <w:rPr>
          <w:rFonts w:ascii="Arial" w:hAnsi="Arial" w:cs="Arial"/>
          <w:i/>
          <w:sz w:val="20"/>
          <w:szCs w:val="20"/>
          <w:lang w:val="en-GB"/>
        </w:rPr>
        <w:t xml:space="preserve">Municipal waste includes waste </w:t>
      </w:r>
      <w:proofErr w:type="gramStart"/>
      <w:r w:rsidRPr="0022157B">
        <w:rPr>
          <w:rFonts w:ascii="Arial" w:hAnsi="Arial" w:cs="Arial"/>
          <w:i/>
          <w:sz w:val="20"/>
          <w:szCs w:val="20"/>
          <w:lang w:val="en-GB"/>
        </w:rPr>
        <w:t>from</w:t>
      </w:r>
      <w:proofErr w:type="gramEnd"/>
      <w:r w:rsidRPr="0022157B">
        <w:rPr>
          <w:rFonts w:ascii="Arial" w:hAnsi="Arial" w:cs="Arial"/>
          <w:i/>
          <w:sz w:val="20"/>
          <w:szCs w:val="20"/>
          <w:lang w:val="en-GB"/>
        </w:rPr>
        <w:t>:</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lang w:val="en-GB"/>
        </w:rPr>
      </w:pPr>
      <w:r w:rsidRPr="0022157B">
        <w:rPr>
          <w:rFonts w:ascii="Arial" w:hAnsi="Arial" w:cs="Arial"/>
          <w:i/>
          <w:sz w:val="20"/>
          <w:szCs w:val="20"/>
          <w:lang w:val="en-GB"/>
        </w:rPr>
        <w:t>households,</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rPr>
      </w:pPr>
      <w:r w:rsidRPr="0022157B">
        <w:rPr>
          <w:rFonts w:ascii="Arial" w:hAnsi="Arial" w:cs="Arial"/>
          <w:i/>
          <w:sz w:val="20"/>
          <w:szCs w:val="20"/>
          <w:lang w:val="en-GB"/>
        </w:rPr>
        <w:t>retail trade, small businesses, office buildings and institutions (such as schools, hospitals, government buildings),</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lang w:val="en-GB"/>
        </w:rPr>
      </w:pPr>
      <w:r w:rsidRPr="0022157B">
        <w:rPr>
          <w:rFonts w:ascii="Arial" w:hAnsi="Arial" w:cs="Arial"/>
          <w:i/>
          <w:sz w:val="20"/>
          <w:szCs w:val="20"/>
          <w:lang w:val="en-GB"/>
        </w:rPr>
        <w:t xml:space="preserve">businesses provided that it is similar in nature and composition to household waste and it is not originating from production,  </w:t>
      </w:r>
    </w:p>
    <w:p w:rsidR="0022157B" w:rsidRPr="0022157B" w:rsidRDefault="0022157B" w:rsidP="002215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i/>
          <w:sz w:val="20"/>
          <w:szCs w:val="20"/>
        </w:rPr>
      </w:pPr>
      <w:r w:rsidRPr="0022157B">
        <w:rPr>
          <w:rFonts w:ascii="Arial" w:hAnsi="Arial" w:cs="Arial"/>
          <w:i/>
          <w:sz w:val="20"/>
          <w:szCs w:val="20"/>
          <w:lang w:val="en-GB"/>
        </w:rPr>
        <w:t xml:space="preserve">waste from selected municipal services, i.e. waste from park and garden maintenance, waste from street cleaning services (e.g. street sweeping, waste from cleaning of markets), </w:t>
      </w:r>
    </w:p>
    <w:p w:rsidR="0022157B" w:rsidRPr="0022157B" w:rsidRDefault="0022157B" w:rsidP="0022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ascii="Arial" w:hAnsi="Arial" w:cs="Arial"/>
          <w:i/>
          <w:sz w:val="20"/>
          <w:szCs w:val="20"/>
        </w:rPr>
      </w:pPr>
      <w:proofErr w:type="gramStart"/>
      <w:r w:rsidRPr="0022157B">
        <w:rPr>
          <w:rFonts w:ascii="Arial" w:hAnsi="Arial" w:cs="Arial"/>
          <w:i/>
          <w:sz w:val="20"/>
          <w:szCs w:val="20"/>
          <w:lang w:val="en-GB"/>
        </w:rPr>
        <w:t>provided</w:t>
      </w:r>
      <w:proofErr w:type="gramEnd"/>
      <w:r w:rsidRPr="0022157B">
        <w:rPr>
          <w:rFonts w:ascii="Arial" w:hAnsi="Arial" w:cs="Arial"/>
          <w:i/>
          <w:sz w:val="20"/>
          <w:szCs w:val="20"/>
          <w:lang w:val="en-GB"/>
        </w:rPr>
        <w:t xml:space="preserve"> that it is managed as waste.</w:t>
      </w:r>
    </w:p>
    <w:p w:rsidR="0022157B" w:rsidRPr="0022157B" w:rsidRDefault="0022157B" w:rsidP="0022157B">
      <w:pPr>
        <w:rPr>
          <w:rFonts w:ascii="Arial" w:hAnsi="Arial" w:cs="Arial"/>
          <w:i/>
        </w:rPr>
      </w:pPr>
    </w:p>
    <w:p w:rsidR="0022157B" w:rsidRPr="0022157B" w:rsidRDefault="0022157B" w:rsidP="0022157B">
      <w:pPr>
        <w:spacing w:line="240" w:lineRule="auto"/>
        <w:ind w:left="0" w:firstLine="0"/>
        <w:jc w:val="both"/>
        <w:rPr>
          <w:rFonts w:ascii="Arial" w:hAnsi="Arial" w:cs="Arial"/>
          <w:bCs/>
          <w:i/>
          <w:sz w:val="20"/>
          <w:lang w:val="cs-CZ"/>
        </w:rPr>
      </w:pPr>
    </w:p>
    <w:p w:rsidR="0022157B" w:rsidRPr="0022157B" w:rsidRDefault="0022157B" w:rsidP="0022157B">
      <w:pPr>
        <w:autoSpaceDE w:val="0"/>
        <w:autoSpaceDN w:val="0"/>
        <w:adjustRightInd w:val="0"/>
        <w:ind w:left="0" w:firstLine="0"/>
        <w:jc w:val="both"/>
        <w:rPr>
          <w:rFonts w:ascii="Arial" w:hAnsi="Arial" w:cs="Arial"/>
          <w:bCs/>
          <w:i/>
          <w:sz w:val="20"/>
          <w:szCs w:val="20"/>
          <w:lang w:val="cs-CZ"/>
        </w:rPr>
      </w:pPr>
      <w:r w:rsidRPr="0022157B">
        <w:rPr>
          <w:rFonts w:ascii="Arial" w:hAnsi="Arial" w:cs="Arial"/>
          <w:b/>
          <w:bCs/>
          <w:i/>
          <w:sz w:val="20"/>
          <w:szCs w:val="20"/>
          <w:lang w:val="en-GB"/>
        </w:rPr>
        <w:t>EWC-STAT</w:t>
      </w:r>
      <w:r w:rsidRPr="0022157B">
        <w:rPr>
          <w:rFonts w:ascii="Arial" w:hAnsi="Arial" w:cs="Arial"/>
          <w:bCs/>
          <w:i/>
          <w:sz w:val="20"/>
          <w:szCs w:val="20"/>
          <w:lang w:val="en-GB"/>
        </w:rPr>
        <w:t xml:space="preserve"> (</w:t>
      </w:r>
      <w:r w:rsidRPr="0022157B">
        <w:rPr>
          <w:rFonts w:ascii="Arial" w:hAnsi="Arial" w:cs="Arial"/>
          <w:i/>
          <w:iCs/>
          <w:sz w:val="20"/>
          <w:szCs w:val="20"/>
          <w:lang w:val="en-GB"/>
        </w:rPr>
        <w:t xml:space="preserve">European Waste Classification for Statistics) </w:t>
      </w:r>
      <w:r w:rsidRPr="0022157B">
        <w:rPr>
          <w:rFonts w:ascii="Arial" w:hAnsi="Arial" w:cs="Arial"/>
          <w:bCs/>
          <w:i/>
          <w:sz w:val="20"/>
          <w:szCs w:val="20"/>
          <w:lang w:val="en-GB"/>
        </w:rPr>
        <w:t>is a</w:t>
      </w:r>
      <w:r w:rsidRPr="0022157B">
        <w:rPr>
          <w:rFonts w:ascii="Arial" w:hAnsi="Arial" w:cs="Arial"/>
          <w:i/>
          <w:iCs/>
          <w:sz w:val="20"/>
          <w:szCs w:val="20"/>
          <w:lang w:val="en-GB"/>
        </w:rPr>
        <w:t xml:space="preserve"> classification</w:t>
      </w:r>
      <w:r w:rsidRPr="0022157B">
        <w:rPr>
          <w:rFonts w:ascii="Arial" w:hAnsi="Arial" w:cs="Arial"/>
          <w:bCs/>
          <w:i/>
          <w:sz w:val="20"/>
          <w:szCs w:val="20"/>
          <w:lang w:val="en-GB"/>
        </w:rPr>
        <w:t xml:space="preserve"> (</w:t>
      </w:r>
      <w:r w:rsidRPr="0022157B">
        <w:rPr>
          <w:rFonts w:ascii="Arial" w:hAnsi="Arial" w:cs="Arial"/>
          <w:i/>
          <w:iCs/>
          <w:sz w:val="20"/>
          <w:szCs w:val="20"/>
          <w:lang w:val="en-GB"/>
        </w:rPr>
        <w:t xml:space="preserve">waste statistical nomenclature) </w:t>
      </w:r>
      <w:r w:rsidRPr="0022157B">
        <w:rPr>
          <w:rFonts w:ascii="Arial" w:hAnsi="Arial" w:cs="Arial"/>
          <w:bCs/>
          <w:i/>
          <w:sz w:val="20"/>
          <w:szCs w:val="20"/>
          <w:lang w:val="en-GB"/>
        </w:rPr>
        <w:t xml:space="preserve">in the </w:t>
      </w:r>
      <w:r w:rsidRPr="0022157B">
        <w:rPr>
          <w:rFonts w:ascii="Arial" w:hAnsi="Arial" w:cs="Arial"/>
          <w:i/>
          <w:iCs/>
          <w:sz w:val="20"/>
          <w:szCs w:val="20"/>
          <w:lang w:val="en-GB"/>
        </w:rPr>
        <w:t>Regulation (EC) No 2150/2002. Unlike the classification used in the List of Waste (</w:t>
      </w:r>
      <w:proofErr w:type="spellStart"/>
      <w:r w:rsidRPr="0022157B">
        <w:rPr>
          <w:rFonts w:ascii="Arial" w:hAnsi="Arial" w:cs="Arial"/>
          <w:i/>
          <w:iCs/>
          <w:sz w:val="20"/>
          <w:szCs w:val="20"/>
          <w:lang w:val="en-GB"/>
        </w:rPr>
        <w:t>LoW</w:t>
      </w:r>
      <w:proofErr w:type="spellEnd"/>
      <w:r w:rsidRPr="0022157B">
        <w:rPr>
          <w:rFonts w:ascii="Arial" w:hAnsi="Arial" w:cs="Arial"/>
          <w:i/>
          <w:iCs/>
          <w:sz w:val="20"/>
          <w:szCs w:val="20"/>
          <w:lang w:val="en-GB"/>
        </w:rPr>
        <w:t>), EWC-STAT is not origin-oriented (it does not distinguish who generated the waste); it is purely a substance oriented waste statistical nomenclature</w:t>
      </w:r>
      <w:r w:rsidRPr="0022157B">
        <w:rPr>
          <w:rFonts w:ascii="Arial" w:hAnsi="Arial" w:cs="Arial"/>
          <w:bCs/>
          <w:i/>
          <w:sz w:val="20"/>
          <w:szCs w:val="20"/>
          <w:lang w:val="cs-CZ"/>
        </w:rPr>
        <w:t xml:space="preserve">. </w:t>
      </w:r>
    </w:p>
    <w:p w:rsidR="0022157B" w:rsidRPr="0022157B" w:rsidRDefault="0022157B" w:rsidP="0022157B">
      <w:pPr>
        <w:autoSpaceDE w:val="0"/>
        <w:autoSpaceDN w:val="0"/>
        <w:adjustRightInd w:val="0"/>
        <w:ind w:left="0" w:firstLine="0"/>
        <w:jc w:val="both"/>
        <w:rPr>
          <w:rFonts w:ascii="Arial" w:hAnsi="Arial" w:cs="Arial"/>
          <w:bCs/>
          <w:i/>
          <w:sz w:val="20"/>
          <w:szCs w:val="20"/>
          <w:lang w:val="cs-CZ"/>
        </w:rPr>
      </w:pPr>
    </w:p>
    <w:p w:rsidR="0022157B" w:rsidRPr="0022157B" w:rsidRDefault="0022157B" w:rsidP="0022157B">
      <w:pPr>
        <w:autoSpaceDE w:val="0"/>
        <w:autoSpaceDN w:val="0"/>
        <w:adjustRightInd w:val="0"/>
        <w:jc w:val="both"/>
        <w:rPr>
          <w:rFonts w:ascii="Arial" w:hAnsi="Arial" w:cs="Arial"/>
          <w:i/>
          <w:sz w:val="20"/>
          <w:szCs w:val="20"/>
          <w:lang w:val="en"/>
        </w:rPr>
      </w:pPr>
      <w:r w:rsidRPr="0022157B">
        <w:rPr>
          <w:rFonts w:ascii="Arial" w:hAnsi="Arial" w:cs="Arial"/>
          <w:i/>
          <w:sz w:val="20"/>
          <w:szCs w:val="20"/>
          <w:lang w:val="en"/>
        </w:rPr>
        <w:t xml:space="preserve">The regional breakdown in this publication </w:t>
      </w:r>
      <w:proofErr w:type="gramStart"/>
      <w:r w:rsidRPr="0022157B">
        <w:rPr>
          <w:rFonts w:ascii="Arial" w:hAnsi="Arial" w:cs="Arial"/>
          <w:i/>
          <w:sz w:val="20"/>
          <w:szCs w:val="20"/>
          <w:lang w:val="en"/>
        </w:rPr>
        <w:t>is made</w:t>
      </w:r>
      <w:proofErr w:type="gramEnd"/>
      <w:r w:rsidRPr="0022157B">
        <w:rPr>
          <w:rFonts w:ascii="Arial" w:hAnsi="Arial" w:cs="Arial"/>
          <w:i/>
          <w:sz w:val="20"/>
          <w:szCs w:val="20"/>
          <w:lang w:val="en"/>
        </w:rPr>
        <w:t xml:space="preserve"> according to the registered office of the establishments</w:t>
      </w:r>
    </w:p>
    <w:p w:rsidR="0022157B" w:rsidRPr="0022157B" w:rsidRDefault="0022157B" w:rsidP="0022157B">
      <w:pPr>
        <w:autoSpaceDE w:val="0"/>
        <w:autoSpaceDN w:val="0"/>
        <w:adjustRightInd w:val="0"/>
        <w:jc w:val="both"/>
        <w:rPr>
          <w:rFonts w:ascii="Arial" w:hAnsi="Arial" w:cs="Arial"/>
          <w:bCs/>
          <w:i/>
          <w:sz w:val="20"/>
          <w:szCs w:val="20"/>
        </w:rPr>
      </w:pPr>
      <w:r w:rsidRPr="0022157B">
        <w:rPr>
          <w:rFonts w:ascii="Arial" w:hAnsi="Arial" w:cs="Arial"/>
          <w:i/>
          <w:sz w:val="20"/>
          <w:szCs w:val="20"/>
          <w:lang w:val="en"/>
        </w:rPr>
        <w:t>(</w:t>
      </w:r>
      <w:proofErr w:type="gramStart"/>
      <w:r w:rsidRPr="0022157B">
        <w:rPr>
          <w:rFonts w:ascii="Arial" w:hAnsi="Arial" w:cs="Arial"/>
          <w:i/>
          <w:sz w:val="20"/>
          <w:szCs w:val="20"/>
          <w:lang w:val="en"/>
        </w:rPr>
        <w:t>local</w:t>
      </w:r>
      <w:proofErr w:type="gramEnd"/>
      <w:r w:rsidRPr="0022157B">
        <w:rPr>
          <w:rFonts w:ascii="Arial" w:hAnsi="Arial" w:cs="Arial"/>
          <w:i/>
          <w:sz w:val="20"/>
          <w:szCs w:val="20"/>
          <w:lang w:val="en"/>
        </w:rPr>
        <w:t xml:space="preserve"> units), not according to the registered office of the enterprise.</w:t>
      </w:r>
    </w:p>
    <w:p w:rsidR="00245479" w:rsidRPr="0022157B" w:rsidRDefault="00245479" w:rsidP="0022157B">
      <w:bookmarkStart w:id="3" w:name="_GoBack"/>
      <w:bookmarkEnd w:id="3"/>
    </w:p>
    <w:sectPr w:rsidR="00245479" w:rsidRPr="0022157B" w:rsidSect="0041576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1F" w:rsidRDefault="003C701F" w:rsidP="00415762">
      <w:pPr>
        <w:spacing w:line="240" w:lineRule="auto"/>
      </w:pPr>
      <w:r>
        <w:separator/>
      </w:r>
    </w:p>
  </w:endnote>
  <w:endnote w:type="continuationSeparator" w:id="0">
    <w:p w:rsidR="003C701F" w:rsidRDefault="003C701F" w:rsidP="0041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62" w:rsidRPr="008E3663" w:rsidRDefault="00415762" w:rsidP="00415762">
    <w:pPr>
      <w:pStyle w:val="Zpat"/>
      <w:ind w:right="360" w:firstLine="360"/>
      <w:jc w:val="center"/>
      <w:rPr>
        <w:rFonts w:ascii="Arial" w:hAnsi="Arial" w:cs="Arial"/>
        <w:sz w:val="18"/>
        <w:szCs w:val="18"/>
        <w:lang w:val="cs-CZ"/>
      </w:rPr>
    </w:pPr>
    <w:r w:rsidRPr="008E3663">
      <w:rPr>
        <w:rFonts w:ascii="Arial" w:hAnsi="Arial" w:cs="Arial"/>
        <w:noProof/>
        <w:sz w:val="18"/>
        <w:szCs w:val="18"/>
        <w:lang w:val="cs-CZ"/>
      </w:rPr>
      <w:drawing>
        <wp:anchor distT="0" distB="0" distL="114300" distR="114300" simplePos="0" relativeHeight="251660288" behindDoc="0" locked="0" layoutInCell="1" allowOverlap="1">
          <wp:simplePos x="0" y="0"/>
          <wp:positionH relativeFrom="column">
            <wp:posOffset>-39370</wp:posOffset>
          </wp:positionH>
          <wp:positionV relativeFrom="paragraph">
            <wp:posOffset>635</wp:posOffset>
          </wp:positionV>
          <wp:extent cx="510540" cy="272415"/>
          <wp:effectExtent l="19050" t="0" r="3810" b="0"/>
          <wp:wrapNone/>
          <wp:docPr id="1"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sidR="00FA659B">
      <w:rPr>
        <w:rFonts w:ascii="Arial" w:hAnsi="Arial" w:cs="Arial"/>
        <w:noProof/>
        <w:sz w:val="18"/>
        <w:szCs w:val="18"/>
        <w:lang w:val="cs-CZ"/>
      </w:rPr>
      <w:t>2018</w:t>
    </w:r>
  </w:p>
  <w:p w:rsidR="00415762" w:rsidRDefault="004157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1F" w:rsidRDefault="003C701F" w:rsidP="00415762">
      <w:pPr>
        <w:spacing w:line="240" w:lineRule="auto"/>
      </w:pPr>
      <w:r>
        <w:separator/>
      </w:r>
    </w:p>
  </w:footnote>
  <w:footnote w:type="continuationSeparator" w:id="0">
    <w:p w:rsidR="003C701F" w:rsidRDefault="003C701F" w:rsidP="00415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3" w:rsidRPr="00B77E78" w:rsidRDefault="008E3663" w:rsidP="008E3663">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8E3663" w:rsidRPr="008E3663" w:rsidRDefault="008E3663" w:rsidP="008E3663">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2B3DCA">
      <w:rPr>
        <w:rFonts w:ascii="Arial" w:eastAsia="Calibri" w:hAnsi="Arial"/>
        <w:i/>
        <w:sz w:val="16"/>
        <w:szCs w:val="22"/>
        <w:lang w:val="cs-CZ" w:eastAsia="en-US"/>
      </w:rPr>
      <w:t>Generation</w:t>
    </w:r>
    <w:proofErr w:type="spellEnd"/>
    <w:r w:rsidRPr="002B3DCA">
      <w:rPr>
        <w:rFonts w:ascii="Arial" w:eastAsia="Calibri" w:hAnsi="Arial"/>
        <w:i/>
        <w:sz w:val="16"/>
        <w:szCs w:val="22"/>
        <w:lang w:val="cs-CZ" w:eastAsia="en-US"/>
      </w:rPr>
      <w:t>,</w:t>
    </w:r>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Recovery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0EC5"/>
    <w:multiLevelType w:val="hybridMultilevel"/>
    <w:tmpl w:val="39FE435A"/>
    <w:lvl w:ilvl="0" w:tplc="351AA43C">
      <w:start w:val="1"/>
      <w:numFmt w:val="lowerLetter"/>
      <w:lvlText w:val="%1)"/>
      <w:lvlJc w:val="left"/>
      <w:pPr>
        <w:ind w:left="1050" w:hanging="360"/>
      </w:pPr>
      <w:rPr>
        <w:rFonts w:hint="default"/>
      </w:rPr>
    </w:lvl>
    <w:lvl w:ilvl="1" w:tplc="04050019">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1"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4B2CD4"/>
    <w:multiLevelType w:val="hybridMultilevel"/>
    <w:tmpl w:val="B818FDE4"/>
    <w:lvl w:ilvl="0" w:tplc="EA0A0282">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70345641"/>
    <w:multiLevelType w:val="hybridMultilevel"/>
    <w:tmpl w:val="39FE435A"/>
    <w:lvl w:ilvl="0" w:tplc="351AA43C">
      <w:start w:val="1"/>
      <w:numFmt w:val="lowerLetter"/>
      <w:lvlText w:val="%1)"/>
      <w:lvlJc w:val="left"/>
      <w:pPr>
        <w:ind w:left="1050" w:hanging="360"/>
      </w:pPr>
      <w:rPr>
        <w:rFonts w:hint="default"/>
      </w:rPr>
    </w:lvl>
    <w:lvl w:ilvl="1" w:tplc="04050019">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4" w15:restartNumberingAfterBreak="0">
    <w:nsid w:val="74F06367"/>
    <w:multiLevelType w:val="hybridMultilevel"/>
    <w:tmpl w:val="B818FDE4"/>
    <w:lvl w:ilvl="0" w:tplc="EA0A0282">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DCD"/>
    <w:rsid w:val="00013DCD"/>
    <w:rsid w:val="000521D7"/>
    <w:rsid w:val="000A7395"/>
    <w:rsid w:val="00137085"/>
    <w:rsid w:val="0022157B"/>
    <w:rsid w:val="00245479"/>
    <w:rsid w:val="003A1A2A"/>
    <w:rsid w:val="003C701F"/>
    <w:rsid w:val="00415762"/>
    <w:rsid w:val="004378C0"/>
    <w:rsid w:val="0057506F"/>
    <w:rsid w:val="006D16C5"/>
    <w:rsid w:val="00706B9F"/>
    <w:rsid w:val="008E3663"/>
    <w:rsid w:val="00AC6880"/>
    <w:rsid w:val="00D622C9"/>
    <w:rsid w:val="00FA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741AF-E61C-4EA0-A3B2-4A26BA7C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DCD"/>
    <w:pPr>
      <w:spacing w:after="0" w:line="0" w:lineRule="atLeast"/>
      <w:ind w:left="851" w:hanging="851"/>
    </w:pPr>
    <w:rPr>
      <w:rFonts w:ascii="Times New Roman" w:eastAsia="Times New Roman" w:hAnsi="Times New Roman" w:cs="Times New Roman"/>
      <w:sz w:val="24"/>
      <w:szCs w:val="24"/>
      <w:lang w:val="ru-RU" w:eastAsia="cs-CZ"/>
    </w:rPr>
  </w:style>
  <w:style w:type="paragraph" w:styleId="Nadpis3">
    <w:name w:val="heading 3"/>
    <w:next w:val="Normln"/>
    <w:link w:val="Nadpis3Char"/>
    <w:uiPriority w:val="9"/>
    <w:qFormat/>
    <w:rsid w:val="003A1A2A"/>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13DCD"/>
    <w:pPr>
      <w:tabs>
        <w:tab w:val="left" w:pos="684"/>
      </w:tabs>
      <w:jc w:val="both"/>
    </w:pPr>
    <w:rPr>
      <w:lang w:val="cs-CZ"/>
    </w:rPr>
  </w:style>
  <w:style w:type="character" w:customStyle="1" w:styleId="ZkladntextChar">
    <w:name w:val="Základní text Char"/>
    <w:basedOn w:val="Standardnpsmoodstavce"/>
    <w:link w:val="Zkladntext"/>
    <w:semiHidden/>
    <w:rsid w:val="00013DC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qFormat/>
    <w:rsid w:val="00415762"/>
    <w:pPr>
      <w:tabs>
        <w:tab w:val="center" w:pos="4536"/>
        <w:tab w:val="right" w:pos="9072"/>
      </w:tabs>
      <w:spacing w:line="240" w:lineRule="auto"/>
    </w:pPr>
  </w:style>
  <w:style w:type="character" w:customStyle="1" w:styleId="ZhlavChar">
    <w:name w:val="Záhlaví Char"/>
    <w:basedOn w:val="Standardnpsmoodstavce"/>
    <w:link w:val="Zhlav"/>
    <w:semiHidden/>
    <w:rsid w:val="00415762"/>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415762"/>
    <w:pPr>
      <w:tabs>
        <w:tab w:val="center" w:pos="4536"/>
        <w:tab w:val="right" w:pos="9072"/>
      </w:tabs>
      <w:spacing w:line="240" w:lineRule="auto"/>
    </w:pPr>
  </w:style>
  <w:style w:type="character" w:customStyle="1" w:styleId="ZpatChar">
    <w:name w:val="Zápatí Char"/>
    <w:basedOn w:val="Standardnpsmoodstavce"/>
    <w:link w:val="Zpat"/>
    <w:uiPriority w:val="99"/>
    <w:rsid w:val="00415762"/>
    <w:rPr>
      <w:rFonts w:ascii="Times New Roman" w:eastAsia="Times New Roman" w:hAnsi="Times New Roman" w:cs="Times New Roman"/>
      <w:sz w:val="24"/>
      <w:szCs w:val="24"/>
      <w:lang w:val="ru-RU" w:eastAsia="cs-CZ"/>
    </w:rPr>
  </w:style>
  <w:style w:type="paragraph" w:styleId="Zkladntext3">
    <w:name w:val="Body Text 3"/>
    <w:basedOn w:val="Normln"/>
    <w:link w:val="Zkladntext3Char"/>
    <w:uiPriority w:val="99"/>
    <w:semiHidden/>
    <w:unhideWhenUsed/>
    <w:rsid w:val="00415762"/>
    <w:pPr>
      <w:spacing w:after="120"/>
    </w:pPr>
    <w:rPr>
      <w:sz w:val="16"/>
      <w:szCs w:val="16"/>
    </w:rPr>
  </w:style>
  <w:style w:type="character" w:customStyle="1" w:styleId="Zkladntext3Char">
    <w:name w:val="Základní text 3 Char"/>
    <w:basedOn w:val="Standardnpsmoodstavce"/>
    <w:link w:val="Zkladntext3"/>
    <w:uiPriority w:val="99"/>
    <w:semiHidden/>
    <w:rsid w:val="00415762"/>
    <w:rPr>
      <w:rFonts w:ascii="Times New Roman" w:eastAsia="Times New Roman" w:hAnsi="Times New Roman" w:cs="Times New Roman"/>
      <w:sz w:val="16"/>
      <w:szCs w:val="16"/>
      <w:lang w:val="ru-RU" w:eastAsia="cs-CZ"/>
    </w:rPr>
  </w:style>
  <w:style w:type="paragraph" w:styleId="Zkladntextodsazen">
    <w:name w:val="Body Text Indent"/>
    <w:basedOn w:val="Normln"/>
    <w:link w:val="ZkladntextodsazenChar"/>
    <w:uiPriority w:val="99"/>
    <w:semiHidden/>
    <w:unhideWhenUsed/>
    <w:rsid w:val="00415762"/>
    <w:pPr>
      <w:spacing w:after="120"/>
      <w:ind w:left="283"/>
    </w:pPr>
  </w:style>
  <w:style w:type="character" w:customStyle="1" w:styleId="ZkladntextodsazenChar">
    <w:name w:val="Základní text odsazený Char"/>
    <w:basedOn w:val="Standardnpsmoodstavce"/>
    <w:link w:val="Zkladntextodsazen"/>
    <w:uiPriority w:val="99"/>
    <w:semiHidden/>
    <w:rsid w:val="00415762"/>
    <w:rPr>
      <w:rFonts w:ascii="Times New Roman" w:eastAsia="Times New Roman" w:hAnsi="Times New Roman" w:cs="Times New Roman"/>
      <w:sz w:val="24"/>
      <w:szCs w:val="24"/>
      <w:lang w:val="ru-RU" w:eastAsia="cs-CZ"/>
    </w:rPr>
  </w:style>
  <w:style w:type="character" w:customStyle="1" w:styleId="Nadpis3Char">
    <w:name w:val="Nadpis 3 Char"/>
    <w:basedOn w:val="Standardnpsmoodstavce"/>
    <w:link w:val="Nadpis3"/>
    <w:uiPriority w:val="9"/>
    <w:rsid w:val="003A1A2A"/>
    <w:rPr>
      <w:rFonts w:ascii="Arial" w:eastAsia="MS Gothic" w:hAnsi="Arial" w:cs="Times New Roman"/>
      <w:b/>
      <w:bCs/>
      <w:color w:val="0071BC"/>
      <w:sz w:val="24"/>
      <w:szCs w:val="24"/>
      <w:lang w:eastAsia="cs-CZ"/>
    </w:rPr>
  </w:style>
  <w:style w:type="table" w:styleId="Mkatabulky">
    <w:name w:val="Table Grid"/>
    <w:basedOn w:val="Normlntabulka"/>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ECFC-B4EC-42DD-B2F3-4ED3ACEC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1397</Words>
  <Characters>8246</Characters>
  <Application>Microsoft Office Word</Application>
  <DocSecurity>0</DocSecurity>
  <Lines>68</Lines>
  <Paragraphs>19</Paragraphs>
  <ScaleCrop>false</ScaleCrop>
  <Company>CSU</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Ing. Tomáš Harák</cp:lastModifiedBy>
  <cp:revision>11</cp:revision>
  <dcterms:created xsi:type="dcterms:W3CDTF">2016-10-14T12:33:00Z</dcterms:created>
  <dcterms:modified xsi:type="dcterms:W3CDTF">2021-02-03T12:47:00Z</dcterms:modified>
</cp:coreProperties>
</file>