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DC285" w14:textId="224EB082" w:rsidR="00BE6186" w:rsidRDefault="001F22C8" w:rsidP="001F22C8">
      <w:pPr>
        <w:pStyle w:val="Nadpis1"/>
      </w:pPr>
      <w:bookmarkStart w:id="0" w:name="_Toc16089240"/>
      <w:r>
        <w:t>5</w:t>
      </w:r>
      <w:r w:rsidR="00BE6186" w:rsidRPr="00360DE3">
        <w:t xml:space="preserve">. </w:t>
      </w:r>
      <w:r w:rsidR="00744EE6">
        <w:t>Nefinanční podniky</w:t>
      </w:r>
      <w:bookmarkEnd w:id="0"/>
    </w:p>
    <w:tbl>
      <w:tblPr>
        <w:tblW w:w="9644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13"/>
        <w:gridCol w:w="231"/>
        <w:gridCol w:w="7600"/>
      </w:tblGrid>
      <w:tr w:rsidR="00744EE6" w14:paraId="7CB4BDF0" w14:textId="77777777" w:rsidTr="00A54250">
        <w:trPr>
          <w:trHeight w:val="145"/>
        </w:trPr>
        <w:tc>
          <w:tcPr>
            <w:tcW w:w="1813" w:type="dxa"/>
            <w:shd w:val="clear" w:color="auto" w:fill="auto"/>
          </w:tcPr>
          <w:p w14:paraId="413C6500" w14:textId="77777777" w:rsidR="00744EE6" w:rsidRDefault="00744EE6" w:rsidP="00A54250">
            <w:pPr>
              <w:pStyle w:val="Marginlie"/>
            </w:pPr>
            <w:r>
              <w:t xml:space="preserve">Hrubá přidaná hodnota vytvořená nefinančními podniky loni vzrostla. </w:t>
            </w:r>
          </w:p>
        </w:tc>
        <w:tc>
          <w:tcPr>
            <w:tcW w:w="231" w:type="dxa"/>
            <w:shd w:val="clear" w:color="auto" w:fill="auto"/>
          </w:tcPr>
          <w:p w14:paraId="44FB7988" w14:textId="77777777" w:rsidR="00744EE6" w:rsidRDefault="00744EE6" w:rsidP="00A54250">
            <w:pPr>
              <w:pStyle w:val="Textpoznpodarou1"/>
              <w:jc w:val="both"/>
              <w:rPr>
                <w:spacing w:val="-4"/>
              </w:rPr>
            </w:pPr>
          </w:p>
        </w:tc>
        <w:tc>
          <w:tcPr>
            <w:tcW w:w="7600" w:type="dxa"/>
            <w:shd w:val="clear" w:color="auto" w:fill="auto"/>
          </w:tcPr>
          <w:p w14:paraId="7E7229A6" w14:textId="6FBD4BFD" w:rsidR="00744EE6" w:rsidRDefault="00744EE6" w:rsidP="00012408">
            <w:r>
              <w:t>Sektor nefinančních podniků (NP) tvoří páteř ekonomiky. Hrubá přidaná hodnota (HPH) vytvořená NP v roce 2018 dosáhla 2 955,9</w:t>
            </w:r>
            <w:r w:rsidR="001F138C">
              <w:t> mld.</w:t>
            </w:r>
            <w:r>
              <w:t xml:space="preserve"> korun</w:t>
            </w:r>
            <w:r>
              <w:rPr>
                <w:rStyle w:val="Znakapoznpodarou"/>
              </w:rPr>
              <w:footnoteReference w:id="1"/>
            </w:r>
            <w:r>
              <w:t xml:space="preserve"> a meziročně se zvýšila o</w:t>
            </w:r>
            <w:r w:rsidR="00BD2991">
              <w:t> </w:t>
            </w:r>
            <w:r>
              <w:t>115,7</w:t>
            </w:r>
            <w:r w:rsidR="001F138C">
              <w:t> mld.</w:t>
            </w:r>
            <w:r>
              <w:t xml:space="preserve"> Nefinanční podniky se na celkové HPH v ekonomice podílely 61,7</w:t>
            </w:r>
            <w:r w:rsidR="001D51EB">
              <w:t> %</w:t>
            </w:r>
            <w:r>
              <w:t>. Jsou rovněž nejvýznamnějším zaměstnavatelem. Na celkové zaměstnanosti</w:t>
            </w:r>
            <w:r>
              <w:rPr>
                <w:rStyle w:val="Znakapoznpodarou"/>
              </w:rPr>
              <w:footnoteReference w:id="2"/>
            </w:r>
            <w:r>
              <w:t xml:space="preserve"> se loni podílely 60,9</w:t>
            </w:r>
            <w:r w:rsidR="001D51EB">
              <w:t> %</w:t>
            </w:r>
            <w:r>
              <w:t>. Objem jimi vyplacených náhrad zaměstnancům loni dosáhl 1 597,8</w:t>
            </w:r>
            <w:r w:rsidR="00012408">
              <w:t> </w:t>
            </w:r>
            <w:r>
              <w:t>mld. korun a tvořil 69,7</w:t>
            </w:r>
            <w:r w:rsidR="001D51EB">
              <w:t> %</w:t>
            </w:r>
            <w:r>
              <w:t xml:space="preserve"> celkových náhrad v ekonomice. Objem výdajů na tvorbu hrubého fixního kapitálu v případě NP dosáhl 857,9</w:t>
            </w:r>
            <w:r w:rsidR="001F138C">
              <w:t> mld.</w:t>
            </w:r>
            <w:r>
              <w:t xml:space="preserve"> korun a tvořil 63,2</w:t>
            </w:r>
            <w:r w:rsidR="001D51EB">
              <w:t> %</w:t>
            </w:r>
            <w:r>
              <w:t xml:space="preserve"> celkové investiční aktivity národního hospodářství.</w:t>
            </w:r>
          </w:p>
        </w:tc>
      </w:tr>
      <w:tr w:rsidR="00744EE6" w14:paraId="240AEDDC" w14:textId="77777777" w:rsidTr="00A54250">
        <w:tc>
          <w:tcPr>
            <w:tcW w:w="1813" w:type="dxa"/>
            <w:vMerge w:val="restart"/>
            <w:shd w:val="clear" w:color="auto" w:fill="auto"/>
          </w:tcPr>
          <w:p w14:paraId="3CE78B1C" w14:textId="77777777" w:rsidR="00744EE6" w:rsidRDefault="00744EE6" w:rsidP="00A54250">
            <w:pPr>
              <w:pStyle w:val="Marginlie"/>
            </w:pPr>
          </w:p>
        </w:tc>
        <w:tc>
          <w:tcPr>
            <w:tcW w:w="231" w:type="dxa"/>
            <w:vMerge w:val="restart"/>
            <w:shd w:val="clear" w:color="auto" w:fill="auto"/>
          </w:tcPr>
          <w:p w14:paraId="19D092CE" w14:textId="77777777" w:rsidR="00744EE6" w:rsidRDefault="00744EE6" w:rsidP="00A54250">
            <w:pPr>
              <w:pStyle w:val="Textpoznpodarou1"/>
              <w:jc w:val="both"/>
              <w:rPr>
                <w:spacing w:val="-4"/>
              </w:rPr>
            </w:pPr>
          </w:p>
        </w:tc>
        <w:tc>
          <w:tcPr>
            <w:tcW w:w="7600" w:type="dxa"/>
            <w:shd w:val="clear" w:color="auto" w:fill="auto"/>
          </w:tcPr>
          <w:p w14:paraId="719CB64F" w14:textId="77777777" w:rsidR="00744EE6" w:rsidRDefault="00744EE6" w:rsidP="00884A6F">
            <w:pPr>
              <w:spacing w:after="0"/>
              <w:rPr>
                <w:b/>
              </w:rPr>
            </w:pPr>
            <w:r>
              <w:rPr>
                <w:b/>
              </w:rPr>
              <w:t xml:space="preserve">Graf č. </w:t>
            </w:r>
            <w:r w:rsidR="00884A6F">
              <w:rPr>
                <w:b/>
              </w:rPr>
              <w:t>7</w:t>
            </w:r>
            <w:r>
              <w:rPr>
                <w:b/>
              </w:rPr>
              <w:t xml:space="preserve">  Hrubá přidaná hodnota nefinančních podniků </w:t>
            </w:r>
            <w:r w:rsidRPr="00AA4429">
              <w:t>(meziroční změna v mld. korun)</w:t>
            </w:r>
          </w:p>
        </w:tc>
      </w:tr>
      <w:tr w:rsidR="00744EE6" w14:paraId="426C6BE1" w14:textId="77777777" w:rsidTr="00A54250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13" w:type="dxa"/>
            <w:vMerge/>
            <w:shd w:val="clear" w:color="auto" w:fill="auto"/>
          </w:tcPr>
          <w:p w14:paraId="5253DFD2" w14:textId="77777777" w:rsidR="00744EE6" w:rsidRDefault="00744EE6" w:rsidP="00A54250">
            <w:pPr>
              <w:pStyle w:val="Marginlie"/>
            </w:pPr>
          </w:p>
        </w:tc>
        <w:tc>
          <w:tcPr>
            <w:tcW w:w="231" w:type="dxa"/>
            <w:vMerge/>
            <w:shd w:val="clear" w:color="auto" w:fill="auto"/>
          </w:tcPr>
          <w:p w14:paraId="76BE5F64" w14:textId="77777777" w:rsidR="00744EE6" w:rsidRDefault="00744EE6" w:rsidP="00A54250">
            <w:pPr>
              <w:pStyle w:val="Textpoznpodarou1"/>
              <w:jc w:val="both"/>
              <w:rPr>
                <w:spacing w:val="-4"/>
              </w:rPr>
            </w:pPr>
          </w:p>
        </w:tc>
        <w:tc>
          <w:tcPr>
            <w:tcW w:w="7600" w:type="dxa"/>
            <w:shd w:val="clear" w:color="auto" w:fill="auto"/>
          </w:tcPr>
          <w:p w14:paraId="005E72F2" w14:textId="77777777" w:rsidR="00744EE6" w:rsidRDefault="00744EE6" w:rsidP="00A54250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335631CF" wp14:editId="0CC1B39C">
                  <wp:extent cx="4737600" cy="3553200"/>
                  <wp:effectExtent l="0" t="0" r="0" b="0"/>
                  <wp:docPr id="55" name="Graf 5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744EE6" w14:paraId="09444002" w14:textId="77777777" w:rsidTr="00A54250">
        <w:trPr>
          <w:trHeight w:val="170"/>
        </w:trPr>
        <w:tc>
          <w:tcPr>
            <w:tcW w:w="1813" w:type="dxa"/>
            <w:vMerge/>
            <w:shd w:val="clear" w:color="auto" w:fill="auto"/>
          </w:tcPr>
          <w:p w14:paraId="547378E5" w14:textId="77777777" w:rsidR="00744EE6" w:rsidRDefault="00744EE6" w:rsidP="00A54250">
            <w:pPr>
              <w:pStyle w:val="Marginlie"/>
            </w:pPr>
          </w:p>
        </w:tc>
        <w:tc>
          <w:tcPr>
            <w:tcW w:w="231" w:type="dxa"/>
            <w:vMerge/>
            <w:shd w:val="clear" w:color="auto" w:fill="auto"/>
          </w:tcPr>
          <w:p w14:paraId="6CF1CF77" w14:textId="77777777" w:rsidR="00744EE6" w:rsidRDefault="00744EE6" w:rsidP="00A54250">
            <w:pPr>
              <w:pStyle w:val="Textpoznpodarou1"/>
              <w:jc w:val="both"/>
              <w:rPr>
                <w:spacing w:val="-4"/>
              </w:rPr>
            </w:pPr>
          </w:p>
        </w:tc>
        <w:tc>
          <w:tcPr>
            <w:tcW w:w="7600" w:type="dxa"/>
            <w:shd w:val="clear" w:color="auto" w:fill="auto"/>
          </w:tcPr>
          <w:p w14:paraId="13B1061D" w14:textId="77777777" w:rsidR="00744EE6" w:rsidRDefault="00744EE6" w:rsidP="00A542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  <w:tr w:rsidR="00744EE6" w14:paraId="40822DAB" w14:textId="77777777" w:rsidTr="00A54250">
        <w:trPr>
          <w:trHeight w:val="145"/>
        </w:trPr>
        <w:tc>
          <w:tcPr>
            <w:tcW w:w="1813" w:type="dxa"/>
            <w:shd w:val="clear" w:color="auto" w:fill="auto"/>
          </w:tcPr>
          <w:p w14:paraId="1A584C6B" w14:textId="6B79368D" w:rsidR="00744EE6" w:rsidRDefault="00744EE6" w:rsidP="00A54250">
            <w:pPr>
              <w:pStyle w:val="Marginlie"/>
            </w:pPr>
            <w:r>
              <w:t xml:space="preserve">Růst </w:t>
            </w:r>
            <w:r w:rsidR="00A416D4">
              <w:t xml:space="preserve">poháněla </w:t>
            </w:r>
            <w:r>
              <w:t>zejména odvětví služeb. Příspěvek průmyslu byl slabší než v předchozích letech.</w:t>
            </w:r>
          </w:p>
        </w:tc>
        <w:tc>
          <w:tcPr>
            <w:tcW w:w="231" w:type="dxa"/>
            <w:shd w:val="clear" w:color="auto" w:fill="auto"/>
          </w:tcPr>
          <w:p w14:paraId="4878677B" w14:textId="77777777" w:rsidR="00744EE6" w:rsidRDefault="00744EE6" w:rsidP="00A54250">
            <w:pPr>
              <w:pStyle w:val="Textpoznpodarou1"/>
              <w:jc w:val="both"/>
              <w:rPr>
                <w:spacing w:val="-4"/>
              </w:rPr>
            </w:pPr>
          </w:p>
        </w:tc>
        <w:tc>
          <w:tcPr>
            <w:tcW w:w="7600" w:type="dxa"/>
            <w:shd w:val="clear" w:color="auto" w:fill="auto"/>
          </w:tcPr>
          <w:p w14:paraId="4E26C5E1" w14:textId="27ED71BC" w:rsidR="00744EE6" w:rsidRDefault="00744EE6" w:rsidP="00A32759">
            <w:r>
              <w:t>Největší podíl na HPH nefinančních podniků měla průmyslová odvětví</w:t>
            </w:r>
            <w:r>
              <w:rPr>
                <w:rStyle w:val="Znakapoznpodarou"/>
              </w:rPr>
              <w:footnoteReference w:id="3"/>
            </w:r>
            <w:r>
              <w:t xml:space="preserve">. Celková HPH, kterou </w:t>
            </w:r>
            <w:r w:rsidR="00A416D4">
              <w:t>vyprodukovala</w:t>
            </w:r>
            <w:r>
              <w:t>, dosáhla 1 344,9</w:t>
            </w:r>
            <w:r w:rsidR="001F138C">
              <w:t> mld.</w:t>
            </w:r>
            <w:r>
              <w:t xml:space="preserve"> korun (45,5</w:t>
            </w:r>
            <w:r w:rsidR="001D51EB">
              <w:t> %</w:t>
            </w:r>
            <w:r>
              <w:t xml:space="preserve"> celkové HPH </w:t>
            </w:r>
            <w:r w:rsidR="00A32759">
              <w:t>sektoru NP</w:t>
            </w:r>
            <w:r>
              <w:t>) a meziročně se zvýšila o 6,9</w:t>
            </w:r>
            <w:r w:rsidR="001F138C">
              <w:t> mld.</w:t>
            </w:r>
            <w:r>
              <w:t xml:space="preserve"> Uvedená odvětví byla klíčovým přispěvatelem k růstu HPH v letech 2014–2017. V loňském roce ale jejich dynamika značně polevila a to vedlo k nižšímu růstu celé ekonomiky. Kromě meziročního poklesu HPH v těžbě a dobývání (</w:t>
            </w:r>
            <w:r w:rsidR="001F138C">
              <w:t>–</w:t>
            </w:r>
            <w:r>
              <w:t>0,6</w:t>
            </w:r>
            <w:r w:rsidR="001F138C">
              <w:t> mld.</w:t>
            </w:r>
            <w:r>
              <w:t>) a energetice (</w:t>
            </w:r>
            <w:r w:rsidR="001F138C">
              <w:t>–</w:t>
            </w:r>
            <w:r>
              <w:t>3,3</w:t>
            </w:r>
            <w:r w:rsidR="001F138C">
              <w:t> mld.</w:t>
            </w:r>
            <w:r>
              <w:t>) je hlavním důvodem zmírnění přírůstku ve zpracovatelském průmyslu (z</w:t>
            </w:r>
            <w:r w:rsidR="00A416D4">
              <w:t>e</w:t>
            </w:r>
            <w:r>
              <w:t xml:space="preserve"> 64,0</w:t>
            </w:r>
            <w:r w:rsidR="001F138C">
              <w:t> mld.</w:t>
            </w:r>
            <w:r>
              <w:t xml:space="preserve"> v roce 2017 na loňských 8,4</w:t>
            </w:r>
            <w:r w:rsidR="001F138C">
              <w:t> mld.</w:t>
            </w:r>
            <w:r>
              <w:t>). Zčásti lze toto zpomalení přisoudit slabší zahraniční poptávce, na které je český zpracovatelský průmysl závislý. Pokles HPH nastal ve výrobě motorových vozidel, v</w:t>
            </w:r>
            <w:r w:rsidR="00A416D4">
              <w:t xml:space="preserve"> </w:t>
            </w:r>
            <w:r>
              <w:t>plastikářství nebo u výroby chemických látek a přípravků. Stagnoval růst HPH ve výrobě strojů a zařízení. Naopak odvětví služeb prosperovala, zejména díky domácí poptávce ovlivněné růstem příjmů domácností. Hrubá přidaná hodnota v obchodě, dopravě, ubytování a pohostinství vzrostla o 46,7</w:t>
            </w:r>
            <w:r w:rsidR="001F138C">
              <w:t> mld.</w:t>
            </w:r>
            <w:r>
              <w:t xml:space="preserve"> korun. V případě informačních a komunikačních činností dosáhl loni nárůst 24,1</w:t>
            </w:r>
            <w:r w:rsidR="001F138C">
              <w:t> mld.</w:t>
            </w:r>
            <w:r>
              <w:t xml:space="preserve"> korun </w:t>
            </w:r>
            <w:r>
              <w:lastRenderedPageBreak/>
              <w:t>(v roce 2017 to bylo 14,0</w:t>
            </w:r>
            <w:r w:rsidR="001F138C">
              <w:t> mld.</w:t>
            </w:r>
            <w:r>
              <w:t>). Po dlouhém období stagnace a poklesů došlo k oživení ve stavebnictví (nárůst HPH o 16,0</w:t>
            </w:r>
            <w:r w:rsidR="001F138C">
              <w:t> mld.</w:t>
            </w:r>
            <w:r>
              <w:t xml:space="preserve"> korun). Odvětví prospívala zvýšená investiční aktivita v oblasti ostatních staveb i několik let trvající vysoká poptávka po bytech, na kterou stavebnictví se zpožděním reagovalo. Ani silný přírůstek zatím nevymazal ztráty způsobené během deset let trvající krize </w:t>
            </w:r>
            <w:r w:rsidR="005A2A19">
              <w:t xml:space="preserve">tohoto </w:t>
            </w:r>
            <w:r>
              <w:t>odvětví –</w:t>
            </w:r>
            <w:r w:rsidR="00467ABC">
              <w:t> </w:t>
            </w:r>
            <w:r>
              <w:t>HPH loni dosáhla 165,3</w:t>
            </w:r>
            <w:r w:rsidR="001F138C">
              <w:t> mld.</w:t>
            </w:r>
            <w:r>
              <w:t xml:space="preserve"> korun a stále nepřekonala úroveň roku 2009 (170,0</w:t>
            </w:r>
            <w:r w:rsidR="001F138C">
              <w:t> mld.</w:t>
            </w:r>
            <w:r>
              <w:t xml:space="preserve">). </w:t>
            </w:r>
            <w:r w:rsidR="0028587B">
              <w:t>V </w:t>
            </w:r>
            <w:r>
              <w:t>zemědělství, lesnictví a rybářství HPH klesla o 3,7</w:t>
            </w:r>
            <w:r w:rsidR="001F138C">
              <w:t> mld.</w:t>
            </w:r>
            <w:r>
              <w:t xml:space="preserve"> korun.</w:t>
            </w:r>
          </w:p>
        </w:tc>
      </w:tr>
      <w:tr w:rsidR="00744EE6" w14:paraId="77F89823" w14:textId="77777777" w:rsidTr="00A54250">
        <w:trPr>
          <w:trHeight w:val="145"/>
        </w:trPr>
        <w:tc>
          <w:tcPr>
            <w:tcW w:w="1813" w:type="dxa"/>
            <w:shd w:val="clear" w:color="auto" w:fill="auto"/>
          </w:tcPr>
          <w:p w14:paraId="5D1EC64C" w14:textId="77777777" w:rsidR="00744EE6" w:rsidRDefault="00744EE6" w:rsidP="00A54250">
            <w:pPr>
              <w:pStyle w:val="Marginlie"/>
            </w:pPr>
            <w:r>
              <w:lastRenderedPageBreak/>
              <w:t>Rekordně se zvýšil objem vyplacených náhrad zaměstnancům. Snížil se tak hrubý provozní přebytek a míra zisku.</w:t>
            </w:r>
          </w:p>
        </w:tc>
        <w:tc>
          <w:tcPr>
            <w:tcW w:w="231" w:type="dxa"/>
            <w:shd w:val="clear" w:color="auto" w:fill="auto"/>
          </w:tcPr>
          <w:p w14:paraId="00AA2EE6" w14:textId="77777777" w:rsidR="00744EE6" w:rsidRDefault="00744EE6" w:rsidP="00A54250">
            <w:pPr>
              <w:pStyle w:val="Textpoznpodarou1"/>
              <w:jc w:val="both"/>
              <w:rPr>
                <w:spacing w:val="-4"/>
              </w:rPr>
            </w:pPr>
          </w:p>
        </w:tc>
        <w:tc>
          <w:tcPr>
            <w:tcW w:w="7600" w:type="dxa"/>
            <w:shd w:val="clear" w:color="auto" w:fill="auto"/>
          </w:tcPr>
          <w:p w14:paraId="1BD5E681" w14:textId="0CA078E3" w:rsidR="00744EE6" w:rsidRDefault="00744EE6" w:rsidP="005A2A19">
            <w:r>
              <w:t>Objem náhrad, které NP vyplatily zaměstnancům, loni dosáhl 1 597,8 mld. korun a</w:t>
            </w:r>
            <w:r w:rsidR="00467ABC">
              <w:t> </w:t>
            </w:r>
            <w:r>
              <w:t>meziročně se zvýšil o 133,6</w:t>
            </w:r>
            <w:r w:rsidR="001F138C">
              <w:t> mld.</w:t>
            </w:r>
            <w:r>
              <w:t xml:space="preserve"> (9,1</w:t>
            </w:r>
            <w:r w:rsidR="001D51EB">
              <w:t> %</w:t>
            </w:r>
            <w:r>
              <w:t>). Meziroční přírůstek v porovnání s rokem 2017 posílil. Celková zaměstnanost v sektoru loni vzrostla o 1,7 %, stejně jako v předchozím roce. Nefinanční podniky musely reflektovat situaci na trhu práce</w:t>
            </w:r>
            <w:r w:rsidR="00467ABC">
              <w:t>,</w:t>
            </w:r>
            <w:r>
              <w:t xml:space="preserve"> a</w:t>
            </w:r>
            <w:r w:rsidR="00467ABC">
              <w:t> </w:t>
            </w:r>
            <w:r w:rsidR="005A2A19">
              <w:t>nárůst</w:t>
            </w:r>
            <w:r>
              <w:t xml:space="preserve"> mzdových nákladů tak </w:t>
            </w:r>
            <w:r w:rsidR="00467ABC">
              <w:t>růstem předčil</w:t>
            </w:r>
            <w:r>
              <w:t xml:space="preserve"> HPH. To se projevilo meziročním poklesem hrubého provozního přebytku a následně i snížením míry zisku</w:t>
            </w:r>
            <w:r>
              <w:rPr>
                <w:rStyle w:val="Znakapoznpodarou"/>
              </w:rPr>
              <w:footnoteReference w:id="4"/>
            </w:r>
            <w:r>
              <w:t xml:space="preserve"> </w:t>
            </w:r>
            <w:r w:rsidR="00467ABC">
              <w:br/>
            </w:r>
            <w:r>
              <w:t>(</w:t>
            </w:r>
            <w:r w:rsidR="00467ABC">
              <w:t>–</w:t>
            </w:r>
            <w:r>
              <w:t>2,6 p.</w:t>
            </w:r>
            <w:r w:rsidR="00467ABC">
              <w:t> </w:t>
            </w:r>
            <w:r>
              <w:t>b.), která loni dosáhla 46,7</w:t>
            </w:r>
            <w:r w:rsidR="001D51EB">
              <w:t> %</w:t>
            </w:r>
            <w:r>
              <w:t xml:space="preserve">, což je nejméně za dobu </w:t>
            </w:r>
            <w:r w:rsidR="005A2A19">
              <w:t>existence</w:t>
            </w:r>
            <w:r>
              <w:t xml:space="preserve"> samostatné </w:t>
            </w:r>
            <w:r w:rsidR="00467ABC">
              <w:t>České republiky</w:t>
            </w:r>
            <w:r>
              <w:t>. I tak je míra zisku nefinančních podniků v Česku vysoká v porovnání s evropským průměrem. Ten loni dosáhl 39,4</w:t>
            </w:r>
            <w:r w:rsidR="001D51EB">
              <w:t> %</w:t>
            </w:r>
            <w:r>
              <w:t>.</w:t>
            </w:r>
          </w:p>
        </w:tc>
      </w:tr>
      <w:tr w:rsidR="00744EE6" w14:paraId="459D89A7" w14:textId="77777777" w:rsidTr="00A54250">
        <w:trPr>
          <w:trHeight w:val="145"/>
        </w:trPr>
        <w:tc>
          <w:tcPr>
            <w:tcW w:w="1813" w:type="dxa"/>
            <w:shd w:val="clear" w:color="auto" w:fill="auto"/>
          </w:tcPr>
          <w:p w14:paraId="16F161AE" w14:textId="77777777" w:rsidR="00744EE6" w:rsidRDefault="00744EE6" w:rsidP="00A54250">
            <w:pPr>
              <w:pStyle w:val="Marginlie"/>
            </w:pPr>
            <w:r>
              <w:t>Zmírnilo se saldo důchodů z vlastnictví.</w:t>
            </w:r>
          </w:p>
        </w:tc>
        <w:tc>
          <w:tcPr>
            <w:tcW w:w="231" w:type="dxa"/>
            <w:shd w:val="clear" w:color="auto" w:fill="auto"/>
          </w:tcPr>
          <w:p w14:paraId="453CFBBF" w14:textId="77777777" w:rsidR="00744EE6" w:rsidRDefault="00744EE6" w:rsidP="00A54250">
            <w:pPr>
              <w:pStyle w:val="Textpoznpodarou1"/>
              <w:jc w:val="both"/>
              <w:rPr>
                <w:spacing w:val="-4"/>
              </w:rPr>
            </w:pPr>
          </w:p>
        </w:tc>
        <w:tc>
          <w:tcPr>
            <w:tcW w:w="7600" w:type="dxa"/>
            <w:shd w:val="clear" w:color="auto" w:fill="auto"/>
          </w:tcPr>
          <w:p w14:paraId="4F929651" w14:textId="61960CB0" w:rsidR="00744EE6" w:rsidRDefault="00744EE6" w:rsidP="005A2A19">
            <w:r>
              <w:t>Záporné saldo důchodů z vlastnictví, které pravidelně odčerpává významnou část HPH nefinančních podniků</w:t>
            </w:r>
            <w:r w:rsidR="00E333BA">
              <w:t>,</w:t>
            </w:r>
            <w:r>
              <w:t xml:space="preserve"> se loni snížilo o 36,4</w:t>
            </w:r>
            <w:r w:rsidR="001F138C">
              <w:t> mld.</w:t>
            </w:r>
            <w:r>
              <w:t xml:space="preserve"> korun na 472,5</w:t>
            </w:r>
            <w:r w:rsidR="001F138C">
              <w:t> mld.</w:t>
            </w:r>
            <w:r>
              <w:t xml:space="preserve"> Důvodem byl nárůst na straně zdrojů o 39,9</w:t>
            </w:r>
            <w:r w:rsidR="001F138C">
              <w:t> mld.</w:t>
            </w:r>
            <w:r>
              <w:t xml:space="preserve"> Sektor si totiž připsal reinvestované zisky z přímých zahraničních investic ve výši 45,2</w:t>
            </w:r>
            <w:r w:rsidR="001F138C">
              <w:t> mld.</w:t>
            </w:r>
            <w:r>
              <w:t xml:space="preserve"> korun, meziročně o 26,4</w:t>
            </w:r>
            <w:r w:rsidR="001F138C">
              <w:t> mld.</w:t>
            </w:r>
            <w:r>
              <w:t xml:space="preserve"> více. O</w:t>
            </w:r>
            <w:r w:rsidR="00E333BA">
              <w:t> </w:t>
            </w:r>
            <w:r>
              <w:t>5,8</w:t>
            </w:r>
            <w:r w:rsidR="001F138C">
              <w:t> mld.</w:t>
            </w:r>
            <w:r>
              <w:t xml:space="preserve"> narostl objem získaných úroků a o 7,9</w:t>
            </w:r>
            <w:r w:rsidR="001F138C">
              <w:t> mld.</w:t>
            </w:r>
            <w:r>
              <w:t xml:space="preserve"> výše rozdělovaných důchodů společností. Nárůst vyplacených důchodů z vlastnictví byl jen mírný (3,5</w:t>
            </w:r>
            <w:r w:rsidR="001F138C">
              <w:t> mld.</w:t>
            </w:r>
            <w:r>
              <w:t xml:space="preserve"> korun)</w:t>
            </w:r>
            <w:r w:rsidR="00A66A11">
              <w:t>,</w:t>
            </w:r>
            <w:r>
              <w:t xml:space="preserve"> </w:t>
            </w:r>
            <w:r w:rsidR="00A66A11">
              <w:t>d</w:t>
            </w:r>
            <w:r>
              <w:t>ošlo však k pohybům v jejich struktuře. Meziročně o 52,7</w:t>
            </w:r>
            <w:r w:rsidR="001F138C">
              <w:t> mld.</w:t>
            </w:r>
            <w:r>
              <w:t xml:space="preserve"> korun klesl objem reinvestovaných zisků z přímých zahraničních investic a naopak o 45,0</w:t>
            </w:r>
            <w:r w:rsidR="001F138C">
              <w:t> mld.</w:t>
            </w:r>
            <w:r>
              <w:t xml:space="preserve"> narostl</w:t>
            </w:r>
            <w:r w:rsidR="005A2A19">
              <w:t>a položka</w:t>
            </w:r>
            <w:r>
              <w:t xml:space="preserve"> rozdělovan</w:t>
            </w:r>
            <w:r w:rsidR="005A2A19">
              <w:t>ých</w:t>
            </w:r>
            <w:r>
              <w:t xml:space="preserve"> důchod</w:t>
            </w:r>
            <w:r w:rsidR="005A2A19">
              <w:t>ů</w:t>
            </w:r>
            <w:r>
              <w:t xml:space="preserve"> společností.</w:t>
            </w:r>
          </w:p>
        </w:tc>
      </w:tr>
      <w:tr w:rsidR="00744EE6" w14:paraId="359FD410" w14:textId="77777777" w:rsidTr="00A54250">
        <w:trPr>
          <w:trHeight w:val="212"/>
        </w:trPr>
        <w:tc>
          <w:tcPr>
            <w:tcW w:w="1813" w:type="dxa"/>
            <w:shd w:val="clear" w:color="auto" w:fill="auto"/>
          </w:tcPr>
          <w:p w14:paraId="47B6988B" w14:textId="47C18A69" w:rsidR="00744EE6" w:rsidRDefault="00744EE6" w:rsidP="00A54250">
            <w:pPr>
              <w:pStyle w:val="Marginlie"/>
              <w:spacing w:after="240"/>
            </w:pPr>
            <w:r>
              <w:t>Míra úspor nefinančních podniků se snížila. Kapitálové transfery</w:t>
            </w:r>
            <w:r w:rsidR="00E333BA">
              <w:br/>
            </w:r>
            <w:r>
              <w:t>ve formě investičních dotací rostly.</w:t>
            </w:r>
          </w:p>
        </w:tc>
        <w:tc>
          <w:tcPr>
            <w:tcW w:w="231" w:type="dxa"/>
            <w:shd w:val="clear" w:color="auto" w:fill="auto"/>
          </w:tcPr>
          <w:p w14:paraId="4306F446" w14:textId="77777777" w:rsidR="00744EE6" w:rsidRDefault="00744EE6" w:rsidP="00A54250">
            <w:pPr>
              <w:pStyle w:val="Textpoznpodarou1"/>
              <w:spacing w:after="240"/>
              <w:jc w:val="both"/>
              <w:rPr>
                <w:spacing w:val="-4"/>
              </w:rPr>
            </w:pPr>
          </w:p>
        </w:tc>
        <w:tc>
          <w:tcPr>
            <w:tcW w:w="7600" w:type="dxa"/>
            <w:shd w:val="clear" w:color="auto" w:fill="auto"/>
          </w:tcPr>
          <w:p w14:paraId="7CD5EADB" w14:textId="09DBFEED" w:rsidR="00744EE6" w:rsidRDefault="00744EE6" w:rsidP="0084727E">
            <w:r>
              <w:t>Saldo hrubých prvotních důchodů se díky zmírnění záporného salda důchodů z vlastnictví zvýšilo o 15,6</w:t>
            </w:r>
            <w:r w:rsidR="001F138C">
              <w:t> mld.</w:t>
            </w:r>
            <w:r>
              <w:t xml:space="preserve"> korun a dosáhlo 907,0</w:t>
            </w:r>
            <w:r w:rsidR="001F138C">
              <w:t> mld.</w:t>
            </w:r>
            <w:r>
              <w:t xml:space="preserve"> Saldo druhotných </w:t>
            </w:r>
            <w:r w:rsidR="00E333BA">
              <w:t xml:space="preserve">důchodů </w:t>
            </w:r>
            <w:r>
              <w:t>již třetím rokem stagnuje a loni dosáhlo 153,5</w:t>
            </w:r>
            <w:r w:rsidR="001F138C">
              <w:t> mld.</w:t>
            </w:r>
            <w:r>
              <w:t xml:space="preserve"> korun. Na obou stranách bilance rostl objem prostředků ve formě ostatních běžných transferů. O</w:t>
            </w:r>
            <w:r w:rsidR="00E333BA">
              <w:t> </w:t>
            </w:r>
            <w:r>
              <w:t>10,7</w:t>
            </w:r>
            <w:r w:rsidR="001F138C">
              <w:t> mld.</w:t>
            </w:r>
            <w:r>
              <w:t xml:space="preserve"> korun ale klesl objem zaplacených běžných daní z důchodů a jmění. Nefinančním podnikům tak loni zůstaly hrubé úspory ve výši 753,5</w:t>
            </w:r>
            <w:r w:rsidR="001F138C">
              <w:t> mld.</w:t>
            </w:r>
            <w:r>
              <w:t xml:space="preserve"> korun, což je meziročně o</w:t>
            </w:r>
            <w:r w:rsidR="00E333BA">
              <w:t> </w:t>
            </w:r>
            <w:r>
              <w:t>15,7</w:t>
            </w:r>
            <w:r w:rsidR="001F138C">
              <w:t> mld.</w:t>
            </w:r>
            <w:r>
              <w:t xml:space="preserve"> více. Míra úspor</w:t>
            </w:r>
            <w:r>
              <w:rPr>
                <w:rStyle w:val="Znakapoznpodarou"/>
              </w:rPr>
              <w:footnoteReference w:id="5"/>
            </w:r>
            <w:r>
              <w:t xml:space="preserve"> se přesto snížila na 25,5</w:t>
            </w:r>
            <w:r w:rsidR="001D51EB">
              <w:t> %</w:t>
            </w:r>
            <w:r>
              <w:t>. Kladné saldo kapitálových transferů nefinančních podniků loni dosáhlo 32,3</w:t>
            </w:r>
            <w:r w:rsidR="001F138C">
              <w:t> mld.</w:t>
            </w:r>
            <w:r>
              <w:t xml:space="preserve"> korun a meziročně se zvýšilo o</w:t>
            </w:r>
            <w:r w:rsidR="00E333BA">
              <w:t> </w:t>
            </w:r>
            <w:r>
              <w:t>17,4</w:t>
            </w:r>
            <w:r w:rsidR="001F138C">
              <w:t> mld.</w:t>
            </w:r>
            <w:r>
              <w:t xml:space="preserve"> Příjmové transfery měly z většiny formu investičních dotací (30,2</w:t>
            </w:r>
            <w:r w:rsidR="001F138C">
              <w:t> mld.</w:t>
            </w:r>
            <w:r>
              <w:t>).</w:t>
            </w:r>
          </w:p>
        </w:tc>
      </w:tr>
      <w:tr w:rsidR="00744EE6" w14:paraId="75B353A6" w14:textId="77777777" w:rsidTr="00A54250">
        <w:trPr>
          <w:trHeight w:val="212"/>
        </w:trPr>
        <w:tc>
          <w:tcPr>
            <w:tcW w:w="1813" w:type="dxa"/>
            <w:shd w:val="clear" w:color="auto" w:fill="auto"/>
          </w:tcPr>
          <w:p w14:paraId="4F973112" w14:textId="7336ECF9" w:rsidR="00744EE6" w:rsidRDefault="00744EE6" w:rsidP="00A54250">
            <w:pPr>
              <w:pStyle w:val="Marginlie"/>
              <w:spacing w:after="240"/>
            </w:pPr>
            <w:r>
              <w:t>Posílení investiční aktivity nefinančních podniků</w:t>
            </w:r>
            <w:r w:rsidR="00E333BA">
              <w:br/>
            </w:r>
            <w:r>
              <w:t>bylo výraznější než v předchozích letech. Míra investic se tak zvýšila.</w:t>
            </w:r>
          </w:p>
        </w:tc>
        <w:tc>
          <w:tcPr>
            <w:tcW w:w="231" w:type="dxa"/>
            <w:shd w:val="clear" w:color="auto" w:fill="auto"/>
          </w:tcPr>
          <w:p w14:paraId="76424F69" w14:textId="77777777" w:rsidR="00744EE6" w:rsidRDefault="00744EE6" w:rsidP="00A54250">
            <w:pPr>
              <w:pStyle w:val="Textpoznpodarou1"/>
              <w:spacing w:after="240"/>
              <w:jc w:val="both"/>
              <w:rPr>
                <w:spacing w:val="-4"/>
              </w:rPr>
            </w:pPr>
          </w:p>
        </w:tc>
        <w:tc>
          <w:tcPr>
            <w:tcW w:w="7600" w:type="dxa"/>
            <w:shd w:val="clear" w:color="auto" w:fill="auto"/>
          </w:tcPr>
          <w:p w14:paraId="68ED611C" w14:textId="1693CB8E" w:rsidR="00744EE6" w:rsidRDefault="00744EE6" w:rsidP="005A2A19">
            <w:r>
              <w:t>Investiční aktivita nefinančních podniků meziročně posílila. Výdaje na tvorbu hrubého fixního kapitálu se zvýšily o 59,2</w:t>
            </w:r>
            <w:r w:rsidR="001F138C">
              <w:t> mld.</w:t>
            </w:r>
            <w:r>
              <w:t xml:space="preserve"> korun, což je přibližně dvojnásobný přírůstek v porovnání s lety 2016 a 2017. Došlo tedy k nárůstu míry investic</w:t>
            </w:r>
            <w:r>
              <w:rPr>
                <w:rStyle w:val="Znakapoznpodarou"/>
              </w:rPr>
              <w:footnoteReference w:id="6"/>
            </w:r>
            <w:r>
              <w:t xml:space="preserve"> o 0,9</w:t>
            </w:r>
            <w:r w:rsidR="001F138C">
              <w:t> p. b.</w:t>
            </w:r>
            <w:r>
              <w:t xml:space="preserve"> na 29,0 %. Porovnání tvorby hrubého fixního kapitálu s hrubými úsporami ukazuje, že míra samofinancování</w:t>
            </w:r>
            <w:r>
              <w:rPr>
                <w:rStyle w:val="Znakapoznpodarou"/>
              </w:rPr>
              <w:footnoteReference w:id="7"/>
            </w:r>
            <w:r>
              <w:t xml:space="preserve"> sektoru se snížila o 4,5</w:t>
            </w:r>
            <w:r w:rsidR="001F138C">
              <w:t> p. b.</w:t>
            </w:r>
            <w:r>
              <w:t xml:space="preserve"> na 87,8</w:t>
            </w:r>
            <w:r w:rsidR="001D51EB">
              <w:t> %</w:t>
            </w:r>
            <w:r>
              <w:t>. To vedlo k růstu objemu půjček v závazcích o 113,0</w:t>
            </w:r>
            <w:r w:rsidR="001F138C">
              <w:t> mld.</w:t>
            </w:r>
            <w:r>
              <w:t xml:space="preserve"> korun, zejména ve formě dlouhodobých </w:t>
            </w:r>
            <w:r w:rsidR="005A2A19">
              <w:t>úvěrů</w:t>
            </w:r>
            <w:r>
              <w:t>. N</w:t>
            </w:r>
            <w:r w:rsidR="00122BB3">
              <w:t>a</w:t>
            </w:r>
            <w:r>
              <w:t>výšila se také hodnota účastí a podílů v investičních fondech (o 94,7</w:t>
            </w:r>
            <w:r w:rsidR="001F138C">
              <w:t> mld.</w:t>
            </w:r>
            <w:r>
              <w:t xml:space="preserve"> korun), které jinak tvoří většinu závazků českých</w:t>
            </w:r>
            <w:r w:rsidR="00122BB3">
              <w:t> </w:t>
            </w:r>
            <w:r>
              <w:t>NP. O 25,4</w:t>
            </w:r>
            <w:r w:rsidR="001F138C">
              <w:t> mld.</w:t>
            </w:r>
            <w:r>
              <w:t xml:space="preserve"> korun se zvýšila hodnota emitovaných dluhových cenných papírů.</w:t>
            </w:r>
          </w:p>
        </w:tc>
      </w:tr>
    </w:tbl>
    <w:p w14:paraId="671D54FC" w14:textId="1D063E29" w:rsidR="0060404F" w:rsidRDefault="0060404F" w:rsidP="001F22C8">
      <w:pPr>
        <w:pStyle w:val="Nadpis110"/>
        <w:rPr>
          <w:b w:val="0"/>
          <w:bCs w:val="0"/>
          <w:lang w:eastAsia="en-US"/>
        </w:rPr>
      </w:pPr>
      <w:bookmarkStart w:id="1" w:name="_GoBack"/>
      <w:bookmarkEnd w:id="1"/>
    </w:p>
    <w:sectPr w:rsidR="0060404F" w:rsidSect="001F22C8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pgSz w:w="11906" w:h="16838" w:code="9"/>
      <w:pgMar w:top="1134" w:right="1134" w:bottom="1418" w:left="1134" w:header="680" w:footer="680" w:gutter="0"/>
      <w:pgNumType w:start="12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619E2" w16cid:durableId="20F6CE05"/>
  <w16cid:commentId w16cid:paraId="734AC7CE" w16cid:durableId="20F6DCBD"/>
  <w16cid:commentId w16cid:paraId="6AF8D911" w16cid:durableId="20F7078E"/>
  <w16cid:commentId w16cid:paraId="50768BEC" w16cid:durableId="20F70A8B"/>
  <w16cid:commentId w16cid:paraId="15B0C836" w16cid:durableId="20F70CE2"/>
  <w16cid:commentId w16cid:paraId="413DE529" w16cid:durableId="20F82616"/>
  <w16cid:commentId w16cid:paraId="141B886B" w16cid:durableId="20F82A5A"/>
  <w16cid:commentId w16cid:paraId="29661C99" w16cid:durableId="20F92C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AEC3A" w14:textId="77777777" w:rsidR="00506523" w:rsidRDefault="00506523" w:rsidP="00E71A58">
      <w:r>
        <w:separator/>
      </w:r>
    </w:p>
  </w:endnote>
  <w:endnote w:type="continuationSeparator" w:id="0">
    <w:p w14:paraId="0830C9E0" w14:textId="77777777" w:rsidR="00506523" w:rsidRDefault="0050652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984EB" w14:textId="5AD18E4D" w:rsidR="00AD7D0B" w:rsidRPr="00932443" w:rsidRDefault="00AD7D0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7BA63FD4" wp14:editId="33EBA599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3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1F22C8">
      <w:rPr>
        <w:szCs w:val="16"/>
      </w:rPr>
      <w:t>12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2368E" w14:textId="29AE73F5" w:rsidR="00AD7D0B" w:rsidRPr="00932443" w:rsidRDefault="00AD7D0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723CA28A" wp14:editId="1B347EAC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1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2018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1F22C8">
      <w:rPr>
        <w:rStyle w:val="ZpatChar"/>
        <w:szCs w:val="16"/>
      </w:rPr>
      <w:t>13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2FBFC" w14:textId="77777777" w:rsidR="00506523" w:rsidRDefault="00506523" w:rsidP="0084727E">
      <w:pPr>
        <w:spacing w:after="0"/>
      </w:pPr>
      <w:r>
        <w:separator/>
      </w:r>
    </w:p>
  </w:footnote>
  <w:footnote w:type="continuationSeparator" w:id="0">
    <w:p w14:paraId="65C1DB6E" w14:textId="77777777" w:rsidR="00506523" w:rsidRDefault="00506523" w:rsidP="00E71A58">
      <w:r>
        <w:continuationSeparator/>
      </w:r>
    </w:p>
  </w:footnote>
  <w:footnote w:id="1">
    <w:p w14:paraId="6AC00188" w14:textId="77777777" w:rsidR="00AD7D0B" w:rsidRPr="00466E58" w:rsidRDefault="00AD7D0B" w:rsidP="00744EE6">
      <w:pPr>
        <w:pStyle w:val="Textpoznpodarou"/>
        <w:rPr>
          <w:sz w:val="16"/>
          <w:szCs w:val="16"/>
        </w:rPr>
      </w:pPr>
      <w:r w:rsidRPr="00466E58">
        <w:rPr>
          <w:rStyle w:val="Znakapoznpodarou"/>
          <w:sz w:val="16"/>
          <w:szCs w:val="16"/>
        </w:rPr>
        <w:footnoteRef/>
      </w:r>
      <w:r w:rsidRPr="00466E58">
        <w:rPr>
          <w:sz w:val="16"/>
          <w:szCs w:val="16"/>
        </w:rPr>
        <w:t xml:space="preserve"> Není-li uvedeno jinak, jsou údaje o hrubé přidané hodnotě uvedeny v běžných cenách.</w:t>
      </w:r>
    </w:p>
  </w:footnote>
  <w:footnote w:id="2">
    <w:p w14:paraId="6307BBFC" w14:textId="77777777" w:rsidR="00AD7D0B" w:rsidRPr="00044EAA" w:rsidRDefault="00AD7D0B" w:rsidP="00744EE6">
      <w:pPr>
        <w:pStyle w:val="Textpoznpodarou"/>
        <w:rPr>
          <w:sz w:val="16"/>
          <w:szCs w:val="16"/>
        </w:rPr>
      </w:pPr>
      <w:r w:rsidRPr="00044EAA">
        <w:rPr>
          <w:rStyle w:val="Znakapoznpodarou"/>
          <w:sz w:val="16"/>
          <w:szCs w:val="16"/>
        </w:rPr>
        <w:footnoteRef/>
      </w:r>
      <w:r w:rsidRPr="00044EAA">
        <w:rPr>
          <w:sz w:val="16"/>
          <w:szCs w:val="16"/>
        </w:rPr>
        <w:t xml:space="preserve"> Přepočteno na úvazky na plnou pracovní dobu.</w:t>
      </w:r>
    </w:p>
  </w:footnote>
  <w:footnote w:id="3">
    <w:p w14:paraId="3AC39CDF" w14:textId="0382EE8C" w:rsidR="00AD7D0B" w:rsidRPr="00CD0610" w:rsidRDefault="00AD7D0B" w:rsidP="00744EE6">
      <w:pPr>
        <w:pStyle w:val="Textpoznpodarou"/>
        <w:rPr>
          <w:sz w:val="16"/>
          <w:szCs w:val="16"/>
        </w:rPr>
      </w:pPr>
      <w:r w:rsidRPr="00CD0610">
        <w:rPr>
          <w:rStyle w:val="Znakapoznpodarou"/>
          <w:sz w:val="16"/>
          <w:szCs w:val="16"/>
        </w:rPr>
        <w:footnoteRef/>
      </w:r>
      <w:r w:rsidRPr="00CD0610">
        <w:rPr>
          <w:sz w:val="16"/>
          <w:szCs w:val="16"/>
        </w:rPr>
        <w:t xml:space="preserve"> Sekce klasifikace NACE: B</w:t>
      </w:r>
      <w:r>
        <w:rPr>
          <w:sz w:val="16"/>
          <w:szCs w:val="16"/>
        </w:rPr>
        <w:t> </w:t>
      </w:r>
      <w:r w:rsidRPr="00CD0610">
        <w:rPr>
          <w:sz w:val="16"/>
          <w:szCs w:val="16"/>
        </w:rPr>
        <w:t>Těžba a dobývání, C</w:t>
      </w:r>
      <w:r>
        <w:rPr>
          <w:sz w:val="16"/>
          <w:szCs w:val="16"/>
        </w:rPr>
        <w:t> </w:t>
      </w:r>
      <w:r w:rsidRPr="00CD0610">
        <w:rPr>
          <w:sz w:val="16"/>
          <w:szCs w:val="16"/>
        </w:rPr>
        <w:t>Zpracovatelský průmysl, D</w:t>
      </w:r>
      <w:r>
        <w:rPr>
          <w:sz w:val="16"/>
          <w:szCs w:val="16"/>
        </w:rPr>
        <w:t> </w:t>
      </w:r>
      <w:r w:rsidRPr="00CD0610">
        <w:rPr>
          <w:sz w:val="16"/>
          <w:szCs w:val="16"/>
        </w:rPr>
        <w:t>Výroba a rozvod elektřiny, plynu, tepla a klimatizovaného vzduchu, E</w:t>
      </w:r>
      <w:r>
        <w:rPr>
          <w:sz w:val="16"/>
          <w:szCs w:val="16"/>
        </w:rPr>
        <w:t> </w:t>
      </w:r>
      <w:r w:rsidRPr="00CD0610">
        <w:rPr>
          <w:sz w:val="16"/>
          <w:szCs w:val="16"/>
        </w:rPr>
        <w:t>Zásobování vodou; činnosti související s odpadními vodami, odpady a sanacemi</w:t>
      </w:r>
      <w:r>
        <w:rPr>
          <w:sz w:val="16"/>
          <w:szCs w:val="16"/>
        </w:rPr>
        <w:t>.</w:t>
      </w:r>
    </w:p>
  </w:footnote>
  <w:footnote w:id="4">
    <w:p w14:paraId="7D65E72E" w14:textId="5BBEB402" w:rsidR="00AD7D0B" w:rsidRPr="00130759" w:rsidRDefault="00AD7D0B" w:rsidP="00744EE6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16"/>
          <w:szCs w:val="16"/>
        </w:rPr>
      </w:pPr>
      <w:r w:rsidRPr="00130759">
        <w:rPr>
          <w:rStyle w:val="Znakapoznpodarou"/>
          <w:rFonts w:cs="Arial"/>
          <w:sz w:val="16"/>
          <w:szCs w:val="16"/>
        </w:rPr>
        <w:footnoteRef/>
      </w:r>
      <w:r w:rsidRPr="00130759">
        <w:rPr>
          <w:rFonts w:cs="Arial"/>
          <w:sz w:val="16"/>
          <w:szCs w:val="16"/>
        </w:rPr>
        <w:t xml:space="preserve"> </w:t>
      </w:r>
      <w:r w:rsidRPr="00130759">
        <w:rPr>
          <w:rFonts w:eastAsiaTheme="minorHAnsi" w:cs="Arial"/>
          <w:bCs/>
          <w:iCs/>
          <w:sz w:val="16"/>
          <w:szCs w:val="16"/>
          <w:lang w:eastAsia="en-US"/>
        </w:rPr>
        <w:t xml:space="preserve">Míra zisku nefinančních podniků </w:t>
      </w:r>
      <w:r w:rsidRPr="00130759">
        <w:rPr>
          <w:rFonts w:eastAsiaTheme="minorHAnsi" w:cs="Arial"/>
          <w:iCs/>
          <w:sz w:val="16"/>
          <w:szCs w:val="16"/>
          <w:lang w:eastAsia="en-US"/>
        </w:rPr>
        <w:t>je definována jako podíl hrubého provozního přebytku k hrubé přidané</w:t>
      </w:r>
      <w:r>
        <w:rPr>
          <w:rFonts w:eastAsiaTheme="minorHAnsi" w:cs="Arial"/>
          <w:iCs/>
          <w:sz w:val="16"/>
          <w:szCs w:val="16"/>
          <w:lang w:eastAsia="en-US"/>
        </w:rPr>
        <w:t xml:space="preserve"> </w:t>
      </w:r>
      <w:r w:rsidRPr="00130759">
        <w:rPr>
          <w:rFonts w:eastAsiaTheme="minorHAnsi" w:cs="Arial"/>
          <w:iCs/>
          <w:sz w:val="16"/>
          <w:szCs w:val="16"/>
          <w:lang w:eastAsia="en-US"/>
        </w:rPr>
        <w:t>hodnotě (B.2g/B.1g).</w:t>
      </w:r>
    </w:p>
  </w:footnote>
  <w:footnote w:id="5">
    <w:p w14:paraId="4962DD8D" w14:textId="77777777" w:rsidR="00AD7D0B" w:rsidRPr="00BB104D" w:rsidRDefault="00AD7D0B" w:rsidP="00744EE6">
      <w:pPr>
        <w:pStyle w:val="Textpoznpodarou"/>
        <w:rPr>
          <w:sz w:val="16"/>
          <w:szCs w:val="16"/>
        </w:rPr>
      </w:pPr>
      <w:r w:rsidRPr="00BB104D">
        <w:rPr>
          <w:rStyle w:val="Znakapoznpodarou"/>
          <w:sz w:val="16"/>
          <w:szCs w:val="16"/>
        </w:rPr>
        <w:footnoteRef/>
      </w:r>
      <w:r w:rsidRPr="00BB104D">
        <w:rPr>
          <w:sz w:val="16"/>
          <w:szCs w:val="16"/>
        </w:rPr>
        <w:t xml:space="preserve"> Míra úspor nefinančních podniků je definována jako podíl hrubých úspor k hrubé přidané hodnotě (B.8g/B.1g)</w:t>
      </w:r>
      <w:r>
        <w:rPr>
          <w:sz w:val="16"/>
          <w:szCs w:val="16"/>
        </w:rPr>
        <w:t>.</w:t>
      </w:r>
    </w:p>
  </w:footnote>
  <w:footnote w:id="6">
    <w:p w14:paraId="70DA3E37" w14:textId="3E0C9069" w:rsidR="00AD7D0B" w:rsidRPr="00F675EC" w:rsidRDefault="00AD7D0B" w:rsidP="00744EE6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16"/>
          <w:szCs w:val="16"/>
        </w:rPr>
      </w:pPr>
      <w:r w:rsidRPr="00F675EC">
        <w:rPr>
          <w:rStyle w:val="Znakapoznpodarou"/>
          <w:rFonts w:cs="Arial"/>
          <w:sz w:val="16"/>
          <w:szCs w:val="16"/>
        </w:rPr>
        <w:footnoteRef/>
      </w:r>
      <w:r w:rsidRPr="00F675EC">
        <w:rPr>
          <w:rFonts w:cs="Arial"/>
          <w:sz w:val="16"/>
          <w:szCs w:val="16"/>
        </w:rPr>
        <w:t xml:space="preserve"> </w:t>
      </w:r>
      <w:r w:rsidRPr="00F675EC">
        <w:rPr>
          <w:rFonts w:eastAsiaTheme="minorHAnsi" w:cs="Arial"/>
          <w:bCs/>
          <w:iCs/>
          <w:sz w:val="16"/>
          <w:szCs w:val="16"/>
          <w:lang w:eastAsia="en-US"/>
        </w:rPr>
        <w:t xml:space="preserve">Míra investic nefinančních podniků </w:t>
      </w:r>
      <w:r w:rsidRPr="00F675EC">
        <w:rPr>
          <w:rFonts w:eastAsiaTheme="minorHAnsi" w:cs="Arial"/>
          <w:iCs/>
          <w:sz w:val="16"/>
          <w:szCs w:val="16"/>
          <w:lang w:eastAsia="en-US"/>
        </w:rPr>
        <w:t>je definována jako podíl hrubé tvorby fixního kapitálu k hrubé přidané</w:t>
      </w:r>
      <w:r>
        <w:rPr>
          <w:rFonts w:eastAsiaTheme="minorHAnsi" w:cs="Arial"/>
          <w:iCs/>
          <w:sz w:val="16"/>
          <w:szCs w:val="16"/>
          <w:lang w:eastAsia="en-US"/>
        </w:rPr>
        <w:t xml:space="preserve"> </w:t>
      </w:r>
      <w:r w:rsidRPr="00F675EC">
        <w:rPr>
          <w:rFonts w:eastAsiaTheme="minorHAnsi" w:cs="Arial"/>
          <w:iCs/>
          <w:sz w:val="16"/>
          <w:szCs w:val="16"/>
          <w:lang w:eastAsia="en-US"/>
        </w:rPr>
        <w:t>hodnotě (P.51g/B.1g).</w:t>
      </w:r>
    </w:p>
  </w:footnote>
  <w:footnote w:id="7">
    <w:p w14:paraId="7F91B591" w14:textId="030CE444" w:rsidR="00AD7D0B" w:rsidRPr="00BB104D" w:rsidRDefault="00AD7D0B" w:rsidP="00744EE6">
      <w:pPr>
        <w:pStyle w:val="Textpoznpodarou"/>
        <w:rPr>
          <w:sz w:val="16"/>
          <w:szCs w:val="16"/>
        </w:rPr>
      </w:pPr>
      <w:r w:rsidRPr="00BB104D">
        <w:rPr>
          <w:rStyle w:val="Znakapoznpodarou"/>
          <w:sz w:val="16"/>
          <w:szCs w:val="16"/>
        </w:rPr>
        <w:footnoteRef/>
      </w:r>
      <w:r w:rsidRPr="00BB104D">
        <w:rPr>
          <w:sz w:val="16"/>
          <w:szCs w:val="16"/>
        </w:rPr>
        <w:t xml:space="preserve"> Míra samofinancování nefinančních podniků je definována jako podíl hrubých úspor k hrubé tvorbě fixního kapitálu (B.8g/P.51g)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B81D" w14:textId="77777777" w:rsidR="00AD7D0B" w:rsidRPr="00601A2E" w:rsidRDefault="00AD7D0B" w:rsidP="00601A2E">
    <w:pPr>
      <w:pStyle w:val="Zhlav"/>
    </w:pPr>
    <w:r>
      <w:t>Analýza ekonomického vývoje v roce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7858" w14:textId="77777777" w:rsidR="00AD7D0B" w:rsidRDefault="00AD7D0B" w:rsidP="00937AE2">
    <w:pPr>
      <w:pStyle w:val="Zhlav"/>
    </w:pPr>
    <w:r>
      <w:t>Analýza ekonomického vývoje v roce 2018</w:t>
    </w:r>
  </w:p>
  <w:p w14:paraId="427F87BC" w14:textId="77777777" w:rsidR="00AD7D0B" w:rsidRPr="006F5416" w:rsidRDefault="00AD7D0B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55pt;height:11.5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15AC1"/>
    <w:multiLevelType w:val="hybridMultilevel"/>
    <w:tmpl w:val="7464A696"/>
    <w:lvl w:ilvl="0" w:tplc="4246FC1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0"/>
  </w:num>
  <w:num w:numId="14">
    <w:abstractNumId w:val="10"/>
  </w:num>
  <w:num w:numId="15">
    <w:abstractNumId w:val="16"/>
  </w:num>
  <w:num w:numId="16">
    <w:abstractNumId w:val="12"/>
  </w:num>
  <w:num w:numId="17">
    <w:abstractNumId w:val="21"/>
  </w:num>
  <w:num w:numId="18">
    <w:abstractNumId w:val="17"/>
  </w:num>
  <w:num w:numId="19">
    <w:abstractNumId w:val="22"/>
  </w:num>
  <w:num w:numId="20">
    <w:abstractNumId w:val="24"/>
  </w:num>
  <w:num w:numId="21">
    <w:abstractNumId w:val="19"/>
  </w:num>
  <w:num w:numId="22">
    <w:abstractNumId w:val="15"/>
  </w:num>
  <w:num w:numId="23">
    <w:abstractNumId w:val="13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502"/>
    <w:rsid w:val="0000209D"/>
    <w:rsid w:val="00004D5A"/>
    <w:rsid w:val="000056D5"/>
    <w:rsid w:val="00006ABD"/>
    <w:rsid w:val="0000767A"/>
    <w:rsid w:val="00007BEF"/>
    <w:rsid w:val="00010256"/>
    <w:rsid w:val="00010702"/>
    <w:rsid w:val="00011912"/>
    <w:rsid w:val="00012408"/>
    <w:rsid w:val="00014E7F"/>
    <w:rsid w:val="0002195D"/>
    <w:rsid w:val="000234D6"/>
    <w:rsid w:val="00023D29"/>
    <w:rsid w:val="00026389"/>
    <w:rsid w:val="00031AE0"/>
    <w:rsid w:val="000322EF"/>
    <w:rsid w:val="000333B9"/>
    <w:rsid w:val="00033FCD"/>
    <w:rsid w:val="00041CEC"/>
    <w:rsid w:val="0004694F"/>
    <w:rsid w:val="000500AB"/>
    <w:rsid w:val="000522E4"/>
    <w:rsid w:val="000610E1"/>
    <w:rsid w:val="00062EC5"/>
    <w:rsid w:val="00062F22"/>
    <w:rsid w:val="00067A82"/>
    <w:rsid w:val="000712B3"/>
    <w:rsid w:val="000748F2"/>
    <w:rsid w:val="0008263E"/>
    <w:rsid w:val="00082A55"/>
    <w:rsid w:val="00082C19"/>
    <w:rsid w:val="00085395"/>
    <w:rsid w:val="00087634"/>
    <w:rsid w:val="00087F2B"/>
    <w:rsid w:val="00093E3F"/>
    <w:rsid w:val="00093E53"/>
    <w:rsid w:val="00095135"/>
    <w:rsid w:val="00096085"/>
    <w:rsid w:val="000974D1"/>
    <w:rsid w:val="0009799E"/>
    <w:rsid w:val="000A1183"/>
    <w:rsid w:val="000A256D"/>
    <w:rsid w:val="000A3A2C"/>
    <w:rsid w:val="000B525B"/>
    <w:rsid w:val="000C1D78"/>
    <w:rsid w:val="000C3408"/>
    <w:rsid w:val="000C6AFD"/>
    <w:rsid w:val="000D5637"/>
    <w:rsid w:val="000E3D0E"/>
    <w:rsid w:val="000E6C04"/>
    <w:rsid w:val="000E6FBD"/>
    <w:rsid w:val="000F7084"/>
    <w:rsid w:val="00100F5C"/>
    <w:rsid w:val="0010106F"/>
    <w:rsid w:val="00101CDA"/>
    <w:rsid w:val="00104C4C"/>
    <w:rsid w:val="00117623"/>
    <w:rsid w:val="0012192F"/>
    <w:rsid w:val="00122BB3"/>
    <w:rsid w:val="00125A9C"/>
    <w:rsid w:val="00125D69"/>
    <w:rsid w:val="001405FA"/>
    <w:rsid w:val="00141782"/>
    <w:rsid w:val="001425C3"/>
    <w:rsid w:val="0014794C"/>
    <w:rsid w:val="001528B9"/>
    <w:rsid w:val="001612F4"/>
    <w:rsid w:val="00162312"/>
    <w:rsid w:val="0016256B"/>
    <w:rsid w:val="00163793"/>
    <w:rsid w:val="001671FF"/>
    <w:rsid w:val="001706D6"/>
    <w:rsid w:val="001714F2"/>
    <w:rsid w:val="00175B9F"/>
    <w:rsid w:val="00181BBC"/>
    <w:rsid w:val="00182799"/>
    <w:rsid w:val="00184B08"/>
    <w:rsid w:val="00185010"/>
    <w:rsid w:val="00186919"/>
    <w:rsid w:val="001916DB"/>
    <w:rsid w:val="00193818"/>
    <w:rsid w:val="001A0487"/>
    <w:rsid w:val="001A0D6B"/>
    <w:rsid w:val="001A5387"/>
    <w:rsid w:val="001A552F"/>
    <w:rsid w:val="001B28D3"/>
    <w:rsid w:val="001B2CA9"/>
    <w:rsid w:val="001B3110"/>
    <w:rsid w:val="001B4729"/>
    <w:rsid w:val="001B6310"/>
    <w:rsid w:val="001B6C09"/>
    <w:rsid w:val="001C05CD"/>
    <w:rsid w:val="001C1B66"/>
    <w:rsid w:val="001C487C"/>
    <w:rsid w:val="001D198A"/>
    <w:rsid w:val="001D463E"/>
    <w:rsid w:val="001D51EB"/>
    <w:rsid w:val="001D68B2"/>
    <w:rsid w:val="001D70E9"/>
    <w:rsid w:val="001E504C"/>
    <w:rsid w:val="001F138C"/>
    <w:rsid w:val="001F22C8"/>
    <w:rsid w:val="001F4063"/>
    <w:rsid w:val="001F4597"/>
    <w:rsid w:val="001F52D6"/>
    <w:rsid w:val="00203DA4"/>
    <w:rsid w:val="002052C6"/>
    <w:rsid w:val="002054B4"/>
    <w:rsid w:val="002118B9"/>
    <w:rsid w:val="00217C5B"/>
    <w:rsid w:val="0022139E"/>
    <w:rsid w:val="00222729"/>
    <w:rsid w:val="00222FFB"/>
    <w:rsid w:val="002252E0"/>
    <w:rsid w:val="002255F6"/>
    <w:rsid w:val="00227850"/>
    <w:rsid w:val="00227A53"/>
    <w:rsid w:val="00230C6E"/>
    <w:rsid w:val="00236443"/>
    <w:rsid w:val="00241035"/>
    <w:rsid w:val="00241B06"/>
    <w:rsid w:val="002436BA"/>
    <w:rsid w:val="00244A15"/>
    <w:rsid w:val="00247319"/>
    <w:rsid w:val="0024799E"/>
    <w:rsid w:val="00253C0F"/>
    <w:rsid w:val="002558C1"/>
    <w:rsid w:val="00260FC5"/>
    <w:rsid w:val="00271465"/>
    <w:rsid w:val="00274037"/>
    <w:rsid w:val="00285412"/>
    <w:rsid w:val="0028587B"/>
    <w:rsid w:val="00291640"/>
    <w:rsid w:val="002A16D4"/>
    <w:rsid w:val="002A230C"/>
    <w:rsid w:val="002A5D97"/>
    <w:rsid w:val="002A7679"/>
    <w:rsid w:val="002B2127"/>
    <w:rsid w:val="002B213A"/>
    <w:rsid w:val="002B4845"/>
    <w:rsid w:val="002B6B06"/>
    <w:rsid w:val="002C43BD"/>
    <w:rsid w:val="002D0E59"/>
    <w:rsid w:val="002E02A1"/>
    <w:rsid w:val="002E1A9C"/>
    <w:rsid w:val="002E4E4C"/>
    <w:rsid w:val="00303533"/>
    <w:rsid w:val="00304771"/>
    <w:rsid w:val="003052D4"/>
    <w:rsid w:val="00306C5B"/>
    <w:rsid w:val="00314A41"/>
    <w:rsid w:val="003209D6"/>
    <w:rsid w:val="00321924"/>
    <w:rsid w:val="0032656E"/>
    <w:rsid w:val="003268DD"/>
    <w:rsid w:val="00330060"/>
    <w:rsid w:val="00332190"/>
    <w:rsid w:val="0033250B"/>
    <w:rsid w:val="0034335E"/>
    <w:rsid w:val="00344668"/>
    <w:rsid w:val="003462D9"/>
    <w:rsid w:val="00347378"/>
    <w:rsid w:val="00347604"/>
    <w:rsid w:val="00357908"/>
    <w:rsid w:val="00360C86"/>
    <w:rsid w:val="00360DE3"/>
    <w:rsid w:val="00360FBC"/>
    <w:rsid w:val="00362E90"/>
    <w:rsid w:val="00364C32"/>
    <w:rsid w:val="00364FA0"/>
    <w:rsid w:val="003657F3"/>
    <w:rsid w:val="00376C3B"/>
    <w:rsid w:val="003818DC"/>
    <w:rsid w:val="00384327"/>
    <w:rsid w:val="00385D98"/>
    <w:rsid w:val="003870EE"/>
    <w:rsid w:val="003A2B4D"/>
    <w:rsid w:val="003A2D12"/>
    <w:rsid w:val="003A478C"/>
    <w:rsid w:val="003A5525"/>
    <w:rsid w:val="003A6B38"/>
    <w:rsid w:val="003B461F"/>
    <w:rsid w:val="003B5A32"/>
    <w:rsid w:val="003C3490"/>
    <w:rsid w:val="003C4BE8"/>
    <w:rsid w:val="003C7E62"/>
    <w:rsid w:val="003D6920"/>
    <w:rsid w:val="003E38BA"/>
    <w:rsid w:val="003E4C91"/>
    <w:rsid w:val="003F313C"/>
    <w:rsid w:val="003F37FC"/>
    <w:rsid w:val="003F3890"/>
    <w:rsid w:val="003F4B2C"/>
    <w:rsid w:val="003F551C"/>
    <w:rsid w:val="003F72ED"/>
    <w:rsid w:val="003F7D23"/>
    <w:rsid w:val="00407C13"/>
    <w:rsid w:val="00410638"/>
    <w:rsid w:val="0041501E"/>
    <w:rsid w:val="004159C3"/>
    <w:rsid w:val="00425F45"/>
    <w:rsid w:val="00432A58"/>
    <w:rsid w:val="00433C0C"/>
    <w:rsid w:val="00434617"/>
    <w:rsid w:val="00436778"/>
    <w:rsid w:val="00440900"/>
    <w:rsid w:val="00441BF6"/>
    <w:rsid w:val="004441A0"/>
    <w:rsid w:val="0045078A"/>
    <w:rsid w:val="0045086D"/>
    <w:rsid w:val="00460FB3"/>
    <w:rsid w:val="00467ABC"/>
    <w:rsid w:val="00476240"/>
    <w:rsid w:val="00476439"/>
    <w:rsid w:val="0047735C"/>
    <w:rsid w:val="004776BC"/>
    <w:rsid w:val="0048139F"/>
    <w:rsid w:val="00481E40"/>
    <w:rsid w:val="00484ECE"/>
    <w:rsid w:val="004915CB"/>
    <w:rsid w:val="004924DC"/>
    <w:rsid w:val="004A14E4"/>
    <w:rsid w:val="004A3212"/>
    <w:rsid w:val="004A5494"/>
    <w:rsid w:val="004A61C5"/>
    <w:rsid w:val="004A77DF"/>
    <w:rsid w:val="004B1417"/>
    <w:rsid w:val="004B48DF"/>
    <w:rsid w:val="004B55B7"/>
    <w:rsid w:val="004B6468"/>
    <w:rsid w:val="004B7125"/>
    <w:rsid w:val="004C26B0"/>
    <w:rsid w:val="004C384C"/>
    <w:rsid w:val="004C3867"/>
    <w:rsid w:val="004C4CD0"/>
    <w:rsid w:val="004C5FBF"/>
    <w:rsid w:val="004C70DC"/>
    <w:rsid w:val="004D0211"/>
    <w:rsid w:val="004D0794"/>
    <w:rsid w:val="004D3177"/>
    <w:rsid w:val="004E326C"/>
    <w:rsid w:val="004F06F5"/>
    <w:rsid w:val="004F16F7"/>
    <w:rsid w:val="004F33A0"/>
    <w:rsid w:val="004F6EDC"/>
    <w:rsid w:val="00506523"/>
    <w:rsid w:val="0050689D"/>
    <w:rsid w:val="005108C0"/>
    <w:rsid w:val="00511873"/>
    <w:rsid w:val="00512A2F"/>
    <w:rsid w:val="00513B7E"/>
    <w:rsid w:val="005152D9"/>
    <w:rsid w:val="00515C74"/>
    <w:rsid w:val="00515FFA"/>
    <w:rsid w:val="005173AF"/>
    <w:rsid w:val="0052007E"/>
    <w:rsid w:val="0052337A"/>
    <w:rsid w:val="00525137"/>
    <w:rsid w:val="005251DD"/>
    <w:rsid w:val="00532CE7"/>
    <w:rsid w:val="0053324C"/>
    <w:rsid w:val="00534A28"/>
    <w:rsid w:val="00541508"/>
    <w:rsid w:val="00543498"/>
    <w:rsid w:val="00551238"/>
    <w:rsid w:val="0055599F"/>
    <w:rsid w:val="00556D68"/>
    <w:rsid w:val="00561B03"/>
    <w:rsid w:val="00563EB8"/>
    <w:rsid w:val="005647BF"/>
    <w:rsid w:val="00564AF1"/>
    <w:rsid w:val="0057364B"/>
    <w:rsid w:val="00574773"/>
    <w:rsid w:val="00581AC8"/>
    <w:rsid w:val="00583FFD"/>
    <w:rsid w:val="005911BE"/>
    <w:rsid w:val="00593152"/>
    <w:rsid w:val="00596F92"/>
    <w:rsid w:val="005A10F2"/>
    <w:rsid w:val="005A21E0"/>
    <w:rsid w:val="005A28FF"/>
    <w:rsid w:val="005A2A19"/>
    <w:rsid w:val="005A2C7B"/>
    <w:rsid w:val="005A3DF8"/>
    <w:rsid w:val="005A5549"/>
    <w:rsid w:val="005A5D45"/>
    <w:rsid w:val="005A655B"/>
    <w:rsid w:val="005A7666"/>
    <w:rsid w:val="005B121D"/>
    <w:rsid w:val="005C06ED"/>
    <w:rsid w:val="005C2609"/>
    <w:rsid w:val="005C35A1"/>
    <w:rsid w:val="005D3386"/>
    <w:rsid w:val="005D5802"/>
    <w:rsid w:val="005D7119"/>
    <w:rsid w:val="005D7890"/>
    <w:rsid w:val="005E2A7C"/>
    <w:rsid w:val="005E7C78"/>
    <w:rsid w:val="005F18C5"/>
    <w:rsid w:val="005F3EB1"/>
    <w:rsid w:val="005F46D8"/>
    <w:rsid w:val="005F5469"/>
    <w:rsid w:val="00600079"/>
    <w:rsid w:val="006003D1"/>
    <w:rsid w:val="00601A2E"/>
    <w:rsid w:val="0060404F"/>
    <w:rsid w:val="00604307"/>
    <w:rsid w:val="0060487F"/>
    <w:rsid w:val="00604EAD"/>
    <w:rsid w:val="006104FB"/>
    <w:rsid w:val="0061249B"/>
    <w:rsid w:val="00612A2F"/>
    <w:rsid w:val="00616E05"/>
    <w:rsid w:val="00624093"/>
    <w:rsid w:val="006254CB"/>
    <w:rsid w:val="0063201A"/>
    <w:rsid w:val="006350D5"/>
    <w:rsid w:val="006404A7"/>
    <w:rsid w:val="006451E4"/>
    <w:rsid w:val="00645B33"/>
    <w:rsid w:val="00650330"/>
    <w:rsid w:val="006516CB"/>
    <w:rsid w:val="006558BD"/>
    <w:rsid w:val="00657E87"/>
    <w:rsid w:val="00664803"/>
    <w:rsid w:val="00665BA4"/>
    <w:rsid w:val="00666D91"/>
    <w:rsid w:val="00667AF2"/>
    <w:rsid w:val="006710C9"/>
    <w:rsid w:val="00674D89"/>
    <w:rsid w:val="00675E37"/>
    <w:rsid w:val="00680001"/>
    <w:rsid w:val="0068174E"/>
    <w:rsid w:val="00681DCE"/>
    <w:rsid w:val="0068260E"/>
    <w:rsid w:val="006863B2"/>
    <w:rsid w:val="00695BEF"/>
    <w:rsid w:val="006977F6"/>
    <w:rsid w:val="00697A13"/>
    <w:rsid w:val="006A109C"/>
    <w:rsid w:val="006A3E08"/>
    <w:rsid w:val="006A73A6"/>
    <w:rsid w:val="006B0F92"/>
    <w:rsid w:val="006B344A"/>
    <w:rsid w:val="006B4B7B"/>
    <w:rsid w:val="006B78D8"/>
    <w:rsid w:val="006C113F"/>
    <w:rsid w:val="006C123E"/>
    <w:rsid w:val="006C1752"/>
    <w:rsid w:val="006C33B2"/>
    <w:rsid w:val="006C56D4"/>
    <w:rsid w:val="006C6924"/>
    <w:rsid w:val="006C7CA6"/>
    <w:rsid w:val="006D3E8A"/>
    <w:rsid w:val="006D61F6"/>
    <w:rsid w:val="006D64C2"/>
    <w:rsid w:val="006E279A"/>
    <w:rsid w:val="006E313B"/>
    <w:rsid w:val="006E7227"/>
    <w:rsid w:val="006F2595"/>
    <w:rsid w:val="006F438E"/>
    <w:rsid w:val="006F5416"/>
    <w:rsid w:val="00705242"/>
    <w:rsid w:val="00706AD4"/>
    <w:rsid w:val="00707150"/>
    <w:rsid w:val="007140BE"/>
    <w:rsid w:val="00716E3F"/>
    <w:rsid w:val="007211F5"/>
    <w:rsid w:val="007240E2"/>
    <w:rsid w:val="00725BB5"/>
    <w:rsid w:val="00730AE8"/>
    <w:rsid w:val="00730F1B"/>
    <w:rsid w:val="00740575"/>
    <w:rsid w:val="00741493"/>
    <w:rsid w:val="0074369B"/>
    <w:rsid w:val="00744EE6"/>
    <w:rsid w:val="00745062"/>
    <w:rsid w:val="007506A5"/>
    <w:rsid w:val="00750EF8"/>
    <w:rsid w:val="00752180"/>
    <w:rsid w:val="00753CAB"/>
    <w:rsid w:val="00755202"/>
    <w:rsid w:val="00755D3A"/>
    <w:rsid w:val="007578D3"/>
    <w:rsid w:val="007609C6"/>
    <w:rsid w:val="0076175D"/>
    <w:rsid w:val="00763B85"/>
    <w:rsid w:val="0076521E"/>
    <w:rsid w:val="007661E9"/>
    <w:rsid w:val="00775F45"/>
    <w:rsid w:val="00776169"/>
    <w:rsid w:val="00776527"/>
    <w:rsid w:val="00780EF1"/>
    <w:rsid w:val="00785232"/>
    <w:rsid w:val="00790764"/>
    <w:rsid w:val="0079453C"/>
    <w:rsid w:val="00794677"/>
    <w:rsid w:val="007A38F2"/>
    <w:rsid w:val="007A516D"/>
    <w:rsid w:val="007B0750"/>
    <w:rsid w:val="007B6689"/>
    <w:rsid w:val="007C13A4"/>
    <w:rsid w:val="007C6BBD"/>
    <w:rsid w:val="007C7BAE"/>
    <w:rsid w:val="007D0C24"/>
    <w:rsid w:val="007D40DF"/>
    <w:rsid w:val="007E29B4"/>
    <w:rsid w:val="007E435A"/>
    <w:rsid w:val="007E7E61"/>
    <w:rsid w:val="007F0845"/>
    <w:rsid w:val="007F661C"/>
    <w:rsid w:val="007F708D"/>
    <w:rsid w:val="00801E13"/>
    <w:rsid w:val="00805381"/>
    <w:rsid w:val="00807674"/>
    <w:rsid w:val="00807C82"/>
    <w:rsid w:val="00816905"/>
    <w:rsid w:val="00821FF6"/>
    <w:rsid w:val="00822574"/>
    <w:rsid w:val="00825C4D"/>
    <w:rsid w:val="0083143E"/>
    <w:rsid w:val="00831CDE"/>
    <w:rsid w:val="00833BF2"/>
    <w:rsid w:val="00834304"/>
    <w:rsid w:val="00834FAA"/>
    <w:rsid w:val="00836086"/>
    <w:rsid w:val="008364D5"/>
    <w:rsid w:val="00846121"/>
    <w:rsid w:val="0084708F"/>
    <w:rsid w:val="0084727E"/>
    <w:rsid w:val="008477C8"/>
    <w:rsid w:val="00847931"/>
    <w:rsid w:val="0085114D"/>
    <w:rsid w:val="00852217"/>
    <w:rsid w:val="00855408"/>
    <w:rsid w:val="00856D65"/>
    <w:rsid w:val="00861B41"/>
    <w:rsid w:val="00861BE3"/>
    <w:rsid w:val="00863434"/>
    <w:rsid w:val="008637A2"/>
    <w:rsid w:val="00865E4C"/>
    <w:rsid w:val="008701E4"/>
    <w:rsid w:val="00875A32"/>
    <w:rsid w:val="00876086"/>
    <w:rsid w:val="00884A6F"/>
    <w:rsid w:val="008856A3"/>
    <w:rsid w:val="008873D4"/>
    <w:rsid w:val="0089296D"/>
    <w:rsid w:val="00893E85"/>
    <w:rsid w:val="00894031"/>
    <w:rsid w:val="00895508"/>
    <w:rsid w:val="008B7C02"/>
    <w:rsid w:val="008B7D2B"/>
    <w:rsid w:val="008C0049"/>
    <w:rsid w:val="008C0E88"/>
    <w:rsid w:val="008D0DBD"/>
    <w:rsid w:val="008D1E6A"/>
    <w:rsid w:val="008D2A16"/>
    <w:rsid w:val="008E0DC9"/>
    <w:rsid w:val="008E2C57"/>
    <w:rsid w:val="008E31FF"/>
    <w:rsid w:val="008E6F06"/>
    <w:rsid w:val="008E7FC9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5CF4"/>
    <w:rsid w:val="0091728D"/>
    <w:rsid w:val="0092180B"/>
    <w:rsid w:val="00921F14"/>
    <w:rsid w:val="00924AC8"/>
    <w:rsid w:val="0092597A"/>
    <w:rsid w:val="00930FB1"/>
    <w:rsid w:val="0093139F"/>
    <w:rsid w:val="00932443"/>
    <w:rsid w:val="00937AE2"/>
    <w:rsid w:val="00942C19"/>
    <w:rsid w:val="0094427A"/>
    <w:rsid w:val="00945245"/>
    <w:rsid w:val="00953F28"/>
    <w:rsid w:val="009540B7"/>
    <w:rsid w:val="0095759C"/>
    <w:rsid w:val="0096154D"/>
    <w:rsid w:val="0096221A"/>
    <w:rsid w:val="00974923"/>
    <w:rsid w:val="00976BAF"/>
    <w:rsid w:val="00980D3D"/>
    <w:rsid w:val="00987A30"/>
    <w:rsid w:val="00992CF3"/>
    <w:rsid w:val="009942B6"/>
    <w:rsid w:val="00994868"/>
    <w:rsid w:val="009968D6"/>
    <w:rsid w:val="009A1CAB"/>
    <w:rsid w:val="009A4901"/>
    <w:rsid w:val="009A60D1"/>
    <w:rsid w:val="009B6FD3"/>
    <w:rsid w:val="009B7C82"/>
    <w:rsid w:val="009C03C8"/>
    <w:rsid w:val="009C1750"/>
    <w:rsid w:val="009C1EEA"/>
    <w:rsid w:val="009C2E29"/>
    <w:rsid w:val="009C554B"/>
    <w:rsid w:val="009C719E"/>
    <w:rsid w:val="009D3ACD"/>
    <w:rsid w:val="009E5273"/>
    <w:rsid w:val="009E5DDB"/>
    <w:rsid w:val="009F46EA"/>
    <w:rsid w:val="009F4CA7"/>
    <w:rsid w:val="00A10D66"/>
    <w:rsid w:val="00A1260E"/>
    <w:rsid w:val="00A14114"/>
    <w:rsid w:val="00A16413"/>
    <w:rsid w:val="00A16E1D"/>
    <w:rsid w:val="00A17D5B"/>
    <w:rsid w:val="00A20028"/>
    <w:rsid w:val="00A230A8"/>
    <w:rsid w:val="00A23E43"/>
    <w:rsid w:val="00A25216"/>
    <w:rsid w:val="00A27420"/>
    <w:rsid w:val="00A27C85"/>
    <w:rsid w:val="00A30F65"/>
    <w:rsid w:val="00A32759"/>
    <w:rsid w:val="00A329DF"/>
    <w:rsid w:val="00A35142"/>
    <w:rsid w:val="00A35EA6"/>
    <w:rsid w:val="00A40EAC"/>
    <w:rsid w:val="00A416D4"/>
    <w:rsid w:val="00A418BC"/>
    <w:rsid w:val="00A46DE0"/>
    <w:rsid w:val="00A4750C"/>
    <w:rsid w:val="00A50D73"/>
    <w:rsid w:val="00A51F19"/>
    <w:rsid w:val="00A52CAD"/>
    <w:rsid w:val="00A537F0"/>
    <w:rsid w:val="00A53FC7"/>
    <w:rsid w:val="00A54250"/>
    <w:rsid w:val="00A55161"/>
    <w:rsid w:val="00A55593"/>
    <w:rsid w:val="00A62B23"/>
    <w:rsid w:val="00A62CE1"/>
    <w:rsid w:val="00A66A11"/>
    <w:rsid w:val="00A6741E"/>
    <w:rsid w:val="00A75E40"/>
    <w:rsid w:val="00A77D1D"/>
    <w:rsid w:val="00A84923"/>
    <w:rsid w:val="00A857C0"/>
    <w:rsid w:val="00A90FED"/>
    <w:rsid w:val="00AA2996"/>
    <w:rsid w:val="00AA52BF"/>
    <w:rsid w:val="00AA559A"/>
    <w:rsid w:val="00AB2AF1"/>
    <w:rsid w:val="00AB5421"/>
    <w:rsid w:val="00AC45BD"/>
    <w:rsid w:val="00AD168E"/>
    <w:rsid w:val="00AD306C"/>
    <w:rsid w:val="00AD68C4"/>
    <w:rsid w:val="00AD7D0B"/>
    <w:rsid w:val="00AE09B3"/>
    <w:rsid w:val="00AE1A83"/>
    <w:rsid w:val="00AE7FB2"/>
    <w:rsid w:val="00B00913"/>
    <w:rsid w:val="00B01593"/>
    <w:rsid w:val="00B023F2"/>
    <w:rsid w:val="00B10A4D"/>
    <w:rsid w:val="00B120A1"/>
    <w:rsid w:val="00B12AA6"/>
    <w:rsid w:val="00B14BC1"/>
    <w:rsid w:val="00B17E71"/>
    <w:rsid w:val="00B17FDE"/>
    <w:rsid w:val="00B20632"/>
    <w:rsid w:val="00B23055"/>
    <w:rsid w:val="00B2379C"/>
    <w:rsid w:val="00B2687D"/>
    <w:rsid w:val="00B32DDB"/>
    <w:rsid w:val="00B34528"/>
    <w:rsid w:val="00B34CC9"/>
    <w:rsid w:val="00B366E5"/>
    <w:rsid w:val="00B402FC"/>
    <w:rsid w:val="00B40FF9"/>
    <w:rsid w:val="00B42470"/>
    <w:rsid w:val="00B439DA"/>
    <w:rsid w:val="00B46604"/>
    <w:rsid w:val="00B530CD"/>
    <w:rsid w:val="00B53AB0"/>
    <w:rsid w:val="00B55F5E"/>
    <w:rsid w:val="00B57338"/>
    <w:rsid w:val="00B5752E"/>
    <w:rsid w:val="00B57E25"/>
    <w:rsid w:val="00B619A9"/>
    <w:rsid w:val="00B63A11"/>
    <w:rsid w:val="00B64C24"/>
    <w:rsid w:val="00B6608F"/>
    <w:rsid w:val="00B679FB"/>
    <w:rsid w:val="00B76D1E"/>
    <w:rsid w:val="00B80EC6"/>
    <w:rsid w:val="00B84CF6"/>
    <w:rsid w:val="00B86F03"/>
    <w:rsid w:val="00B9200E"/>
    <w:rsid w:val="00B92D1D"/>
    <w:rsid w:val="00B938C5"/>
    <w:rsid w:val="00B95940"/>
    <w:rsid w:val="00B97434"/>
    <w:rsid w:val="00BA0DD3"/>
    <w:rsid w:val="00BA6C2B"/>
    <w:rsid w:val="00BA76E6"/>
    <w:rsid w:val="00BB2F03"/>
    <w:rsid w:val="00BB46F3"/>
    <w:rsid w:val="00BB4CB1"/>
    <w:rsid w:val="00BB4F98"/>
    <w:rsid w:val="00BC0E31"/>
    <w:rsid w:val="00BC5C12"/>
    <w:rsid w:val="00BC7075"/>
    <w:rsid w:val="00BC7154"/>
    <w:rsid w:val="00BC731E"/>
    <w:rsid w:val="00BD163C"/>
    <w:rsid w:val="00BD2991"/>
    <w:rsid w:val="00BD366B"/>
    <w:rsid w:val="00BD6D50"/>
    <w:rsid w:val="00BE18B9"/>
    <w:rsid w:val="00BE2495"/>
    <w:rsid w:val="00BE468E"/>
    <w:rsid w:val="00BE6186"/>
    <w:rsid w:val="00BF1578"/>
    <w:rsid w:val="00BF45D9"/>
    <w:rsid w:val="00C024B1"/>
    <w:rsid w:val="00C21405"/>
    <w:rsid w:val="00C21F94"/>
    <w:rsid w:val="00C27913"/>
    <w:rsid w:val="00C33B68"/>
    <w:rsid w:val="00C36A79"/>
    <w:rsid w:val="00C401D2"/>
    <w:rsid w:val="00C405D4"/>
    <w:rsid w:val="00C4513B"/>
    <w:rsid w:val="00C466D2"/>
    <w:rsid w:val="00C5390B"/>
    <w:rsid w:val="00C54697"/>
    <w:rsid w:val="00C60191"/>
    <w:rsid w:val="00C6152B"/>
    <w:rsid w:val="00C73885"/>
    <w:rsid w:val="00C747B1"/>
    <w:rsid w:val="00C82191"/>
    <w:rsid w:val="00C83134"/>
    <w:rsid w:val="00C8418E"/>
    <w:rsid w:val="00C85545"/>
    <w:rsid w:val="00C86B84"/>
    <w:rsid w:val="00C90CF4"/>
    <w:rsid w:val="00C92EB6"/>
    <w:rsid w:val="00C93389"/>
    <w:rsid w:val="00C936C3"/>
    <w:rsid w:val="00C96D08"/>
    <w:rsid w:val="00CA28BC"/>
    <w:rsid w:val="00CA6668"/>
    <w:rsid w:val="00CA6AB4"/>
    <w:rsid w:val="00CB259D"/>
    <w:rsid w:val="00CB4930"/>
    <w:rsid w:val="00CC2E7D"/>
    <w:rsid w:val="00CC71EC"/>
    <w:rsid w:val="00CD10A5"/>
    <w:rsid w:val="00CD2076"/>
    <w:rsid w:val="00CD29B5"/>
    <w:rsid w:val="00CD6331"/>
    <w:rsid w:val="00CE153B"/>
    <w:rsid w:val="00CE670B"/>
    <w:rsid w:val="00CF1C4C"/>
    <w:rsid w:val="00CF4908"/>
    <w:rsid w:val="00CF51EC"/>
    <w:rsid w:val="00CF73AE"/>
    <w:rsid w:val="00D040DD"/>
    <w:rsid w:val="00D050F8"/>
    <w:rsid w:val="00D075BE"/>
    <w:rsid w:val="00D1005A"/>
    <w:rsid w:val="00D11854"/>
    <w:rsid w:val="00D120FA"/>
    <w:rsid w:val="00D13986"/>
    <w:rsid w:val="00D21D83"/>
    <w:rsid w:val="00D22038"/>
    <w:rsid w:val="00D235B7"/>
    <w:rsid w:val="00D25F28"/>
    <w:rsid w:val="00D26071"/>
    <w:rsid w:val="00D27973"/>
    <w:rsid w:val="00D32F90"/>
    <w:rsid w:val="00D35E1A"/>
    <w:rsid w:val="00D50F46"/>
    <w:rsid w:val="00D52BE2"/>
    <w:rsid w:val="00D57677"/>
    <w:rsid w:val="00D64227"/>
    <w:rsid w:val="00D66223"/>
    <w:rsid w:val="00D67375"/>
    <w:rsid w:val="00D73384"/>
    <w:rsid w:val="00D8084C"/>
    <w:rsid w:val="00D915EA"/>
    <w:rsid w:val="00D92FD1"/>
    <w:rsid w:val="00D93CE2"/>
    <w:rsid w:val="00D943C6"/>
    <w:rsid w:val="00D965EC"/>
    <w:rsid w:val="00DA0BBD"/>
    <w:rsid w:val="00DA7C0C"/>
    <w:rsid w:val="00DB08A9"/>
    <w:rsid w:val="00DB2EC8"/>
    <w:rsid w:val="00DC37E3"/>
    <w:rsid w:val="00DC5B3B"/>
    <w:rsid w:val="00DD129F"/>
    <w:rsid w:val="00DD6B52"/>
    <w:rsid w:val="00DE0F63"/>
    <w:rsid w:val="00DE4C19"/>
    <w:rsid w:val="00DF317B"/>
    <w:rsid w:val="00DF42FF"/>
    <w:rsid w:val="00DF7AD4"/>
    <w:rsid w:val="00E01C0E"/>
    <w:rsid w:val="00E03F9A"/>
    <w:rsid w:val="00E04694"/>
    <w:rsid w:val="00E04F27"/>
    <w:rsid w:val="00E102BD"/>
    <w:rsid w:val="00E10A2E"/>
    <w:rsid w:val="00E11DE1"/>
    <w:rsid w:val="00E12B1E"/>
    <w:rsid w:val="00E17262"/>
    <w:rsid w:val="00E212C9"/>
    <w:rsid w:val="00E253A2"/>
    <w:rsid w:val="00E3309D"/>
    <w:rsid w:val="00E333BA"/>
    <w:rsid w:val="00E453F9"/>
    <w:rsid w:val="00E47EBA"/>
    <w:rsid w:val="00E50156"/>
    <w:rsid w:val="00E53470"/>
    <w:rsid w:val="00E539F6"/>
    <w:rsid w:val="00E6519D"/>
    <w:rsid w:val="00E67696"/>
    <w:rsid w:val="00E711D1"/>
    <w:rsid w:val="00E71A58"/>
    <w:rsid w:val="00E72A7A"/>
    <w:rsid w:val="00E733C7"/>
    <w:rsid w:val="00E75C94"/>
    <w:rsid w:val="00E76E61"/>
    <w:rsid w:val="00E8168E"/>
    <w:rsid w:val="00E924B2"/>
    <w:rsid w:val="00E93820"/>
    <w:rsid w:val="00E94A86"/>
    <w:rsid w:val="00E96143"/>
    <w:rsid w:val="00E972A9"/>
    <w:rsid w:val="00EA0840"/>
    <w:rsid w:val="00EA0C68"/>
    <w:rsid w:val="00EA17B0"/>
    <w:rsid w:val="00EA32BC"/>
    <w:rsid w:val="00EA405F"/>
    <w:rsid w:val="00EB4511"/>
    <w:rsid w:val="00EC03D7"/>
    <w:rsid w:val="00EC25F0"/>
    <w:rsid w:val="00ED62C6"/>
    <w:rsid w:val="00ED64C1"/>
    <w:rsid w:val="00ED7B65"/>
    <w:rsid w:val="00EE3446"/>
    <w:rsid w:val="00EE3E78"/>
    <w:rsid w:val="00EE466C"/>
    <w:rsid w:val="00EE4B1B"/>
    <w:rsid w:val="00EE50DB"/>
    <w:rsid w:val="00EF150D"/>
    <w:rsid w:val="00EF1F5A"/>
    <w:rsid w:val="00EF348D"/>
    <w:rsid w:val="00EF47BF"/>
    <w:rsid w:val="00F04811"/>
    <w:rsid w:val="00F0488C"/>
    <w:rsid w:val="00F05E10"/>
    <w:rsid w:val="00F10F11"/>
    <w:rsid w:val="00F13819"/>
    <w:rsid w:val="00F13C9C"/>
    <w:rsid w:val="00F15AAA"/>
    <w:rsid w:val="00F15BEF"/>
    <w:rsid w:val="00F160CE"/>
    <w:rsid w:val="00F162B3"/>
    <w:rsid w:val="00F231AE"/>
    <w:rsid w:val="00F24407"/>
    <w:rsid w:val="00F24FAA"/>
    <w:rsid w:val="00F3364D"/>
    <w:rsid w:val="00F33E56"/>
    <w:rsid w:val="00F433FE"/>
    <w:rsid w:val="00F437CC"/>
    <w:rsid w:val="00F44537"/>
    <w:rsid w:val="00F4530D"/>
    <w:rsid w:val="00F46502"/>
    <w:rsid w:val="00F47067"/>
    <w:rsid w:val="00F525EB"/>
    <w:rsid w:val="00F55E08"/>
    <w:rsid w:val="00F63DDE"/>
    <w:rsid w:val="00F63FB7"/>
    <w:rsid w:val="00F6421B"/>
    <w:rsid w:val="00F649D2"/>
    <w:rsid w:val="00F6602B"/>
    <w:rsid w:val="00F73A0C"/>
    <w:rsid w:val="00F73D08"/>
    <w:rsid w:val="00F756DB"/>
    <w:rsid w:val="00F84E7D"/>
    <w:rsid w:val="00F85066"/>
    <w:rsid w:val="00F853A9"/>
    <w:rsid w:val="00F859D0"/>
    <w:rsid w:val="00F87A4D"/>
    <w:rsid w:val="00FA5D4D"/>
    <w:rsid w:val="00FB0EE2"/>
    <w:rsid w:val="00FB542E"/>
    <w:rsid w:val="00FC0359"/>
    <w:rsid w:val="00FC0E5F"/>
    <w:rsid w:val="00FC1A95"/>
    <w:rsid w:val="00FC56DE"/>
    <w:rsid w:val="00FC684B"/>
    <w:rsid w:val="00FD3265"/>
    <w:rsid w:val="00FD4916"/>
    <w:rsid w:val="00FE2F78"/>
    <w:rsid w:val="00FF3EE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359FC93"/>
  <w15:docId w15:val="{A4C7AF56-5B51-4067-BDB9-17A6C364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EA0840"/>
    <w:rPr>
      <w:noProof/>
      <w:lang w:eastAsia="en-US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F46502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">
    <w:name w:val="Nadpis 21"/>
    <w:basedOn w:val="Normln"/>
    <w:uiPriority w:val="9"/>
    <w:qFormat/>
    <w:rsid w:val="00F46502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">
    <w:name w:val="Text pozn. pod čarou1"/>
    <w:basedOn w:val="Normln"/>
    <w:rsid w:val="00F46502"/>
    <w:pPr>
      <w:spacing w:after="0" w:line="240" w:lineRule="auto"/>
      <w:jc w:val="left"/>
    </w:pPr>
    <w:rPr>
      <w:rFonts w:eastAsia="Calibri"/>
      <w:color w:val="00000A"/>
      <w:szCs w:val="20"/>
    </w:rPr>
  </w:style>
  <w:style w:type="character" w:customStyle="1" w:styleId="TextpoznpodarouChar1">
    <w:name w:val="Text pozn. pod čarou Char1"/>
    <w:aliases w:val="Text pozn. pod čarou_martin_ang Char1"/>
    <w:basedOn w:val="Standardnpsmoodstavce"/>
    <w:semiHidden/>
    <w:rsid w:val="00F46502"/>
    <w:rPr>
      <w:rFonts w:ascii="Arial" w:eastAsia="Times New Roman" w:hAnsi="Arial" w:cs="Times New Roman"/>
      <w:color w:val="00000A"/>
      <w:szCs w:val="20"/>
      <w:lang w:eastAsia="cs-CZ"/>
    </w:rPr>
  </w:style>
  <w:style w:type="character" w:styleId="Znakapoznpodarou">
    <w:name w:val="footnote reference"/>
    <w:basedOn w:val="Standardnpsmoodstavce"/>
    <w:rsid w:val="00F46502"/>
    <w:rPr>
      <w:rFonts w:cs="Times New Roman"/>
      <w:vertAlign w:val="superscript"/>
    </w:rPr>
  </w:style>
  <w:style w:type="character" w:customStyle="1" w:styleId="odkaz-style-wrapper">
    <w:name w:val="odkaz-style-wrapper"/>
    <w:basedOn w:val="Standardnpsmoodstavce"/>
    <w:rsid w:val="00BE6186"/>
  </w:style>
  <w:style w:type="paragraph" w:customStyle="1" w:styleId="Nadpis110">
    <w:name w:val="Nadpis 11"/>
    <w:basedOn w:val="Normln"/>
    <w:uiPriority w:val="9"/>
    <w:qFormat/>
    <w:rsid w:val="00BE6186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0">
    <w:name w:val="Nadpis 21"/>
    <w:basedOn w:val="Normln"/>
    <w:uiPriority w:val="9"/>
    <w:qFormat/>
    <w:rsid w:val="00BE6186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0">
    <w:name w:val="Text pozn. pod čarou1"/>
    <w:basedOn w:val="Normln"/>
    <w:rsid w:val="00BE6186"/>
    <w:pPr>
      <w:spacing w:after="0" w:line="240" w:lineRule="auto"/>
      <w:jc w:val="left"/>
    </w:pPr>
    <w:rPr>
      <w:rFonts w:eastAsia="Calibri"/>
      <w:color w:val="00000A"/>
      <w:szCs w:val="20"/>
    </w:rPr>
  </w:style>
  <w:style w:type="paragraph" w:styleId="Normlnweb">
    <w:name w:val="Normal (Web)"/>
    <w:basedOn w:val="Normln"/>
    <w:uiPriority w:val="99"/>
    <w:unhideWhenUsed/>
    <w:rsid w:val="00C96D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4C5FBF"/>
    <w:pPr>
      <w:widowControl w:val="0"/>
      <w:suppressAutoHyphens/>
      <w:autoSpaceDE w:val="0"/>
      <w:autoSpaceDN w:val="0"/>
      <w:adjustRightInd w:val="0"/>
      <w:spacing w:before="120" w:after="0" w:line="215" w:lineRule="exact"/>
    </w:pPr>
    <w:rPr>
      <w:rFonts w:ascii="Times New Roman CE obyèejné" w:hAnsi="Times New Roman CE obyèejné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C5FBF"/>
    <w:rPr>
      <w:rFonts w:ascii="Times New Roman CE obyèejné" w:eastAsia="Times New Roman" w:hAnsi="Times New Roman CE obyèejné"/>
      <w:lang w:eastAsia="cs-CZ"/>
    </w:rPr>
  </w:style>
  <w:style w:type="character" w:customStyle="1" w:styleId="content">
    <w:name w:val="content"/>
    <w:basedOn w:val="Standardnpsmoodstavce"/>
    <w:rsid w:val="003C4BE8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44EE6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44EE6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44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6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Ro&#269;n&#237;%20anal&#253;za%202018\Ana&#253;za%20ekonomick&#233;ho%20v&#253;voje%20v%20roce%202017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Anal&#253;za\Ro&#269;n&#237;%20publikace%202019\Nefinan&#269;n&#237;%20podniky\nefinancni_podnik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433114683702928E-2"/>
          <c:y val="3.3409263477600606E-2"/>
          <c:w val="0.91008163211651971"/>
          <c:h val="0.77175194191151641"/>
        </c:manualLayout>
      </c:layout>
      <c:barChart>
        <c:barDir val="col"/>
        <c:grouping val="stacked"/>
        <c:varyColors val="0"/>
        <c:ser>
          <c:idx val="10"/>
          <c:order val="1"/>
          <c:tx>
            <c:strRef>
              <c:f>List1!$A$163</c:f>
              <c:strCache>
                <c:ptCount val="1"/>
                <c:pt idx="0">
                  <c:v>Ostatní služby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val>
            <c:numRef>
              <c:f>List1!$B$163:$L$163</c:f>
              <c:numCache>
                <c:formatCode>General</c:formatCode>
                <c:ptCount val="11"/>
                <c:pt idx="0">
                  <c:v>46.667000000000002</c:v>
                </c:pt>
                <c:pt idx="1">
                  <c:v>-1.2460000000000009</c:v>
                </c:pt>
                <c:pt idx="2">
                  <c:v>-3.9920000000000004</c:v>
                </c:pt>
                <c:pt idx="3">
                  <c:v>7.4139999999999997</c:v>
                </c:pt>
                <c:pt idx="4">
                  <c:v>9.5629999999999988</c:v>
                </c:pt>
                <c:pt idx="5">
                  <c:v>12.898</c:v>
                </c:pt>
                <c:pt idx="6">
                  <c:v>25.349</c:v>
                </c:pt>
                <c:pt idx="7">
                  <c:v>25.909000000000002</c:v>
                </c:pt>
                <c:pt idx="8">
                  <c:v>27.770000000000003</c:v>
                </c:pt>
                <c:pt idx="9">
                  <c:v>22.984000000000002</c:v>
                </c:pt>
                <c:pt idx="10">
                  <c:v>25.649000000000004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EF-470F-97B9-8975C3F13EEC}"/>
            </c:ext>
          </c:extLst>
        </c:ser>
        <c:ser>
          <c:idx val="1"/>
          <c:order val="2"/>
          <c:tx>
            <c:strRef>
              <c:f>List1!$A$154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List1!$B$152:$L$152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List1!$B$154:$L$154</c:f>
              <c:numCache>
                <c:formatCode>General</c:formatCode>
                <c:ptCount val="11"/>
                <c:pt idx="0">
                  <c:v>4.0549999999999997</c:v>
                </c:pt>
                <c:pt idx="1">
                  <c:v>-14.156000000000001</c:v>
                </c:pt>
                <c:pt idx="2">
                  <c:v>-2.1970000000000001</c:v>
                </c:pt>
                <c:pt idx="3">
                  <c:v>17.504999999999999</c:v>
                </c:pt>
                <c:pt idx="4">
                  <c:v>4.0369999999999999</c:v>
                </c:pt>
                <c:pt idx="5">
                  <c:v>1.675</c:v>
                </c:pt>
                <c:pt idx="6">
                  <c:v>7.9909999999999997</c:v>
                </c:pt>
                <c:pt idx="7">
                  <c:v>-6.2549999999999999</c:v>
                </c:pt>
                <c:pt idx="8">
                  <c:v>-1.33</c:v>
                </c:pt>
                <c:pt idx="9">
                  <c:v>4.0369999999999999</c:v>
                </c:pt>
                <c:pt idx="10">
                  <c:v>-3.6850000000000001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EF-470F-97B9-8975C3F13EEC}"/>
            </c:ext>
          </c:extLst>
        </c:ser>
        <c:ser>
          <c:idx val="3"/>
          <c:order val="3"/>
          <c:tx>
            <c:strRef>
              <c:f>List1!$A$156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List1!$B$152:$L$152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List1!$B$156:$L$156</c:f>
              <c:numCache>
                <c:formatCode>General</c:formatCode>
                <c:ptCount val="11"/>
                <c:pt idx="0">
                  <c:v>10.872</c:v>
                </c:pt>
                <c:pt idx="1">
                  <c:v>-10.423999999999999</c:v>
                </c:pt>
                <c:pt idx="2">
                  <c:v>1.1359999999999999</c:v>
                </c:pt>
                <c:pt idx="3">
                  <c:v>-13.304</c:v>
                </c:pt>
                <c:pt idx="4">
                  <c:v>-11.381</c:v>
                </c:pt>
                <c:pt idx="5">
                  <c:v>-3.7229999999999999</c:v>
                </c:pt>
                <c:pt idx="6">
                  <c:v>4.0659999999999998</c:v>
                </c:pt>
                <c:pt idx="7">
                  <c:v>10.654</c:v>
                </c:pt>
                <c:pt idx="8">
                  <c:v>-2.2389999999999999</c:v>
                </c:pt>
                <c:pt idx="9">
                  <c:v>4.5090000000000003</c:v>
                </c:pt>
                <c:pt idx="10">
                  <c:v>15.958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EF-470F-97B9-8975C3F13EEC}"/>
            </c:ext>
          </c:extLst>
        </c:ser>
        <c:ser>
          <c:idx val="5"/>
          <c:order val="4"/>
          <c:tx>
            <c:strRef>
              <c:f>List1!$A$158</c:f>
              <c:strCache>
                <c:ptCount val="1"/>
                <c:pt idx="0">
                  <c:v>Informační a komunikační činnosti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List1!$B$152:$L$152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List1!$B$158:$L$158</c:f>
              <c:numCache>
                <c:formatCode>General</c:formatCode>
                <c:ptCount val="11"/>
                <c:pt idx="0">
                  <c:v>6.2080000000000002</c:v>
                </c:pt>
                <c:pt idx="1">
                  <c:v>-0.54</c:v>
                </c:pt>
                <c:pt idx="2">
                  <c:v>-5.2889999999999997</c:v>
                </c:pt>
                <c:pt idx="3">
                  <c:v>3.9380000000000002</c:v>
                </c:pt>
                <c:pt idx="4">
                  <c:v>-0.187</c:v>
                </c:pt>
                <c:pt idx="5">
                  <c:v>-2.3130000000000002</c:v>
                </c:pt>
                <c:pt idx="6">
                  <c:v>10.021000000000001</c:v>
                </c:pt>
                <c:pt idx="7">
                  <c:v>15.065</c:v>
                </c:pt>
                <c:pt idx="8">
                  <c:v>11.929</c:v>
                </c:pt>
                <c:pt idx="9">
                  <c:v>13.978999999999999</c:v>
                </c:pt>
                <c:pt idx="10">
                  <c:v>24.12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0EF-470F-97B9-8975C3F13EEC}"/>
            </c:ext>
          </c:extLst>
        </c:ser>
        <c:ser>
          <c:idx val="4"/>
          <c:order val="5"/>
          <c:tx>
            <c:strRef>
              <c:f>List1!$A$157</c:f>
              <c:strCache>
                <c:ptCount val="1"/>
                <c:pt idx="0">
                  <c:v>Obchod, doprava, ubytování a pohostinství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List1!$B$152:$L$152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List1!$B$157:$L$157</c:f>
              <c:numCache>
                <c:formatCode>General</c:formatCode>
                <c:ptCount val="11"/>
                <c:pt idx="0">
                  <c:v>5.5289999999999999</c:v>
                </c:pt>
                <c:pt idx="1">
                  <c:v>-64.027000000000001</c:v>
                </c:pt>
                <c:pt idx="2">
                  <c:v>23.577000000000002</c:v>
                </c:pt>
                <c:pt idx="3">
                  <c:v>3.8620000000000001</c:v>
                </c:pt>
                <c:pt idx="4">
                  <c:v>9.8940000000000001</c:v>
                </c:pt>
                <c:pt idx="5">
                  <c:v>-0.39100000000000001</c:v>
                </c:pt>
                <c:pt idx="6">
                  <c:v>37.320999999999998</c:v>
                </c:pt>
                <c:pt idx="7">
                  <c:v>60.722000000000001</c:v>
                </c:pt>
                <c:pt idx="8">
                  <c:v>29.062999999999999</c:v>
                </c:pt>
                <c:pt idx="9">
                  <c:v>59.154000000000003</c:v>
                </c:pt>
                <c:pt idx="10">
                  <c:v>46.728000000000002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0EF-470F-97B9-8975C3F13EEC}"/>
            </c:ext>
          </c:extLst>
        </c:ser>
        <c:ser>
          <c:idx val="2"/>
          <c:order val="6"/>
          <c:tx>
            <c:strRef>
              <c:f>List1!$A$155</c:f>
              <c:strCache>
                <c:ptCount val="1"/>
                <c:pt idx="0">
                  <c:v>Průmysl, těžba a dobývání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List1!$B$152:$L$152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List1!$B$155:$L$155</c:f>
              <c:numCache>
                <c:formatCode>General</c:formatCode>
                <c:ptCount val="11"/>
                <c:pt idx="0">
                  <c:v>29.282</c:v>
                </c:pt>
                <c:pt idx="1">
                  <c:v>-59.896000000000001</c:v>
                </c:pt>
                <c:pt idx="2">
                  <c:v>2.544</c:v>
                </c:pt>
                <c:pt idx="3">
                  <c:v>48.137999999999998</c:v>
                </c:pt>
                <c:pt idx="4">
                  <c:v>12.208</c:v>
                </c:pt>
                <c:pt idx="5">
                  <c:v>5.6660000000000004</c:v>
                </c:pt>
                <c:pt idx="6">
                  <c:v>120.84699999999999</c:v>
                </c:pt>
                <c:pt idx="7">
                  <c:v>62.619</c:v>
                </c:pt>
                <c:pt idx="8">
                  <c:v>34.29</c:v>
                </c:pt>
                <c:pt idx="9">
                  <c:v>69.287999999999997</c:v>
                </c:pt>
                <c:pt idx="10">
                  <c:v>6.9260000000000002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0EF-470F-97B9-8975C3F13E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242819872"/>
        <c:axId val="242820704"/>
      </c:barChart>
      <c:lineChart>
        <c:grouping val="standard"/>
        <c:varyColors val="0"/>
        <c:ser>
          <c:idx val="0"/>
          <c:order val="0"/>
          <c:tx>
            <c:strRef>
              <c:f>List1!$A$153</c:f>
              <c:strCache>
                <c:ptCount val="1"/>
                <c:pt idx="0">
                  <c:v>Nefinanční podniky celkem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List1!$B$152:$L$152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List1!$B$153:$L$153</c:f>
              <c:numCache>
                <c:formatCode>General</c:formatCode>
                <c:ptCount val="11"/>
                <c:pt idx="0">
                  <c:v>102.613</c:v>
                </c:pt>
                <c:pt idx="1">
                  <c:v>-150.28899999999999</c:v>
                </c:pt>
                <c:pt idx="2">
                  <c:v>15.779</c:v>
                </c:pt>
                <c:pt idx="3">
                  <c:v>67.552999999999997</c:v>
                </c:pt>
                <c:pt idx="4">
                  <c:v>24.134</c:v>
                </c:pt>
                <c:pt idx="5">
                  <c:v>13.811999999999999</c:v>
                </c:pt>
                <c:pt idx="6">
                  <c:v>205.595</c:v>
                </c:pt>
                <c:pt idx="7">
                  <c:v>168.714</c:v>
                </c:pt>
                <c:pt idx="8">
                  <c:v>99.483000000000004</c:v>
                </c:pt>
                <c:pt idx="9">
                  <c:v>173.95099999999999</c:v>
                </c:pt>
                <c:pt idx="10">
                  <c:v>115.696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0EF-470F-97B9-8975C3F13E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2819872"/>
        <c:axId val="242820704"/>
      </c:lineChart>
      <c:catAx>
        <c:axId val="24281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42820704"/>
        <c:crosses val="autoZero"/>
        <c:auto val="1"/>
        <c:lblAlgn val="ctr"/>
        <c:lblOffset val="100"/>
        <c:noMultiLvlLbl val="0"/>
      </c:catAx>
      <c:valAx>
        <c:axId val="24282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4281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1423083417764272E-2"/>
          <c:y val="0.87045902285263987"/>
          <c:w val="0.95577486491050301"/>
          <c:h val="0.129188900146346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1C18-7F2C-4A15-9641-0B4203C5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Anaýza ekonomického vývoje v roce 2017.dotx</Template>
  <TotalTime>115</TotalTime>
  <Pages>2</Pages>
  <Words>838</Words>
  <Characters>4951</Characters>
  <Application>Microsoft Office Word</Application>
  <DocSecurity>0</DocSecurity>
  <Lines>41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5778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12</cp:revision>
  <cp:lastPrinted>2014-07-17T14:07:00Z</cp:lastPrinted>
  <dcterms:created xsi:type="dcterms:W3CDTF">2019-08-12T08:04:00Z</dcterms:created>
  <dcterms:modified xsi:type="dcterms:W3CDTF">2019-08-13T09:04:00Z</dcterms:modified>
</cp:coreProperties>
</file>