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98BB" w14:textId="368F7C71" w:rsidR="00F46502" w:rsidRPr="00360DE3" w:rsidRDefault="002F65C2" w:rsidP="00F46502">
      <w:pPr>
        <w:pStyle w:val="Nadpis1"/>
      </w:pPr>
      <w:bookmarkStart w:id="0" w:name="_Toc511215218"/>
      <w:bookmarkStart w:id="1" w:name="_Toc16089237"/>
      <w:r>
        <w:t>3</w:t>
      </w:r>
      <w:r w:rsidR="00F46502" w:rsidRPr="00360DE3">
        <w:t xml:space="preserve">. </w:t>
      </w:r>
      <w:bookmarkEnd w:id="0"/>
      <w:r w:rsidR="00B97434">
        <w:t>Vnější ekonomické vztahy</w:t>
      </w:r>
      <w:bookmarkEnd w:id="1"/>
    </w:p>
    <w:tbl>
      <w:tblPr>
        <w:tblW w:w="9597" w:type="dxa"/>
        <w:tblInd w:w="-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6"/>
        <w:gridCol w:w="276"/>
        <w:gridCol w:w="7355"/>
      </w:tblGrid>
      <w:tr w:rsidR="00B97434" w:rsidRPr="00360DE3" w14:paraId="589BE054" w14:textId="77777777" w:rsidTr="002F65C2">
        <w:trPr>
          <w:trHeight w:val="145"/>
        </w:trPr>
        <w:tc>
          <w:tcPr>
            <w:tcW w:w="1966" w:type="dxa"/>
          </w:tcPr>
          <w:p w14:paraId="7FA80543" w14:textId="77777777" w:rsidR="00B97434" w:rsidRPr="001502B1" w:rsidRDefault="00B97434" w:rsidP="00B97434">
            <w:pPr>
              <w:pStyle w:val="Marginlie"/>
            </w:pPr>
            <w:r>
              <w:t>Přebytek obchodu se zbožím a službami se loni snížil.</w:t>
            </w:r>
          </w:p>
        </w:tc>
        <w:tc>
          <w:tcPr>
            <w:tcW w:w="276" w:type="dxa"/>
          </w:tcPr>
          <w:p w14:paraId="6BDED88B" w14:textId="77777777" w:rsidR="00B97434" w:rsidRPr="005E4483" w:rsidRDefault="00B97434" w:rsidP="00B974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55" w:type="dxa"/>
          </w:tcPr>
          <w:p w14:paraId="5F263A6A" w14:textId="0A22A426" w:rsidR="00B97434" w:rsidRPr="001502B1" w:rsidRDefault="00B97434" w:rsidP="00A55593">
            <w:r>
              <w:t xml:space="preserve">Hodnota vývozu zboží </w:t>
            </w:r>
            <w:r w:rsidR="00A55593">
              <w:t>i</w:t>
            </w:r>
            <w:r>
              <w:t xml:space="preserve"> služeb v roce 2018 </w:t>
            </w:r>
            <w:r w:rsidR="00A55593">
              <w:t xml:space="preserve">rostla a </w:t>
            </w:r>
            <w:r>
              <w:t>zvýšila</w:t>
            </w:r>
            <w:r w:rsidR="00A55593">
              <w:t xml:space="preserve"> se celkem </w:t>
            </w:r>
            <w:r>
              <w:t>o 153,0</w:t>
            </w:r>
            <w:r w:rsidR="001F138C">
              <w:t> mld.</w:t>
            </w:r>
            <w:r>
              <w:t xml:space="preserve"> korun </w:t>
            </w:r>
            <w:r w:rsidR="00A55593">
              <w:t xml:space="preserve">na </w:t>
            </w:r>
            <w:r>
              <w:t>4 177,0</w:t>
            </w:r>
            <w:r w:rsidR="001F138C">
              <w:t> mld.</w:t>
            </w:r>
            <w:r>
              <w:rPr>
                <w:rStyle w:val="Znakapoznpodarou"/>
              </w:rPr>
              <w:footnoteReference w:id="1"/>
            </w:r>
            <w:r w:rsidR="00A55593">
              <w:t xml:space="preserve"> </w:t>
            </w:r>
            <w:r>
              <w:t>Na druhé straně rostoucí domácí poptávka zvýšila i</w:t>
            </w:r>
            <w:r w:rsidR="00A55593">
              <w:t> </w:t>
            </w:r>
            <w:r>
              <w:t>hodnotu importu o 192,6</w:t>
            </w:r>
            <w:r w:rsidR="001F138C">
              <w:t> mld.</w:t>
            </w:r>
            <w:r>
              <w:t xml:space="preserve"> korun na 3 836,9 mld. Bilance zahraničního obchodu se zbožím a službami tak dosáhla přebytku 340,1</w:t>
            </w:r>
            <w:r w:rsidR="001F138C">
              <w:t> mld.</w:t>
            </w:r>
            <w:r>
              <w:t xml:space="preserve"> korun. Přebytek se však meziročně snížil o 39,6</w:t>
            </w:r>
            <w:r w:rsidR="001F138C">
              <w:t> mld.</w:t>
            </w:r>
            <w:r>
              <w:t xml:space="preserve"> korun. Většinu kladného salda tvořil obchod se zbožím (223,6</w:t>
            </w:r>
            <w:r w:rsidR="001F138C">
              <w:t> mld.</w:t>
            </w:r>
            <w:r>
              <w:t>), i</w:t>
            </w:r>
            <w:r w:rsidR="00314A41">
              <w:t> </w:t>
            </w:r>
            <w:r>
              <w:t>v tomto případě ale došlo k poklesu o 29,6</w:t>
            </w:r>
            <w:r w:rsidR="001F138C">
              <w:t> mld.</w:t>
            </w:r>
            <w:r>
              <w:t xml:space="preserve"> Bilance obchodu se službami skončila v přebytku 116,6</w:t>
            </w:r>
            <w:r w:rsidR="001F138C">
              <w:t> mld.</w:t>
            </w:r>
            <w:r>
              <w:t xml:space="preserve"> korun a snížila se o</w:t>
            </w:r>
            <w:r w:rsidR="00314A41">
              <w:t> </w:t>
            </w:r>
            <w:r>
              <w:t>10,0</w:t>
            </w:r>
            <w:r w:rsidR="001F138C">
              <w:t> mld.</w:t>
            </w:r>
          </w:p>
        </w:tc>
      </w:tr>
      <w:tr w:rsidR="00B97434" w:rsidRPr="00360DE3" w14:paraId="2DFA5CCB" w14:textId="77777777" w:rsidTr="002F65C2">
        <w:trPr>
          <w:trHeight w:val="145"/>
        </w:trPr>
        <w:tc>
          <w:tcPr>
            <w:tcW w:w="1966" w:type="dxa"/>
            <w:shd w:val="clear" w:color="auto" w:fill="auto"/>
          </w:tcPr>
          <w:p w14:paraId="6EF9DEF7" w14:textId="11B47DB1" w:rsidR="00B97434" w:rsidRPr="004A24B0" w:rsidRDefault="00B97434" w:rsidP="00B97434">
            <w:pPr>
              <w:pStyle w:val="Marginlie"/>
            </w:pPr>
            <w:r>
              <w:t>Deficit prvotních důchodů</w:t>
            </w:r>
            <w:r w:rsidR="00314A41">
              <w:br/>
            </w:r>
            <w:r>
              <w:t>se loni zmírnil.</w:t>
            </w:r>
          </w:p>
        </w:tc>
        <w:tc>
          <w:tcPr>
            <w:tcW w:w="276" w:type="dxa"/>
          </w:tcPr>
          <w:p w14:paraId="02EB8B84" w14:textId="77777777" w:rsidR="00B97434" w:rsidRPr="005E4483" w:rsidRDefault="00B97434" w:rsidP="00B974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55" w:type="dxa"/>
          </w:tcPr>
          <w:p w14:paraId="2153FC14" w14:textId="661C0CDC" w:rsidR="00B97434" w:rsidRPr="001502B1" w:rsidRDefault="00B97434" w:rsidP="00012408">
            <w:r>
              <w:t>Hodnota náhrad zaměstnancům přijatých ze zahraničí loni dosáhla 66,8</w:t>
            </w:r>
            <w:r w:rsidR="001F138C">
              <w:t> mld.</w:t>
            </w:r>
            <w:r>
              <w:t xml:space="preserve"> korun a</w:t>
            </w:r>
            <w:r w:rsidR="00314A41">
              <w:t> </w:t>
            </w:r>
            <w:r>
              <w:t>meziročně se zvýšila o 2,4</w:t>
            </w:r>
            <w:r w:rsidR="001F138C">
              <w:t> mld.</w:t>
            </w:r>
            <w:r>
              <w:t xml:space="preserve"> (3,7</w:t>
            </w:r>
            <w:r w:rsidR="001D51EB">
              <w:t> %</w:t>
            </w:r>
            <w:r>
              <w:t>). Z toho mzdy a platy tvořily 55,7 mld. Na druhé straně bylo do zahraničí vyplaceno v podobě náhrad 36,1</w:t>
            </w:r>
            <w:r w:rsidR="001F138C">
              <w:t> mld.</w:t>
            </w:r>
            <w:r>
              <w:t xml:space="preserve"> korun, o</w:t>
            </w:r>
            <w:r w:rsidR="00012408">
              <w:t> </w:t>
            </w:r>
            <w:r>
              <w:t>9,4</w:t>
            </w:r>
            <w:r w:rsidR="00012408">
              <w:t> </w:t>
            </w:r>
            <w:r>
              <w:t>mld. (35,2</w:t>
            </w:r>
            <w:r w:rsidR="001D51EB">
              <w:t> %</w:t>
            </w:r>
            <w:r>
              <w:t>) více než v předchozím roce. Mnohem výraznějším příjmem nerezidentů</w:t>
            </w:r>
            <w:r>
              <w:rPr>
                <w:rStyle w:val="Znakapoznpodarou"/>
              </w:rPr>
              <w:footnoteReference w:id="2"/>
            </w:r>
            <w:r>
              <w:t xml:space="preserve"> ve vztahu k domácí ekonomice jsou dlouhodobě důchody z vlastnictví. Ty loni dosáhly 500,5</w:t>
            </w:r>
            <w:r w:rsidR="001F138C">
              <w:t> mld.</w:t>
            </w:r>
            <w:r>
              <w:t xml:space="preserve"> korun, z toho úroky</w:t>
            </w:r>
            <w:r w:rsidR="00B619A9">
              <w:rPr>
                <w:rStyle w:val="Znakapoznpodarou"/>
                <w:spacing w:val="-4"/>
              </w:rPr>
              <w:footnoteReference w:id="3"/>
            </w:r>
            <w:r>
              <w:t xml:space="preserve"> 55,0</w:t>
            </w:r>
            <w:r w:rsidR="001F138C">
              <w:t> mld.</w:t>
            </w:r>
            <w:r>
              <w:t xml:space="preserve"> a zisky z přímých investic zahraničních vlastníků 445,1</w:t>
            </w:r>
            <w:r w:rsidR="001F138C">
              <w:t> mld.</w:t>
            </w:r>
            <w:r>
              <w:t xml:space="preserve"> (8,4</w:t>
            </w:r>
            <w:r w:rsidR="001D51EB">
              <w:t> %</w:t>
            </w:r>
            <w:r w:rsidR="00314A41">
              <w:t> </w:t>
            </w:r>
            <w:r>
              <w:t>HDP). Rozdělované důchody společností se loni zvýšily o 29,6</w:t>
            </w:r>
            <w:r w:rsidR="001F138C">
              <w:t> mld.</w:t>
            </w:r>
            <w:r>
              <w:t xml:space="preserve"> korun na 305,5</w:t>
            </w:r>
            <w:r w:rsidR="001F138C">
              <w:t> mld.</w:t>
            </w:r>
            <w:r>
              <w:t xml:space="preserve"> Růst probíhal na úkor reinvestovaných zisků. Ty se snížily o 36,5</w:t>
            </w:r>
            <w:r w:rsidR="001F138C">
              <w:t> mld.</w:t>
            </w:r>
            <w:r>
              <w:t xml:space="preserve"> na 139,6</w:t>
            </w:r>
            <w:r w:rsidR="001F138C">
              <w:t> mld.</w:t>
            </w:r>
            <w:r>
              <w:t xml:space="preserve"> korun a</w:t>
            </w:r>
            <w:r w:rsidR="00314A41">
              <w:t> </w:t>
            </w:r>
            <w:r>
              <w:t>podíl reinvestic na celkových ziscích klesl na 31,4</w:t>
            </w:r>
            <w:r w:rsidR="001D51EB">
              <w:t> %</w:t>
            </w:r>
            <w:r>
              <w:t>. Důchody z vlastnictví v</w:t>
            </w:r>
            <w:r w:rsidR="00314A41">
              <w:t> </w:t>
            </w:r>
            <w:r>
              <w:t>zahraničí, které si připsali domácí vlastníci, se loni zvýšily o 21,4</w:t>
            </w:r>
            <w:r w:rsidR="001F138C">
              <w:t> mld.</w:t>
            </w:r>
            <w:r>
              <w:t xml:space="preserve"> korun na</w:t>
            </w:r>
            <w:r w:rsidR="00314A41">
              <w:t> </w:t>
            </w:r>
            <w:r>
              <w:t>149,1</w:t>
            </w:r>
            <w:r w:rsidR="001F138C">
              <w:t> mld.</w:t>
            </w:r>
            <w:r>
              <w:t xml:space="preserve"> Výsledný čistý odliv důchodů z vlastnictví klesl o 19,8</w:t>
            </w:r>
            <w:r w:rsidR="001F138C">
              <w:t> mld.</w:t>
            </w:r>
            <w:r>
              <w:t xml:space="preserve"> korun na 351,4</w:t>
            </w:r>
            <w:r w:rsidR="001F138C">
              <w:t> mld.</w:t>
            </w:r>
            <w:r>
              <w:t xml:space="preserve"> a představoval 6,6</w:t>
            </w:r>
            <w:r w:rsidR="001D51EB">
              <w:t> %</w:t>
            </w:r>
            <w:r>
              <w:t xml:space="preserve"> HDP. Deficit prvotních důchodů mírnily dotace ve výši 32,5 mld. korun, které obdržela domácí ekonomika ze zahraničí. Saldo prvotních důchodů dosáhlo </w:t>
            </w:r>
            <w:r w:rsidR="001F138C">
              <w:t>–</w:t>
            </w:r>
            <w:r>
              <w:t>296,8</w:t>
            </w:r>
            <w:r w:rsidR="001F138C">
              <w:t> mld.</w:t>
            </w:r>
            <w:r>
              <w:t xml:space="preserve"> korun a meziročně se zmírnilo o</w:t>
            </w:r>
            <w:r w:rsidR="00314A41">
              <w:t> </w:t>
            </w:r>
            <w:r>
              <w:t>13,4 mld.</w:t>
            </w:r>
          </w:p>
        </w:tc>
      </w:tr>
      <w:tr w:rsidR="00B97434" w:rsidRPr="00360DE3" w14:paraId="361862FA" w14:textId="77777777" w:rsidTr="002F65C2">
        <w:trPr>
          <w:trHeight w:val="90"/>
        </w:trPr>
        <w:tc>
          <w:tcPr>
            <w:tcW w:w="1966" w:type="dxa"/>
            <w:shd w:val="clear" w:color="auto" w:fill="auto"/>
          </w:tcPr>
          <w:p w14:paraId="78C693D6" w14:textId="77777777" w:rsidR="00B97434" w:rsidRDefault="00B97434" w:rsidP="00B97434">
            <w:pPr>
              <w:pStyle w:val="Marginlie"/>
            </w:pPr>
            <w:r>
              <w:t>Saldo běžných transakcí rezidentů s nerezidenty loni skončilo v deficitu.</w:t>
            </w:r>
          </w:p>
        </w:tc>
        <w:tc>
          <w:tcPr>
            <w:tcW w:w="276" w:type="dxa"/>
          </w:tcPr>
          <w:p w14:paraId="75226C81" w14:textId="77777777" w:rsidR="00B97434" w:rsidRPr="005E4483" w:rsidRDefault="00B97434" w:rsidP="00B974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55" w:type="dxa"/>
          </w:tcPr>
          <w:p w14:paraId="44A98321" w14:textId="220DBBF5" w:rsidR="00B97434" w:rsidRPr="00A1151F" w:rsidRDefault="00B97434" w:rsidP="00B97434">
            <w:r>
              <w:t>Do zahraničí loni odešlo prostřednictvím dalších transferů (běžné daně z důchodů, sociální příspěvky a dávky a ostatní běžné transfery) 132,3</w:t>
            </w:r>
            <w:r w:rsidR="001F138C">
              <w:t> mld.</w:t>
            </w:r>
            <w:r>
              <w:t xml:space="preserve"> korun, což je o</w:t>
            </w:r>
            <w:r w:rsidR="001F52D6">
              <w:t> </w:t>
            </w:r>
            <w:r>
              <w:t>12,8</w:t>
            </w:r>
            <w:r w:rsidR="001F138C">
              <w:t> mld.</w:t>
            </w:r>
            <w:r>
              <w:t xml:space="preserve"> více než v předchozím roce. Růst má původ v ostatních běžných transferech –</w:t>
            </w:r>
            <w:r w:rsidR="00805381">
              <w:t xml:space="preserve"> </w:t>
            </w:r>
            <w:r>
              <w:t>o</w:t>
            </w:r>
            <w:r w:rsidR="001F52D6">
              <w:t> </w:t>
            </w:r>
            <w:r>
              <w:t>7</w:t>
            </w:r>
            <w:bookmarkStart w:id="2" w:name="_GoBack"/>
            <w:bookmarkEnd w:id="2"/>
            <w:r>
              <w:t>,4</w:t>
            </w:r>
            <w:r w:rsidR="001F138C">
              <w:t> mld.</w:t>
            </w:r>
            <w:r>
              <w:t xml:space="preserve"> na 42,7</w:t>
            </w:r>
            <w:r w:rsidR="001F138C">
              <w:t> mld.</w:t>
            </w:r>
            <w:r>
              <w:t xml:space="preserve"> se navýšily vlastní zdroje EU odvozené z DPH a HND a</w:t>
            </w:r>
            <w:r w:rsidR="001F52D6">
              <w:t> </w:t>
            </w:r>
            <w:r>
              <w:t>o</w:t>
            </w:r>
            <w:r w:rsidR="001F52D6">
              <w:t> </w:t>
            </w:r>
            <w:r>
              <w:t>3,7</w:t>
            </w:r>
            <w:r w:rsidR="001F138C">
              <w:t> mld.</w:t>
            </w:r>
            <w:r>
              <w:t xml:space="preserve"> na 27,5</w:t>
            </w:r>
            <w:r w:rsidR="001F138C">
              <w:t> mld.</w:t>
            </w:r>
            <w:r>
              <w:t xml:space="preserve"> se navýšily jiné běžné transfery. Naopak domácí ekonomika od nerezidentů obdržela prostřednictvím uvedených toků 76,3 mld. korun. Výsledné saldo tedy bylo záporné a čistý odliv druhotných důchodů z domácí ekonomiky činil 56,0</w:t>
            </w:r>
            <w:r w:rsidR="001F138C">
              <w:t> mld.</w:t>
            </w:r>
            <w:r>
              <w:t xml:space="preserve"> Čistý odliv prvotních a druhotných důchodů do zahraničí převýšil přebytek zahraničního obchodu o 12,8</w:t>
            </w:r>
            <w:r w:rsidR="001F138C">
              <w:t> mld.</w:t>
            </w:r>
            <w:r>
              <w:t xml:space="preserve"> korun a</w:t>
            </w:r>
            <w:r w:rsidR="001F52D6">
              <w:t> </w:t>
            </w:r>
            <w:r>
              <w:t xml:space="preserve">po krátkém přebytkovém období let 2016 a 2017 spadlo saldo běžných transakcí rezidentů s nerezidenty opět do deficitu. </w:t>
            </w:r>
          </w:p>
        </w:tc>
      </w:tr>
      <w:tr w:rsidR="00B97434" w:rsidRPr="00360DE3" w14:paraId="4BC1F883" w14:textId="77777777" w:rsidTr="002F65C2">
        <w:trPr>
          <w:trHeight w:val="90"/>
        </w:trPr>
        <w:tc>
          <w:tcPr>
            <w:tcW w:w="1966" w:type="dxa"/>
            <w:shd w:val="clear" w:color="auto" w:fill="auto"/>
          </w:tcPr>
          <w:p w14:paraId="73E4C6AC" w14:textId="77777777" w:rsidR="002F65C2" w:rsidRDefault="00B97434" w:rsidP="00A55593">
            <w:pPr>
              <w:pStyle w:val="Marginlie"/>
            </w:pPr>
            <w:r>
              <w:t xml:space="preserve">Domácí ekonomika přijala výrazný </w:t>
            </w:r>
            <w:r w:rsidR="00A55593">
              <w:t>objem</w:t>
            </w:r>
            <w:r>
              <w:t xml:space="preserve"> kapitálových </w:t>
            </w:r>
          </w:p>
          <w:p w14:paraId="6099F06D" w14:textId="3320297F" w:rsidR="00B97434" w:rsidRDefault="00B97434" w:rsidP="00A55593">
            <w:pPr>
              <w:pStyle w:val="Marginlie"/>
            </w:pPr>
            <w:r>
              <w:t>transferů.</w:t>
            </w:r>
          </w:p>
        </w:tc>
        <w:tc>
          <w:tcPr>
            <w:tcW w:w="276" w:type="dxa"/>
          </w:tcPr>
          <w:p w14:paraId="0CA97D1D" w14:textId="77777777" w:rsidR="00B97434" w:rsidRPr="005E4483" w:rsidRDefault="00B97434" w:rsidP="00B974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55" w:type="dxa"/>
          </w:tcPr>
          <w:p w14:paraId="5D316A25" w14:textId="3DCE4C86" w:rsidR="00B97434" w:rsidRDefault="00B97434" w:rsidP="002F65C2">
            <w:pPr>
              <w:spacing w:after="0"/>
            </w:pPr>
            <w:r>
              <w:t>Saldo kapitálových transferů ukázalo na čistý příliv ve výši 58,8</w:t>
            </w:r>
            <w:r w:rsidR="001F138C">
              <w:t> mld.</w:t>
            </w:r>
            <w:r>
              <w:t xml:space="preserve"> korun. Zatímco hodnota odchozích transferů meziročně klesla o 3,1</w:t>
            </w:r>
            <w:r w:rsidR="001F138C">
              <w:t> mld.</w:t>
            </w:r>
            <w:r>
              <w:t xml:space="preserve"> korun na 4,9 mld., ze zahraničí domácí ekonomika přijala meziročně o 24,1</w:t>
            </w:r>
            <w:r w:rsidR="001F138C">
              <w:t> mld.</w:t>
            </w:r>
            <w:r>
              <w:t xml:space="preserve"> více, a to 63,7 mld. Z toho 61,4</w:t>
            </w:r>
            <w:r w:rsidR="001F138C">
              <w:t> mld.</w:t>
            </w:r>
            <w:r>
              <w:t xml:space="preserve"> korun tvořily investiční dotace. Nárůst přijatých kapitálových toků koresponduje i</w:t>
            </w:r>
            <w:r w:rsidR="001F52D6">
              <w:t> s </w:t>
            </w:r>
            <w:r>
              <w:t>výrazným posílením investiční aktivity v domácí ekonomice. Výsledné změny čistého jmění vlivem úspor a kapitálových transferů tak byly pro domácí ekonomiku pozitivní (46,0</w:t>
            </w:r>
            <w:r w:rsidR="001F138C">
              <w:t> mld.</w:t>
            </w:r>
            <w:r>
              <w:t>). Čisté půjčky dosáhly 36,3</w:t>
            </w:r>
            <w:r w:rsidR="00012408">
              <w:t> </w:t>
            </w:r>
            <w:r>
              <w:t>mld. korun a byly kladné šestým rokem v řadě. I tak zůstává národní ekonomika vůči zahraničí v dlužnické pozici. Závazky vůči nerezidentům loni překonaly aktiva o 914,4</w:t>
            </w:r>
            <w:r w:rsidR="001F138C">
              <w:t> mld.</w:t>
            </w:r>
            <w:r>
              <w:t xml:space="preserve"> korun.</w:t>
            </w:r>
          </w:p>
        </w:tc>
      </w:tr>
    </w:tbl>
    <w:p w14:paraId="7E107215" w14:textId="724B189B" w:rsidR="002F65C2" w:rsidRPr="002F65C2" w:rsidRDefault="002F65C2" w:rsidP="002F65C2">
      <w:pPr>
        <w:spacing w:after="0"/>
        <w:rPr>
          <w:rFonts w:eastAsia="MS Gothic"/>
          <w:lang w:eastAsia="en-US"/>
        </w:rPr>
      </w:pPr>
    </w:p>
    <w:sectPr w:rsidR="002F65C2" w:rsidRPr="002F65C2" w:rsidSect="002F65C2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619E2" w16cid:durableId="20F6CE05"/>
  <w16cid:commentId w16cid:paraId="734AC7CE" w16cid:durableId="20F6DCBD"/>
  <w16cid:commentId w16cid:paraId="6AF8D911" w16cid:durableId="20F7078E"/>
  <w16cid:commentId w16cid:paraId="50768BEC" w16cid:durableId="20F70A8B"/>
  <w16cid:commentId w16cid:paraId="15B0C836" w16cid:durableId="20F70CE2"/>
  <w16cid:commentId w16cid:paraId="413DE529" w16cid:durableId="20F82616"/>
  <w16cid:commentId w16cid:paraId="141B886B" w16cid:durableId="20F82A5A"/>
  <w16cid:commentId w16cid:paraId="29661C99" w16cid:durableId="20F92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E2C54" w14:textId="77777777" w:rsidR="005D3C99" w:rsidRDefault="005D3C99" w:rsidP="00E71A58">
      <w:r>
        <w:separator/>
      </w:r>
    </w:p>
  </w:endnote>
  <w:endnote w:type="continuationSeparator" w:id="0">
    <w:p w14:paraId="1989A33A" w14:textId="77777777" w:rsidR="005D3C99" w:rsidRDefault="005D3C9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84EB" w14:textId="2ED46CFF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BA63FD4" wp14:editId="33EBA59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F65C2">
      <w:rPr>
        <w:szCs w:val="16"/>
      </w:rPr>
      <w:t>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368E" w14:textId="088866A8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23CA28A" wp14:editId="1B347EA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F65C2">
      <w:rPr>
        <w:rStyle w:val="ZpatChar"/>
        <w:szCs w:val="16"/>
      </w:rPr>
      <w:t>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7C09B" w14:textId="77777777" w:rsidR="005D3C99" w:rsidRDefault="005D3C99" w:rsidP="0084727E">
      <w:pPr>
        <w:spacing w:after="0"/>
      </w:pPr>
      <w:r>
        <w:separator/>
      </w:r>
    </w:p>
  </w:footnote>
  <w:footnote w:type="continuationSeparator" w:id="0">
    <w:p w14:paraId="5D3DEF5E" w14:textId="77777777" w:rsidR="005D3C99" w:rsidRDefault="005D3C99" w:rsidP="00E71A58">
      <w:r>
        <w:continuationSeparator/>
      </w:r>
    </w:p>
  </w:footnote>
  <w:footnote w:id="1">
    <w:p w14:paraId="4F6F7A3E" w14:textId="6B7FC06D" w:rsidR="00AD7D0B" w:rsidRPr="001802AA" w:rsidRDefault="00AD7D0B" w:rsidP="00B97434">
      <w:pPr>
        <w:pStyle w:val="Textpoznpodarou"/>
        <w:rPr>
          <w:rFonts w:cs="Arial"/>
          <w:sz w:val="16"/>
          <w:szCs w:val="16"/>
        </w:rPr>
      </w:pPr>
      <w:r w:rsidRPr="001802AA">
        <w:rPr>
          <w:rStyle w:val="Znakapoznpodarou"/>
          <w:rFonts w:cs="Arial"/>
          <w:sz w:val="16"/>
          <w:szCs w:val="16"/>
        </w:rPr>
        <w:footnoteRef/>
      </w:r>
      <w:r w:rsidRPr="001802AA">
        <w:rPr>
          <w:rFonts w:cs="Arial"/>
          <w:sz w:val="16"/>
          <w:szCs w:val="16"/>
        </w:rPr>
        <w:t xml:space="preserve"> Časové řady čtvrtletních </w:t>
      </w:r>
      <w:r>
        <w:rPr>
          <w:rFonts w:cs="Arial"/>
          <w:sz w:val="16"/>
          <w:szCs w:val="16"/>
        </w:rPr>
        <w:t>národních</w:t>
      </w:r>
      <w:r w:rsidRPr="001802AA">
        <w:rPr>
          <w:rFonts w:cs="Arial"/>
          <w:sz w:val="16"/>
          <w:szCs w:val="16"/>
        </w:rPr>
        <w:t xml:space="preserve"> účtů</w:t>
      </w:r>
      <w:r>
        <w:rPr>
          <w:rFonts w:cs="Arial"/>
          <w:sz w:val="16"/>
          <w:szCs w:val="16"/>
        </w:rPr>
        <w:t>.</w:t>
      </w:r>
    </w:p>
  </w:footnote>
  <w:footnote w:id="2">
    <w:p w14:paraId="02B17EE9" w14:textId="1F061521" w:rsidR="00AD7D0B" w:rsidRPr="001802AA" w:rsidRDefault="00AD7D0B" w:rsidP="00B97434">
      <w:pPr>
        <w:pStyle w:val="Textpoznpodarou"/>
        <w:rPr>
          <w:rFonts w:cs="Arial"/>
          <w:sz w:val="16"/>
          <w:szCs w:val="16"/>
        </w:rPr>
      </w:pPr>
      <w:r w:rsidRPr="001802AA">
        <w:rPr>
          <w:rStyle w:val="Znakapoznpodarou"/>
          <w:rFonts w:cs="Arial"/>
          <w:sz w:val="16"/>
          <w:szCs w:val="16"/>
        </w:rPr>
        <w:footnoteRef/>
      </w:r>
      <w:r w:rsidRPr="001802AA">
        <w:rPr>
          <w:rFonts w:cs="Arial"/>
          <w:sz w:val="16"/>
          <w:szCs w:val="16"/>
        </w:rPr>
        <w:t xml:space="preserve"> </w:t>
      </w:r>
      <w:r w:rsidRPr="001802AA">
        <w:rPr>
          <w:rStyle w:val="odkaz-style-wrapper"/>
          <w:bCs/>
          <w:sz w:val="16"/>
          <w:szCs w:val="16"/>
        </w:rPr>
        <w:t xml:space="preserve">Nerezidenti </w:t>
      </w:r>
      <w:r w:rsidRPr="001802AA">
        <w:rPr>
          <w:rStyle w:val="odkaz-style-wrapper"/>
          <w:sz w:val="16"/>
          <w:szCs w:val="16"/>
        </w:rPr>
        <w:t>představují seskupení jednotek bez ohledu na charakteristiku jejich funkcí a zdrojů. Jsou to např. oddělené části mateřských společností (např. pobočky výrobních podniků, bank a pojišťovacích společností)</w:t>
      </w:r>
      <w:r>
        <w:rPr>
          <w:rStyle w:val="odkaz-style-wrapper"/>
          <w:sz w:val="16"/>
          <w:szCs w:val="16"/>
        </w:rPr>
        <w:t xml:space="preserve">, </w:t>
      </w:r>
      <w:r w:rsidRPr="001802AA">
        <w:rPr>
          <w:rStyle w:val="odkaz-style-wrapper"/>
          <w:sz w:val="16"/>
          <w:szCs w:val="16"/>
        </w:rPr>
        <w:t>zastupitelské úřady cizích států nebo mezinárodní organizace, které byly založeny a fungují na základě mezinárodních dohod</w:t>
      </w:r>
      <w:r>
        <w:rPr>
          <w:rStyle w:val="odkaz-style-wrapper"/>
          <w:sz w:val="16"/>
          <w:szCs w:val="16"/>
        </w:rPr>
        <w:t>.</w:t>
      </w:r>
    </w:p>
  </w:footnote>
  <w:footnote w:id="3">
    <w:p w14:paraId="5D2653D3" w14:textId="77777777" w:rsidR="00B619A9" w:rsidRPr="00D22038" w:rsidRDefault="00B619A9" w:rsidP="00B619A9">
      <w:pPr>
        <w:pStyle w:val="Textpoznpodarou"/>
        <w:rPr>
          <w:sz w:val="16"/>
          <w:szCs w:val="16"/>
        </w:rPr>
      </w:pPr>
      <w:r w:rsidRPr="00D22038">
        <w:rPr>
          <w:rStyle w:val="Znakapoznpodarou"/>
          <w:sz w:val="16"/>
          <w:szCs w:val="16"/>
        </w:rPr>
        <w:footnoteRef/>
      </w:r>
      <w:r w:rsidRPr="00D22038">
        <w:rPr>
          <w:sz w:val="16"/>
          <w:szCs w:val="16"/>
        </w:rPr>
        <w:t xml:space="preserve"> Úroky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B81D" w14:textId="77777777" w:rsidR="00AD7D0B" w:rsidRPr="00601A2E" w:rsidRDefault="00AD7D0B" w:rsidP="00601A2E">
    <w:pPr>
      <w:pStyle w:val="Zhlav"/>
    </w:pPr>
    <w:r>
      <w:t>Analýza ekonomického vývoje v roce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7858" w14:textId="77777777" w:rsidR="00AD7D0B" w:rsidRDefault="00AD7D0B" w:rsidP="00937AE2">
    <w:pPr>
      <w:pStyle w:val="Zhlav"/>
    </w:pPr>
    <w:r>
      <w:t>Analýza ekonomického vývoje v roce 2018</w:t>
    </w:r>
  </w:p>
  <w:p w14:paraId="427F87BC" w14:textId="77777777" w:rsidR="00AD7D0B" w:rsidRPr="006F5416" w:rsidRDefault="00AD7D0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02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41CEC"/>
    <w:rsid w:val="0004694F"/>
    <w:rsid w:val="000500AB"/>
    <w:rsid w:val="000522E4"/>
    <w:rsid w:val="000610E1"/>
    <w:rsid w:val="00062EC5"/>
    <w:rsid w:val="00062F22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637"/>
    <w:rsid w:val="000E3D0E"/>
    <w:rsid w:val="000E6C04"/>
    <w:rsid w:val="000E6FBD"/>
    <w:rsid w:val="000F7084"/>
    <w:rsid w:val="00100F5C"/>
    <w:rsid w:val="0010106F"/>
    <w:rsid w:val="00101CDA"/>
    <w:rsid w:val="00104C4C"/>
    <w:rsid w:val="00117623"/>
    <w:rsid w:val="0012192F"/>
    <w:rsid w:val="00122BB3"/>
    <w:rsid w:val="00125A9C"/>
    <w:rsid w:val="00125D69"/>
    <w:rsid w:val="001405FA"/>
    <w:rsid w:val="00141782"/>
    <w:rsid w:val="001425C3"/>
    <w:rsid w:val="0014794C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387"/>
    <w:rsid w:val="001A552F"/>
    <w:rsid w:val="001B28D3"/>
    <w:rsid w:val="001B2CA9"/>
    <w:rsid w:val="001B3110"/>
    <w:rsid w:val="001B4729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035"/>
    <w:rsid w:val="00241B06"/>
    <w:rsid w:val="002436BA"/>
    <w:rsid w:val="00244A15"/>
    <w:rsid w:val="00247319"/>
    <w:rsid w:val="0024799E"/>
    <w:rsid w:val="00253C0F"/>
    <w:rsid w:val="002558C1"/>
    <w:rsid w:val="00260FC5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E02A1"/>
    <w:rsid w:val="002E1A9C"/>
    <w:rsid w:val="002E4E4C"/>
    <w:rsid w:val="002F65C2"/>
    <w:rsid w:val="00303533"/>
    <w:rsid w:val="00304771"/>
    <w:rsid w:val="003052D4"/>
    <w:rsid w:val="00306C5B"/>
    <w:rsid w:val="00314A41"/>
    <w:rsid w:val="003209D6"/>
    <w:rsid w:val="00321924"/>
    <w:rsid w:val="0032656E"/>
    <w:rsid w:val="003268DD"/>
    <w:rsid w:val="00330060"/>
    <w:rsid w:val="00332190"/>
    <w:rsid w:val="0033250B"/>
    <w:rsid w:val="0034335E"/>
    <w:rsid w:val="00344668"/>
    <w:rsid w:val="003462D9"/>
    <w:rsid w:val="00347378"/>
    <w:rsid w:val="00347604"/>
    <w:rsid w:val="00357908"/>
    <w:rsid w:val="00360C86"/>
    <w:rsid w:val="00360DE3"/>
    <w:rsid w:val="00360FBC"/>
    <w:rsid w:val="00362E90"/>
    <w:rsid w:val="00364C32"/>
    <w:rsid w:val="00364FA0"/>
    <w:rsid w:val="003657F3"/>
    <w:rsid w:val="00376C3B"/>
    <w:rsid w:val="003818DC"/>
    <w:rsid w:val="00384327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5F45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33A0"/>
    <w:rsid w:val="004F6EDC"/>
    <w:rsid w:val="0050689D"/>
    <w:rsid w:val="005108C0"/>
    <w:rsid w:val="00511873"/>
    <w:rsid w:val="00512A2F"/>
    <w:rsid w:val="00513B7E"/>
    <w:rsid w:val="005152D9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364B"/>
    <w:rsid w:val="00574773"/>
    <w:rsid w:val="00581AC8"/>
    <w:rsid w:val="00583FFD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3C99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5232"/>
    <w:rsid w:val="00790764"/>
    <w:rsid w:val="0079453C"/>
    <w:rsid w:val="00794677"/>
    <w:rsid w:val="007A38F2"/>
    <w:rsid w:val="007A516D"/>
    <w:rsid w:val="007B0750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37A2"/>
    <w:rsid w:val="00865E4C"/>
    <w:rsid w:val="008701E4"/>
    <w:rsid w:val="00875A32"/>
    <w:rsid w:val="00876086"/>
    <w:rsid w:val="00884A6F"/>
    <w:rsid w:val="008856A3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4923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3C8"/>
    <w:rsid w:val="009C1750"/>
    <w:rsid w:val="009C1EEA"/>
    <w:rsid w:val="009C2E29"/>
    <w:rsid w:val="009C554B"/>
    <w:rsid w:val="009C719E"/>
    <w:rsid w:val="009D3ACD"/>
    <w:rsid w:val="009E5273"/>
    <w:rsid w:val="009E5DDB"/>
    <w:rsid w:val="009F46EA"/>
    <w:rsid w:val="009F4CA7"/>
    <w:rsid w:val="00A10D66"/>
    <w:rsid w:val="00A1260E"/>
    <w:rsid w:val="00A14114"/>
    <w:rsid w:val="00A16413"/>
    <w:rsid w:val="00A16E1D"/>
    <w:rsid w:val="00A17D5B"/>
    <w:rsid w:val="00A20028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D7D0B"/>
    <w:rsid w:val="00AE09B3"/>
    <w:rsid w:val="00AE1A83"/>
    <w:rsid w:val="00AE7FB2"/>
    <w:rsid w:val="00B00913"/>
    <w:rsid w:val="00B01593"/>
    <w:rsid w:val="00B023F2"/>
    <w:rsid w:val="00B10A4D"/>
    <w:rsid w:val="00B120A1"/>
    <w:rsid w:val="00B12AA6"/>
    <w:rsid w:val="00B14BC1"/>
    <w:rsid w:val="00B17E71"/>
    <w:rsid w:val="00B17FDE"/>
    <w:rsid w:val="00B20632"/>
    <w:rsid w:val="00B23055"/>
    <w:rsid w:val="00B2379C"/>
    <w:rsid w:val="00B2687D"/>
    <w:rsid w:val="00B32DDB"/>
    <w:rsid w:val="00B34528"/>
    <w:rsid w:val="00B34CC9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200E"/>
    <w:rsid w:val="00B92D1D"/>
    <w:rsid w:val="00B938C5"/>
    <w:rsid w:val="00B95940"/>
    <w:rsid w:val="00B97434"/>
    <w:rsid w:val="00BA0DD3"/>
    <w:rsid w:val="00BA6C2B"/>
    <w:rsid w:val="00BA76E6"/>
    <w:rsid w:val="00BB2F03"/>
    <w:rsid w:val="00BB46F3"/>
    <w:rsid w:val="00BB4CB1"/>
    <w:rsid w:val="00BB4F98"/>
    <w:rsid w:val="00BC0E31"/>
    <w:rsid w:val="00BC5C12"/>
    <w:rsid w:val="00BC7075"/>
    <w:rsid w:val="00BC7154"/>
    <w:rsid w:val="00BC731E"/>
    <w:rsid w:val="00BD163C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C024B1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390B"/>
    <w:rsid w:val="00C54697"/>
    <w:rsid w:val="00C60191"/>
    <w:rsid w:val="00C6152B"/>
    <w:rsid w:val="00C73885"/>
    <w:rsid w:val="00C747B1"/>
    <w:rsid w:val="00C82191"/>
    <w:rsid w:val="00C83134"/>
    <w:rsid w:val="00C8418E"/>
    <w:rsid w:val="00C85545"/>
    <w:rsid w:val="00C86B84"/>
    <w:rsid w:val="00C90CF4"/>
    <w:rsid w:val="00C92EB6"/>
    <w:rsid w:val="00C93389"/>
    <w:rsid w:val="00C936C3"/>
    <w:rsid w:val="00C96D08"/>
    <w:rsid w:val="00CA28BC"/>
    <w:rsid w:val="00CA666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4227"/>
    <w:rsid w:val="00D66223"/>
    <w:rsid w:val="00D67375"/>
    <w:rsid w:val="00D73384"/>
    <w:rsid w:val="00D8084C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D129F"/>
    <w:rsid w:val="00DD6B52"/>
    <w:rsid w:val="00DE0F63"/>
    <w:rsid w:val="00DE4C19"/>
    <w:rsid w:val="00DF317B"/>
    <w:rsid w:val="00DF42FF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53A2"/>
    <w:rsid w:val="00E3309D"/>
    <w:rsid w:val="00E333BA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3446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3819"/>
    <w:rsid w:val="00F13C9C"/>
    <w:rsid w:val="00F15AAA"/>
    <w:rsid w:val="00F15BEF"/>
    <w:rsid w:val="00F160CE"/>
    <w:rsid w:val="00F162B3"/>
    <w:rsid w:val="00F231AE"/>
    <w:rsid w:val="00F24407"/>
    <w:rsid w:val="00F24FAA"/>
    <w:rsid w:val="00F3364D"/>
    <w:rsid w:val="00F33E56"/>
    <w:rsid w:val="00F433FE"/>
    <w:rsid w:val="00F437CC"/>
    <w:rsid w:val="00F44537"/>
    <w:rsid w:val="00F4530D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3D08"/>
    <w:rsid w:val="00F756DB"/>
    <w:rsid w:val="00F84E7D"/>
    <w:rsid w:val="00F85066"/>
    <w:rsid w:val="00F853A9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359FC93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F8BC-CA62-46CB-996A-0DD64836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117</TotalTime>
  <Pages>1</Pages>
  <Words>513</Words>
  <Characters>3033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3539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12</cp:revision>
  <cp:lastPrinted>2014-07-17T14:07:00Z</cp:lastPrinted>
  <dcterms:created xsi:type="dcterms:W3CDTF">2019-08-12T08:04:00Z</dcterms:created>
  <dcterms:modified xsi:type="dcterms:W3CDTF">2019-08-13T09:00:00Z</dcterms:modified>
</cp:coreProperties>
</file>