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653E" w14:textId="6D6FE17C" w:rsidR="00F46502" w:rsidRPr="00360DE3" w:rsidRDefault="001F7EA1" w:rsidP="00F46502">
      <w:pPr>
        <w:pStyle w:val="Nadpis11"/>
      </w:pPr>
      <w:bookmarkStart w:id="0" w:name="_Toc16089236"/>
      <w:r>
        <w:t>2</w:t>
      </w:r>
      <w:r w:rsidR="00F46502" w:rsidRPr="00360DE3">
        <w:t>. Hrubý domácí produkt</w:t>
      </w:r>
      <w:bookmarkEnd w:id="0"/>
    </w:p>
    <w:tbl>
      <w:tblPr>
        <w:tblW w:w="9644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7"/>
        <w:gridCol w:w="232"/>
        <w:gridCol w:w="7595"/>
      </w:tblGrid>
      <w:tr w:rsidR="00B97434" w:rsidRPr="00360DE3" w14:paraId="2A6DF073" w14:textId="77777777" w:rsidTr="00744EE6">
        <w:trPr>
          <w:trHeight w:val="145"/>
        </w:trPr>
        <w:tc>
          <w:tcPr>
            <w:tcW w:w="1909" w:type="dxa"/>
            <w:shd w:val="clear" w:color="auto" w:fill="auto"/>
          </w:tcPr>
          <w:p w14:paraId="01E80758" w14:textId="77777777" w:rsidR="00B97434" w:rsidRDefault="00B97434" w:rsidP="00B97434">
            <w:pPr>
              <w:pStyle w:val="Marginlie"/>
            </w:pPr>
            <w:r>
              <w:t>Růst hrubého domácího produktu loni zpomalil.</w:t>
            </w:r>
          </w:p>
        </w:tc>
        <w:tc>
          <w:tcPr>
            <w:tcW w:w="264" w:type="dxa"/>
            <w:shd w:val="clear" w:color="auto" w:fill="auto"/>
          </w:tcPr>
          <w:p w14:paraId="3D6E6C59" w14:textId="77777777" w:rsidR="00B97434" w:rsidRDefault="00B97434" w:rsidP="00B97434">
            <w:pPr>
              <w:pStyle w:val="Textpoznpodarou1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503F60B5" w14:textId="77777777" w:rsidR="00B97434" w:rsidRDefault="00B97434" w:rsidP="00B97434">
            <w:r>
              <w:t>Hrubý domácí produkt (HDP) v roce 2018 dosáhl výše 5 328,7</w:t>
            </w:r>
            <w:r w:rsidR="001F138C">
              <w:t> mld.</w:t>
            </w:r>
            <w:r>
              <w:t xml:space="preserve"> korun (v běžných cenách). Meziročně se reálně zvýšil o 3,0</w:t>
            </w:r>
            <w:r w:rsidR="001D51EB">
              <w:t> %</w:t>
            </w:r>
            <w:r>
              <w:rPr>
                <w:rStyle w:val="Znakapoznpodarou"/>
              </w:rPr>
              <w:footnoteReference w:id="1"/>
            </w:r>
            <w:r>
              <w:t>. Růst HDP tak v porovnání s rokem 2017 zpomalil. Na situaci v české ekonomice pozitivně působil pokračující růst domácí poptávky. Tu stimuloval velmi silný růst příjmů domácností i výrazná investiční aktivita spojená s cyklem evropských dotací. Na druhé straně část výrobců pocítila útlum zahraniční poptávky. Hospodářský růst totiž zpomalil napříč Evropskou unií a zvlášť citelně oslabil výkon německé ekonomiky, která je pro Česko i další evropské exportéry důležitá. Zejména růst průmyslu, který je propojen s vývozem, oslabil výrazněji ve srovnání s odvětvími služeb.</w:t>
            </w:r>
          </w:p>
        </w:tc>
      </w:tr>
      <w:tr w:rsidR="00B97434" w:rsidRPr="00360DE3" w14:paraId="1B2FB36A" w14:textId="77777777" w:rsidTr="00744EE6">
        <w:tc>
          <w:tcPr>
            <w:tcW w:w="1909" w:type="dxa"/>
            <w:vMerge w:val="restart"/>
            <w:shd w:val="clear" w:color="auto" w:fill="auto"/>
          </w:tcPr>
          <w:p w14:paraId="56AE2672" w14:textId="77777777" w:rsidR="00B97434" w:rsidRDefault="00B97434" w:rsidP="00B97434">
            <w:pPr>
              <w:pStyle w:val="Marginlie"/>
            </w:pPr>
          </w:p>
        </w:tc>
        <w:tc>
          <w:tcPr>
            <w:tcW w:w="264" w:type="dxa"/>
            <w:vMerge w:val="restart"/>
            <w:shd w:val="clear" w:color="auto" w:fill="auto"/>
          </w:tcPr>
          <w:p w14:paraId="7205C5DE" w14:textId="77777777" w:rsidR="00B97434" w:rsidRDefault="00B97434" w:rsidP="00B97434">
            <w:pPr>
              <w:pStyle w:val="Textpoznpodarou1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6284C969" w14:textId="77777777" w:rsidR="00B97434" w:rsidRDefault="00B97434" w:rsidP="00884A6F">
            <w:pPr>
              <w:spacing w:after="0"/>
              <w:rPr>
                <w:b/>
              </w:rPr>
            </w:pPr>
            <w:r>
              <w:rPr>
                <w:b/>
              </w:rPr>
              <w:t xml:space="preserve">Graf č. </w:t>
            </w:r>
            <w:r w:rsidR="00884A6F">
              <w:rPr>
                <w:b/>
              </w:rPr>
              <w:t>1</w:t>
            </w:r>
            <w:r>
              <w:rPr>
                <w:b/>
              </w:rPr>
              <w:t xml:space="preserve">  Příspěvky jednotlivých složek ke změně HDP* </w:t>
            </w:r>
            <w:r w:rsidRPr="002E4A56">
              <w:t>(</w:t>
            </w:r>
            <w:r>
              <w:t xml:space="preserve">objemové indexy, </w:t>
            </w:r>
            <w:r w:rsidRPr="002E4A56">
              <w:t>v</w:t>
            </w:r>
            <w:r>
              <w:t> </w:t>
            </w:r>
            <w:r w:rsidRPr="002E4A56">
              <w:t>p.</w:t>
            </w:r>
            <w:r>
              <w:t> </w:t>
            </w:r>
            <w:r w:rsidRPr="002E4A56">
              <w:t>b., růst HDP v</w:t>
            </w:r>
            <w:r w:rsidR="001D51EB">
              <w:t> %</w:t>
            </w:r>
            <w:r>
              <w:t>, sezónně očištěno</w:t>
            </w:r>
            <w:r w:rsidRPr="002E4A56">
              <w:t>)</w:t>
            </w:r>
          </w:p>
        </w:tc>
      </w:tr>
      <w:tr w:rsidR="00B97434" w:rsidRPr="00360DE3" w14:paraId="67DF7CB9" w14:textId="77777777" w:rsidTr="00744EE6">
        <w:trPr>
          <w:trHeight w:val="170"/>
        </w:trPr>
        <w:tc>
          <w:tcPr>
            <w:tcW w:w="1909" w:type="dxa"/>
            <w:vMerge/>
            <w:shd w:val="clear" w:color="auto" w:fill="auto"/>
          </w:tcPr>
          <w:p w14:paraId="10029D10" w14:textId="77777777" w:rsidR="00B97434" w:rsidRPr="00360DE3" w:rsidRDefault="00B97434" w:rsidP="00B97434">
            <w:pPr>
              <w:pStyle w:val="Marginlie"/>
              <w:rPr>
                <w:spacing w:val="0"/>
              </w:rPr>
            </w:pPr>
          </w:p>
        </w:tc>
        <w:tc>
          <w:tcPr>
            <w:tcW w:w="264" w:type="dxa"/>
            <w:vMerge/>
            <w:shd w:val="clear" w:color="auto" w:fill="auto"/>
          </w:tcPr>
          <w:p w14:paraId="4F502117" w14:textId="77777777" w:rsidR="00B97434" w:rsidRPr="00360DE3" w:rsidRDefault="00B97434" w:rsidP="00B97434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14:paraId="501244A0" w14:textId="77777777" w:rsidR="00B97434" w:rsidRPr="00360DE3" w:rsidRDefault="00B97434" w:rsidP="00B97434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F9ED479" wp14:editId="6B4A015E">
                  <wp:extent cx="4737600" cy="3553200"/>
                  <wp:effectExtent l="0" t="0" r="0" b="0"/>
                  <wp:docPr id="40" name="Graf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B97434" w:rsidRPr="00360DE3" w14:paraId="641D04B4" w14:textId="77777777" w:rsidTr="00744EE6">
        <w:trPr>
          <w:trHeight w:val="170"/>
        </w:trPr>
        <w:tc>
          <w:tcPr>
            <w:tcW w:w="1909" w:type="dxa"/>
            <w:vMerge/>
            <w:shd w:val="clear" w:color="auto" w:fill="auto"/>
          </w:tcPr>
          <w:p w14:paraId="03C0B3CE" w14:textId="77777777" w:rsidR="00B97434" w:rsidRPr="00360DE3" w:rsidRDefault="00B97434" w:rsidP="00B97434">
            <w:pPr>
              <w:pStyle w:val="Marginlie"/>
              <w:rPr>
                <w:spacing w:val="0"/>
              </w:rPr>
            </w:pPr>
          </w:p>
        </w:tc>
        <w:tc>
          <w:tcPr>
            <w:tcW w:w="264" w:type="dxa"/>
            <w:vMerge/>
            <w:shd w:val="clear" w:color="auto" w:fill="auto"/>
          </w:tcPr>
          <w:p w14:paraId="12BE9D36" w14:textId="77777777" w:rsidR="00B97434" w:rsidRPr="00360DE3" w:rsidRDefault="00B97434" w:rsidP="00B97434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14:paraId="35A1DD03" w14:textId="77777777" w:rsidR="00B97434" w:rsidRDefault="00B97434" w:rsidP="00B97434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1DA87F01" w14:textId="77777777" w:rsidR="00B97434" w:rsidRPr="00360DE3" w:rsidRDefault="00B97434" w:rsidP="00B974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*Po vyloučení dovozu pro konečné užití</w:t>
            </w:r>
          </w:p>
        </w:tc>
      </w:tr>
      <w:tr w:rsidR="00B97434" w:rsidRPr="00360DE3" w14:paraId="6C1190F8" w14:textId="77777777" w:rsidTr="00744EE6">
        <w:trPr>
          <w:trHeight w:val="145"/>
        </w:trPr>
        <w:tc>
          <w:tcPr>
            <w:tcW w:w="1909" w:type="dxa"/>
            <w:shd w:val="clear" w:color="auto" w:fill="auto"/>
          </w:tcPr>
          <w:p w14:paraId="484A6833" w14:textId="1BAAE851" w:rsidR="00B97434" w:rsidRPr="00D120FA" w:rsidRDefault="00B97434" w:rsidP="00B97434">
            <w:pPr>
              <w:pStyle w:val="Marginlie"/>
              <w:rPr>
                <w:color w:val="000000" w:themeColor="text1"/>
              </w:rPr>
            </w:pPr>
            <w:r w:rsidRPr="00D120FA">
              <w:rPr>
                <w:color w:val="000000" w:themeColor="text1"/>
              </w:rPr>
              <w:t>K růstu přispěla především spotřeba. Investiční aktivita i</w:t>
            </w:r>
            <w:r w:rsidR="00D120FA" w:rsidRPr="00D120FA">
              <w:rPr>
                <w:color w:val="000000" w:themeColor="text1"/>
              </w:rPr>
              <w:t> </w:t>
            </w:r>
            <w:r w:rsidRPr="00D120FA">
              <w:rPr>
                <w:color w:val="000000" w:themeColor="text1"/>
              </w:rPr>
              <w:t>bilance zahraničního obchodu stály v pozadí.</w:t>
            </w:r>
          </w:p>
        </w:tc>
        <w:tc>
          <w:tcPr>
            <w:tcW w:w="264" w:type="dxa"/>
            <w:shd w:val="clear" w:color="auto" w:fill="auto"/>
          </w:tcPr>
          <w:p w14:paraId="698C3B33" w14:textId="77777777" w:rsidR="00B97434" w:rsidRDefault="00B97434" w:rsidP="00B97434">
            <w:pPr>
              <w:pStyle w:val="Textpoznpodarou1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43C80917" w14:textId="77777777" w:rsidR="00B97434" w:rsidRDefault="00B97434" w:rsidP="0084727E">
            <w:pPr>
              <w:spacing w:after="0"/>
            </w:pPr>
            <w:r>
              <w:t>Více než z poloviny k loňskému růstu HDP přispěly výdaje na konečnou spotřebu. Ty vzrostly o 3,5</w:t>
            </w:r>
            <w:r w:rsidR="001D51EB">
              <w:t> %</w:t>
            </w:r>
            <w:r>
              <w:t>. V porovnání s rokem 2017 oslabil příspěvek spotřeby domácností, byl však zčásti nahrazen zvýšenou dynamikou spotřeby sektoru vládních institucí. V prvních třech kvartálech roku k růstu HDP přispívala rovněž tvorba hrubého kapitálu. Ačkoli výdaje na fixní investice posílily napříč jednotlivými sektory (celkový přírůstek loni dosáhl 7,2</w:t>
            </w:r>
            <w:r w:rsidR="001D51EB">
              <w:t> %</w:t>
            </w:r>
            <w:r>
              <w:t>, v roce 2017 to bylo 3,7</w:t>
            </w:r>
            <w:r w:rsidR="001D51EB">
              <w:t> %</w:t>
            </w:r>
            <w:r>
              <w:t>), výsledný příspěvek tlumila změna zásob. Až v závěru roku silněji přispěla k růstu HDP bilance zahraničního obchodu. Celkový příspěvek bilance byl nakonec nejslabší za posledních pět let a promítalo se do něj nejen oslabení zahraniční poptávky, ale také dovozní náročnost domácí ekonomiky. Srovnání příspěvků k růstu HDP bez vyloučení a po vyloučení dovozu pro konečné užití také ukazuje, že velká část růstu domácí poptávky byla uspokojena importem, což bilanci dále zhoršovalo.</w:t>
            </w:r>
          </w:p>
        </w:tc>
      </w:tr>
      <w:tr w:rsidR="00B97434" w:rsidRPr="00360DE3" w14:paraId="35BDBA2C" w14:textId="77777777" w:rsidTr="00744EE6">
        <w:trPr>
          <w:trHeight w:val="145"/>
        </w:trPr>
        <w:tc>
          <w:tcPr>
            <w:tcW w:w="1909" w:type="dxa"/>
            <w:shd w:val="clear" w:color="auto" w:fill="auto"/>
          </w:tcPr>
          <w:p w14:paraId="78F35D39" w14:textId="77777777" w:rsidR="00B97434" w:rsidRDefault="00B97434" w:rsidP="00B97434">
            <w:pPr>
              <w:pStyle w:val="Marginlie"/>
            </w:pPr>
            <w:r>
              <w:t xml:space="preserve">Růst hrubé přidané hodnoty podpořily hlavně služby. Zpracovatelský </w:t>
            </w:r>
            <w:r>
              <w:lastRenderedPageBreak/>
              <w:t>průmysl rostl pomaleji než v roce 2017.</w:t>
            </w:r>
          </w:p>
        </w:tc>
        <w:tc>
          <w:tcPr>
            <w:tcW w:w="264" w:type="dxa"/>
            <w:shd w:val="clear" w:color="auto" w:fill="auto"/>
          </w:tcPr>
          <w:p w14:paraId="2B4C3989" w14:textId="77777777" w:rsidR="00B97434" w:rsidRDefault="00B97434" w:rsidP="00B97434">
            <w:pPr>
              <w:pStyle w:val="Textpoznpodarou1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264810EA" w14:textId="77777777" w:rsidR="00B97434" w:rsidRDefault="00B97434" w:rsidP="00A55593">
            <w:r>
              <w:t>Hrubá přidaná hodnota (HPH) loni vzrostla o 3,1</w:t>
            </w:r>
            <w:r w:rsidR="001D51EB">
              <w:t> %</w:t>
            </w:r>
            <w:r>
              <w:t xml:space="preserve">. Jak již bylo uvedeno, v roce 2018 se rozevíraly nůžky mezi výkonem průmyslu a služeb. Růst HPH zpracovatelského </w:t>
            </w:r>
            <w:r>
              <w:lastRenderedPageBreak/>
              <w:t xml:space="preserve">průmyslu, který tvoří </w:t>
            </w:r>
            <w:r w:rsidR="00A55593">
              <w:t>významnou</w:t>
            </w:r>
            <w:r>
              <w:t xml:space="preserve"> část přidané hodnoty české ekonomiky (25,6</w:t>
            </w:r>
            <w:r w:rsidR="001D51EB">
              <w:t> %</w:t>
            </w:r>
            <w:r>
              <w:t>) a také je významným zaměstnavatelem (loni se podílel na celkové zaměstnanosti 26,6</w:t>
            </w:r>
            <w:r w:rsidR="001D51EB">
              <w:t> %</w:t>
            </w:r>
            <w:r>
              <w:t>), zpomalil na 1,6</w:t>
            </w:r>
            <w:r w:rsidR="001D51EB">
              <w:t> %</w:t>
            </w:r>
            <w:r>
              <w:t>. Zčásti se projevila i srovnávací základna roku 2017, kdy HPH zpracovatelského průmyslu vzrostla o 10,5</w:t>
            </w:r>
            <w:r w:rsidR="001D51EB">
              <w:t> %</w:t>
            </w:r>
            <w:r>
              <w:t>. Výrazně k tomu přispělo zpomalení v největších odvětvích. Ve výrobě motorových vozidel tak loni vzrostla HPH o 3,9</w:t>
            </w:r>
            <w:r w:rsidR="001D51EB">
              <w:t> %</w:t>
            </w:r>
            <w:r>
              <w:t xml:space="preserve"> (v předchozím roce to bylo 19,9</w:t>
            </w:r>
            <w:r w:rsidR="001D51EB">
              <w:t> %</w:t>
            </w:r>
            <w:r>
              <w:t>)</w:t>
            </w:r>
            <w:r w:rsidR="00A55593">
              <w:t>. V</w:t>
            </w:r>
            <w:r>
              <w:t>ýroba strojů a zařízení zaznamenala mírný pokles HPH (</w:t>
            </w:r>
            <w:r w:rsidR="001F138C">
              <w:t>–</w:t>
            </w:r>
            <w:r>
              <w:t>0,8</w:t>
            </w:r>
            <w:r w:rsidR="001D51EB">
              <w:t> %</w:t>
            </w:r>
            <w:r>
              <w:t>, v roce 2017 rostla o</w:t>
            </w:r>
            <w:r w:rsidR="00A55593">
              <w:t> </w:t>
            </w:r>
            <w:r>
              <w:t>13,3</w:t>
            </w:r>
            <w:r w:rsidR="00A55593">
              <w:t> </w:t>
            </w:r>
            <w:r>
              <w:t xml:space="preserve">%). </w:t>
            </w:r>
            <w:r w:rsidR="00A55593">
              <w:t xml:space="preserve">Slabší </w:t>
            </w:r>
            <w:r>
              <w:t>růst se týkal také výroby elektrických zařízení, počítačů, elektronických a optických přístrojů a zařízení nebo plastikářství.</w:t>
            </w:r>
          </w:p>
        </w:tc>
      </w:tr>
      <w:tr w:rsidR="00B97434" w:rsidRPr="00360DE3" w14:paraId="3A5F968A" w14:textId="77777777" w:rsidTr="00744EE6">
        <w:trPr>
          <w:trHeight w:val="145"/>
        </w:trPr>
        <w:tc>
          <w:tcPr>
            <w:tcW w:w="1909" w:type="dxa"/>
            <w:shd w:val="clear" w:color="auto" w:fill="auto"/>
          </w:tcPr>
          <w:p w14:paraId="4A9C09AB" w14:textId="5E9210FC" w:rsidR="00B97434" w:rsidRDefault="00B97434" w:rsidP="00B97434">
            <w:pPr>
              <w:pStyle w:val="Marginlie"/>
            </w:pPr>
            <w:r>
              <w:lastRenderedPageBreak/>
              <w:t>Odvětví služeb čerpala ze silné domácí poptávky. Nejrychleji rostla HPH v informačních a</w:t>
            </w:r>
            <w:r w:rsidR="00EE466C">
              <w:t> </w:t>
            </w:r>
            <w:r>
              <w:t>komunikačních službách.</w:t>
            </w:r>
          </w:p>
        </w:tc>
        <w:tc>
          <w:tcPr>
            <w:tcW w:w="264" w:type="dxa"/>
            <w:shd w:val="clear" w:color="auto" w:fill="auto"/>
          </w:tcPr>
          <w:p w14:paraId="5F2BBD3C" w14:textId="77777777" w:rsidR="00B97434" w:rsidRDefault="00B97434" w:rsidP="00B97434">
            <w:pPr>
              <w:pStyle w:val="Textpoznpodarou1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2C079804" w14:textId="18ED2D7F" w:rsidR="00B97434" w:rsidRDefault="00B97434" w:rsidP="00A55593">
            <w:r>
              <w:t xml:space="preserve">Odvětví služeb čerpala zejména ze silné domácí poptávky. Jejich příspěvek k růstu HPH v porovnání s rokem 2017 výrazně posílil a tím </w:t>
            </w:r>
            <w:r w:rsidR="00A55593">
              <w:t xml:space="preserve">zčásti </w:t>
            </w:r>
            <w:r>
              <w:t>nahradil zpomalující zpracovatelský průmysl. Nejvíce přispělo k růstu velké uskupení odvětví obchod, doprava, ubytování a pohostinství, kde HPH vzrostla o 5,1</w:t>
            </w:r>
            <w:r w:rsidR="001D51EB">
              <w:t> %</w:t>
            </w:r>
            <w:r>
              <w:t>. Nejsi</w:t>
            </w:r>
            <w:r w:rsidR="00EE466C">
              <w:t>l</w:t>
            </w:r>
            <w:r>
              <w:t>nější růst HPH však zaznamenaly informační a komunikační činnosti (9,9</w:t>
            </w:r>
            <w:r w:rsidR="001D51EB">
              <w:t> %</w:t>
            </w:r>
            <w:r>
              <w:t>). Růst v</w:t>
            </w:r>
            <w:r w:rsidR="00A55593">
              <w:t xml:space="preserve"> tomto </w:t>
            </w:r>
            <w:r>
              <w:t xml:space="preserve">odvětví trvá již od roku 2013 </w:t>
            </w:r>
            <w:r w:rsidR="00EE466C">
              <w:t>a HPH se za tu dobu reálně zvýšila</w:t>
            </w:r>
            <w:r>
              <w:t xml:space="preserve"> o 48,4</w:t>
            </w:r>
            <w:r w:rsidR="001D51EB">
              <w:t> %</w:t>
            </w:r>
            <w:r>
              <w:t>. Poměrně silně rostla HPH peněžnictví a pojišťovnictví (5,3</w:t>
            </w:r>
            <w:r w:rsidR="001D51EB">
              <w:t> %</w:t>
            </w:r>
            <w:r>
              <w:t>) a profesních, vědeckých</w:t>
            </w:r>
            <w:r w:rsidR="00EE466C">
              <w:t>,</w:t>
            </w:r>
            <w:r>
              <w:t xml:space="preserve"> technických a administrativních činností (4,1</w:t>
            </w:r>
            <w:r w:rsidR="001D51EB">
              <w:t> %</w:t>
            </w:r>
            <w:r>
              <w:t>). Po dvou letech poklesů se zvýšila HPH ve stavebnictví (4,2</w:t>
            </w:r>
            <w:r w:rsidR="001D51EB">
              <w:t> %</w:t>
            </w:r>
            <w:r>
              <w:t xml:space="preserve">). </w:t>
            </w:r>
            <w:r w:rsidR="00A55593">
              <w:t>Zmíněnému o</w:t>
            </w:r>
            <w:r>
              <w:t>dvětví pomohly mnohé investiční projekty spojené s čerpáním evropských dotací i růst bytové výstavby. Loňský růst napomohl stavebnictví</w:t>
            </w:r>
            <w:r w:rsidR="00A55593">
              <w:t xml:space="preserve"> i</w:t>
            </w:r>
            <w:r w:rsidR="00EE466C">
              <w:t> </w:t>
            </w:r>
            <w:r>
              <w:t>k překonání nominální úrovně HPH z roku 2010. Reálně se však HPH v odvětví v období 2011–2017 snížila o 9,1</w:t>
            </w:r>
            <w:r w:rsidR="001D51EB">
              <w:t> %</w:t>
            </w:r>
            <w:r w:rsidR="00EE466C">
              <w:t>,</w:t>
            </w:r>
            <w:r w:rsidR="00A55593">
              <w:t xml:space="preserve"> a </w:t>
            </w:r>
            <w:r>
              <w:t xml:space="preserve">stavebnictví </w:t>
            </w:r>
            <w:r w:rsidR="00A55593">
              <w:t xml:space="preserve">tak </w:t>
            </w:r>
            <w:r>
              <w:t>stále zaostává za úrovní minulé konjunktury.</w:t>
            </w:r>
          </w:p>
        </w:tc>
      </w:tr>
      <w:tr w:rsidR="00B97434" w:rsidRPr="00360DE3" w14:paraId="3131591B" w14:textId="77777777" w:rsidTr="00744EE6">
        <w:trPr>
          <w:trHeight w:val="170"/>
        </w:trPr>
        <w:tc>
          <w:tcPr>
            <w:tcW w:w="1909" w:type="dxa"/>
            <w:vMerge w:val="restart"/>
            <w:shd w:val="clear" w:color="auto" w:fill="auto"/>
          </w:tcPr>
          <w:p w14:paraId="001EF1BF" w14:textId="77777777" w:rsidR="00B97434" w:rsidRDefault="00B97434" w:rsidP="00B97434">
            <w:pPr>
              <w:pStyle w:val="Marginlie"/>
              <w:spacing w:after="240"/>
            </w:pPr>
          </w:p>
        </w:tc>
        <w:tc>
          <w:tcPr>
            <w:tcW w:w="264" w:type="dxa"/>
            <w:vMerge w:val="restart"/>
            <w:shd w:val="clear" w:color="auto" w:fill="auto"/>
          </w:tcPr>
          <w:p w14:paraId="3E2CD60C" w14:textId="77777777" w:rsidR="00B97434" w:rsidRDefault="00B97434" w:rsidP="00B97434">
            <w:pPr>
              <w:pStyle w:val="Textpoznpodarou1"/>
              <w:spacing w:after="240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591C63E6" w14:textId="6F53FBBD" w:rsidR="00B97434" w:rsidRDefault="00B97434" w:rsidP="00884A6F">
            <w:pPr>
              <w:spacing w:after="0"/>
            </w:pPr>
            <w:r>
              <w:rPr>
                <w:rFonts w:cs="Arial"/>
                <w:b/>
                <w:lang w:eastAsia="en-US"/>
              </w:rPr>
              <w:t xml:space="preserve">Graf č. </w:t>
            </w:r>
            <w:r w:rsidR="00884A6F">
              <w:rPr>
                <w:rFonts w:cs="Arial"/>
                <w:b/>
                <w:lang w:eastAsia="en-US"/>
              </w:rPr>
              <w:t>2</w:t>
            </w:r>
            <w:r>
              <w:rPr>
                <w:rFonts w:cs="Arial"/>
                <w:b/>
                <w:lang w:eastAsia="en-US"/>
              </w:rPr>
              <w:t xml:space="preserve">  </w:t>
            </w:r>
            <w:r w:rsidRPr="00A74192">
              <w:rPr>
                <w:rFonts w:cs="Arial"/>
                <w:b/>
                <w:lang w:eastAsia="en-US"/>
              </w:rPr>
              <w:t>Příspěvky odvětví ke</w:t>
            </w:r>
            <w:r w:rsidR="00EE466C">
              <w:rPr>
                <w:rFonts w:cs="Arial"/>
                <w:b/>
                <w:lang w:eastAsia="en-US"/>
              </w:rPr>
              <w:t xml:space="preserve"> </w:t>
            </w:r>
            <w:r w:rsidRPr="00A74192">
              <w:rPr>
                <w:rFonts w:cs="Arial"/>
                <w:b/>
                <w:lang w:eastAsia="en-US"/>
              </w:rPr>
              <w:t>změně HPH</w:t>
            </w:r>
            <w:r w:rsidRPr="00A74192">
              <w:rPr>
                <w:rFonts w:cs="Arial"/>
                <w:lang w:eastAsia="en-US"/>
              </w:rPr>
              <w:t xml:space="preserve"> (</w:t>
            </w:r>
            <w:r>
              <w:rPr>
                <w:rFonts w:cs="Arial"/>
                <w:lang w:eastAsia="en-US"/>
              </w:rPr>
              <w:t>objemové indexy</w:t>
            </w:r>
            <w:r w:rsidRPr="00A74192">
              <w:rPr>
                <w:rFonts w:cs="Arial"/>
                <w:lang w:eastAsia="en-US"/>
              </w:rPr>
              <w:t>, v p.</w:t>
            </w:r>
            <w:r w:rsidR="00EE466C">
              <w:rPr>
                <w:rFonts w:cs="Arial"/>
                <w:lang w:eastAsia="en-US"/>
              </w:rPr>
              <w:t> </w:t>
            </w:r>
            <w:r w:rsidRPr="00A74192">
              <w:rPr>
                <w:rFonts w:cs="Arial"/>
                <w:lang w:eastAsia="en-US"/>
              </w:rPr>
              <w:t>b., HPH</w:t>
            </w:r>
            <w:r>
              <w:rPr>
                <w:rFonts w:cs="Arial"/>
                <w:lang w:eastAsia="en-US"/>
              </w:rPr>
              <w:t xml:space="preserve"> </w:t>
            </w:r>
            <w:r w:rsidRPr="00A74192">
              <w:rPr>
                <w:rFonts w:cs="Arial"/>
                <w:lang w:eastAsia="en-US"/>
              </w:rPr>
              <w:t>v</w:t>
            </w:r>
            <w:r w:rsidR="001D51EB">
              <w:rPr>
                <w:rFonts w:cs="Arial"/>
                <w:lang w:eastAsia="en-US"/>
              </w:rPr>
              <w:t> %</w:t>
            </w:r>
            <w:r>
              <w:rPr>
                <w:rFonts w:cs="Arial"/>
                <w:lang w:eastAsia="en-US"/>
              </w:rPr>
              <w:t>, sezónně očištěno</w:t>
            </w:r>
            <w:r w:rsidRPr="00A74192">
              <w:rPr>
                <w:rFonts w:cs="Arial"/>
                <w:lang w:eastAsia="en-US"/>
              </w:rPr>
              <w:t>)</w:t>
            </w:r>
          </w:p>
        </w:tc>
      </w:tr>
      <w:tr w:rsidR="00B97434" w:rsidRPr="00360DE3" w14:paraId="1AECA772" w14:textId="77777777" w:rsidTr="00744EE6">
        <w:trPr>
          <w:trHeight w:val="170"/>
        </w:trPr>
        <w:tc>
          <w:tcPr>
            <w:tcW w:w="1909" w:type="dxa"/>
            <w:vMerge/>
            <w:shd w:val="clear" w:color="auto" w:fill="auto"/>
          </w:tcPr>
          <w:p w14:paraId="4D341F86" w14:textId="77777777" w:rsidR="00B97434" w:rsidRPr="00360DE3" w:rsidRDefault="00B97434" w:rsidP="00B97434">
            <w:pPr>
              <w:pStyle w:val="Marginlie"/>
              <w:spacing w:after="240"/>
              <w:rPr>
                <w:spacing w:val="0"/>
              </w:rPr>
            </w:pPr>
          </w:p>
        </w:tc>
        <w:tc>
          <w:tcPr>
            <w:tcW w:w="264" w:type="dxa"/>
            <w:vMerge/>
            <w:shd w:val="clear" w:color="auto" w:fill="auto"/>
          </w:tcPr>
          <w:p w14:paraId="63AA32CA" w14:textId="77777777" w:rsidR="00B97434" w:rsidRPr="00360DE3" w:rsidRDefault="00B97434" w:rsidP="00B97434">
            <w:pPr>
              <w:pStyle w:val="Textpoznpodarou1"/>
              <w:spacing w:after="240"/>
              <w:jc w:val="both"/>
            </w:pPr>
          </w:p>
        </w:tc>
        <w:tc>
          <w:tcPr>
            <w:tcW w:w="7471" w:type="dxa"/>
            <w:shd w:val="clear" w:color="auto" w:fill="auto"/>
          </w:tcPr>
          <w:p w14:paraId="136B6ACB" w14:textId="77777777" w:rsidR="00B97434" w:rsidRPr="00360DE3" w:rsidRDefault="00B97434" w:rsidP="00B97434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1236412" wp14:editId="15C2AFD4">
                  <wp:extent cx="4737600" cy="3553200"/>
                  <wp:effectExtent l="0" t="0" r="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B97434" w:rsidRPr="00360DE3" w14:paraId="1227B0DD" w14:textId="77777777" w:rsidTr="00744EE6">
        <w:trPr>
          <w:trHeight w:val="170"/>
        </w:trPr>
        <w:tc>
          <w:tcPr>
            <w:tcW w:w="1909" w:type="dxa"/>
            <w:vMerge/>
            <w:shd w:val="clear" w:color="auto" w:fill="auto"/>
          </w:tcPr>
          <w:p w14:paraId="03E06EA6" w14:textId="77777777" w:rsidR="00B97434" w:rsidRPr="00360DE3" w:rsidRDefault="00B97434" w:rsidP="00B97434">
            <w:pPr>
              <w:pStyle w:val="Marginlie"/>
              <w:spacing w:after="240"/>
              <w:rPr>
                <w:spacing w:val="0"/>
              </w:rPr>
            </w:pPr>
          </w:p>
        </w:tc>
        <w:tc>
          <w:tcPr>
            <w:tcW w:w="264" w:type="dxa"/>
            <w:vMerge/>
            <w:shd w:val="clear" w:color="auto" w:fill="auto"/>
          </w:tcPr>
          <w:p w14:paraId="54018C8D" w14:textId="77777777" w:rsidR="00B97434" w:rsidRPr="00360DE3" w:rsidRDefault="00B97434" w:rsidP="00B97434">
            <w:pPr>
              <w:pStyle w:val="Textpoznpodarou1"/>
              <w:spacing w:after="240"/>
              <w:jc w:val="both"/>
            </w:pPr>
          </w:p>
        </w:tc>
        <w:tc>
          <w:tcPr>
            <w:tcW w:w="7471" w:type="dxa"/>
            <w:shd w:val="clear" w:color="auto" w:fill="auto"/>
          </w:tcPr>
          <w:p w14:paraId="5A79EA8B" w14:textId="03ED70C8" w:rsidR="00B97434" w:rsidRPr="00360DE3" w:rsidRDefault="00B97434" w:rsidP="00B97434">
            <w:pPr>
              <w:rPr>
                <w:sz w:val="14"/>
                <w:szCs w:val="14"/>
              </w:rPr>
            </w:pPr>
            <w:r w:rsidRPr="0065379C">
              <w:rPr>
                <w:sz w:val="14"/>
                <w:szCs w:val="14"/>
              </w:rPr>
              <w:t>Zdroj:</w:t>
            </w:r>
            <w:r w:rsidR="00EE466C">
              <w:rPr>
                <w:sz w:val="14"/>
                <w:szCs w:val="14"/>
              </w:rPr>
              <w:t xml:space="preserve"> </w:t>
            </w:r>
            <w:r w:rsidRPr="0065379C">
              <w:rPr>
                <w:sz w:val="14"/>
                <w:szCs w:val="14"/>
              </w:rPr>
              <w:t>ČSÚ</w:t>
            </w:r>
          </w:p>
        </w:tc>
      </w:tr>
      <w:tr w:rsidR="00B97434" w:rsidRPr="00360DE3" w14:paraId="5ED3C27D" w14:textId="77777777" w:rsidTr="00744EE6">
        <w:trPr>
          <w:trHeight w:val="212"/>
        </w:trPr>
        <w:tc>
          <w:tcPr>
            <w:tcW w:w="1909" w:type="dxa"/>
            <w:shd w:val="clear" w:color="auto" w:fill="auto"/>
          </w:tcPr>
          <w:p w14:paraId="17B8C403" w14:textId="77777777" w:rsidR="00B97434" w:rsidRDefault="00B97434" w:rsidP="00B97434">
            <w:pPr>
              <w:pStyle w:val="Marginlie"/>
              <w:spacing w:after="240"/>
            </w:pPr>
            <w:r>
              <w:t xml:space="preserve">Ostatní evropské ekonomiky v roce 2018 také zpomalovaly. </w:t>
            </w:r>
          </w:p>
        </w:tc>
        <w:tc>
          <w:tcPr>
            <w:tcW w:w="264" w:type="dxa"/>
            <w:shd w:val="clear" w:color="auto" w:fill="auto"/>
          </w:tcPr>
          <w:p w14:paraId="264463A2" w14:textId="77777777" w:rsidR="00B97434" w:rsidRDefault="00B97434" w:rsidP="00B97434">
            <w:pPr>
              <w:pStyle w:val="Textpoznpodarou1"/>
              <w:spacing w:after="240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28AF0EB3" w14:textId="3786EFB4" w:rsidR="00B97434" w:rsidRDefault="00B97434" w:rsidP="00A55593">
            <w:r>
              <w:t xml:space="preserve">Jak již bylo zmíněno, ve většině zemí EU dynamika hospodářského růstu v loňském roce zmírnila. V celé </w:t>
            </w:r>
            <w:r w:rsidR="003268DD">
              <w:t xml:space="preserve">Unii </w:t>
            </w:r>
            <w:r>
              <w:t>vzrostl HDP o 2,0</w:t>
            </w:r>
            <w:r w:rsidR="001D51EB">
              <w:t> %</w:t>
            </w:r>
            <w:r>
              <w:t>, přírůstek tak oslabil o 0,5</w:t>
            </w:r>
            <w:r w:rsidR="001F138C">
              <w:t> p. b.</w:t>
            </w:r>
            <w:r>
              <w:t xml:space="preserve"> v porovnání s rokem 2017. Česko patřilo k</w:t>
            </w:r>
            <w:r w:rsidR="00EE466C">
              <w:t> </w:t>
            </w:r>
            <w:r>
              <w:t>trojici</w:t>
            </w:r>
            <w:r w:rsidR="00EE466C">
              <w:t xml:space="preserve"> </w:t>
            </w:r>
            <w:r>
              <w:t>zemí, kde hospodářský růst meziročně oslabil nejvíce, spolu s Rumunskem a Finskem. Klíčový</w:t>
            </w:r>
            <w:r w:rsidR="00A55593">
              <w:t>m</w:t>
            </w:r>
            <w:r>
              <w:t xml:space="preserve"> </w:t>
            </w:r>
            <w:r w:rsidR="003268DD">
              <w:t xml:space="preserve">impulzem </w:t>
            </w:r>
            <w:r>
              <w:t xml:space="preserve">pro Evropu však </w:t>
            </w:r>
            <w:r w:rsidR="00A55593">
              <w:t>bylo</w:t>
            </w:r>
            <w:r>
              <w:t xml:space="preserve"> zpomalení německé ekonomiky z 2,2</w:t>
            </w:r>
            <w:r w:rsidR="001D51EB">
              <w:t> %</w:t>
            </w:r>
            <w:r>
              <w:t xml:space="preserve"> v roce 2017 na loňské </w:t>
            </w:r>
            <w:r>
              <w:lastRenderedPageBreak/>
              <w:t>1,4 %. Nejsilnější dynamiku vykazovaly ekonomiky Irska (8,2</w:t>
            </w:r>
            <w:r w:rsidR="001D51EB">
              <w:t> %</w:t>
            </w:r>
            <w:r>
              <w:t>), Malty (6,7</w:t>
            </w:r>
            <w:r w:rsidR="001D51EB">
              <w:t> %</w:t>
            </w:r>
            <w:r>
              <w:t>) a</w:t>
            </w:r>
            <w:r w:rsidR="003268DD">
              <w:t> </w:t>
            </w:r>
            <w:r>
              <w:t>Polska (5,1</w:t>
            </w:r>
            <w:r w:rsidR="001D51EB">
              <w:t> %</w:t>
            </w:r>
            <w:r>
              <w:t xml:space="preserve">). </w:t>
            </w:r>
            <w:r w:rsidR="00A55593">
              <w:t>N</w:t>
            </w:r>
            <w:r>
              <w:t xml:space="preserve">a dalších příčkách se umístily země střední a východní Evropy, které přistoupily do Unie po roce 2000. K růstu </w:t>
            </w:r>
            <w:r w:rsidR="00A55593">
              <w:t>zde</w:t>
            </w:r>
            <w:r>
              <w:t xml:space="preserve"> přispěl</w:t>
            </w:r>
            <w:r w:rsidR="00A55593">
              <w:t>a</w:t>
            </w:r>
            <w:r>
              <w:t xml:space="preserve"> siln</w:t>
            </w:r>
            <w:r w:rsidR="00A55593">
              <w:t>á dynamika</w:t>
            </w:r>
            <w:r>
              <w:t xml:space="preserve"> spotřeby kombinovan</w:t>
            </w:r>
            <w:r w:rsidR="00A55593">
              <w:t>á</w:t>
            </w:r>
            <w:r>
              <w:t xml:space="preserve"> s výraznou investiční aktivitou podpořenou evropskými dotacemi. Nejpomaleji rostla ekonomika Itálie (0,9</w:t>
            </w:r>
            <w:r w:rsidR="001D51EB">
              <w:t> %</w:t>
            </w:r>
            <w:r>
              <w:t>) a shodně jen o 1,4</w:t>
            </w:r>
            <w:r w:rsidR="001D51EB">
              <w:t> %</w:t>
            </w:r>
            <w:r>
              <w:t xml:space="preserve"> se zvýšil HDP v Belgii, Velké Británii a Německu.</w:t>
            </w:r>
          </w:p>
        </w:tc>
      </w:tr>
      <w:tr w:rsidR="00B97434" w:rsidRPr="00360DE3" w14:paraId="38398319" w14:textId="77777777" w:rsidTr="00744EE6">
        <w:trPr>
          <w:trHeight w:val="150"/>
        </w:trPr>
        <w:tc>
          <w:tcPr>
            <w:tcW w:w="1909" w:type="dxa"/>
            <w:vMerge w:val="restart"/>
            <w:shd w:val="clear" w:color="auto" w:fill="auto"/>
          </w:tcPr>
          <w:p w14:paraId="7CD930F7" w14:textId="77777777" w:rsidR="00B97434" w:rsidRDefault="00B97434" w:rsidP="00B97434">
            <w:pPr>
              <w:pStyle w:val="Marginlie"/>
              <w:spacing w:after="240"/>
            </w:pPr>
          </w:p>
        </w:tc>
        <w:tc>
          <w:tcPr>
            <w:tcW w:w="264" w:type="dxa"/>
            <w:vMerge w:val="restart"/>
            <w:shd w:val="clear" w:color="auto" w:fill="auto"/>
          </w:tcPr>
          <w:p w14:paraId="333861BA" w14:textId="77777777" w:rsidR="00B97434" w:rsidRDefault="00B97434" w:rsidP="00B97434">
            <w:pPr>
              <w:pStyle w:val="Textpoznpodarou1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1509E8ED" w14:textId="77777777" w:rsidR="00B97434" w:rsidRDefault="00B97434" w:rsidP="00884A6F">
            <w:pPr>
              <w:spacing w:after="0"/>
            </w:pPr>
            <w:r w:rsidRPr="00062AB4">
              <w:rPr>
                <w:b/>
              </w:rPr>
              <w:t xml:space="preserve">Graf č. </w:t>
            </w:r>
            <w:r w:rsidR="00884A6F">
              <w:rPr>
                <w:b/>
              </w:rPr>
              <w:t>3</w:t>
            </w:r>
            <w:r w:rsidRPr="00062AB4">
              <w:rPr>
                <w:b/>
              </w:rPr>
              <w:t xml:space="preserve">  Hrubý domácí produkt</w:t>
            </w:r>
            <w:r>
              <w:t xml:space="preserve"> (meziroční přírůstek v</w:t>
            </w:r>
            <w:r w:rsidR="001D51EB">
              <w:t> %</w:t>
            </w:r>
            <w:r>
              <w:t>)</w:t>
            </w:r>
          </w:p>
        </w:tc>
      </w:tr>
      <w:tr w:rsidR="00B97434" w:rsidRPr="00360DE3" w14:paraId="6501250D" w14:textId="77777777" w:rsidTr="00A1260E">
        <w:tblPrEx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1909" w:type="dxa"/>
            <w:vMerge/>
            <w:shd w:val="clear" w:color="auto" w:fill="auto"/>
          </w:tcPr>
          <w:p w14:paraId="11671600" w14:textId="77777777" w:rsidR="00B97434" w:rsidRPr="00360DE3" w:rsidRDefault="00B97434" w:rsidP="00B97434">
            <w:pPr>
              <w:pStyle w:val="Marginlie"/>
              <w:spacing w:after="240"/>
              <w:rPr>
                <w:spacing w:val="0"/>
              </w:rPr>
            </w:pPr>
          </w:p>
        </w:tc>
        <w:tc>
          <w:tcPr>
            <w:tcW w:w="264" w:type="dxa"/>
            <w:vMerge/>
            <w:shd w:val="clear" w:color="auto" w:fill="auto"/>
          </w:tcPr>
          <w:p w14:paraId="3AC3AF27" w14:textId="77777777" w:rsidR="00B97434" w:rsidRPr="00360DE3" w:rsidRDefault="00B97434" w:rsidP="00B97434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14:paraId="00234B01" w14:textId="3D8B1236" w:rsidR="00B97434" w:rsidRPr="00360DE3" w:rsidRDefault="00A1260E" w:rsidP="00B97434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B467DB5" wp14:editId="76945260">
                  <wp:extent cx="4733925" cy="3552825"/>
                  <wp:effectExtent l="0" t="0" r="0" b="0"/>
                  <wp:docPr id="5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B97434" w:rsidRPr="00360DE3" w14:paraId="22D0A362" w14:textId="77777777" w:rsidTr="00744EE6">
        <w:trPr>
          <w:trHeight w:val="150"/>
        </w:trPr>
        <w:tc>
          <w:tcPr>
            <w:tcW w:w="1909" w:type="dxa"/>
            <w:vMerge/>
            <w:shd w:val="clear" w:color="auto" w:fill="auto"/>
          </w:tcPr>
          <w:p w14:paraId="77F74CB2" w14:textId="77777777" w:rsidR="00B97434" w:rsidRPr="00360DE3" w:rsidRDefault="00B97434" w:rsidP="00B97434">
            <w:pPr>
              <w:pStyle w:val="Marginlie"/>
              <w:spacing w:after="240"/>
              <w:rPr>
                <w:spacing w:val="0"/>
              </w:rPr>
            </w:pPr>
          </w:p>
        </w:tc>
        <w:tc>
          <w:tcPr>
            <w:tcW w:w="264" w:type="dxa"/>
            <w:vMerge/>
            <w:shd w:val="clear" w:color="auto" w:fill="auto"/>
          </w:tcPr>
          <w:p w14:paraId="6546433F" w14:textId="77777777" w:rsidR="00B97434" w:rsidRPr="00360DE3" w:rsidRDefault="00B97434" w:rsidP="00B97434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14:paraId="538EA805" w14:textId="77777777" w:rsidR="00B97434" w:rsidRPr="00360DE3" w:rsidRDefault="00B97434" w:rsidP="00B97434">
            <w:pPr>
              <w:rPr>
                <w:sz w:val="14"/>
                <w:szCs w:val="14"/>
              </w:rPr>
            </w:pPr>
            <w:r w:rsidRPr="0065379C">
              <w:rPr>
                <w:sz w:val="14"/>
                <w:szCs w:val="14"/>
              </w:rPr>
              <w:t>Zdroj: Eurostat</w:t>
            </w:r>
          </w:p>
        </w:tc>
      </w:tr>
    </w:tbl>
    <w:p w14:paraId="671D54FC" w14:textId="1D063E29" w:rsidR="0060404F" w:rsidRDefault="0060404F" w:rsidP="001F7EA1">
      <w:pPr>
        <w:pStyle w:val="Nadpis1"/>
        <w:rPr>
          <w:b w:val="0"/>
          <w:bCs w:val="0"/>
          <w:lang w:eastAsia="en-US"/>
        </w:rPr>
      </w:pPr>
      <w:bookmarkStart w:id="1" w:name="_GoBack"/>
      <w:bookmarkEnd w:id="1"/>
    </w:p>
    <w:sectPr w:rsidR="0060404F" w:rsidSect="001F7EA1">
      <w:headerReference w:type="even" r:id="rId11"/>
      <w:headerReference w:type="default" r:id="rId12"/>
      <w:footerReference w:type="even" r:id="rId13"/>
      <w:footerReference w:type="default" r:id="rId14"/>
      <w:footnotePr>
        <w:pos w:val="beneathText"/>
      </w:footnotePr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619E2" w16cid:durableId="20F6CE05"/>
  <w16cid:commentId w16cid:paraId="734AC7CE" w16cid:durableId="20F6DCBD"/>
  <w16cid:commentId w16cid:paraId="6AF8D911" w16cid:durableId="20F7078E"/>
  <w16cid:commentId w16cid:paraId="50768BEC" w16cid:durableId="20F70A8B"/>
  <w16cid:commentId w16cid:paraId="15B0C836" w16cid:durableId="20F70CE2"/>
  <w16cid:commentId w16cid:paraId="413DE529" w16cid:durableId="20F82616"/>
  <w16cid:commentId w16cid:paraId="141B886B" w16cid:durableId="20F82A5A"/>
  <w16cid:commentId w16cid:paraId="29661C99" w16cid:durableId="20F92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1509D" w14:textId="77777777" w:rsidR="008B3137" w:rsidRDefault="008B3137" w:rsidP="00E71A58">
      <w:r>
        <w:separator/>
      </w:r>
    </w:p>
  </w:endnote>
  <w:endnote w:type="continuationSeparator" w:id="0">
    <w:p w14:paraId="209C9AFF" w14:textId="77777777" w:rsidR="008B3137" w:rsidRDefault="008B313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84EB" w14:textId="4C064CC3" w:rsidR="00AD7D0B" w:rsidRPr="00932443" w:rsidRDefault="00AD7D0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7BA63FD4" wp14:editId="33EBA59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D5ECD">
      <w:rPr>
        <w:szCs w:val="16"/>
      </w:rPr>
      <w:t>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368E" w14:textId="6AAF6030" w:rsidR="00AD7D0B" w:rsidRPr="00932443" w:rsidRDefault="00AD7D0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723CA28A" wp14:editId="1B347EAC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D5ECD">
      <w:rPr>
        <w:rStyle w:val="ZpatChar"/>
        <w:szCs w:val="16"/>
      </w:rPr>
      <w:t>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FEA73" w14:textId="77777777" w:rsidR="008B3137" w:rsidRDefault="008B3137" w:rsidP="0084727E">
      <w:pPr>
        <w:spacing w:after="0"/>
      </w:pPr>
      <w:r>
        <w:separator/>
      </w:r>
    </w:p>
  </w:footnote>
  <w:footnote w:type="continuationSeparator" w:id="0">
    <w:p w14:paraId="21D9395F" w14:textId="77777777" w:rsidR="008B3137" w:rsidRDefault="008B3137" w:rsidP="00E71A58">
      <w:r>
        <w:continuationSeparator/>
      </w:r>
    </w:p>
  </w:footnote>
  <w:footnote w:id="1">
    <w:p w14:paraId="47EC4DBF" w14:textId="77777777" w:rsidR="00AD7D0B" w:rsidRPr="00331D04" w:rsidRDefault="00AD7D0B">
      <w:pPr>
        <w:pStyle w:val="Textpoznpodarou"/>
        <w:rPr>
          <w:sz w:val="16"/>
          <w:szCs w:val="16"/>
        </w:rPr>
      </w:pPr>
      <w:r w:rsidRPr="00331D04">
        <w:rPr>
          <w:rStyle w:val="Znakapoznpodarou"/>
          <w:sz w:val="16"/>
          <w:szCs w:val="16"/>
        </w:rPr>
        <w:footnoteRef/>
      </w:r>
      <w:r w:rsidRPr="00331D04">
        <w:rPr>
          <w:sz w:val="16"/>
          <w:szCs w:val="16"/>
        </w:rPr>
        <w:t xml:space="preserve"> Není-li uvedeno jinak, jsou údaje o HDP a jeho složkách uváděny bez sezónního očištění.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B81D" w14:textId="77777777" w:rsidR="00AD7D0B" w:rsidRPr="00601A2E" w:rsidRDefault="00AD7D0B" w:rsidP="00601A2E">
    <w:pPr>
      <w:pStyle w:val="Zhlav"/>
    </w:pPr>
    <w:r>
      <w:t>Analýza ekonomického vývoje v roce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7858" w14:textId="77777777" w:rsidR="00AD7D0B" w:rsidRDefault="00AD7D0B" w:rsidP="00937AE2">
    <w:pPr>
      <w:pStyle w:val="Zhlav"/>
    </w:pPr>
    <w:r>
      <w:t>Analýza ekonomického vývoje v roce 2018</w:t>
    </w:r>
  </w:p>
  <w:p w14:paraId="427F87BC" w14:textId="77777777" w:rsidR="00AD7D0B" w:rsidRPr="006F5416" w:rsidRDefault="00AD7D0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5AC1"/>
    <w:multiLevelType w:val="hybridMultilevel"/>
    <w:tmpl w:val="7464A696"/>
    <w:lvl w:ilvl="0" w:tplc="4246FC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502"/>
    <w:rsid w:val="0000209D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E7F"/>
    <w:rsid w:val="0002195D"/>
    <w:rsid w:val="000234D6"/>
    <w:rsid w:val="00023D29"/>
    <w:rsid w:val="00026389"/>
    <w:rsid w:val="00031AE0"/>
    <w:rsid w:val="000322EF"/>
    <w:rsid w:val="000333B9"/>
    <w:rsid w:val="00033FCD"/>
    <w:rsid w:val="00041CEC"/>
    <w:rsid w:val="0004694F"/>
    <w:rsid w:val="000500AB"/>
    <w:rsid w:val="000522E4"/>
    <w:rsid w:val="000610E1"/>
    <w:rsid w:val="00062EC5"/>
    <w:rsid w:val="00062F22"/>
    <w:rsid w:val="00067A82"/>
    <w:rsid w:val="000712B3"/>
    <w:rsid w:val="000748F2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637"/>
    <w:rsid w:val="000E3D0E"/>
    <w:rsid w:val="000E6C04"/>
    <w:rsid w:val="000E6FBD"/>
    <w:rsid w:val="000F7084"/>
    <w:rsid w:val="00100F5C"/>
    <w:rsid w:val="0010106F"/>
    <w:rsid w:val="00101CDA"/>
    <w:rsid w:val="00104C4C"/>
    <w:rsid w:val="00117623"/>
    <w:rsid w:val="0012192F"/>
    <w:rsid w:val="00122BB3"/>
    <w:rsid w:val="00125A9C"/>
    <w:rsid w:val="00125D69"/>
    <w:rsid w:val="001405FA"/>
    <w:rsid w:val="00141782"/>
    <w:rsid w:val="001425C3"/>
    <w:rsid w:val="0014794C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387"/>
    <w:rsid w:val="001A552F"/>
    <w:rsid w:val="001B28D3"/>
    <w:rsid w:val="001B2CA9"/>
    <w:rsid w:val="001B3110"/>
    <w:rsid w:val="001B4729"/>
    <w:rsid w:val="001B6310"/>
    <w:rsid w:val="001B6C09"/>
    <w:rsid w:val="001C05CD"/>
    <w:rsid w:val="001C1B66"/>
    <w:rsid w:val="001C487C"/>
    <w:rsid w:val="001D198A"/>
    <w:rsid w:val="001D463E"/>
    <w:rsid w:val="001D51EB"/>
    <w:rsid w:val="001D68B2"/>
    <w:rsid w:val="001D70E9"/>
    <w:rsid w:val="001E504C"/>
    <w:rsid w:val="001F138C"/>
    <w:rsid w:val="001F4063"/>
    <w:rsid w:val="001F4597"/>
    <w:rsid w:val="001F52D6"/>
    <w:rsid w:val="001F7EA1"/>
    <w:rsid w:val="00203DA4"/>
    <w:rsid w:val="002052C6"/>
    <w:rsid w:val="002054B4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035"/>
    <w:rsid w:val="00241B06"/>
    <w:rsid w:val="002436BA"/>
    <w:rsid w:val="00244A15"/>
    <w:rsid w:val="00247319"/>
    <w:rsid w:val="0024799E"/>
    <w:rsid w:val="00253C0F"/>
    <w:rsid w:val="002558C1"/>
    <w:rsid w:val="00260FC5"/>
    <w:rsid w:val="00271465"/>
    <w:rsid w:val="00274037"/>
    <w:rsid w:val="00285412"/>
    <w:rsid w:val="0028587B"/>
    <w:rsid w:val="00291640"/>
    <w:rsid w:val="002A16D4"/>
    <w:rsid w:val="002A230C"/>
    <w:rsid w:val="002A5D97"/>
    <w:rsid w:val="002A7679"/>
    <w:rsid w:val="002B2127"/>
    <w:rsid w:val="002B213A"/>
    <w:rsid w:val="002B4845"/>
    <w:rsid w:val="002B6B06"/>
    <w:rsid w:val="002C43BD"/>
    <w:rsid w:val="002D0E59"/>
    <w:rsid w:val="002E02A1"/>
    <w:rsid w:val="002E1A9C"/>
    <w:rsid w:val="002E4E4C"/>
    <w:rsid w:val="00303533"/>
    <w:rsid w:val="00304771"/>
    <w:rsid w:val="003052D4"/>
    <w:rsid w:val="00306C5B"/>
    <w:rsid w:val="00314A41"/>
    <w:rsid w:val="003209D6"/>
    <w:rsid w:val="00321924"/>
    <w:rsid w:val="0032656E"/>
    <w:rsid w:val="003268DD"/>
    <w:rsid w:val="00330060"/>
    <w:rsid w:val="00332190"/>
    <w:rsid w:val="0033250B"/>
    <w:rsid w:val="0034335E"/>
    <w:rsid w:val="00344668"/>
    <w:rsid w:val="003462D9"/>
    <w:rsid w:val="00347378"/>
    <w:rsid w:val="00347604"/>
    <w:rsid w:val="00357908"/>
    <w:rsid w:val="00360C86"/>
    <w:rsid w:val="00360DE3"/>
    <w:rsid w:val="00360FBC"/>
    <w:rsid w:val="00362E90"/>
    <w:rsid w:val="00364C32"/>
    <w:rsid w:val="00364FA0"/>
    <w:rsid w:val="003657F3"/>
    <w:rsid w:val="00376C3B"/>
    <w:rsid w:val="003818DC"/>
    <w:rsid w:val="00384327"/>
    <w:rsid w:val="00385D98"/>
    <w:rsid w:val="003870EE"/>
    <w:rsid w:val="003A2B4D"/>
    <w:rsid w:val="003A2D12"/>
    <w:rsid w:val="003A478C"/>
    <w:rsid w:val="003A5525"/>
    <w:rsid w:val="003A6B38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5F45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7ABC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D3177"/>
    <w:rsid w:val="004E326C"/>
    <w:rsid w:val="004F06F5"/>
    <w:rsid w:val="004F16F7"/>
    <w:rsid w:val="004F33A0"/>
    <w:rsid w:val="004F6EDC"/>
    <w:rsid w:val="0050689D"/>
    <w:rsid w:val="005108C0"/>
    <w:rsid w:val="00511873"/>
    <w:rsid w:val="00512A2F"/>
    <w:rsid w:val="00513B7E"/>
    <w:rsid w:val="005152D9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1B03"/>
    <w:rsid w:val="00563EB8"/>
    <w:rsid w:val="005647BF"/>
    <w:rsid w:val="00564AF1"/>
    <w:rsid w:val="0057364B"/>
    <w:rsid w:val="00574773"/>
    <w:rsid w:val="00581AC8"/>
    <w:rsid w:val="00583FFD"/>
    <w:rsid w:val="005911BE"/>
    <w:rsid w:val="00593152"/>
    <w:rsid w:val="00596F92"/>
    <w:rsid w:val="005A10F2"/>
    <w:rsid w:val="005A21E0"/>
    <w:rsid w:val="005A28FF"/>
    <w:rsid w:val="005A2A19"/>
    <w:rsid w:val="005A2C7B"/>
    <w:rsid w:val="005A3DF8"/>
    <w:rsid w:val="005A5549"/>
    <w:rsid w:val="005A5D45"/>
    <w:rsid w:val="005A655B"/>
    <w:rsid w:val="005A7666"/>
    <w:rsid w:val="005B121D"/>
    <w:rsid w:val="005C06ED"/>
    <w:rsid w:val="005C2609"/>
    <w:rsid w:val="005C35A1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104FB"/>
    <w:rsid w:val="0061249B"/>
    <w:rsid w:val="00612A2F"/>
    <w:rsid w:val="00616E05"/>
    <w:rsid w:val="00624093"/>
    <w:rsid w:val="006254CB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0575"/>
    <w:rsid w:val="00741493"/>
    <w:rsid w:val="0074369B"/>
    <w:rsid w:val="00744EE6"/>
    <w:rsid w:val="00745062"/>
    <w:rsid w:val="007506A5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5232"/>
    <w:rsid w:val="00790764"/>
    <w:rsid w:val="0079453C"/>
    <w:rsid w:val="00794677"/>
    <w:rsid w:val="007A38F2"/>
    <w:rsid w:val="007A516D"/>
    <w:rsid w:val="007B0750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661C"/>
    <w:rsid w:val="007F708D"/>
    <w:rsid w:val="00801E13"/>
    <w:rsid w:val="00805381"/>
    <w:rsid w:val="00807674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364D5"/>
    <w:rsid w:val="00846121"/>
    <w:rsid w:val="0084708F"/>
    <w:rsid w:val="0084727E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37A2"/>
    <w:rsid w:val="00865E4C"/>
    <w:rsid w:val="008701E4"/>
    <w:rsid w:val="00875A32"/>
    <w:rsid w:val="00876086"/>
    <w:rsid w:val="00884A6F"/>
    <w:rsid w:val="008856A3"/>
    <w:rsid w:val="008873D4"/>
    <w:rsid w:val="0089296D"/>
    <w:rsid w:val="00893E85"/>
    <w:rsid w:val="00894031"/>
    <w:rsid w:val="00895508"/>
    <w:rsid w:val="008B3137"/>
    <w:rsid w:val="008B7C02"/>
    <w:rsid w:val="008B7D2B"/>
    <w:rsid w:val="008C0049"/>
    <w:rsid w:val="008C0E88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5CF4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3F28"/>
    <w:rsid w:val="009540B7"/>
    <w:rsid w:val="0095759C"/>
    <w:rsid w:val="0096154D"/>
    <w:rsid w:val="0096221A"/>
    <w:rsid w:val="00974923"/>
    <w:rsid w:val="00976BAF"/>
    <w:rsid w:val="00980D3D"/>
    <w:rsid w:val="00987A30"/>
    <w:rsid w:val="00992CF3"/>
    <w:rsid w:val="009942B6"/>
    <w:rsid w:val="00994868"/>
    <w:rsid w:val="009968D6"/>
    <w:rsid w:val="009A1CAB"/>
    <w:rsid w:val="009A4901"/>
    <w:rsid w:val="009A60D1"/>
    <w:rsid w:val="009B6FD3"/>
    <w:rsid w:val="009B7C82"/>
    <w:rsid w:val="009C03C8"/>
    <w:rsid w:val="009C1750"/>
    <w:rsid w:val="009C1EEA"/>
    <w:rsid w:val="009C2E29"/>
    <w:rsid w:val="009C554B"/>
    <w:rsid w:val="009C719E"/>
    <w:rsid w:val="009D3ACD"/>
    <w:rsid w:val="009D5ECD"/>
    <w:rsid w:val="009E5273"/>
    <w:rsid w:val="009E5DDB"/>
    <w:rsid w:val="009F46EA"/>
    <w:rsid w:val="009F4CA7"/>
    <w:rsid w:val="00A10D66"/>
    <w:rsid w:val="00A1260E"/>
    <w:rsid w:val="00A14114"/>
    <w:rsid w:val="00A16413"/>
    <w:rsid w:val="00A16E1D"/>
    <w:rsid w:val="00A17D5B"/>
    <w:rsid w:val="00A20028"/>
    <w:rsid w:val="00A230A8"/>
    <w:rsid w:val="00A23E43"/>
    <w:rsid w:val="00A25216"/>
    <w:rsid w:val="00A27420"/>
    <w:rsid w:val="00A27C85"/>
    <w:rsid w:val="00A30F65"/>
    <w:rsid w:val="00A32759"/>
    <w:rsid w:val="00A329DF"/>
    <w:rsid w:val="00A35142"/>
    <w:rsid w:val="00A35EA6"/>
    <w:rsid w:val="00A40EAC"/>
    <w:rsid w:val="00A416D4"/>
    <w:rsid w:val="00A418BC"/>
    <w:rsid w:val="00A46DE0"/>
    <w:rsid w:val="00A4750C"/>
    <w:rsid w:val="00A50D73"/>
    <w:rsid w:val="00A51F19"/>
    <w:rsid w:val="00A52CAD"/>
    <w:rsid w:val="00A537F0"/>
    <w:rsid w:val="00A53FC7"/>
    <w:rsid w:val="00A54250"/>
    <w:rsid w:val="00A55161"/>
    <w:rsid w:val="00A55593"/>
    <w:rsid w:val="00A62B23"/>
    <w:rsid w:val="00A62CE1"/>
    <w:rsid w:val="00A66A1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D7D0B"/>
    <w:rsid w:val="00AE09B3"/>
    <w:rsid w:val="00AE1A83"/>
    <w:rsid w:val="00AE7FB2"/>
    <w:rsid w:val="00B00913"/>
    <w:rsid w:val="00B01593"/>
    <w:rsid w:val="00B023F2"/>
    <w:rsid w:val="00B10A4D"/>
    <w:rsid w:val="00B120A1"/>
    <w:rsid w:val="00B12AA6"/>
    <w:rsid w:val="00B14BC1"/>
    <w:rsid w:val="00B17E71"/>
    <w:rsid w:val="00B17FDE"/>
    <w:rsid w:val="00B20632"/>
    <w:rsid w:val="00B23055"/>
    <w:rsid w:val="00B2379C"/>
    <w:rsid w:val="00B2687D"/>
    <w:rsid w:val="00B32DDB"/>
    <w:rsid w:val="00B34528"/>
    <w:rsid w:val="00B34CC9"/>
    <w:rsid w:val="00B366E5"/>
    <w:rsid w:val="00B402FC"/>
    <w:rsid w:val="00B40FF9"/>
    <w:rsid w:val="00B42470"/>
    <w:rsid w:val="00B439DA"/>
    <w:rsid w:val="00B46604"/>
    <w:rsid w:val="00B530CD"/>
    <w:rsid w:val="00B53AB0"/>
    <w:rsid w:val="00B55F5E"/>
    <w:rsid w:val="00B57338"/>
    <w:rsid w:val="00B5752E"/>
    <w:rsid w:val="00B57E25"/>
    <w:rsid w:val="00B619A9"/>
    <w:rsid w:val="00B63A11"/>
    <w:rsid w:val="00B64C24"/>
    <w:rsid w:val="00B6608F"/>
    <w:rsid w:val="00B679FB"/>
    <w:rsid w:val="00B76D1E"/>
    <w:rsid w:val="00B80EC6"/>
    <w:rsid w:val="00B84CF6"/>
    <w:rsid w:val="00B86F03"/>
    <w:rsid w:val="00B9200E"/>
    <w:rsid w:val="00B92D1D"/>
    <w:rsid w:val="00B938C5"/>
    <w:rsid w:val="00B95940"/>
    <w:rsid w:val="00B97434"/>
    <w:rsid w:val="00BA0DD3"/>
    <w:rsid w:val="00BA6C2B"/>
    <w:rsid w:val="00BA76E6"/>
    <w:rsid w:val="00BB2F03"/>
    <w:rsid w:val="00BB46F3"/>
    <w:rsid w:val="00BB4CB1"/>
    <w:rsid w:val="00BB4F98"/>
    <w:rsid w:val="00BC0E31"/>
    <w:rsid w:val="00BC5C12"/>
    <w:rsid w:val="00BC7075"/>
    <w:rsid w:val="00BC7154"/>
    <w:rsid w:val="00BC731E"/>
    <w:rsid w:val="00BD163C"/>
    <w:rsid w:val="00BD2991"/>
    <w:rsid w:val="00BD366B"/>
    <w:rsid w:val="00BD6D50"/>
    <w:rsid w:val="00BE18B9"/>
    <w:rsid w:val="00BE2495"/>
    <w:rsid w:val="00BE468E"/>
    <w:rsid w:val="00BE6186"/>
    <w:rsid w:val="00BF1578"/>
    <w:rsid w:val="00BF45D9"/>
    <w:rsid w:val="00C024B1"/>
    <w:rsid w:val="00C141FF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390B"/>
    <w:rsid w:val="00C54697"/>
    <w:rsid w:val="00C60191"/>
    <w:rsid w:val="00C6152B"/>
    <w:rsid w:val="00C73885"/>
    <w:rsid w:val="00C747B1"/>
    <w:rsid w:val="00C82191"/>
    <w:rsid w:val="00C83134"/>
    <w:rsid w:val="00C8418E"/>
    <w:rsid w:val="00C85545"/>
    <w:rsid w:val="00C86B84"/>
    <w:rsid w:val="00C90CF4"/>
    <w:rsid w:val="00C92EB6"/>
    <w:rsid w:val="00C93389"/>
    <w:rsid w:val="00C936C3"/>
    <w:rsid w:val="00C96D08"/>
    <w:rsid w:val="00CA28BC"/>
    <w:rsid w:val="00CA666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20FA"/>
    <w:rsid w:val="00D13986"/>
    <w:rsid w:val="00D21D83"/>
    <w:rsid w:val="00D22038"/>
    <w:rsid w:val="00D235B7"/>
    <w:rsid w:val="00D25F28"/>
    <w:rsid w:val="00D26071"/>
    <w:rsid w:val="00D27973"/>
    <w:rsid w:val="00D32F90"/>
    <w:rsid w:val="00D35E1A"/>
    <w:rsid w:val="00D50F46"/>
    <w:rsid w:val="00D52BE2"/>
    <w:rsid w:val="00D57677"/>
    <w:rsid w:val="00D64227"/>
    <w:rsid w:val="00D66223"/>
    <w:rsid w:val="00D67375"/>
    <w:rsid w:val="00D73384"/>
    <w:rsid w:val="00D8084C"/>
    <w:rsid w:val="00D915EA"/>
    <w:rsid w:val="00D92FD1"/>
    <w:rsid w:val="00D93CE2"/>
    <w:rsid w:val="00D943C6"/>
    <w:rsid w:val="00D965EC"/>
    <w:rsid w:val="00DA0BBD"/>
    <w:rsid w:val="00DA7C0C"/>
    <w:rsid w:val="00DB08A9"/>
    <w:rsid w:val="00DB2EC8"/>
    <w:rsid w:val="00DC37E3"/>
    <w:rsid w:val="00DC5B3B"/>
    <w:rsid w:val="00DD129F"/>
    <w:rsid w:val="00DD6B52"/>
    <w:rsid w:val="00DE0F63"/>
    <w:rsid w:val="00DE4C19"/>
    <w:rsid w:val="00DF317B"/>
    <w:rsid w:val="00DF42FF"/>
    <w:rsid w:val="00DF7AD4"/>
    <w:rsid w:val="00E01C0E"/>
    <w:rsid w:val="00E03F9A"/>
    <w:rsid w:val="00E04694"/>
    <w:rsid w:val="00E04F27"/>
    <w:rsid w:val="00E102BD"/>
    <w:rsid w:val="00E10A2E"/>
    <w:rsid w:val="00E11DE1"/>
    <w:rsid w:val="00E12B1E"/>
    <w:rsid w:val="00E17262"/>
    <w:rsid w:val="00E212C9"/>
    <w:rsid w:val="00E253A2"/>
    <w:rsid w:val="00E3309D"/>
    <w:rsid w:val="00E333BA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8168E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D7B65"/>
    <w:rsid w:val="00EE3446"/>
    <w:rsid w:val="00EE3E78"/>
    <w:rsid w:val="00EE466C"/>
    <w:rsid w:val="00EE4B1B"/>
    <w:rsid w:val="00EE50DB"/>
    <w:rsid w:val="00EF150D"/>
    <w:rsid w:val="00EF1F5A"/>
    <w:rsid w:val="00EF348D"/>
    <w:rsid w:val="00EF47BF"/>
    <w:rsid w:val="00F04811"/>
    <w:rsid w:val="00F0488C"/>
    <w:rsid w:val="00F05E10"/>
    <w:rsid w:val="00F10F11"/>
    <w:rsid w:val="00F13819"/>
    <w:rsid w:val="00F13C9C"/>
    <w:rsid w:val="00F15AAA"/>
    <w:rsid w:val="00F15BEF"/>
    <w:rsid w:val="00F160CE"/>
    <w:rsid w:val="00F162B3"/>
    <w:rsid w:val="00F231AE"/>
    <w:rsid w:val="00F24407"/>
    <w:rsid w:val="00F24FAA"/>
    <w:rsid w:val="00F3364D"/>
    <w:rsid w:val="00F33E56"/>
    <w:rsid w:val="00F433FE"/>
    <w:rsid w:val="00F437CC"/>
    <w:rsid w:val="00F44537"/>
    <w:rsid w:val="00F4530D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3D08"/>
    <w:rsid w:val="00F756DB"/>
    <w:rsid w:val="00F84E7D"/>
    <w:rsid w:val="00F85066"/>
    <w:rsid w:val="00F853A9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F3EE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359FC93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Downloads\hdpcr062819_gs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Downloads\hdpcr062819_gs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Ro&#269;n&#237;%20publikace%202019\Souhrnn&#225;%20v&#253;konnost\Kopie%20-%20nama_10_gdp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9427980412023E-2"/>
          <c:y val="3.9316672295395698E-2"/>
          <c:w val="0.91556969773725094"/>
          <c:h val="0.69869694922886416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'[hdpcr062819_gs(1).xlsx]HDP_minus'!$T$128</c:f>
              <c:strCache>
                <c:ptCount val="1"/>
                <c:pt idx="0">
                  <c:v>Spotřeba domácností a NISD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'[hdpcr062819_gs(1).xlsx]HDP_minus'!$R$129:$R$146</c:f>
              <c:strCache>
                <c:ptCount val="16"/>
                <c:pt idx="12">
                  <c:v>Q1</c:v>
                </c:pt>
                <c:pt idx="13">
                  <c:v>Q2</c:v>
                </c:pt>
                <c:pt idx="14">
                  <c:v>Q3</c:v>
                </c:pt>
                <c:pt idx="15">
                  <c:v>Q4</c:v>
                </c:pt>
              </c:strCache>
            </c:strRef>
          </c:cat>
          <c:val>
            <c:numRef>
              <c:f>'[hdpcr062819_gs(1).xlsx]HDP_minus'!$T$129:$T$146</c:f>
              <c:numCache>
                <c:formatCode>0.0</c:formatCode>
                <c:ptCount val="16"/>
                <c:pt idx="0">
                  <c:v>0.74852304193291075</c:v>
                </c:pt>
                <c:pt idx="1">
                  <c:v>-0.25011284589788529</c:v>
                </c:pt>
                <c:pt idx="2">
                  <c:v>0.10425898748932007</c:v>
                </c:pt>
                <c:pt idx="3">
                  <c:v>-0.14001667533277154</c:v>
                </c:pt>
                <c:pt idx="4">
                  <c:v>-0.84339402717938561</c:v>
                </c:pt>
                <c:pt idx="5">
                  <c:v>0.19283285403632097</c:v>
                </c:pt>
                <c:pt idx="6">
                  <c:v>0.36348883722386655</c:v>
                </c:pt>
                <c:pt idx="7">
                  <c:v>1.0017125560948443</c:v>
                </c:pt>
                <c:pt idx="8">
                  <c:v>1.0739422136321983</c:v>
                </c:pt>
                <c:pt idx="9">
                  <c:v>2.0511762257863624</c:v>
                </c:pt>
                <c:pt idx="10">
                  <c:v>0.94230816208650869</c:v>
                </c:pt>
                <c:pt idx="12" formatCode="#\ ##0.0">
                  <c:v>1.3069117795626355</c:v>
                </c:pt>
                <c:pt idx="13" formatCode="#\ ##0.0">
                  <c:v>1.0410991125698557</c:v>
                </c:pt>
                <c:pt idx="14" formatCode="#\ ##0.0">
                  <c:v>0.79591354895932076</c:v>
                </c:pt>
                <c:pt idx="15" formatCode="#\ ##0.0">
                  <c:v>0.63817092878771042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9A-44D0-82B2-27FED4B723B8}"/>
            </c:ext>
          </c:extLst>
        </c:ser>
        <c:ser>
          <c:idx val="2"/>
          <c:order val="2"/>
          <c:tx>
            <c:strRef>
              <c:f>'[hdpcr062819_gs(1).xlsx]HDP_minus'!$U$128</c:f>
              <c:strCache>
                <c:ptCount val="1"/>
                <c:pt idx="0">
                  <c:v>Spotřeba vládních institucí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'[hdpcr062819_gs(1).xlsx]HDP_minus'!$R$129:$R$146</c:f>
              <c:strCache>
                <c:ptCount val="16"/>
                <c:pt idx="12">
                  <c:v>Q1</c:v>
                </c:pt>
                <c:pt idx="13">
                  <c:v>Q2</c:v>
                </c:pt>
                <c:pt idx="14">
                  <c:v>Q3</c:v>
                </c:pt>
                <c:pt idx="15">
                  <c:v>Q4</c:v>
                </c:pt>
              </c:strCache>
            </c:strRef>
          </c:cat>
          <c:val>
            <c:numRef>
              <c:f>'[hdpcr062819_gs(1).xlsx]HDP_minus'!$U$129:$U$146</c:f>
              <c:numCache>
                <c:formatCode>0.0</c:formatCode>
                <c:ptCount val="16"/>
                <c:pt idx="0">
                  <c:v>0.17368143360776619</c:v>
                </c:pt>
                <c:pt idx="1">
                  <c:v>0.46701887591631558</c:v>
                </c:pt>
                <c:pt idx="2">
                  <c:v>0.14155590316039066</c:v>
                </c:pt>
                <c:pt idx="3">
                  <c:v>-0.64251648943686679</c:v>
                </c:pt>
                <c:pt idx="4">
                  <c:v>-0.44816019088183123</c:v>
                </c:pt>
                <c:pt idx="5">
                  <c:v>0.45168332145904017</c:v>
                </c:pt>
                <c:pt idx="6">
                  <c:v>0.24071356444423336</c:v>
                </c:pt>
                <c:pt idx="7">
                  <c:v>0.48652336992107426</c:v>
                </c:pt>
                <c:pt idx="8">
                  <c:v>0.48127389833251094</c:v>
                </c:pt>
                <c:pt idx="9">
                  <c:v>0.24400046414975646</c:v>
                </c:pt>
                <c:pt idx="10">
                  <c:v>0.71912342665616535</c:v>
                </c:pt>
                <c:pt idx="12" formatCode="#\ ##0.0">
                  <c:v>0.59071162611566641</c:v>
                </c:pt>
                <c:pt idx="13" formatCode="#\ ##0.0">
                  <c:v>0.64892162919483998</c:v>
                </c:pt>
                <c:pt idx="14" formatCode="#\ ##0.0">
                  <c:v>0.87919131880166645</c:v>
                </c:pt>
                <c:pt idx="15" formatCode="#\ ##0.0">
                  <c:v>0.7536668371279448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9A-44D0-82B2-27FED4B723B8}"/>
            </c:ext>
          </c:extLst>
        </c:ser>
        <c:ser>
          <c:idx val="3"/>
          <c:order val="3"/>
          <c:tx>
            <c:strRef>
              <c:f>'[hdpcr062819_gs(1).xlsx]HDP_minus'!$V$128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'[hdpcr062819_gs(1).xlsx]HDP_minus'!$R$129:$R$146</c:f>
              <c:strCache>
                <c:ptCount val="16"/>
                <c:pt idx="12">
                  <c:v>Q1</c:v>
                </c:pt>
                <c:pt idx="13">
                  <c:v>Q2</c:v>
                </c:pt>
                <c:pt idx="14">
                  <c:v>Q3</c:v>
                </c:pt>
                <c:pt idx="15">
                  <c:v>Q4</c:v>
                </c:pt>
              </c:strCache>
            </c:strRef>
          </c:cat>
          <c:val>
            <c:numRef>
              <c:f>'[hdpcr062819_gs(1).xlsx]HDP_minus'!$V$129:$V$146</c:f>
              <c:numCache>
                <c:formatCode>0.0</c:formatCode>
                <c:ptCount val="16"/>
                <c:pt idx="0">
                  <c:v>8.0888372202755771E-2</c:v>
                </c:pt>
                <c:pt idx="1">
                  <c:v>-3.2300000398885609</c:v>
                </c:pt>
                <c:pt idx="2">
                  <c:v>2.7515457026140715E-2</c:v>
                </c:pt>
                <c:pt idx="3">
                  <c:v>0.13281101792248845</c:v>
                </c:pt>
                <c:pt idx="4">
                  <c:v>-1.2936790064609383</c:v>
                </c:pt>
                <c:pt idx="5">
                  <c:v>-0.98162414504436335</c:v>
                </c:pt>
                <c:pt idx="6">
                  <c:v>0.83820302982920769</c:v>
                </c:pt>
                <c:pt idx="7">
                  <c:v>2.6648468554887046</c:v>
                </c:pt>
                <c:pt idx="8">
                  <c:v>-0.59643154043558044</c:v>
                </c:pt>
                <c:pt idx="9">
                  <c:v>0.8895859273562895</c:v>
                </c:pt>
                <c:pt idx="10">
                  <c:v>0.84517421327216635</c:v>
                </c:pt>
                <c:pt idx="12" formatCode="#\ ##0.0">
                  <c:v>2.2682234872291809</c:v>
                </c:pt>
                <c:pt idx="13" formatCode="#\ ##0.0">
                  <c:v>0.48159307261868062</c:v>
                </c:pt>
                <c:pt idx="14" formatCode="#\ ##0.0">
                  <c:v>0.63963836845220412</c:v>
                </c:pt>
                <c:pt idx="15" formatCode="#\ ##0.0">
                  <c:v>3.5127639035883292E-2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9A-44D0-82B2-27FED4B723B8}"/>
            </c:ext>
          </c:extLst>
        </c:ser>
        <c:ser>
          <c:idx val="4"/>
          <c:order val="4"/>
          <c:tx>
            <c:strRef>
              <c:f>'[hdpcr062819_gs(1).xlsx]HDP_minus'!$W$128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'[hdpcr062819_gs(1).xlsx]HDP_minus'!$R$129:$R$146</c:f>
              <c:strCache>
                <c:ptCount val="16"/>
                <c:pt idx="12">
                  <c:v>Q1</c:v>
                </c:pt>
                <c:pt idx="13">
                  <c:v>Q2</c:v>
                </c:pt>
                <c:pt idx="14">
                  <c:v>Q3</c:v>
                </c:pt>
                <c:pt idx="15">
                  <c:v>Q4</c:v>
                </c:pt>
              </c:strCache>
            </c:strRef>
          </c:cat>
          <c:val>
            <c:numRef>
              <c:f>'[hdpcr062819_gs(1).xlsx]HDP_minus'!$W$129:$W$146</c:f>
              <c:numCache>
                <c:formatCode>0.0</c:formatCode>
                <c:ptCount val="16"/>
                <c:pt idx="0">
                  <c:v>1.5077648828011339</c:v>
                </c:pt>
                <c:pt idx="1">
                  <c:v>-1.6571941820847869</c:v>
                </c:pt>
                <c:pt idx="2">
                  <c:v>1.8583946896650456</c:v>
                </c:pt>
                <c:pt idx="3">
                  <c:v>2.4350550633871753</c:v>
                </c:pt>
                <c:pt idx="4">
                  <c:v>1.8498847830311491</c:v>
                </c:pt>
                <c:pt idx="5">
                  <c:v>-0.17505936946044864</c:v>
                </c:pt>
                <c:pt idx="6">
                  <c:v>1.2483669084973883</c:v>
                </c:pt>
                <c:pt idx="7">
                  <c:v>1.2609420590944977</c:v>
                </c:pt>
                <c:pt idx="8">
                  <c:v>1.3527089259811103</c:v>
                </c:pt>
                <c:pt idx="9">
                  <c:v>1.332565433703123</c:v>
                </c:pt>
                <c:pt idx="10">
                  <c:v>0.39748723113149831</c:v>
                </c:pt>
                <c:pt idx="12" formatCode="#\ ##0.0">
                  <c:v>4.5646315262077852E-2</c:v>
                </c:pt>
                <c:pt idx="13" formatCode="#\ ##0.0">
                  <c:v>0.19158123219824619</c:v>
                </c:pt>
                <c:pt idx="14" formatCode="#\ ##0.0">
                  <c:v>9.6065615114189207E-2</c:v>
                </c:pt>
                <c:pt idx="15" formatCode="#\ ##0.0">
                  <c:v>1.2400529011349497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9A-44D0-82B2-27FED4B72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71206096"/>
        <c:axId val="271205680"/>
      </c:barChart>
      <c:lineChart>
        <c:grouping val="standard"/>
        <c:varyColors val="0"/>
        <c:ser>
          <c:idx val="0"/>
          <c:order val="0"/>
          <c:tx>
            <c:strRef>
              <c:f>'[hdpcr062819_gs(1).xlsx]HDP_minus'!$S$128</c:f>
              <c:strCache>
                <c:ptCount val="1"/>
                <c:pt idx="0">
                  <c:v>HDP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multiLvlStrRef>
              <c:f>'[hdpcr062819_gs(1).xlsx]HDP_minus'!$Q$129:$R$146</c:f>
              <c:multiLvlStrCache>
                <c:ptCount val="16"/>
                <c:lvl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</c:lvl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  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'[hdpcr062819_gs(1).xlsx]HDP_minus'!$S$129:$S$146</c:f>
              <c:numCache>
                <c:formatCode>0.0</c:formatCode>
                <c:ptCount val="16"/>
                <c:pt idx="0">
                  <c:v>2.5105396438189937</c:v>
                </c:pt>
                <c:pt idx="1">
                  <c:v>-4.6620919347961403</c:v>
                </c:pt>
                <c:pt idx="2">
                  <c:v>2.1230498081757689</c:v>
                </c:pt>
                <c:pt idx="3">
                  <c:v>1.7800241870471716</c:v>
                </c:pt>
                <c:pt idx="4">
                  <c:v>-0.72520321894541295</c:v>
                </c:pt>
                <c:pt idx="5">
                  <c:v>-0.485126658684287</c:v>
                </c:pt>
                <c:pt idx="6">
                  <c:v>2.7149745365878659</c:v>
                </c:pt>
                <c:pt idx="7">
                  <c:v>5.3848212240188396</c:v>
                </c:pt>
                <c:pt idx="8">
                  <c:v>2.3576257230015969</c:v>
                </c:pt>
                <c:pt idx="9">
                  <c:v>4.5472590716258399</c:v>
                </c:pt>
                <c:pt idx="10">
                  <c:v>2.9378831783883679</c:v>
                </c:pt>
                <c:pt idx="12" formatCode="#\ ##0.0">
                  <c:v>4.2248388331366131</c:v>
                </c:pt>
                <c:pt idx="13" formatCode="#\ ##0.0">
                  <c:v>2.3828601900949709</c:v>
                </c:pt>
                <c:pt idx="14" formatCode="#\ ##0.0">
                  <c:v>2.4575548921913328</c:v>
                </c:pt>
                <c:pt idx="15" formatCode="#\ ##0.0">
                  <c:v>2.7217104519809316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19A-44D0-82B2-27FED4B72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206096"/>
        <c:axId val="271205680"/>
      </c:lineChart>
      <c:catAx>
        <c:axId val="27120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71205680"/>
        <c:crosses val="autoZero"/>
        <c:auto val="1"/>
        <c:lblAlgn val="ctr"/>
        <c:lblOffset val="100"/>
        <c:noMultiLvlLbl val="0"/>
      </c:catAx>
      <c:valAx>
        <c:axId val="27120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7120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511820330969262E-2"/>
          <c:y val="0.86762158054711247"/>
          <c:w val="0.907144545761567"/>
          <c:h val="0.110932961837217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2"/>
          <c:order val="1"/>
          <c:tx>
            <c:strRef>
              <c:f>'[hdpcr062819_gs(1).xlsx]HPH'!$S$86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'[hdpcr062819_gs(1).xlsx]HPH'!$O$87:$P$102</c:f>
              <c:multiLvlStrCache>
                <c:ptCount val="16"/>
                <c:lvl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</c:lvl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   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'[hdpcr062819_gs(1).xlsx]HPH'!$S$87:$S$102</c:f>
              <c:numCache>
                <c:formatCode>#\ ##0.0</c:formatCode>
                <c:ptCount val="16"/>
                <c:pt idx="0">
                  <c:v>2.0200591191930344</c:v>
                </c:pt>
                <c:pt idx="1">
                  <c:v>-2.8430949176183709</c:v>
                </c:pt>
                <c:pt idx="2">
                  <c:v>2.456011771442328</c:v>
                </c:pt>
                <c:pt idx="3">
                  <c:v>2.366264083990528</c:v>
                </c:pt>
                <c:pt idx="4">
                  <c:v>-0.72880833429812941</c:v>
                </c:pt>
                <c:pt idx="5">
                  <c:v>-0.67097276520613902</c:v>
                </c:pt>
                <c:pt idx="6">
                  <c:v>1.5340340019616832</c:v>
                </c:pt>
                <c:pt idx="7">
                  <c:v>1.455550144482493</c:v>
                </c:pt>
                <c:pt idx="8">
                  <c:v>0.86430870529639825</c:v>
                </c:pt>
                <c:pt idx="9">
                  <c:v>2.9894202127162881</c:v>
                </c:pt>
                <c:pt idx="10">
                  <c:v>0.41972546541729372</c:v>
                </c:pt>
                <c:pt idx="12">
                  <c:v>1.5816741251665112</c:v>
                </c:pt>
                <c:pt idx="13">
                  <c:v>0.1688755994603568</c:v>
                </c:pt>
                <c:pt idx="14">
                  <c:v>-0.21481541503282964</c:v>
                </c:pt>
                <c:pt idx="15">
                  <c:v>0.17510154761082861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B8-418C-A16A-65E36DD142D7}"/>
            </c:ext>
          </c:extLst>
        </c:ser>
        <c:ser>
          <c:idx val="3"/>
          <c:order val="2"/>
          <c:tx>
            <c:strRef>
              <c:f>'[hdpcr062819_gs(1).xlsx]HPH'!$T$86</c:f>
              <c:strCache>
                <c:ptCount val="1"/>
                <c:pt idx="0">
                  <c:v>Ostatní průmyslová odvětví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'[hdpcr062819_gs(1).xlsx]HPH'!$O$87:$P$102</c:f>
              <c:multiLvlStrCache>
                <c:ptCount val="16"/>
                <c:lvl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</c:lvl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   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'[hdpcr062819_gs(1).xlsx]HPH'!$T$87:$T$102</c:f>
              <c:numCache>
                <c:formatCode>#\ ##0.0</c:formatCode>
                <c:ptCount val="16"/>
                <c:pt idx="0">
                  <c:v>0.42536489424105461</c:v>
                </c:pt>
                <c:pt idx="1">
                  <c:v>-0.63209456808563047</c:v>
                </c:pt>
                <c:pt idx="2">
                  <c:v>-0.64150085889680986</c:v>
                </c:pt>
                <c:pt idx="3">
                  <c:v>-0.40601010065731113</c:v>
                </c:pt>
                <c:pt idx="4">
                  <c:v>-8.010786649348911E-2</c:v>
                </c:pt>
                <c:pt idx="5">
                  <c:v>-0.71966311541477257</c:v>
                </c:pt>
                <c:pt idx="6">
                  <c:v>5.2246105333710879E-2</c:v>
                </c:pt>
                <c:pt idx="7">
                  <c:v>-5.3549096593128009E-2</c:v>
                </c:pt>
                <c:pt idx="8">
                  <c:v>-0.32272004199493332</c:v>
                </c:pt>
                <c:pt idx="9">
                  <c:v>3.5600564006311952E-2</c:v>
                </c:pt>
                <c:pt idx="10">
                  <c:v>-0.1120634804452203</c:v>
                </c:pt>
                <c:pt idx="12">
                  <c:v>-0.1924556088334417</c:v>
                </c:pt>
                <c:pt idx="13">
                  <c:v>-0.14766650544396429</c:v>
                </c:pt>
                <c:pt idx="14">
                  <c:v>2.1403533574316375E-2</c:v>
                </c:pt>
                <c:pt idx="15">
                  <c:v>-0.13203101072711443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B8-418C-A16A-65E36DD142D7}"/>
            </c:ext>
          </c:extLst>
        </c:ser>
        <c:ser>
          <c:idx val="4"/>
          <c:order val="3"/>
          <c:tx>
            <c:strRef>
              <c:f>'[hdpcr062819_gs(1).xlsx]HPH'!$U$86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multiLvlStrRef>
              <c:f>'[hdpcr062819_gs(1).xlsx]HPH'!$O$87:$P$102</c:f>
              <c:multiLvlStrCache>
                <c:ptCount val="16"/>
                <c:lvl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</c:lvl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   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'[hdpcr062819_gs(1).xlsx]HPH'!$U$87:$U$102</c:f>
              <c:numCache>
                <c:formatCode>#\ ##0.0</c:formatCode>
                <c:ptCount val="16"/>
                <c:pt idx="0">
                  <c:v>-2.6252832315425047E-2</c:v>
                </c:pt>
                <c:pt idx="1">
                  <c:v>-0.21342348388116325</c:v>
                </c:pt>
                <c:pt idx="2">
                  <c:v>0.25055375501585608</c:v>
                </c:pt>
                <c:pt idx="3">
                  <c:v>-0.45155386667970582</c:v>
                </c:pt>
                <c:pt idx="4">
                  <c:v>-0.18433334332504572</c:v>
                </c:pt>
                <c:pt idx="5">
                  <c:v>6.9032827604358013E-2</c:v>
                </c:pt>
                <c:pt idx="6">
                  <c:v>0.11389978182615408</c:v>
                </c:pt>
                <c:pt idx="7">
                  <c:v>0.22225312634867006</c:v>
                </c:pt>
                <c:pt idx="8">
                  <c:v>-0.21488084276020014</c:v>
                </c:pt>
                <c:pt idx="9">
                  <c:v>-0.12942264055803007</c:v>
                </c:pt>
                <c:pt idx="10">
                  <c:v>0.21453663746064111</c:v>
                </c:pt>
                <c:pt idx="12">
                  <c:v>0.19910605697994427</c:v>
                </c:pt>
                <c:pt idx="13">
                  <c:v>0.20565933610789811</c:v>
                </c:pt>
                <c:pt idx="14">
                  <c:v>0.21938141668271571</c:v>
                </c:pt>
                <c:pt idx="15">
                  <c:v>0.23352516851115807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B8-418C-A16A-65E36DD142D7}"/>
            </c:ext>
          </c:extLst>
        </c:ser>
        <c:ser>
          <c:idx val="5"/>
          <c:order val="4"/>
          <c:tx>
            <c:strRef>
              <c:f>'[hdpcr062819_gs(1).xlsx]HPH'!$V$86</c:f>
              <c:strCache>
                <c:ptCount val="1"/>
                <c:pt idx="0">
                  <c:v>Služby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'[hdpcr062819_gs(1).xlsx]HPH'!$O$87:$P$102</c:f>
              <c:multiLvlStrCache>
                <c:ptCount val="16"/>
                <c:lvl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</c:lvl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   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'[hdpcr062819_gs(1).xlsx]HPH'!$V$87:$V$102</c:f>
              <c:numCache>
                <c:formatCode>#\ ##0.0</c:formatCode>
                <c:ptCount val="16"/>
                <c:pt idx="0">
                  <c:v>0.76527149971820618</c:v>
                </c:pt>
                <c:pt idx="1">
                  <c:v>-2.0324478321013721</c:v>
                </c:pt>
                <c:pt idx="2">
                  <c:v>0.89821369712609855</c:v>
                </c:pt>
                <c:pt idx="3">
                  <c:v>0.46831844312966697</c:v>
                </c:pt>
                <c:pt idx="4">
                  <c:v>0.13475061648407038</c:v>
                </c:pt>
                <c:pt idx="5">
                  <c:v>0.89271125196707912</c:v>
                </c:pt>
                <c:pt idx="6">
                  <c:v>1.4836421425375192</c:v>
                </c:pt>
                <c:pt idx="7">
                  <c:v>3.0334139178386996</c:v>
                </c:pt>
                <c:pt idx="8">
                  <c:v>1.8763585636456708</c:v>
                </c:pt>
                <c:pt idx="9">
                  <c:v>1.6279379219542258</c:v>
                </c:pt>
                <c:pt idx="10">
                  <c:v>2.4577022643304782</c:v>
                </c:pt>
                <c:pt idx="12">
                  <c:v>2.5692836495114437</c:v>
                </c:pt>
                <c:pt idx="13">
                  <c:v>2.1524303825686846</c:v>
                </c:pt>
                <c:pt idx="14">
                  <c:v>2.5159361547441597</c:v>
                </c:pt>
                <c:pt idx="15">
                  <c:v>2.5943146957256595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B8-418C-A16A-65E36DD142D7}"/>
            </c:ext>
          </c:extLst>
        </c:ser>
        <c:ser>
          <c:idx val="1"/>
          <c:order val="5"/>
          <c:tx>
            <c:strRef>
              <c:f>'[hdpcr062819_gs(1).xlsx]HPH'!$R$86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'[hdpcr062819_gs(1).xlsx]HPH'!$O$87:$P$102</c:f>
              <c:multiLvlStrCache>
                <c:ptCount val="16"/>
                <c:lvl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</c:lvl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   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'[hdpcr062819_gs(1).xlsx]HPH'!$R$87:$R$102</c:f>
              <c:numCache>
                <c:formatCode>#\ ##0.0</c:formatCode>
                <c:ptCount val="16"/>
                <c:pt idx="0">
                  <c:v>0.19495531555156828</c:v>
                </c:pt>
                <c:pt idx="1">
                  <c:v>0.43897361384478878</c:v>
                </c:pt>
                <c:pt idx="2">
                  <c:v>-0.29242989613367065</c:v>
                </c:pt>
                <c:pt idx="3">
                  <c:v>3.2467396391424916E-2</c:v>
                </c:pt>
                <c:pt idx="4">
                  <c:v>9.8147949026866799E-2</c:v>
                </c:pt>
                <c:pt idx="5">
                  <c:v>-6.390608464883181E-2</c:v>
                </c:pt>
                <c:pt idx="6">
                  <c:v>0.21670135651722441</c:v>
                </c:pt>
                <c:pt idx="7">
                  <c:v>0.15079446127350887</c:v>
                </c:pt>
                <c:pt idx="8">
                  <c:v>8.3332487440914413E-2</c:v>
                </c:pt>
                <c:pt idx="9">
                  <c:v>-6.8960043327637235E-2</c:v>
                </c:pt>
                <c:pt idx="10">
                  <c:v>0.11261464845842716</c:v>
                </c:pt>
                <c:pt idx="12">
                  <c:v>3.8960462204582234E-2</c:v>
                </c:pt>
                <c:pt idx="13">
                  <c:v>0.12378566298445459</c:v>
                </c:pt>
                <c:pt idx="14">
                  <c:v>0.15648257530194556</c:v>
                </c:pt>
                <c:pt idx="15">
                  <c:v>0.12935065988119016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CB8-418C-A16A-65E36DD142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336125488"/>
        <c:axId val="336124656"/>
      </c:barChart>
      <c:lineChart>
        <c:grouping val="standard"/>
        <c:varyColors val="0"/>
        <c:ser>
          <c:idx val="0"/>
          <c:order val="0"/>
          <c:tx>
            <c:strRef>
              <c:f>'[hdpcr062819_gs(1).xlsx]HPH'!$Q$86</c:f>
              <c:strCache>
                <c:ptCount val="1"/>
                <c:pt idx="0">
                  <c:v>HPH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multiLvlStrRef>
              <c:f>'[hdpcr062819_gs(1).xlsx]HPH'!$O$87:$P$102</c:f>
              <c:multiLvlStrCache>
                <c:ptCount val="16"/>
                <c:lvl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</c:lvl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2017</c:v>
                  </c:pt>
                  <c:pt idx="10">
                    <c:v>2018</c:v>
                  </c:pt>
                  <c:pt idx="11">
                    <c:v>   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'[hdpcr062819_gs(1).xlsx]HPH'!$Q$87:$Q$102</c:f>
              <c:numCache>
                <c:formatCode>#\ ##0.0</c:formatCode>
                <c:ptCount val="16"/>
                <c:pt idx="0">
                  <c:v>3.3793979963884384</c:v>
                </c:pt>
                <c:pt idx="1">
                  <c:v>-5.2820871878417472</c:v>
                </c:pt>
                <c:pt idx="2">
                  <c:v>2.6708484685538023</c:v>
                </c:pt>
                <c:pt idx="3">
                  <c:v>2.0094859561746032</c:v>
                </c:pt>
                <c:pt idx="4">
                  <c:v>-0.76035097860572709</c:v>
                </c:pt>
                <c:pt idx="5">
                  <c:v>-0.49279788569830624</c:v>
                </c:pt>
                <c:pt idx="6">
                  <c:v>3.4005233881762917</c:v>
                </c:pt>
                <c:pt idx="7">
                  <c:v>4.8084625533502443</c:v>
                </c:pt>
                <c:pt idx="8">
                  <c:v>2.28639887162785</c:v>
                </c:pt>
                <c:pt idx="9">
                  <c:v>4.4545760147911588</c:v>
                </c:pt>
                <c:pt idx="10">
                  <c:v>3.0925155352216205</c:v>
                </c:pt>
                <c:pt idx="12">
                  <c:v>4.2495418771359761</c:v>
                </c:pt>
                <c:pt idx="13">
                  <c:v>2.5029054501668306</c:v>
                </c:pt>
                <c:pt idx="14">
                  <c:v>2.6649611925711088</c:v>
                </c:pt>
                <c:pt idx="15">
                  <c:v>2.9824122295081792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CB8-418C-A16A-65E36DD142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6125488"/>
        <c:axId val="336124656"/>
      </c:lineChart>
      <c:catAx>
        <c:axId val="33612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36124656"/>
        <c:crosses val="autoZero"/>
        <c:auto val="1"/>
        <c:lblAlgn val="ctr"/>
        <c:lblOffset val="100"/>
        <c:noMultiLvlLbl val="0"/>
      </c:catAx>
      <c:valAx>
        <c:axId val="336124656"/>
        <c:scaling>
          <c:orientation val="minMax"/>
          <c:min val="-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3612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331898007429923E-2"/>
          <c:y val="0.82473066531577166"/>
          <c:w val="0.91414302600472819"/>
          <c:h val="0.153823877068557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Data!$K$10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49B-4055-868A-A93206ACEE47}"/>
              </c:ext>
            </c:extLst>
          </c:dPt>
          <c:cat>
            <c:strRef>
              <c:f>Data!$A$11:$A$39</c:f>
              <c:strCache>
                <c:ptCount val="29"/>
                <c:pt idx="0">
                  <c:v>Irsko</c:v>
                </c:pt>
                <c:pt idx="1">
                  <c:v>Malta</c:v>
                </c:pt>
                <c:pt idx="2">
                  <c:v>Polsko</c:v>
                </c:pt>
                <c:pt idx="3">
                  <c:v>Maďarsko</c:v>
                </c:pt>
                <c:pt idx="4">
                  <c:v>Lotyšsko</c:v>
                </c:pt>
                <c:pt idx="5">
                  <c:v>Slovinsko</c:v>
                </c:pt>
                <c:pt idx="6">
                  <c:v>Rumunsko</c:v>
                </c:pt>
                <c:pt idx="7">
                  <c:v>Slovensko</c:v>
                </c:pt>
                <c:pt idx="8">
                  <c:v>Estonsko</c:v>
                </c:pt>
                <c:pt idx="9">
                  <c:v>Kypr</c:v>
                </c:pt>
                <c:pt idx="10">
                  <c:v>Litva</c:v>
                </c:pt>
                <c:pt idx="11">
                  <c:v>Bulharsko</c:v>
                </c:pt>
                <c:pt idx="12">
                  <c:v>Česko</c:v>
                </c:pt>
                <c:pt idx="13">
                  <c:v>Rakousko</c:v>
                </c:pt>
                <c:pt idx="14">
                  <c:v>Španělsko</c:v>
                </c:pt>
                <c:pt idx="15">
                  <c:v>Chorvatsko</c:v>
                </c:pt>
                <c:pt idx="16">
                  <c:v>Nizozemsko</c:v>
                </c:pt>
                <c:pt idx="17">
                  <c:v>Lucembursko</c:v>
                </c:pt>
                <c:pt idx="18">
                  <c:v>Švédsko</c:v>
                </c:pt>
                <c:pt idx="19">
                  <c:v>Portugalsko</c:v>
                </c:pt>
                <c:pt idx="20">
                  <c:v>EU 28</c:v>
                </c:pt>
                <c:pt idx="21">
                  <c:v>Řecko</c:v>
                </c:pt>
                <c:pt idx="22">
                  <c:v>Finsko</c:v>
                </c:pt>
                <c:pt idx="23">
                  <c:v>Francie</c:v>
                </c:pt>
                <c:pt idx="24">
                  <c:v>Dánsko</c:v>
                </c:pt>
                <c:pt idx="25">
                  <c:v>Německo</c:v>
                </c:pt>
                <c:pt idx="26">
                  <c:v>Velká Británie</c:v>
                </c:pt>
                <c:pt idx="27">
                  <c:v>Belgie</c:v>
                </c:pt>
                <c:pt idx="28">
                  <c:v>Itálie</c:v>
                </c:pt>
              </c:strCache>
            </c:strRef>
          </c:cat>
          <c:val>
            <c:numRef>
              <c:f>Data!$K$11:$K$39</c:f>
              <c:numCache>
                <c:formatCode>#\ ##0.0</c:formatCode>
                <c:ptCount val="29"/>
                <c:pt idx="0">
                  <c:v>8.1</c:v>
                </c:pt>
                <c:pt idx="1">
                  <c:v>6.8</c:v>
                </c:pt>
                <c:pt idx="2">
                  <c:v>4.8</c:v>
                </c:pt>
                <c:pt idx="3">
                  <c:v>4.0999999999999996</c:v>
                </c:pt>
                <c:pt idx="4">
                  <c:v>4.5999999999999996</c:v>
                </c:pt>
                <c:pt idx="5">
                  <c:v>4.9000000000000004</c:v>
                </c:pt>
                <c:pt idx="6">
                  <c:v>7</c:v>
                </c:pt>
                <c:pt idx="7">
                  <c:v>3.2</c:v>
                </c:pt>
                <c:pt idx="8">
                  <c:v>4.9000000000000004</c:v>
                </c:pt>
                <c:pt idx="9">
                  <c:v>4.5</c:v>
                </c:pt>
                <c:pt idx="10">
                  <c:v>4.0999999999999996</c:v>
                </c:pt>
                <c:pt idx="11">
                  <c:v>3.8</c:v>
                </c:pt>
                <c:pt idx="12">
                  <c:v>4.4000000000000004</c:v>
                </c:pt>
                <c:pt idx="13">
                  <c:v>2.6</c:v>
                </c:pt>
                <c:pt idx="14">
                  <c:v>3</c:v>
                </c:pt>
                <c:pt idx="15">
                  <c:v>2.9</c:v>
                </c:pt>
                <c:pt idx="16">
                  <c:v>2.9</c:v>
                </c:pt>
                <c:pt idx="17">
                  <c:v>1.5</c:v>
                </c:pt>
                <c:pt idx="18">
                  <c:v>2.1</c:v>
                </c:pt>
                <c:pt idx="19">
                  <c:v>2.8</c:v>
                </c:pt>
                <c:pt idx="20">
                  <c:v>2.5</c:v>
                </c:pt>
                <c:pt idx="21">
                  <c:v>1.5</c:v>
                </c:pt>
                <c:pt idx="22">
                  <c:v>3</c:v>
                </c:pt>
                <c:pt idx="23">
                  <c:v>2.2999999999999998</c:v>
                </c:pt>
                <c:pt idx="24">
                  <c:v>2.2999999999999998</c:v>
                </c:pt>
                <c:pt idx="25">
                  <c:v>2.2000000000000002</c:v>
                </c:pt>
                <c:pt idx="26">
                  <c:v>1.8</c:v>
                </c:pt>
                <c:pt idx="27">
                  <c:v>1.7</c:v>
                </c:pt>
                <c:pt idx="28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9B-4055-868A-A93206ACEE47}"/>
            </c:ext>
          </c:extLst>
        </c:ser>
        <c:ser>
          <c:idx val="1"/>
          <c:order val="1"/>
          <c:tx>
            <c:strRef>
              <c:f>Data!$L$10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49B-4055-868A-A93206ACEE47}"/>
              </c:ext>
            </c:extLst>
          </c:dPt>
          <c:cat>
            <c:strRef>
              <c:f>Data!$A$11:$A$39</c:f>
              <c:strCache>
                <c:ptCount val="29"/>
                <c:pt idx="0">
                  <c:v>Irsko</c:v>
                </c:pt>
                <c:pt idx="1">
                  <c:v>Malta</c:v>
                </c:pt>
                <c:pt idx="2">
                  <c:v>Polsko</c:v>
                </c:pt>
                <c:pt idx="3">
                  <c:v>Maďarsko</c:v>
                </c:pt>
                <c:pt idx="4">
                  <c:v>Lotyšsko</c:v>
                </c:pt>
                <c:pt idx="5">
                  <c:v>Slovinsko</c:v>
                </c:pt>
                <c:pt idx="6">
                  <c:v>Rumunsko</c:v>
                </c:pt>
                <c:pt idx="7">
                  <c:v>Slovensko</c:v>
                </c:pt>
                <c:pt idx="8">
                  <c:v>Estonsko</c:v>
                </c:pt>
                <c:pt idx="9">
                  <c:v>Kypr</c:v>
                </c:pt>
                <c:pt idx="10">
                  <c:v>Litva</c:v>
                </c:pt>
                <c:pt idx="11">
                  <c:v>Bulharsko</c:v>
                </c:pt>
                <c:pt idx="12">
                  <c:v>Česko</c:v>
                </c:pt>
                <c:pt idx="13">
                  <c:v>Rakousko</c:v>
                </c:pt>
                <c:pt idx="14">
                  <c:v>Španělsko</c:v>
                </c:pt>
                <c:pt idx="15">
                  <c:v>Chorvatsko</c:v>
                </c:pt>
                <c:pt idx="16">
                  <c:v>Nizozemsko</c:v>
                </c:pt>
                <c:pt idx="17">
                  <c:v>Lucembursko</c:v>
                </c:pt>
                <c:pt idx="18">
                  <c:v>Švédsko</c:v>
                </c:pt>
                <c:pt idx="19">
                  <c:v>Portugalsko</c:v>
                </c:pt>
                <c:pt idx="20">
                  <c:v>EU 28</c:v>
                </c:pt>
                <c:pt idx="21">
                  <c:v>Řecko</c:v>
                </c:pt>
                <c:pt idx="22">
                  <c:v>Finsko</c:v>
                </c:pt>
                <c:pt idx="23">
                  <c:v>Francie</c:v>
                </c:pt>
                <c:pt idx="24">
                  <c:v>Dánsko</c:v>
                </c:pt>
                <c:pt idx="25">
                  <c:v>Německo</c:v>
                </c:pt>
                <c:pt idx="26">
                  <c:v>Velká Británie</c:v>
                </c:pt>
                <c:pt idx="27">
                  <c:v>Belgie</c:v>
                </c:pt>
                <c:pt idx="28">
                  <c:v>Itálie</c:v>
                </c:pt>
              </c:strCache>
            </c:strRef>
          </c:cat>
          <c:val>
            <c:numRef>
              <c:f>Data!$L$11:$L$39</c:f>
              <c:numCache>
                <c:formatCode>#\ ##0.0</c:formatCode>
                <c:ptCount val="29"/>
                <c:pt idx="0">
                  <c:v>8.1999999999999993</c:v>
                </c:pt>
                <c:pt idx="1">
                  <c:v>6.7</c:v>
                </c:pt>
                <c:pt idx="2">
                  <c:v>5.0999999999999996</c:v>
                </c:pt>
                <c:pt idx="3">
                  <c:v>4.9000000000000004</c:v>
                </c:pt>
                <c:pt idx="4">
                  <c:v>4.8</c:v>
                </c:pt>
                <c:pt idx="5">
                  <c:v>4.5</c:v>
                </c:pt>
                <c:pt idx="6">
                  <c:v>4.0999999999999996</c:v>
                </c:pt>
                <c:pt idx="7">
                  <c:v>4.0999999999999996</c:v>
                </c:pt>
                <c:pt idx="8">
                  <c:v>3.9</c:v>
                </c:pt>
                <c:pt idx="9">
                  <c:v>3.9</c:v>
                </c:pt>
                <c:pt idx="10">
                  <c:v>3.5</c:v>
                </c:pt>
                <c:pt idx="11">
                  <c:v>3.1</c:v>
                </c:pt>
                <c:pt idx="12">
                  <c:v>3</c:v>
                </c:pt>
                <c:pt idx="13">
                  <c:v>2.7</c:v>
                </c:pt>
                <c:pt idx="14">
                  <c:v>2.6</c:v>
                </c:pt>
                <c:pt idx="15">
                  <c:v>2.6</c:v>
                </c:pt>
                <c:pt idx="16">
                  <c:v>2.6</c:v>
                </c:pt>
                <c:pt idx="17">
                  <c:v>2.6</c:v>
                </c:pt>
                <c:pt idx="18">
                  <c:v>2.4</c:v>
                </c:pt>
                <c:pt idx="19">
                  <c:v>2.1</c:v>
                </c:pt>
                <c:pt idx="20">
                  <c:v>2</c:v>
                </c:pt>
                <c:pt idx="21">
                  <c:v>1.9</c:v>
                </c:pt>
                <c:pt idx="22">
                  <c:v>1.7</c:v>
                </c:pt>
                <c:pt idx="23">
                  <c:v>1.7</c:v>
                </c:pt>
                <c:pt idx="24">
                  <c:v>1.5</c:v>
                </c:pt>
                <c:pt idx="25">
                  <c:v>1.4</c:v>
                </c:pt>
                <c:pt idx="26">
                  <c:v>1.4</c:v>
                </c:pt>
                <c:pt idx="27">
                  <c:v>1.4</c:v>
                </c:pt>
                <c:pt idx="28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49B-4055-868A-A93206ACEE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76552192"/>
        <c:axId val="1"/>
      </c:barChart>
      <c:catAx>
        <c:axId val="17655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65521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DC9C-BAAF-45FD-AEE5-7000CEB2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116</TotalTime>
  <Pages>3</Pages>
  <Words>745</Words>
  <Characters>4397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5132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13</cp:revision>
  <cp:lastPrinted>2014-07-17T14:07:00Z</cp:lastPrinted>
  <dcterms:created xsi:type="dcterms:W3CDTF">2019-08-12T08:04:00Z</dcterms:created>
  <dcterms:modified xsi:type="dcterms:W3CDTF">2019-08-13T09:15:00Z</dcterms:modified>
</cp:coreProperties>
</file>