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88" w:rsidRPr="00BE4405" w:rsidRDefault="00D52372" w:rsidP="00A67988">
      <w:pPr>
        <w:pStyle w:val="Datum"/>
      </w:pPr>
      <w:r w:rsidRPr="00BE4405">
        <w:t>3</w:t>
      </w:r>
      <w:r w:rsidR="00A67988" w:rsidRPr="00BE4405">
        <w:t xml:space="preserve"> </w:t>
      </w:r>
      <w:r w:rsidRPr="00BE4405">
        <w:t>September</w:t>
      </w:r>
      <w:r w:rsidR="00A67988" w:rsidRPr="00BE4405">
        <w:t xml:space="preserve"> 2020</w:t>
      </w:r>
    </w:p>
    <w:p w:rsidR="00A67988" w:rsidRPr="00BE4405" w:rsidRDefault="00A52599" w:rsidP="00A67988">
      <w:pPr>
        <w:pStyle w:val="Nzev"/>
        <w:rPr>
          <w:color w:val="C00000"/>
        </w:rPr>
      </w:pPr>
      <w:r w:rsidRPr="00BE4405">
        <w:rPr>
          <w:color w:val="C00000"/>
        </w:rPr>
        <w:t>Development of</w:t>
      </w:r>
      <w:r w:rsidR="00A67988" w:rsidRPr="00BE4405">
        <w:rPr>
          <w:color w:val="C00000"/>
        </w:rPr>
        <w:t xml:space="preserve"> the Czech </w:t>
      </w:r>
      <w:r w:rsidR="00800711" w:rsidRPr="00BE4405">
        <w:rPr>
          <w:color w:val="C00000"/>
        </w:rPr>
        <w:t>l</w:t>
      </w:r>
      <w:r w:rsidR="00A67988" w:rsidRPr="00BE4405">
        <w:rPr>
          <w:color w:val="C00000"/>
        </w:rPr>
        <w:t xml:space="preserve">abour </w:t>
      </w:r>
      <w:r w:rsidR="00800711" w:rsidRPr="00BE4405">
        <w:rPr>
          <w:color w:val="C00000"/>
        </w:rPr>
        <w:t>m</w:t>
      </w:r>
      <w:r w:rsidR="00A67988" w:rsidRPr="00BE4405">
        <w:rPr>
          <w:color w:val="C00000"/>
        </w:rPr>
        <w:t>arket in</w:t>
      </w:r>
      <w:r w:rsidR="00800711" w:rsidRPr="00BE4405">
        <w:rPr>
          <w:color w:val="C00000"/>
        </w:rPr>
        <w:t xml:space="preserve"> the</w:t>
      </w:r>
      <w:r w:rsidR="00D52372" w:rsidRPr="00BE4405">
        <w:rPr>
          <w:color w:val="C00000"/>
        </w:rPr>
        <w:t xml:space="preserve"> Q2</w:t>
      </w:r>
      <w:r w:rsidR="00BA0519" w:rsidRPr="00BE4405">
        <w:rPr>
          <w:color w:val="C00000"/>
        </w:rPr>
        <w:t> 2020</w:t>
      </w:r>
    </w:p>
    <w:p w:rsidR="00D52372" w:rsidRPr="00BE4405" w:rsidRDefault="004067C5" w:rsidP="00A67988">
      <w:pPr>
        <w:pStyle w:val="Perex"/>
        <w:spacing w:after="0"/>
        <w:rPr>
          <w:szCs w:val="20"/>
        </w:rPr>
      </w:pPr>
      <w:r w:rsidRPr="00BE4405">
        <w:rPr>
          <w:szCs w:val="20"/>
        </w:rPr>
        <w:t xml:space="preserve">In the </w:t>
      </w:r>
      <w:r w:rsidR="00D52372" w:rsidRPr="00BE4405">
        <w:rPr>
          <w:szCs w:val="20"/>
        </w:rPr>
        <w:t>second quarter</w:t>
      </w:r>
      <w:r w:rsidRPr="00BE4405">
        <w:rPr>
          <w:szCs w:val="20"/>
        </w:rPr>
        <w:t xml:space="preserve"> of 2020, </w:t>
      </w:r>
      <w:r w:rsidR="00D52372" w:rsidRPr="00BE4405">
        <w:rPr>
          <w:szCs w:val="20"/>
        </w:rPr>
        <w:t xml:space="preserve">the </w:t>
      </w:r>
      <w:r w:rsidRPr="00BE4405">
        <w:rPr>
          <w:szCs w:val="20"/>
        </w:rPr>
        <w:t xml:space="preserve">labour market </w:t>
      </w:r>
      <w:r w:rsidR="00D52372" w:rsidRPr="00BE4405">
        <w:rPr>
          <w:szCs w:val="20"/>
        </w:rPr>
        <w:t>was markedly influenced by impacts of unprecedent</w:t>
      </w:r>
      <w:r w:rsidR="00930333" w:rsidRPr="00BE4405">
        <w:rPr>
          <w:szCs w:val="20"/>
        </w:rPr>
        <w:t>ed</w:t>
      </w:r>
      <w:r w:rsidR="00D52372" w:rsidRPr="00BE4405">
        <w:rPr>
          <w:szCs w:val="20"/>
        </w:rPr>
        <w:t xml:space="preserve"> anti</w:t>
      </w:r>
      <w:r w:rsidR="00EA75E5" w:rsidRPr="00BE4405">
        <w:rPr>
          <w:szCs w:val="20"/>
        </w:rPr>
        <w:t>-infection</w:t>
      </w:r>
      <w:r w:rsidR="00D52372" w:rsidRPr="00BE4405">
        <w:rPr>
          <w:szCs w:val="20"/>
        </w:rPr>
        <w:t xml:space="preserve"> measures with which, however, it started to gradually cope</w:t>
      </w:r>
      <w:r w:rsidR="00930333" w:rsidRPr="00BE4405">
        <w:rPr>
          <w:szCs w:val="20"/>
        </w:rPr>
        <w:t xml:space="preserve">. The Czech labour market structure has </w:t>
      </w:r>
      <w:r w:rsidR="00D52372" w:rsidRPr="00BE4405">
        <w:rPr>
          <w:szCs w:val="20"/>
        </w:rPr>
        <w:t xml:space="preserve">also started to change. </w:t>
      </w:r>
      <w:r w:rsidR="00432AA9" w:rsidRPr="00BE4405">
        <w:rPr>
          <w:szCs w:val="20"/>
        </w:rPr>
        <w:t xml:space="preserve">Therefore, the development </w:t>
      </w:r>
      <w:r w:rsidR="003E6377" w:rsidRPr="00BE4405">
        <w:rPr>
          <w:szCs w:val="20"/>
        </w:rPr>
        <w:t xml:space="preserve">in individual industries (economic activities) </w:t>
      </w:r>
      <w:r w:rsidR="00432AA9" w:rsidRPr="00BE4405">
        <w:rPr>
          <w:szCs w:val="20"/>
        </w:rPr>
        <w:t xml:space="preserve">was highly differentiated. </w:t>
      </w:r>
      <w:r w:rsidR="003E6377" w:rsidRPr="00BE4405">
        <w:rPr>
          <w:szCs w:val="20"/>
        </w:rPr>
        <w:t>In total, the average wage has nominally increased by 0.5%</w:t>
      </w:r>
      <w:r w:rsidR="00FB0FEB" w:rsidRPr="00BE4405">
        <w:rPr>
          <w:szCs w:val="20"/>
        </w:rPr>
        <w:t>;</w:t>
      </w:r>
      <w:r w:rsidR="003E6377" w:rsidRPr="00BE4405">
        <w:rPr>
          <w:szCs w:val="20"/>
        </w:rPr>
        <w:t xml:space="preserve"> however, prices have highly increased </w:t>
      </w:r>
      <w:r w:rsidR="00FB0FEB" w:rsidRPr="00BE4405">
        <w:rPr>
          <w:szCs w:val="20"/>
        </w:rPr>
        <w:t xml:space="preserve">concurrently </w:t>
      </w:r>
      <w:r w:rsidR="003E6377" w:rsidRPr="00BE4405">
        <w:rPr>
          <w:szCs w:val="20"/>
        </w:rPr>
        <w:t>and therefore earnings d</w:t>
      </w:r>
      <w:r w:rsidR="00837BB8" w:rsidRPr="00BE4405">
        <w:rPr>
          <w:szCs w:val="20"/>
        </w:rPr>
        <w:t>ecreased in real terms</w:t>
      </w:r>
      <w:r w:rsidR="003E6377" w:rsidRPr="00BE4405">
        <w:rPr>
          <w:szCs w:val="20"/>
        </w:rPr>
        <w:t xml:space="preserve"> by 2.5%. </w:t>
      </w:r>
    </w:p>
    <w:p w:rsidR="002032D9" w:rsidRPr="00BE4405" w:rsidRDefault="002032D9" w:rsidP="00A67988">
      <w:pPr>
        <w:pStyle w:val="Perex"/>
        <w:spacing w:after="0"/>
        <w:rPr>
          <w:szCs w:val="20"/>
        </w:rPr>
      </w:pPr>
    </w:p>
    <w:p w:rsidR="00A67988" w:rsidRPr="00BE4405" w:rsidRDefault="007F5BA7" w:rsidP="00A67988">
      <w:pPr>
        <w:rPr>
          <w:b/>
          <w:lang w:val="en-GB"/>
        </w:rPr>
      </w:pPr>
      <w:r w:rsidRPr="00BE4405">
        <w:rPr>
          <w:b/>
          <w:lang w:val="en-GB"/>
        </w:rPr>
        <w:t>Hours worked, e</w:t>
      </w:r>
      <w:r w:rsidR="00A67988" w:rsidRPr="00BE4405">
        <w:rPr>
          <w:b/>
          <w:lang w:val="en-GB"/>
        </w:rPr>
        <w:t xml:space="preserve">mployment, </w:t>
      </w:r>
      <w:r w:rsidR="00681309" w:rsidRPr="00BE4405">
        <w:rPr>
          <w:b/>
          <w:lang w:val="en-GB"/>
        </w:rPr>
        <w:t>u</w:t>
      </w:r>
      <w:r w:rsidR="00A67988" w:rsidRPr="00BE4405">
        <w:rPr>
          <w:b/>
          <w:lang w:val="en-GB"/>
        </w:rPr>
        <w:t xml:space="preserve">nemployment, and </w:t>
      </w:r>
      <w:r w:rsidRPr="00BE4405">
        <w:rPr>
          <w:b/>
          <w:lang w:val="en-GB"/>
        </w:rPr>
        <w:t xml:space="preserve">economic </w:t>
      </w:r>
      <w:r w:rsidR="008D4AA2">
        <w:rPr>
          <w:b/>
          <w:lang w:val="en-GB"/>
        </w:rPr>
        <w:t>in</w:t>
      </w:r>
      <w:r w:rsidRPr="00BE4405">
        <w:rPr>
          <w:b/>
          <w:lang w:val="en-GB"/>
        </w:rPr>
        <w:t>activity</w:t>
      </w:r>
      <w:r w:rsidR="00A67988" w:rsidRPr="00BE4405">
        <w:rPr>
          <w:b/>
          <w:lang w:val="en-GB"/>
        </w:rPr>
        <w:t xml:space="preserve"> </w:t>
      </w:r>
    </w:p>
    <w:p w:rsidR="00367730" w:rsidRPr="00BE4405" w:rsidRDefault="00951ECE" w:rsidP="00E95B27">
      <w:pPr>
        <w:rPr>
          <w:lang w:val="en-GB"/>
        </w:rPr>
      </w:pPr>
      <w:r w:rsidRPr="00BE4405">
        <w:rPr>
          <w:lang w:val="en-GB"/>
        </w:rPr>
        <w:t>D</w:t>
      </w:r>
      <w:r w:rsidR="00367730" w:rsidRPr="00BE4405">
        <w:rPr>
          <w:lang w:val="en-GB"/>
        </w:rPr>
        <w:t>ata about hours worked by individual month drawing from the Labour Force Sample Survey (LFSS)</w:t>
      </w:r>
      <w:r w:rsidRPr="00BE4405">
        <w:rPr>
          <w:lang w:val="en-GB"/>
        </w:rPr>
        <w:t xml:space="preserve"> were the most characteristic results describing progress of the coronavirus crisis</w:t>
      </w:r>
      <w:r w:rsidR="00367730" w:rsidRPr="00BE4405">
        <w:rPr>
          <w:lang w:val="en-GB"/>
        </w:rPr>
        <w:t xml:space="preserve">. They have been specially prepared since March and published within the News Release of the CZSO </w:t>
      </w:r>
      <w:r w:rsidR="00375206" w:rsidRPr="00BE4405">
        <w:rPr>
          <w:lang w:val="en-GB"/>
        </w:rPr>
        <w:t>called</w:t>
      </w:r>
      <w:r w:rsidR="00405EEE" w:rsidRPr="00BE4405">
        <w:rPr>
          <w:lang w:val="en-GB"/>
        </w:rPr>
        <w:t xml:space="preserve"> </w:t>
      </w:r>
      <w:r w:rsidR="00375206" w:rsidRPr="00BE4405">
        <w:rPr>
          <w:lang w:val="en-GB"/>
        </w:rPr>
        <w:t>R</w:t>
      </w:r>
      <w:r w:rsidR="00405EEE" w:rsidRPr="00BE4405">
        <w:rPr>
          <w:lang w:val="en-GB"/>
        </w:rPr>
        <w:t>ates of</w:t>
      </w:r>
      <w:r w:rsidR="00367730" w:rsidRPr="00BE4405">
        <w:rPr>
          <w:lang w:val="en-GB"/>
        </w:rPr>
        <w:t xml:space="preserve"> </w:t>
      </w:r>
      <w:r w:rsidR="00405EEE" w:rsidRPr="00BE4405">
        <w:rPr>
          <w:lang w:val="en-GB"/>
        </w:rPr>
        <w:t xml:space="preserve">employment, unemployment and economic activity. </w:t>
      </w:r>
    </w:p>
    <w:p w:rsidR="00375206" w:rsidRPr="00BE4405" w:rsidRDefault="00375206" w:rsidP="00E95B27"/>
    <w:p w:rsidR="007F5BA7" w:rsidRPr="00BE4405" w:rsidRDefault="003D2A0A" w:rsidP="00E95B27">
      <w:pPr>
        <w:rPr>
          <w:b/>
          <w:lang w:val="en-GB"/>
        </w:rPr>
      </w:pPr>
      <w:r w:rsidRPr="00BE4405">
        <w:rPr>
          <w:b/>
          <w:lang w:val="en-GB"/>
        </w:rPr>
        <w:t>Chart</w:t>
      </w:r>
      <w:r w:rsidR="007F5BA7" w:rsidRPr="00BE4405">
        <w:rPr>
          <w:b/>
          <w:lang w:val="en-GB"/>
        </w:rPr>
        <w:t xml:space="preserve"> 1: </w:t>
      </w:r>
      <w:r w:rsidR="00EB424B" w:rsidRPr="00BE4405">
        <w:rPr>
          <w:b/>
          <w:lang w:val="en-GB"/>
        </w:rPr>
        <w:t>Hours actually worked for a week in main job from the LFSS</w:t>
      </w:r>
      <w:r w:rsidR="007F5BA7" w:rsidRPr="00BE4405">
        <w:rPr>
          <w:b/>
          <w:lang w:val="en-GB"/>
        </w:rPr>
        <w:t xml:space="preserve">, index </w:t>
      </w:r>
      <w:r w:rsidR="00D3268A" w:rsidRPr="00BE4405">
        <w:rPr>
          <w:b/>
          <w:lang w:val="en-GB"/>
        </w:rPr>
        <w:t>to the corresponding period of the previous year</w:t>
      </w:r>
    </w:p>
    <w:p w:rsidR="007F5BA7" w:rsidRPr="00BE4405" w:rsidRDefault="007F5BA7" w:rsidP="00E95B27"/>
    <w:p w:rsidR="007F5BA7" w:rsidRPr="00BE4405" w:rsidRDefault="005F7FCA" w:rsidP="00E95B27">
      <w:r w:rsidRPr="00BE4405">
        <w:rPr>
          <w:noProof/>
          <w:lang w:eastAsia="cs-CZ"/>
        </w:rPr>
        <w:drawing>
          <wp:inline distT="0" distB="0" distL="0" distR="0" wp14:anchorId="47064243" wp14:editId="5CB3146A">
            <wp:extent cx="5400040" cy="3683635"/>
            <wp:effectExtent l="0" t="0" r="10160" b="1206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F5BA7" w:rsidRPr="00BE4405" w:rsidRDefault="007F5BA7" w:rsidP="00E95B27"/>
    <w:p w:rsidR="007F5BA7" w:rsidRPr="00BE4405" w:rsidRDefault="007F5BA7" w:rsidP="00E95B27"/>
    <w:p w:rsidR="002E3DD8" w:rsidRPr="00BE4405" w:rsidRDefault="002E3DD8" w:rsidP="00E95B27">
      <w:pPr>
        <w:rPr>
          <w:lang w:val="en-GB"/>
        </w:rPr>
      </w:pPr>
      <w:r w:rsidRPr="00BE4405">
        <w:rPr>
          <w:lang w:val="en-GB"/>
        </w:rPr>
        <w:lastRenderedPageBreak/>
        <w:t>Markedly deeper falls of hours worked can be found in the group of the self-employed (entrepreneurs). Their average number of hours decreased in March by 17%, y-o-y, with the decrease peaking in April (by 31%); in May, there was</w:t>
      </w:r>
      <w:r w:rsidR="0096150F">
        <w:rPr>
          <w:lang w:val="en-GB"/>
        </w:rPr>
        <w:t xml:space="preserve"> already</w:t>
      </w:r>
      <w:r w:rsidRPr="00BE4405">
        <w:rPr>
          <w:lang w:val="en-GB"/>
        </w:rPr>
        <w:t xml:space="preserve"> a more moderate decrease by 14%. In June, the drop by 6% corresponds rather to familiar situations such as flu epidemics in winter and as for July, the hours worked are already above the average. </w:t>
      </w:r>
    </w:p>
    <w:p w:rsidR="002E3DD8" w:rsidRPr="00BE4405" w:rsidRDefault="002E3DD8" w:rsidP="00E95B27"/>
    <w:p w:rsidR="00F717DC" w:rsidRPr="00BE4405" w:rsidRDefault="002A557C" w:rsidP="00E95B27">
      <w:pPr>
        <w:rPr>
          <w:lang w:val="en-GB"/>
        </w:rPr>
      </w:pPr>
      <w:r w:rsidRPr="00BE4405">
        <w:rPr>
          <w:lang w:val="en-GB"/>
        </w:rPr>
        <w:t>A similar development is in the dominant group of employees; however, the decreases in th</w:t>
      </w:r>
      <w:r w:rsidR="001639B4" w:rsidRPr="00BE4405">
        <w:rPr>
          <w:lang w:val="en-GB"/>
        </w:rPr>
        <w:t>e</w:t>
      </w:r>
      <w:r w:rsidRPr="00BE4405">
        <w:rPr>
          <w:lang w:val="en-GB"/>
        </w:rPr>
        <w:t xml:space="preserve"> group are much less deep. </w:t>
      </w:r>
      <w:r w:rsidR="002A3889" w:rsidRPr="00BE4405">
        <w:rPr>
          <w:lang w:val="en-GB"/>
        </w:rPr>
        <w:t>The average number of hours worked by employees decreased by 9% in March, by 19% in April</w:t>
      </w:r>
      <w:r w:rsidR="008734D5" w:rsidRPr="00BE4405">
        <w:rPr>
          <w:lang w:val="en-GB"/>
        </w:rPr>
        <w:t>,</w:t>
      </w:r>
      <w:r w:rsidR="002A3889" w:rsidRPr="00BE4405">
        <w:rPr>
          <w:lang w:val="en-GB"/>
        </w:rPr>
        <w:t xml:space="preserve"> and by 6% in May. </w:t>
      </w:r>
      <w:r w:rsidR="008734D5" w:rsidRPr="00BE4405">
        <w:rPr>
          <w:lang w:val="en-GB"/>
        </w:rPr>
        <w:t xml:space="preserve">June figures corresponded to an ordinary situation and July </w:t>
      </w:r>
      <w:proofErr w:type="gramStart"/>
      <w:r w:rsidR="008734D5" w:rsidRPr="00BE4405">
        <w:rPr>
          <w:lang w:val="en-GB"/>
        </w:rPr>
        <w:t>ones</w:t>
      </w:r>
      <w:proofErr w:type="gramEnd"/>
      <w:r w:rsidR="008734D5" w:rsidRPr="00BE4405">
        <w:rPr>
          <w:lang w:val="en-GB"/>
        </w:rPr>
        <w:t xml:space="preserve"> were even much higher than </w:t>
      </w:r>
      <w:r w:rsidR="000D154F">
        <w:rPr>
          <w:lang w:val="en-GB"/>
        </w:rPr>
        <w:t>that</w:t>
      </w:r>
      <w:r w:rsidR="008734D5" w:rsidRPr="00BE4405">
        <w:rPr>
          <w:lang w:val="en-GB"/>
        </w:rPr>
        <w:t xml:space="preserve"> (by 5%). </w:t>
      </w:r>
    </w:p>
    <w:p w:rsidR="002E3DD8" w:rsidRPr="00BE4405" w:rsidRDefault="002E3DD8" w:rsidP="00E95B27"/>
    <w:p w:rsidR="00637B90" w:rsidRPr="00BE4405" w:rsidRDefault="00637B90" w:rsidP="00F717DC">
      <w:pPr>
        <w:rPr>
          <w:lang w:val="en-GB"/>
        </w:rPr>
      </w:pPr>
      <w:r w:rsidRPr="00BE4405">
        <w:rPr>
          <w:lang w:val="en-GB"/>
        </w:rPr>
        <w:t xml:space="preserve">Standard aggregate indicators of the LFSS follow the trend of a slowing down growth phase of the economic cycle of the previous year; moreover, they depict an increasing fall in the employment due to the coronavirus crisis. </w:t>
      </w:r>
      <w:r w:rsidR="00E75F73" w:rsidRPr="00BE4405">
        <w:rPr>
          <w:lang w:val="en-GB"/>
        </w:rPr>
        <w:t xml:space="preserve">For the whole Q2 2020, the number of working persons (employment) decreased by 1.6%, y-o-y, to </w:t>
      </w:r>
      <w:proofErr w:type="gramStart"/>
      <w:r w:rsidR="00E75F73" w:rsidRPr="00BE4405">
        <w:rPr>
          <w:lang w:val="en-GB"/>
        </w:rPr>
        <w:t>5</w:t>
      </w:r>
      <w:proofErr w:type="gramEnd"/>
      <w:r w:rsidR="00E75F73" w:rsidRPr="00BE4405">
        <w:rPr>
          <w:lang w:val="en-GB"/>
        </w:rPr>
        <w:t xml:space="preserve"> 212.6 thousand persons; in the y-o-y comparison, it </w:t>
      </w:r>
      <w:r w:rsidR="00074666">
        <w:rPr>
          <w:lang w:val="en-GB"/>
        </w:rPr>
        <w:t xml:space="preserve">thus </w:t>
      </w:r>
      <w:r w:rsidR="00E75F73" w:rsidRPr="00BE4405">
        <w:rPr>
          <w:lang w:val="en-GB"/>
        </w:rPr>
        <w:t xml:space="preserve">decreased by 83.3 thousand persons and in the quarter-on-quarter (q-o-q) comparison it decreased by 65.3 thousand after seasonal adjustment. The employment rate (74.1%) in the </w:t>
      </w:r>
      <w:r w:rsidR="00242E9D" w:rsidRPr="00BE4405">
        <w:rPr>
          <w:lang w:val="en-GB"/>
        </w:rPr>
        <w:t xml:space="preserve">age group of 15–64 years decreased by 0.9 percentage point (p. p.). </w:t>
      </w:r>
    </w:p>
    <w:p w:rsidR="00637B90" w:rsidRPr="00BE4405" w:rsidRDefault="00637B90" w:rsidP="00F717DC">
      <w:pPr>
        <w:rPr>
          <w:color w:val="5F497A" w:themeColor="accent4" w:themeShade="BF"/>
          <w:szCs w:val="20"/>
        </w:rPr>
      </w:pPr>
    </w:p>
    <w:p w:rsidR="00C077A7" w:rsidRPr="00BE4405" w:rsidRDefault="00C077A7" w:rsidP="006F081E">
      <w:pPr>
        <w:rPr>
          <w:lang w:val="en-GB"/>
        </w:rPr>
      </w:pPr>
      <w:r w:rsidRPr="00BE4405">
        <w:rPr>
          <w:lang w:val="en-GB"/>
        </w:rPr>
        <w:t xml:space="preserve">While in the </w:t>
      </w:r>
      <w:r w:rsidR="00193C2C" w:rsidRPr="00BE4405">
        <w:rPr>
          <w:lang w:val="en-GB"/>
        </w:rPr>
        <w:t>economic activities (sections of the CZ-NACE classification) providing for the basic functioning of the society and of the economy, i.e. ‘electricity, gas, steam and air conditioning supply,’</w:t>
      </w:r>
      <w:r w:rsidR="00570B38" w:rsidRPr="00BE4405">
        <w:rPr>
          <w:lang w:val="en-GB"/>
        </w:rPr>
        <w:t xml:space="preserve"> </w:t>
      </w:r>
      <w:r w:rsidR="00017F43" w:rsidRPr="00BE4405">
        <w:rPr>
          <w:lang w:val="en-GB"/>
        </w:rPr>
        <w:t>‘</w:t>
      </w:r>
      <w:r w:rsidR="00783767" w:rsidRPr="00BE4405">
        <w:rPr>
          <w:lang w:val="en-GB"/>
        </w:rPr>
        <w:t>water supply; sewerage, waste management and remediation activities</w:t>
      </w:r>
      <w:r w:rsidR="00017F43" w:rsidRPr="00BE4405">
        <w:rPr>
          <w:lang w:val="en-GB"/>
        </w:rPr>
        <w:t>,’ and</w:t>
      </w:r>
      <w:r w:rsidR="00DE7F79" w:rsidRPr="00BE4405">
        <w:rPr>
          <w:lang w:val="en-GB"/>
        </w:rPr>
        <w:t xml:space="preserve"> ‘public administration and defence; compulsory social security’ the number of working persons increased, </w:t>
      </w:r>
      <w:r w:rsidR="007E1FDA" w:rsidRPr="00BE4405">
        <w:rPr>
          <w:lang w:val="en-GB"/>
        </w:rPr>
        <w:t xml:space="preserve">there was a decrease mainly in ‘manufacturing’ (by 47.9 thousand), </w:t>
      </w:r>
      <w:r w:rsidR="006F081E" w:rsidRPr="00BE4405">
        <w:rPr>
          <w:lang w:val="en-GB"/>
        </w:rPr>
        <w:t xml:space="preserve">‘accommodation and food service activities’ (by 30.8 thousand), ‘transportation and storage’ (by 29.1 thousand), and in ‘wholesale and retail trade; repair of motor vehicles and motorcycles’ (by 17.6 thousand). A </w:t>
      </w:r>
      <w:r w:rsidR="00B21C1B" w:rsidRPr="00BE4405">
        <w:rPr>
          <w:lang w:val="en-GB"/>
        </w:rPr>
        <w:t>marked</w:t>
      </w:r>
      <w:r w:rsidR="006F081E" w:rsidRPr="00BE4405">
        <w:rPr>
          <w:lang w:val="en-GB"/>
        </w:rPr>
        <w:t xml:space="preserve"> d</w:t>
      </w:r>
      <w:r w:rsidR="00B21C1B" w:rsidRPr="00BE4405">
        <w:rPr>
          <w:lang w:val="en-GB"/>
        </w:rPr>
        <w:t>ecrease</w:t>
      </w:r>
      <w:r w:rsidR="006F081E" w:rsidRPr="00BE4405">
        <w:rPr>
          <w:lang w:val="en-GB"/>
        </w:rPr>
        <w:t xml:space="preserve"> of employment was also in the section of</w:t>
      </w:r>
      <w:r w:rsidR="00CD40D2" w:rsidRPr="00BE4405">
        <w:rPr>
          <w:lang w:val="en-GB"/>
        </w:rPr>
        <w:t xml:space="preserve"> </w:t>
      </w:r>
      <w:r w:rsidR="00CD40D2" w:rsidRPr="00BE4405">
        <w:rPr>
          <w:szCs w:val="20"/>
          <w:lang w:val="en-GB" w:eastAsia="cs-CZ"/>
        </w:rPr>
        <w:t xml:space="preserve">‘arts, entertainment and recreation’ (by 12.3 thousand).  </w:t>
      </w:r>
      <w:r w:rsidR="006F081E" w:rsidRPr="00BE4405">
        <w:rPr>
          <w:lang w:val="en-GB"/>
        </w:rPr>
        <w:t xml:space="preserve"> </w:t>
      </w:r>
    </w:p>
    <w:p w:rsidR="00F87E5E" w:rsidRPr="00BE4405" w:rsidRDefault="00F87E5E" w:rsidP="00F717DC">
      <w:pPr>
        <w:rPr>
          <w:szCs w:val="20"/>
        </w:rPr>
      </w:pPr>
    </w:p>
    <w:p w:rsidR="00F717DC" w:rsidRPr="00BE4405" w:rsidRDefault="00F87E5E" w:rsidP="00F717DC">
      <w:pPr>
        <w:rPr>
          <w:lang w:val="en-GB"/>
        </w:rPr>
      </w:pPr>
      <w:r w:rsidRPr="00BE4405">
        <w:rPr>
          <w:lang w:val="en-GB"/>
        </w:rPr>
        <w:t>It seems that only part of the outflow of the working persons</w:t>
      </w:r>
      <w:r w:rsidR="00F46400" w:rsidRPr="00BE4405">
        <w:rPr>
          <w:lang w:val="en-GB"/>
        </w:rPr>
        <w:t xml:space="preserve"> became the unemployed</w:t>
      </w:r>
      <w:proofErr w:type="gramStart"/>
      <w:r w:rsidR="00F46400" w:rsidRPr="00BE4405">
        <w:rPr>
          <w:lang w:val="en-GB"/>
        </w:rPr>
        <w:t>;</w:t>
      </w:r>
      <w:proofErr w:type="gramEnd"/>
      <w:r w:rsidR="00F46400" w:rsidRPr="00BE4405">
        <w:rPr>
          <w:lang w:val="en-GB"/>
        </w:rPr>
        <w:t xml:space="preserve"> the other ones remained, at least temporarily, economically inactive. </w:t>
      </w:r>
      <w:r w:rsidR="00E76BAC" w:rsidRPr="00BE4405">
        <w:rPr>
          <w:lang w:val="en-GB"/>
        </w:rPr>
        <w:t xml:space="preserve">The total number of the unemployed, which means persons </w:t>
      </w:r>
      <w:r w:rsidR="00E76BAC" w:rsidRPr="00BE4405">
        <w:rPr>
          <w:szCs w:val="20"/>
          <w:lang w:val="en-GB"/>
        </w:rPr>
        <w:t>who do not work and seek a job in an active manner</w:t>
      </w:r>
      <w:r w:rsidR="00E76BAC" w:rsidRPr="00BE4405">
        <w:rPr>
          <w:lang w:val="en-GB"/>
        </w:rPr>
        <w:t xml:space="preserve"> as defined by the International Labour Organisation (ILO),</w:t>
      </w:r>
      <w:r w:rsidR="00876070" w:rsidRPr="00BE4405">
        <w:rPr>
          <w:lang w:val="en-GB"/>
        </w:rPr>
        <w:t xml:space="preserve"> reached 126.3 thousand persons; after seasonal adjustment, the figures show an increase by 27.9 thousand persons, q-o-q. </w:t>
      </w:r>
      <w:r w:rsidR="00E74AA0" w:rsidRPr="00BE4405">
        <w:rPr>
          <w:lang w:val="en-GB"/>
        </w:rPr>
        <w:t>The general unemployment rate thus increased rather moderately to 2.4% (by 0.5 p. p.).</w:t>
      </w:r>
    </w:p>
    <w:p w:rsidR="001B6C1F" w:rsidRPr="00BE4405" w:rsidRDefault="001B6C1F" w:rsidP="00F717DC">
      <w:pPr>
        <w:rPr>
          <w:szCs w:val="20"/>
        </w:rPr>
      </w:pPr>
    </w:p>
    <w:p w:rsidR="00B20E70" w:rsidRPr="00BE4405" w:rsidRDefault="001B6C1F" w:rsidP="001B6C1F">
      <w:pPr>
        <w:rPr>
          <w:szCs w:val="20"/>
          <w:lang w:val="en-GB"/>
        </w:rPr>
      </w:pPr>
      <w:r w:rsidRPr="00BE4405">
        <w:rPr>
          <w:szCs w:val="20"/>
          <w:lang w:val="en-GB"/>
        </w:rPr>
        <w:t>The number of economically inactive persons aged 15+ years increased (by 86.1 thousand to 3 645.3 thousand). The number of economically inactive females increased more than the number of economically inactive males</w:t>
      </w:r>
      <w:r w:rsidR="00AC08B3" w:rsidRPr="00BE4405">
        <w:rPr>
          <w:szCs w:val="20"/>
          <w:lang w:val="en-GB"/>
        </w:rPr>
        <w:t>;</w:t>
      </w:r>
      <w:r w:rsidRPr="00BE4405">
        <w:rPr>
          <w:szCs w:val="20"/>
          <w:lang w:val="en-GB"/>
        </w:rPr>
        <w:t xml:space="preserve"> females were 48.0 thousand up</w:t>
      </w:r>
      <w:r w:rsidR="00AC08B3" w:rsidRPr="00BE4405">
        <w:rPr>
          <w:szCs w:val="20"/>
          <w:lang w:val="en-GB"/>
        </w:rPr>
        <w:t>, while</w:t>
      </w:r>
      <w:r w:rsidRPr="00BE4405">
        <w:rPr>
          <w:szCs w:val="20"/>
          <w:lang w:val="en-GB"/>
        </w:rPr>
        <w:t xml:space="preserve"> males 38.0 thousand up. </w:t>
      </w:r>
      <w:r w:rsidR="00B20E70" w:rsidRPr="00BE4405">
        <w:rPr>
          <w:szCs w:val="20"/>
          <w:lang w:val="en-GB"/>
        </w:rPr>
        <w:t>Mainly</w:t>
      </w:r>
      <w:r w:rsidRPr="00BE4405">
        <w:rPr>
          <w:szCs w:val="20"/>
          <w:lang w:val="en-GB"/>
        </w:rPr>
        <w:t xml:space="preserve"> the number of economically inactive</w:t>
      </w:r>
      <w:r w:rsidR="00B20E70" w:rsidRPr="00BE4405">
        <w:rPr>
          <w:szCs w:val="20"/>
          <w:lang w:val="en-GB"/>
        </w:rPr>
        <w:t xml:space="preserve"> males aged 60+ years markedly increased (by 24.9 thousand) and the number of young females aged up to 30 years (by 33.0 thousand). </w:t>
      </w:r>
    </w:p>
    <w:p w:rsidR="00881CD8" w:rsidRPr="00BE4405" w:rsidRDefault="00881CD8" w:rsidP="00F717DC"/>
    <w:p w:rsidR="00881CD8" w:rsidRPr="00BE4405" w:rsidRDefault="00881CD8" w:rsidP="00F717DC">
      <w:pPr>
        <w:rPr>
          <w:lang w:val="en-GB"/>
        </w:rPr>
      </w:pPr>
      <w:r w:rsidRPr="00BE4405">
        <w:rPr>
          <w:lang w:val="en-GB"/>
        </w:rPr>
        <w:lastRenderedPageBreak/>
        <w:t xml:space="preserve">It has to </w:t>
      </w:r>
      <w:proofErr w:type="gramStart"/>
      <w:r w:rsidRPr="00BE4405">
        <w:rPr>
          <w:lang w:val="en-GB"/>
        </w:rPr>
        <w:t>be noted</w:t>
      </w:r>
      <w:proofErr w:type="gramEnd"/>
      <w:r w:rsidRPr="00BE4405">
        <w:rPr>
          <w:lang w:val="en-GB"/>
        </w:rPr>
        <w:t xml:space="preserve"> that the LFSS covers only persons living in dwellings (flats), not those living in hostels and similar collective households, which has a negative influence on the capture of foreigners who often use such ways of living (housing).</w:t>
      </w:r>
    </w:p>
    <w:p w:rsidR="00946A4A" w:rsidRPr="00BE4405" w:rsidRDefault="00946A4A" w:rsidP="00384417">
      <w:pPr>
        <w:rPr>
          <w:lang w:val="en-GB"/>
        </w:rPr>
      </w:pPr>
    </w:p>
    <w:p w:rsidR="00A67988" w:rsidRPr="00BE4405" w:rsidRDefault="00A67988" w:rsidP="00A67988">
      <w:pPr>
        <w:rPr>
          <w:b/>
          <w:lang w:val="en-GB"/>
        </w:rPr>
      </w:pPr>
      <w:r w:rsidRPr="00BE4405">
        <w:rPr>
          <w:b/>
          <w:lang w:val="en-GB"/>
        </w:rPr>
        <w:t xml:space="preserve">Registered </w:t>
      </w:r>
      <w:r w:rsidR="00681309" w:rsidRPr="00BE4405">
        <w:rPr>
          <w:b/>
          <w:lang w:val="en-GB"/>
        </w:rPr>
        <w:t>n</w:t>
      </w:r>
      <w:r w:rsidRPr="00BE4405">
        <w:rPr>
          <w:b/>
          <w:lang w:val="en-GB"/>
        </w:rPr>
        <w:t xml:space="preserve">umber of </w:t>
      </w:r>
      <w:r w:rsidR="00681309" w:rsidRPr="00BE4405">
        <w:rPr>
          <w:b/>
          <w:lang w:val="en-GB"/>
        </w:rPr>
        <w:t>e</w:t>
      </w:r>
      <w:r w:rsidRPr="00BE4405">
        <w:rPr>
          <w:b/>
          <w:lang w:val="en-GB"/>
        </w:rPr>
        <w:t xml:space="preserve">mployees </w:t>
      </w:r>
      <w:r w:rsidR="00681309" w:rsidRPr="00BE4405">
        <w:rPr>
          <w:b/>
          <w:lang w:val="en-GB"/>
        </w:rPr>
        <w:t>e</w:t>
      </w:r>
      <w:r w:rsidRPr="00BE4405">
        <w:rPr>
          <w:b/>
          <w:lang w:val="en-GB"/>
        </w:rPr>
        <w:t xml:space="preserve">xpressed as </w:t>
      </w:r>
      <w:r w:rsidR="00681309" w:rsidRPr="00BE4405">
        <w:rPr>
          <w:b/>
          <w:lang w:val="en-GB"/>
        </w:rPr>
        <w:t>full-t</w:t>
      </w:r>
      <w:r w:rsidRPr="00BE4405">
        <w:rPr>
          <w:b/>
          <w:lang w:val="en-GB"/>
        </w:rPr>
        <w:t xml:space="preserve">ime </w:t>
      </w:r>
      <w:r w:rsidR="00681309" w:rsidRPr="00BE4405">
        <w:rPr>
          <w:b/>
          <w:lang w:val="en-GB"/>
        </w:rPr>
        <w:t>e</w:t>
      </w:r>
      <w:r w:rsidRPr="00BE4405">
        <w:rPr>
          <w:b/>
          <w:lang w:val="en-GB"/>
        </w:rPr>
        <w:t xml:space="preserve">quivalent </w:t>
      </w:r>
      <w:r w:rsidR="00681309" w:rsidRPr="00BE4405">
        <w:rPr>
          <w:b/>
          <w:lang w:val="en-GB"/>
        </w:rPr>
        <w:t>e</w:t>
      </w:r>
      <w:r w:rsidRPr="00BE4405">
        <w:rPr>
          <w:b/>
          <w:lang w:val="en-GB"/>
        </w:rPr>
        <w:t>mployees</w:t>
      </w:r>
    </w:p>
    <w:p w:rsidR="00B853E5" w:rsidRPr="00BE4405" w:rsidRDefault="00975A52" w:rsidP="00975A52">
      <w:pPr>
        <w:pStyle w:val="Perex"/>
        <w:spacing w:after="0"/>
        <w:rPr>
          <w:b w:val="0"/>
          <w:szCs w:val="20"/>
          <w:lang w:eastAsia="cs-CZ"/>
        </w:rPr>
      </w:pPr>
      <w:r w:rsidRPr="00BE4405">
        <w:rPr>
          <w:b w:val="0"/>
          <w:szCs w:val="20"/>
          <w:lang w:eastAsia="cs-CZ"/>
        </w:rPr>
        <w:t>Preliminary data of the CZSO business statistics illustrate the situation on the labour market by their indicators, mainly as for the</w:t>
      </w:r>
      <w:r w:rsidR="00361EB2" w:rsidRPr="00BE4405">
        <w:rPr>
          <w:b w:val="0"/>
          <w:szCs w:val="20"/>
          <w:lang w:eastAsia="cs-CZ"/>
        </w:rPr>
        <w:t xml:space="preserve"> sharper</w:t>
      </w:r>
      <w:r w:rsidRPr="00BE4405">
        <w:rPr>
          <w:b w:val="0"/>
          <w:szCs w:val="20"/>
          <w:lang w:eastAsia="cs-CZ"/>
        </w:rPr>
        <w:t xml:space="preserve"> decrease in the registered number of employees. </w:t>
      </w:r>
      <w:r w:rsidR="005531E8" w:rsidRPr="00BE4405">
        <w:rPr>
          <w:b w:val="0"/>
          <w:szCs w:val="20"/>
          <w:lang w:eastAsia="cs-CZ"/>
        </w:rPr>
        <w:t>In the Q2 2020, compared to the corresponding period of the previous year, there were by 138.3 thousand</w:t>
      </w:r>
      <w:r w:rsidR="00A93252" w:rsidRPr="00BE4405">
        <w:rPr>
          <w:b w:val="0"/>
          <w:szCs w:val="20"/>
          <w:lang w:eastAsia="cs-CZ"/>
        </w:rPr>
        <w:t xml:space="preserve"> </w:t>
      </w:r>
      <w:r w:rsidR="00A93252" w:rsidRPr="00BE4405">
        <w:rPr>
          <w:b w:val="0"/>
          <w:lang w:eastAsia="cs-CZ"/>
        </w:rPr>
        <w:t>employees less in full-time equivalent</w:t>
      </w:r>
      <w:r w:rsidR="005531E8" w:rsidRPr="00BE4405">
        <w:rPr>
          <w:b w:val="0"/>
          <w:szCs w:val="20"/>
          <w:lang w:eastAsia="cs-CZ"/>
        </w:rPr>
        <w:t>, which is a relative decrease by 3.4%. Thus, the r</w:t>
      </w:r>
      <w:r w:rsidR="005531E8" w:rsidRPr="00BE4405">
        <w:rPr>
          <w:b w:val="0"/>
        </w:rPr>
        <w:t>egistered number of employees got below the level of 4 million (</w:t>
      </w:r>
      <w:proofErr w:type="gramStart"/>
      <w:r w:rsidR="005531E8" w:rsidRPr="00BE4405">
        <w:rPr>
          <w:b w:val="0"/>
        </w:rPr>
        <w:t>3</w:t>
      </w:r>
      <w:proofErr w:type="gramEnd"/>
      <w:r w:rsidR="005531E8" w:rsidRPr="00BE4405">
        <w:rPr>
          <w:b w:val="0"/>
        </w:rPr>
        <w:t xml:space="preserve"> 955.4 thousand), where it was </w:t>
      </w:r>
      <w:r w:rsidR="001008CF" w:rsidRPr="00BE4405">
        <w:rPr>
          <w:b w:val="0"/>
        </w:rPr>
        <w:t xml:space="preserve">last time in the Q1 2017. The growth trend was largely exhausted already before the coronavirus crisis; however, for a marked y-o-y decrease of 3.4% we can find a parallel in the recent past only in the period between the crisis year of 2009 and the Q1 2010. </w:t>
      </w:r>
      <w:r w:rsidR="00F76C65" w:rsidRPr="00BE4405">
        <w:rPr>
          <w:b w:val="0"/>
        </w:rPr>
        <w:t xml:space="preserve">At that time, we can find even the value of </w:t>
      </w:r>
      <w:r w:rsidR="00F76C65" w:rsidRPr="00BE4405">
        <w:rPr>
          <w:b w:val="0"/>
          <w:szCs w:val="20"/>
          <w:lang w:eastAsia="cs-CZ"/>
        </w:rPr>
        <w:t xml:space="preserve">-6.6%. </w:t>
      </w:r>
      <w:r w:rsidR="00B27B93" w:rsidRPr="00BE4405">
        <w:rPr>
          <w:b w:val="0"/>
          <w:szCs w:val="20"/>
          <w:lang w:eastAsia="cs-CZ"/>
        </w:rPr>
        <w:t>S</w:t>
      </w:r>
      <w:r w:rsidR="00C75C88" w:rsidRPr="00BE4405">
        <w:rPr>
          <w:b w:val="0"/>
          <w:szCs w:val="20"/>
          <w:lang w:eastAsia="cs-CZ"/>
        </w:rPr>
        <w:t>upporti</w:t>
      </w:r>
      <w:r w:rsidR="005209B3" w:rsidRPr="00BE4405">
        <w:rPr>
          <w:b w:val="0"/>
          <w:szCs w:val="20"/>
          <w:lang w:eastAsia="cs-CZ"/>
        </w:rPr>
        <w:t>ng</w:t>
      </w:r>
      <w:r w:rsidR="00C75C88" w:rsidRPr="00BE4405">
        <w:rPr>
          <w:b w:val="0"/>
          <w:szCs w:val="20"/>
          <w:lang w:eastAsia="cs-CZ"/>
        </w:rPr>
        <w:t xml:space="preserve"> state measures</w:t>
      </w:r>
      <w:r w:rsidR="005209B3" w:rsidRPr="00BE4405">
        <w:rPr>
          <w:b w:val="0"/>
          <w:szCs w:val="20"/>
          <w:lang w:eastAsia="cs-CZ"/>
        </w:rPr>
        <w:t xml:space="preserve">, especially the Antivirus programme, </w:t>
      </w:r>
      <w:r w:rsidR="00B27B93" w:rsidRPr="00BE4405">
        <w:rPr>
          <w:b w:val="0"/>
          <w:szCs w:val="20"/>
          <w:lang w:eastAsia="cs-CZ"/>
        </w:rPr>
        <w:t xml:space="preserve">this time </w:t>
      </w:r>
      <w:r w:rsidR="005209B3" w:rsidRPr="00BE4405">
        <w:rPr>
          <w:b w:val="0"/>
          <w:szCs w:val="20"/>
          <w:lang w:eastAsia="cs-CZ"/>
        </w:rPr>
        <w:t>undoubtedly prevented a more massive wave of laying off.</w:t>
      </w:r>
    </w:p>
    <w:p w:rsidR="001008CF" w:rsidRPr="00BE4405" w:rsidRDefault="001008CF" w:rsidP="00913D12">
      <w:pPr>
        <w:pStyle w:val="Perex"/>
        <w:spacing w:after="0"/>
        <w:rPr>
          <w:b w:val="0"/>
          <w:lang w:val="cs-CZ"/>
        </w:rPr>
      </w:pPr>
    </w:p>
    <w:p w:rsidR="00B214ED" w:rsidRPr="00BE4405" w:rsidRDefault="00B214ED" w:rsidP="00B214ED">
      <w:pPr>
        <w:pStyle w:val="Perex"/>
        <w:spacing w:after="0"/>
        <w:rPr>
          <w:b w:val="0"/>
        </w:rPr>
      </w:pPr>
      <w:r w:rsidRPr="00BE4405">
        <w:rPr>
          <w:b w:val="0"/>
        </w:rPr>
        <w:t>As for individual industries (economic activities), the situation differed a lot; a marked decrease occurred in industry, in which there were 57.0 thousand employees less, y-o-y.</w:t>
      </w:r>
      <w:r w:rsidR="00B07855" w:rsidRPr="00BE4405">
        <w:rPr>
          <w:b w:val="0"/>
        </w:rPr>
        <w:t xml:space="preserve"> The highest relative decrease (16.4%)</w:t>
      </w:r>
      <w:r w:rsidRPr="00BE4405">
        <w:rPr>
          <w:b w:val="0"/>
        </w:rPr>
        <w:t xml:space="preserve"> </w:t>
      </w:r>
      <w:r w:rsidR="00B07855" w:rsidRPr="00BE4405">
        <w:rPr>
          <w:b w:val="0"/>
        </w:rPr>
        <w:t xml:space="preserve">was in ‘administrative and support service activities,’ in which employment agencies dominate that often employ foreigners. Concurrently, it is the second highest decrease in absolute terms (32.7 thousand). </w:t>
      </w:r>
      <w:r w:rsidR="008B3FB6" w:rsidRPr="00BE4405">
        <w:rPr>
          <w:b w:val="0"/>
        </w:rPr>
        <w:t xml:space="preserve">Actually, agency workers can work anywhere; however, they are most of all in industry. </w:t>
      </w:r>
    </w:p>
    <w:p w:rsidR="002B6C3A" w:rsidRPr="00BE4405" w:rsidRDefault="002B6C3A" w:rsidP="002B6C3A"/>
    <w:p w:rsidR="00634B72" w:rsidRPr="00BE4405" w:rsidRDefault="00634B72" w:rsidP="00913D12">
      <w:pPr>
        <w:rPr>
          <w:lang w:val="en-GB"/>
        </w:rPr>
      </w:pPr>
      <w:r w:rsidRPr="00BE4405">
        <w:rPr>
          <w:lang w:val="en-GB"/>
        </w:rPr>
        <w:t xml:space="preserve">‘Accommodation and food service activities’ is the second as for the relative decrease in the registered number of employees (14.5%); the decrease in absolute terms was 18.0 thousand. With a big margin, ‘other service activities’ ranked third (5.3%) and </w:t>
      </w:r>
      <w:r w:rsidR="00234C47" w:rsidRPr="00BE4405">
        <w:rPr>
          <w:lang w:val="en-GB"/>
        </w:rPr>
        <w:t>‘arts, entertainment and recreation’</w:t>
      </w:r>
      <w:r w:rsidRPr="00BE4405">
        <w:rPr>
          <w:lang w:val="en-GB"/>
        </w:rPr>
        <w:t xml:space="preserve"> ranked fourth (5.1%). </w:t>
      </w:r>
      <w:r w:rsidR="001C02A0" w:rsidRPr="00BE4405">
        <w:rPr>
          <w:lang w:val="en-GB"/>
        </w:rPr>
        <w:t>As for other sections, the decrease does not exceed 5%. Close to the 5% threshold is ‘mining and quarrying’ (4.9%), in which, however, the number of employees has been decreasing for a long-term.</w:t>
      </w:r>
      <w:r w:rsidR="00D61A39" w:rsidRPr="00BE4405">
        <w:rPr>
          <w:lang w:val="en-GB"/>
        </w:rPr>
        <w:t xml:space="preserve"> A considerable decrease by 4.8% was in ‘manufacturing</w:t>
      </w:r>
      <w:r w:rsidR="00D61A39" w:rsidRPr="00BE4405">
        <w:rPr>
          <w:szCs w:val="20"/>
          <w:lang w:val="en-GB" w:eastAsia="cs-CZ"/>
        </w:rPr>
        <w:t>’</w:t>
      </w:r>
      <w:r w:rsidR="00D61A39" w:rsidRPr="00BE4405">
        <w:rPr>
          <w:lang w:val="en-GB"/>
        </w:rPr>
        <w:t xml:space="preserve"> (NACE section</w:t>
      </w:r>
      <w:r w:rsidR="00367F13">
        <w:rPr>
          <w:lang w:val="en-GB"/>
        </w:rPr>
        <w:t xml:space="preserve"> C</w:t>
      </w:r>
      <w:r w:rsidR="00D61A39" w:rsidRPr="00BE4405">
        <w:rPr>
          <w:lang w:val="en-GB"/>
        </w:rPr>
        <w:t xml:space="preserve">), which is also the most important as for the number of employees (55.4 thousand), means that the trend that started already in the Q2 2019 has deepened and is undoubtedly related also to the coronavirus crisis and a fall of external demand. On the other hand, in a smaller industrial economic activity of </w:t>
      </w:r>
      <w:r w:rsidR="005A2A09" w:rsidRPr="00BE4405">
        <w:rPr>
          <w:lang w:val="en-GB"/>
        </w:rPr>
        <w:t xml:space="preserve">‘water supply; sewerage, waste management and remediation activities,’ the number of employees was stabilised (+0.1 thousand; 0.2%). </w:t>
      </w:r>
    </w:p>
    <w:p w:rsidR="00634B72" w:rsidRPr="00BE4405" w:rsidRDefault="00634B72" w:rsidP="00913D12">
      <w:pPr>
        <w:rPr>
          <w:lang w:val="en-GB"/>
        </w:rPr>
      </w:pPr>
    </w:p>
    <w:p w:rsidR="006A6742" w:rsidRPr="00BE4405" w:rsidRDefault="006A6742" w:rsidP="006A6742">
      <w:pPr>
        <w:pStyle w:val="Perex"/>
        <w:spacing w:after="0"/>
        <w:rPr>
          <w:b w:val="0"/>
        </w:rPr>
      </w:pPr>
      <w:r w:rsidRPr="00BE4405">
        <w:rPr>
          <w:b w:val="0"/>
        </w:rPr>
        <w:t xml:space="preserve">In ‘wholesale and retail trade; repair </w:t>
      </w:r>
      <w:r w:rsidRPr="00D0471B">
        <w:rPr>
          <w:b w:val="0"/>
        </w:rPr>
        <w:t>of motor vehicles and motorcycles’ there were by 12</w:t>
      </w:r>
      <w:r w:rsidR="00D0471B">
        <w:rPr>
          <w:b w:val="0"/>
        </w:rPr>
        <w:t>.0</w:t>
      </w:r>
      <w:r w:rsidRPr="00D0471B">
        <w:rPr>
          <w:b w:val="0"/>
        </w:rPr>
        <w:t xml:space="preserve"> thousand job positions</w:t>
      </w:r>
      <w:r w:rsidR="00B823B7" w:rsidRPr="00B823B7">
        <w:rPr>
          <w:b w:val="0"/>
        </w:rPr>
        <w:t xml:space="preserve"> </w:t>
      </w:r>
      <w:r w:rsidR="00B823B7" w:rsidRPr="00D0471B">
        <w:rPr>
          <w:b w:val="0"/>
        </w:rPr>
        <w:t>less</w:t>
      </w:r>
      <w:r w:rsidRPr="00D0471B">
        <w:rPr>
          <w:b w:val="0"/>
        </w:rPr>
        <w:t xml:space="preserve"> </w:t>
      </w:r>
      <w:r w:rsidRPr="00D0471B">
        <w:rPr>
          <w:b w:val="0"/>
          <w:lang w:val="cs-CZ"/>
        </w:rPr>
        <w:t>(-2</w:t>
      </w:r>
      <w:r w:rsidRPr="00D0471B">
        <w:rPr>
          <w:b w:val="0"/>
        </w:rPr>
        <w:t>.</w:t>
      </w:r>
      <w:r w:rsidRPr="00D0471B">
        <w:rPr>
          <w:b w:val="0"/>
          <w:lang w:val="cs-CZ"/>
        </w:rPr>
        <w:t xml:space="preserve">4%), in </w:t>
      </w:r>
      <w:r w:rsidRPr="00D0471B">
        <w:rPr>
          <w:b w:val="0"/>
        </w:rPr>
        <w:t>‘transportation and storage</w:t>
      </w:r>
      <w:r w:rsidRPr="00D0471B">
        <w:rPr>
          <w:b w:val="0"/>
          <w:szCs w:val="20"/>
          <w:lang w:eastAsia="cs-CZ"/>
        </w:rPr>
        <w:t>’</w:t>
      </w:r>
      <w:r w:rsidRPr="00D0471B">
        <w:rPr>
          <w:b w:val="0"/>
        </w:rPr>
        <w:t>, the n</w:t>
      </w:r>
      <w:r w:rsidRPr="00BE4405">
        <w:rPr>
          <w:b w:val="0"/>
        </w:rPr>
        <w:t xml:space="preserve">umber of FTE employees dropped by 11.3 thousand, which is 4.2%. </w:t>
      </w:r>
      <w:r w:rsidR="007C5C31" w:rsidRPr="00BE4405">
        <w:rPr>
          <w:b w:val="0"/>
        </w:rPr>
        <w:t>A deeper drop was also in construction (3.5 thousand; 1.7%).</w:t>
      </w:r>
      <w:r w:rsidR="00FD60B7" w:rsidRPr="00BE4405">
        <w:rPr>
          <w:b w:val="0"/>
        </w:rPr>
        <w:t xml:space="preserve"> In ‘agriculture, forestry and fishing,</w:t>
      </w:r>
      <w:r w:rsidR="00FD60B7" w:rsidRPr="00BE4405">
        <w:rPr>
          <w:b w:val="0"/>
          <w:szCs w:val="20"/>
          <w:lang w:eastAsia="cs-CZ"/>
        </w:rPr>
        <w:t xml:space="preserve">’ there were by 3.6 thousand positions less, which is by 3.7% less. </w:t>
      </w:r>
      <w:r w:rsidR="00152CD9" w:rsidRPr="00BE4405">
        <w:rPr>
          <w:b w:val="0"/>
          <w:szCs w:val="20"/>
          <w:lang w:eastAsia="cs-CZ"/>
        </w:rPr>
        <w:t>‘Professional, scientific and technical activities’ lost 6.1 thousand FTE employees (-3.4%).</w:t>
      </w:r>
    </w:p>
    <w:p w:rsidR="002B6C3A" w:rsidRPr="00BE4405" w:rsidRDefault="002B6C3A" w:rsidP="002B6C3A"/>
    <w:p w:rsidR="00850E38" w:rsidRPr="00BE4405" w:rsidRDefault="008B3FB6" w:rsidP="008B3FB6">
      <w:pPr>
        <w:pStyle w:val="Perex"/>
        <w:spacing w:after="0"/>
        <w:rPr>
          <w:b w:val="0"/>
          <w:szCs w:val="20"/>
          <w:lang w:eastAsia="cs-CZ"/>
        </w:rPr>
      </w:pPr>
      <w:r w:rsidRPr="00BE4405">
        <w:rPr>
          <w:b w:val="0"/>
        </w:rPr>
        <w:t>Increments in the numbers of employees concentrated in</w:t>
      </w:r>
      <w:r w:rsidR="005D3DA1" w:rsidRPr="00BE4405">
        <w:rPr>
          <w:b w:val="0"/>
        </w:rPr>
        <w:t xml:space="preserve"> several</w:t>
      </w:r>
      <w:r w:rsidRPr="00BE4405">
        <w:rPr>
          <w:b w:val="0"/>
          <w:szCs w:val="20"/>
          <w:lang w:eastAsia="cs-CZ"/>
        </w:rPr>
        <w:t xml:space="preserve"> economic activities</w:t>
      </w:r>
      <w:r w:rsidR="005D3DA1" w:rsidRPr="00BE4405">
        <w:rPr>
          <w:b w:val="0"/>
          <w:szCs w:val="20"/>
          <w:lang w:eastAsia="cs-CZ"/>
        </w:rPr>
        <w:t>, especially in</w:t>
      </w:r>
      <w:r w:rsidRPr="00BE4405">
        <w:rPr>
          <w:b w:val="0"/>
          <w:szCs w:val="20"/>
          <w:lang w:eastAsia="cs-CZ"/>
        </w:rPr>
        <w:t xml:space="preserve"> ‘education’</w:t>
      </w:r>
      <w:r w:rsidR="007C28FB" w:rsidRPr="00BE4405">
        <w:rPr>
          <w:b w:val="0"/>
          <w:szCs w:val="20"/>
          <w:lang w:eastAsia="cs-CZ"/>
        </w:rPr>
        <w:t xml:space="preserve"> with </w:t>
      </w:r>
      <w:r w:rsidR="0016440F">
        <w:rPr>
          <w:b w:val="0"/>
          <w:szCs w:val="20"/>
          <w:lang w:eastAsia="cs-CZ"/>
        </w:rPr>
        <w:t xml:space="preserve">an </w:t>
      </w:r>
      <w:r w:rsidR="007C28FB" w:rsidRPr="00BE4405">
        <w:rPr>
          <w:b w:val="0"/>
          <w:szCs w:val="20"/>
          <w:lang w:eastAsia="cs-CZ"/>
        </w:rPr>
        <w:t>increase in the number of employees by 7.6 thousand (2.5%).</w:t>
      </w:r>
      <w:r w:rsidR="006C25FB" w:rsidRPr="00BE4405">
        <w:rPr>
          <w:b w:val="0"/>
          <w:szCs w:val="20"/>
          <w:lang w:eastAsia="cs-CZ"/>
        </w:rPr>
        <w:t xml:space="preserve"> In a closely observed</w:t>
      </w:r>
      <w:r w:rsidRPr="00BE4405">
        <w:rPr>
          <w:b w:val="0"/>
          <w:szCs w:val="20"/>
          <w:lang w:eastAsia="cs-CZ"/>
        </w:rPr>
        <w:t xml:space="preserve"> ‘human health and social work activities</w:t>
      </w:r>
      <w:r w:rsidR="006C25FB" w:rsidRPr="00BE4405">
        <w:rPr>
          <w:b w:val="0"/>
          <w:szCs w:val="20"/>
          <w:lang w:eastAsia="cs-CZ"/>
        </w:rPr>
        <w:t>,</w:t>
      </w:r>
      <w:r w:rsidRPr="00BE4405">
        <w:rPr>
          <w:b w:val="0"/>
          <w:szCs w:val="20"/>
          <w:lang w:eastAsia="cs-CZ"/>
        </w:rPr>
        <w:t>’</w:t>
      </w:r>
      <w:r w:rsidR="006C25FB" w:rsidRPr="00BE4405">
        <w:rPr>
          <w:b w:val="0"/>
          <w:szCs w:val="20"/>
          <w:lang w:eastAsia="cs-CZ"/>
        </w:rPr>
        <w:t xml:space="preserve"> </w:t>
      </w:r>
      <w:r w:rsidRPr="00BE4405">
        <w:rPr>
          <w:b w:val="0"/>
          <w:szCs w:val="20"/>
          <w:lang w:eastAsia="cs-CZ"/>
        </w:rPr>
        <w:t>the number of FTE employees increased</w:t>
      </w:r>
      <w:r w:rsidR="00850E38" w:rsidRPr="00BE4405">
        <w:rPr>
          <w:b w:val="0"/>
          <w:szCs w:val="20"/>
          <w:lang w:eastAsia="cs-CZ"/>
        </w:rPr>
        <w:t xml:space="preserve"> </w:t>
      </w:r>
      <w:r w:rsidR="00EF45C0">
        <w:rPr>
          <w:b w:val="0"/>
          <w:szCs w:val="20"/>
          <w:lang w:eastAsia="cs-CZ"/>
        </w:rPr>
        <w:lastRenderedPageBreak/>
        <w:t>merely</w:t>
      </w:r>
      <w:r w:rsidRPr="00BE4405">
        <w:rPr>
          <w:b w:val="0"/>
          <w:szCs w:val="20"/>
          <w:lang w:eastAsia="cs-CZ"/>
        </w:rPr>
        <w:t xml:space="preserve"> by </w:t>
      </w:r>
      <w:r w:rsidR="00850E38" w:rsidRPr="00BE4405">
        <w:rPr>
          <w:b w:val="0"/>
          <w:szCs w:val="20"/>
          <w:lang w:eastAsia="cs-CZ"/>
        </w:rPr>
        <w:t>0.3</w:t>
      </w:r>
      <w:r w:rsidRPr="00BE4405">
        <w:rPr>
          <w:b w:val="0"/>
          <w:szCs w:val="20"/>
          <w:lang w:eastAsia="cs-CZ"/>
        </w:rPr>
        <w:t xml:space="preserve"> thousand (</w:t>
      </w:r>
      <w:r w:rsidR="00850E38" w:rsidRPr="00BE4405">
        <w:rPr>
          <w:b w:val="0"/>
          <w:szCs w:val="20"/>
          <w:lang w:eastAsia="cs-CZ"/>
        </w:rPr>
        <w:t>0.1</w:t>
      </w:r>
      <w:r w:rsidRPr="00BE4405">
        <w:rPr>
          <w:b w:val="0"/>
          <w:szCs w:val="20"/>
          <w:lang w:eastAsia="cs-CZ"/>
        </w:rPr>
        <w:t xml:space="preserve">%). </w:t>
      </w:r>
      <w:r w:rsidR="001D127D" w:rsidRPr="00BE4405">
        <w:rPr>
          <w:b w:val="0"/>
          <w:szCs w:val="20"/>
          <w:lang w:eastAsia="cs-CZ"/>
        </w:rPr>
        <w:t xml:space="preserve">A marked increase by 5.8% was in </w:t>
      </w:r>
      <w:r w:rsidR="003232D8" w:rsidRPr="00BE4405">
        <w:rPr>
          <w:b w:val="0"/>
        </w:rPr>
        <w:t xml:space="preserve">‘real estate activities,’ which is by 2.5 thousand more. </w:t>
      </w:r>
      <w:r w:rsidR="008F13EF" w:rsidRPr="00BE4405">
        <w:rPr>
          <w:b w:val="0"/>
        </w:rPr>
        <w:t xml:space="preserve">In </w:t>
      </w:r>
      <w:r w:rsidR="008F13EF" w:rsidRPr="00BE4405">
        <w:rPr>
          <w:b w:val="0"/>
          <w:szCs w:val="20"/>
          <w:lang w:eastAsia="cs-CZ"/>
        </w:rPr>
        <w:t>‘</w:t>
      </w:r>
      <w:r w:rsidR="008F13EF" w:rsidRPr="00BE4405">
        <w:rPr>
          <w:b w:val="0"/>
          <w:lang w:eastAsia="cs-CZ"/>
        </w:rPr>
        <w:t xml:space="preserve">financial and insurance activities,’ there were by 0.8 thousand more FTE employees (1.1%). </w:t>
      </w:r>
      <w:r w:rsidR="00624725" w:rsidRPr="00BE4405">
        <w:rPr>
          <w:b w:val="0"/>
          <w:szCs w:val="20"/>
          <w:lang w:eastAsia="cs-CZ"/>
        </w:rPr>
        <w:t xml:space="preserve">Constant growth of the number of employees is </w:t>
      </w:r>
      <w:r w:rsidR="00624725" w:rsidRPr="00BE4405">
        <w:rPr>
          <w:b w:val="0"/>
        </w:rPr>
        <w:t xml:space="preserve">in </w:t>
      </w:r>
      <w:r w:rsidR="00624725" w:rsidRPr="00BE4405">
        <w:rPr>
          <w:b w:val="0"/>
          <w:szCs w:val="20"/>
          <w:lang w:eastAsia="cs-CZ"/>
        </w:rPr>
        <w:t>‘</w:t>
      </w:r>
      <w:r w:rsidR="00624725" w:rsidRPr="00BE4405">
        <w:rPr>
          <w:b w:val="0"/>
          <w:lang w:eastAsia="cs-CZ"/>
        </w:rPr>
        <w:t xml:space="preserve">information and communication,’ </w:t>
      </w:r>
      <w:r w:rsidR="00624725" w:rsidRPr="00BE4405">
        <w:rPr>
          <w:b w:val="0"/>
        </w:rPr>
        <w:t>currently by 0.5 thousand (0.4%).</w:t>
      </w:r>
    </w:p>
    <w:p w:rsidR="00A67988" w:rsidRPr="00BE4405" w:rsidRDefault="00A67988" w:rsidP="00A67988">
      <w:pPr>
        <w:rPr>
          <w:lang w:val="en-GB" w:eastAsia="cs-CZ"/>
        </w:rPr>
      </w:pPr>
    </w:p>
    <w:p w:rsidR="00A67988" w:rsidRPr="00BE4405" w:rsidRDefault="00A67988" w:rsidP="00A67988">
      <w:pPr>
        <w:rPr>
          <w:b/>
          <w:lang w:val="en-GB"/>
        </w:rPr>
      </w:pPr>
      <w:r w:rsidRPr="00BE4405">
        <w:rPr>
          <w:b/>
          <w:lang w:val="en-GB"/>
        </w:rPr>
        <w:t xml:space="preserve">Average </w:t>
      </w:r>
      <w:r w:rsidR="00681309" w:rsidRPr="00BE4405">
        <w:rPr>
          <w:b/>
          <w:lang w:val="en-GB"/>
        </w:rPr>
        <w:t>g</w:t>
      </w:r>
      <w:r w:rsidRPr="00BE4405">
        <w:rPr>
          <w:b/>
          <w:lang w:val="en-GB"/>
        </w:rPr>
        <w:t xml:space="preserve">ross </w:t>
      </w:r>
      <w:r w:rsidR="00681309" w:rsidRPr="00BE4405">
        <w:rPr>
          <w:b/>
          <w:lang w:val="en-GB"/>
        </w:rPr>
        <w:t>m</w:t>
      </w:r>
      <w:r w:rsidRPr="00BE4405">
        <w:rPr>
          <w:b/>
          <w:lang w:val="en-GB"/>
        </w:rPr>
        <w:t xml:space="preserve">onthly </w:t>
      </w:r>
      <w:r w:rsidR="00681309" w:rsidRPr="00BE4405">
        <w:rPr>
          <w:b/>
          <w:lang w:val="en-GB"/>
        </w:rPr>
        <w:t>w</w:t>
      </w:r>
      <w:r w:rsidRPr="00BE4405">
        <w:rPr>
          <w:b/>
          <w:lang w:val="en-GB"/>
        </w:rPr>
        <w:t xml:space="preserve">ages </w:t>
      </w:r>
    </w:p>
    <w:p w:rsidR="00047047" w:rsidRPr="00BE4405" w:rsidRDefault="00047047" w:rsidP="00047047">
      <w:pPr>
        <w:rPr>
          <w:lang w:val="en-GB"/>
        </w:rPr>
      </w:pPr>
      <w:r w:rsidRPr="00BE4405">
        <w:rPr>
          <w:lang w:val="en-GB"/>
        </w:rPr>
        <w:t xml:space="preserve">The average wage </w:t>
      </w:r>
      <w:r w:rsidRPr="00BE4405">
        <w:rPr>
          <w:szCs w:val="20"/>
          <w:lang w:val="en-GB" w:eastAsia="cs-CZ"/>
        </w:rPr>
        <w:t xml:space="preserve">(CZK 34 271) increased nominally </w:t>
      </w:r>
      <w:r w:rsidRPr="00BE4405">
        <w:rPr>
          <w:szCs w:val="20"/>
          <w:lang w:val="en-GB"/>
        </w:rPr>
        <w:t xml:space="preserve">by CZK 160 </w:t>
      </w:r>
      <w:r w:rsidRPr="00BE4405">
        <w:rPr>
          <w:szCs w:val="20"/>
          <w:lang w:val="en-GB" w:eastAsia="cs-CZ"/>
        </w:rPr>
        <w:t>in the Q</w:t>
      </w:r>
      <w:r w:rsidRPr="00BE4405">
        <w:rPr>
          <w:szCs w:val="20"/>
          <w:lang w:val="en-GB"/>
        </w:rPr>
        <w:t xml:space="preserve">2 2020, compared to the corresponding period of 2019, i.e. in relative terms by 0.5%. Therefore, as for this indicator, we can observe some </w:t>
      </w:r>
      <w:r w:rsidR="009512A8" w:rsidRPr="00BE4405">
        <w:rPr>
          <w:szCs w:val="20"/>
          <w:lang w:val="en-GB"/>
        </w:rPr>
        <w:t>halt</w:t>
      </w:r>
      <w:r w:rsidRPr="00BE4405">
        <w:rPr>
          <w:szCs w:val="20"/>
          <w:lang w:val="en-GB"/>
        </w:rPr>
        <w:t xml:space="preserve"> of growth; however, it is just </w:t>
      </w:r>
      <w:r w:rsidR="004C24BB" w:rsidRPr="00BE4405">
        <w:rPr>
          <w:szCs w:val="20"/>
          <w:lang w:val="en-GB"/>
        </w:rPr>
        <w:t xml:space="preserve">due to making </w:t>
      </w:r>
      <w:r w:rsidRPr="00BE4405">
        <w:rPr>
          <w:szCs w:val="20"/>
          <w:lang w:val="en-GB"/>
        </w:rPr>
        <w:t>an average</w:t>
      </w:r>
      <w:r w:rsidR="004C24BB" w:rsidRPr="00BE4405">
        <w:rPr>
          <w:szCs w:val="20"/>
          <w:lang w:val="en-GB"/>
        </w:rPr>
        <w:t xml:space="preserve"> of</w:t>
      </w:r>
      <w:r w:rsidRPr="00BE4405">
        <w:rPr>
          <w:szCs w:val="20"/>
          <w:lang w:val="en-GB"/>
        </w:rPr>
        <w:t xml:space="preserve"> a highly differentiated development on the level of individual domains, enterprises or organisations.</w:t>
      </w:r>
      <w:r w:rsidR="00DF6482" w:rsidRPr="00BE4405">
        <w:rPr>
          <w:szCs w:val="20"/>
          <w:lang w:val="en-GB"/>
        </w:rPr>
        <w:t xml:space="preserve"> Data for the Q2 2020 already followed </w:t>
      </w:r>
      <w:r w:rsidR="00F02E11" w:rsidRPr="00BE4405">
        <w:rPr>
          <w:szCs w:val="20"/>
          <w:lang w:val="en-GB"/>
        </w:rPr>
        <w:t xml:space="preserve">also </w:t>
      </w:r>
      <w:r w:rsidR="00DF6482" w:rsidRPr="00BE4405">
        <w:rPr>
          <w:szCs w:val="20"/>
          <w:lang w:val="en-GB"/>
        </w:rPr>
        <w:t xml:space="preserve">the economic development from </w:t>
      </w:r>
      <w:r w:rsidR="00F02E11" w:rsidRPr="00BE4405">
        <w:rPr>
          <w:szCs w:val="20"/>
          <w:lang w:val="en-GB"/>
        </w:rPr>
        <w:t xml:space="preserve">the </w:t>
      </w:r>
      <w:r w:rsidR="00DF6482" w:rsidRPr="00BE4405">
        <w:rPr>
          <w:szCs w:val="20"/>
          <w:lang w:val="en-GB"/>
        </w:rPr>
        <w:t xml:space="preserve">previous years, in which the growth was gradually attenuating. </w:t>
      </w:r>
    </w:p>
    <w:p w:rsidR="00AC2B62" w:rsidRPr="00BE4405" w:rsidRDefault="00AC2B62" w:rsidP="007560AC">
      <w:pPr>
        <w:rPr>
          <w:noProof/>
          <w:szCs w:val="20"/>
          <w:lang w:eastAsia="cs-CZ"/>
        </w:rPr>
      </w:pPr>
    </w:p>
    <w:p w:rsidR="00C659CD" w:rsidRPr="00BE4405" w:rsidRDefault="007E5010" w:rsidP="00AC2B62">
      <w:pPr>
        <w:rPr>
          <w:lang w:val="en-GB" w:eastAsia="cs-CZ"/>
        </w:rPr>
      </w:pPr>
      <w:r w:rsidRPr="00BE4405">
        <w:rPr>
          <w:lang w:val="en-GB" w:eastAsia="cs-CZ"/>
        </w:rPr>
        <w:t>Moreover, e</w:t>
      </w:r>
      <w:r w:rsidR="00AC2B62" w:rsidRPr="00BE4405">
        <w:rPr>
          <w:lang w:val="en-GB" w:eastAsia="cs-CZ"/>
        </w:rPr>
        <w:t>xpressed in real terms, the wage increase was</w:t>
      </w:r>
      <w:r w:rsidRPr="00BE4405">
        <w:rPr>
          <w:lang w:val="en-GB" w:eastAsia="cs-CZ"/>
        </w:rPr>
        <w:t xml:space="preserve"> actually</w:t>
      </w:r>
      <w:r w:rsidR="00AC2B62" w:rsidRPr="00BE4405">
        <w:rPr>
          <w:lang w:val="en-GB" w:eastAsia="cs-CZ"/>
        </w:rPr>
        <w:t xml:space="preserve"> </w:t>
      </w:r>
      <w:r w:rsidRPr="00BE4405">
        <w:rPr>
          <w:lang w:val="en-GB" w:eastAsia="cs-CZ"/>
        </w:rPr>
        <w:t xml:space="preserve">a fall; real wages decreased by 2.5%, which is unprecedented in the modern history except for the Q4 2013, in which, however, </w:t>
      </w:r>
      <w:r w:rsidR="004723C1" w:rsidRPr="00BE4405">
        <w:rPr>
          <w:lang w:val="en-GB" w:eastAsia="cs-CZ"/>
        </w:rPr>
        <w:t>the y-o-y index was distorted by the then tax adjustment, which led to a speculative flow</w:t>
      </w:r>
      <w:r w:rsidR="0052745C" w:rsidRPr="00BE4405">
        <w:rPr>
          <w:lang w:val="en-GB" w:eastAsia="cs-CZ"/>
        </w:rPr>
        <w:t xml:space="preserve"> </w:t>
      </w:r>
      <w:r w:rsidR="004723C1" w:rsidRPr="00BE4405">
        <w:rPr>
          <w:lang w:val="en-GB" w:eastAsia="cs-CZ"/>
        </w:rPr>
        <w:t xml:space="preserve">of part of wage </w:t>
      </w:r>
      <w:r w:rsidR="0052745C" w:rsidRPr="00BE4405">
        <w:rPr>
          <w:lang w:val="en-GB" w:eastAsia="cs-CZ"/>
        </w:rPr>
        <w:t>funds</w:t>
      </w:r>
      <w:r w:rsidR="004723C1" w:rsidRPr="00BE4405">
        <w:rPr>
          <w:lang w:val="en-GB" w:eastAsia="cs-CZ"/>
        </w:rPr>
        <w:t xml:space="preserve"> to the year 2014. </w:t>
      </w:r>
      <w:r w:rsidR="00C659CD" w:rsidRPr="00BE4405">
        <w:rPr>
          <w:lang w:val="en-GB" w:eastAsia="cs-CZ"/>
        </w:rPr>
        <w:t xml:space="preserve">The situation occurred after a longer period of rather decent increasing of wages; in the previous year of 2019, the real growth was by 3.5% and in 2018 even by 5.9%. What is also </w:t>
      </w:r>
      <w:r w:rsidR="00A5167F" w:rsidRPr="00BE4405">
        <w:rPr>
          <w:lang w:val="en-GB" w:eastAsia="cs-CZ"/>
        </w:rPr>
        <w:t>influential</w:t>
      </w:r>
      <w:r w:rsidR="00C659CD" w:rsidRPr="00BE4405">
        <w:rPr>
          <w:lang w:val="en-GB" w:eastAsia="cs-CZ"/>
        </w:rPr>
        <w:t xml:space="preserve"> besides the nominal slowdown is over a 3% (3.1%) inflation (consumer price index; </w:t>
      </w:r>
      <w:r w:rsidR="00A5167F" w:rsidRPr="00BE4405">
        <w:rPr>
          <w:lang w:val="en-GB" w:eastAsia="cs-CZ"/>
        </w:rPr>
        <w:t>demonstrated as a gap between the two lines in the chart below</w:t>
      </w:r>
      <w:r w:rsidR="00C659CD" w:rsidRPr="00BE4405">
        <w:rPr>
          <w:lang w:val="en-GB" w:eastAsia="cs-CZ"/>
        </w:rPr>
        <w:t xml:space="preserve">). </w:t>
      </w:r>
    </w:p>
    <w:p w:rsidR="002B6C3A" w:rsidRPr="00BE4405" w:rsidRDefault="002B6C3A" w:rsidP="007560AC">
      <w:pPr>
        <w:rPr>
          <w:noProof/>
          <w:szCs w:val="20"/>
          <w:lang w:eastAsia="cs-CZ"/>
        </w:rPr>
      </w:pPr>
    </w:p>
    <w:p w:rsidR="005A4190" w:rsidRPr="00BE4405" w:rsidRDefault="005A4190" w:rsidP="007560AC">
      <w:pPr>
        <w:rPr>
          <w:lang w:val="en-GB"/>
        </w:rPr>
      </w:pPr>
      <w:r w:rsidRPr="00BE4405">
        <w:rPr>
          <w:lang w:val="en-GB"/>
        </w:rPr>
        <w:t xml:space="preserve">Wage development was highly differentiated the same as the development in the number of employees and it depended, most of all, on the strength with which individual </w:t>
      </w:r>
      <w:r w:rsidR="000709A2">
        <w:rPr>
          <w:lang w:val="en-GB"/>
        </w:rPr>
        <w:t>economic activities</w:t>
      </w:r>
      <w:r w:rsidRPr="00BE4405">
        <w:rPr>
          <w:lang w:val="en-GB"/>
        </w:rPr>
        <w:t xml:space="preserve"> (industries) were affected by</w:t>
      </w:r>
      <w:r w:rsidR="00A258CE" w:rsidRPr="00BE4405">
        <w:rPr>
          <w:lang w:val="en-GB"/>
        </w:rPr>
        <w:t xml:space="preserve"> anti-infection</w:t>
      </w:r>
      <w:r w:rsidRPr="00BE4405">
        <w:rPr>
          <w:lang w:val="en-GB"/>
        </w:rPr>
        <w:t xml:space="preserve"> measures. </w:t>
      </w:r>
    </w:p>
    <w:p w:rsidR="002B6C3A" w:rsidRPr="00BE4405" w:rsidRDefault="002B6C3A" w:rsidP="007560AC"/>
    <w:p w:rsidR="00E31700" w:rsidRPr="00BE4405" w:rsidRDefault="00E31700" w:rsidP="00254685">
      <w:pPr>
        <w:rPr>
          <w:lang w:val="en-GB"/>
        </w:rPr>
      </w:pPr>
      <w:r w:rsidRPr="00BE4405">
        <w:rPr>
          <w:lang w:val="en-GB"/>
        </w:rPr>
        <w:t>In nine</w:t>
      </w:r>
      <w:r w:rsidR="00254685" w:rsidRPr="00BE4405">
        <w:rPr>
          <w:lang w:val="en-GB"/>
        </w:rPr>
        <w:t xml:space="preserve"> </w:t>
      </w:r>
      <w:r w:rsidRPr="00BE4405">
        <w:rPr>
          <w:lang w:val="en-GB"/>
        </w:rPr>
        <w:t>economic activities sections out of nineteen</w:t>
      </w:r>
      <w:r w:rsidR="00254685" w:rsidRPr="00BE4405">
        <w:rPr>
          <w:lang w:val="en-GB"/>
        </w:rPr>
        <w:t>, there was a nom</w:t>
      </w:r>
      <w:r w:rsidRPr="00BE4405">
        <w:rPr>
          <w:lang w:val="en-GB"/>
        </w:rPr>
        <w:t>inal decrease of the wage level.</w:t>
      </w:r>
      <w:r w:rsidR="00254685" w:rsidRPr="00BE4405">
        <w:rPr>
          <w:lang w:val="en-GB"/>
        </w:rPr>
        <w:t xml:space="preserve"> </w:t>
      </w:r>
      <w:r w:rsidRPr="00BE4405">
        <w:rPr>
          <w:lang w:val="en-GB"/>
        </w:rPr>
        <w:t xml:space="preserve">It is the most marked in ‘accommodation and food service activities’ (11.8%), in which there is the lowest wage level for a long-term (currently CZK 17 928). The second worst wage decrease was in </w:t>
      </w:r>
      <w:r w:rsidR="00254685" w:rsidRPr="00BE4405">
        <w:rPr>
          <w:lang w:val="en-GB"/>
        </w:rPr>
        <w:t>‘real estate activities’ (</w:t>
      </w:r>
      <w:r w:rsidRPr="00BE4405">
        <w:rPr>
          <w:lang w:val="en-GB"/>
        </w:rPr>
        <w:t>by 5.7</w:t>
      </w:r>
      <w:r w:rsidR="00254685" w:rsidRPr="00BE4405">
        <w:rPr>
          <w:lang w:val="en-GB"/>
        </w:rPr>
        <w:t>%</w:t>
      </w:r>
      <w:r w:rsidRPr="00BE4405">
        <w:rPr>
          <w:lang w:val="en-GB"/>
        </w:rPr>
        <w:t xml:space="preserve">) and then already in </w:t>
      </w:r>
      <w:r w:rsidRPr="00BE4405">
        <w:rPr>
          <w:szCs w:val="20"/>
          <w:lang w:val="en-GB" w:eastAsia="cs-CZ"/>
        </w:rPr>
        <w:t xml:space="preserve">‘manufacturing’ (4.9%), in which almost 1.1 million employees work and where the average wage </w:t>
      </w:r>
      <w:r w:rsidR="00345076" w:rsidRPr="00BE4405">
        <w:rPr>
          <w:szCs w:val="20"/>
          <w:lang w:val="en-GB" w:eastAsia="cs-CZ"/>
        </w:rPr>
        <w:t>attained</w:t>
      </w:r>
      <w:r w:rsidRPr="00BE4405">
        <w:rPr>
          <w:szCs w:val="20"/>
          <w:lang w:val="en-GB" w:eastAsia="cs-CZ"/>
        </w:rPr>
        <w:t xml:space="preserve"> CZK 32 707.  </w:t>
      </w:r>
    </w:p>
    <w:p w:rsidR="00254685" w:rsidRPr="00BE4405" w:rsidRDefault="00254685" w:rsidP="007560AC"/>
    <w:p w:rsidR="007560AC" w:rsidRPr="00BE4405" w:rsidRDefault="006717E6" w:rsidP="007560AC">
      <w:r w:rsidRPr="00BE4405">
        <w:rPr>
          <w:lang w:val="en-GB"/>
        </w:rPr>
        <w:t xml:space="preserve">The average wage </w:t>
      </w:r>
      <w:r w:rsidR="008A05E2" w:rsidRPr="00BE4405">
        <w:rPr>
          <w:lang w:val="en-GB"/>
        </w:rPr>
        <w:t xml:space="preserve">has decreased nominally in a moderate way also in ‘arts, entertainment and recreation’ (1.3%), </w:t>
      </w:r>
      <w:r w:rsidR="00EA17C7" w:rsidRPr="00BE4405">
        <w:rPr>
          <w:lang w:val="en-GB"/>
        </w:rPr>
        <w:t xml:space="preserve">‘other service activities’ (2.9%), and ‘mining and quarrying’ (2.5%). </w:t>
      </w:r>
      <w:r w:rsidR="005B083F" w:rsidRPr="00BE4405">
        <w:rPr>
          <w:szCs w:val="20"/>
          <w:lang w:val="en-GB" w:eastAsia="cs-CZ"/>
        </w:rPr>
        <w:t xml:space="preserve">In the second (as for its size), </w:t>
      </w:r>
      <w:r w:rsidR="005B083F" w:rsidRPr="00BE4405">
        <w:rPr>
          <w:lang w:val="en-GB"/>
        </w:rPr>
        <w:t xml:space="preserve">‘wholesale and retail trade; repair of motor vehicles and motorcycles,’ wages decreased by 0.7% to CZK 31 068. </w:t>
      </w:r>
      <w:r w:rsidR="00B32B0A" w:rsidRPr="00BE4405">
        <w:rPr>
          <w:lang w:val="en-GB"/>
        </w:rPr>
        <w:t xml:space="preserve">In ‘transportation and storage,’ wages dropped by 1.7% to CZK </w:t>
      </w:r>
      <w:r w:rsidR="007560AC" w:rsidRPr="00BE4405">
        <w:t>30 631.</w:t>
      </w:r>
    </w:p>
    <w:p w:rsidR="00FE34E8" w:rsidRPr="00BE4405" w:rsidRDefault="00FE34E8" w:rsidP="007560AC"/>
    <w:p w:rsidR="00A61D11" w:rsidRPr="00BE4405" w:rsidRDefault="00A61D11" w:rsidP="00A61D11">
      <w:pPr>
        <w:pStyle w:val="TabulkaGraf"/>
        <w:rPr>
          <w:lang w:val="cs-CZ"/>
        </w:rPr>
      </w:pPr>
      <w:r w:rsidRPr="00BE4405">
        <w:rPr>
          <w:lang w:val="cs-CZ"/>
        </w:rPr>
        <w:t>Chart</w:t>
      </w:r>
      <w:r w:rsidR="00FE34E8" w:rsidRPr="00BE4405">
        <w:rPr>
          <w:lang w:val="cs-CZ"/>
        </w:rPr>
        <w:t xml:space="preserve"> 2: </w:t>
      </w:r>
      <w:r w:rsidRPr="00BE4405">
        <w:t>Nominal and real average wages as indices to the corresponding quarter of the previous year</w:t>
      </w:r>
    </w:p>
    <w:p w:rsidR="00FE34E8" w:rsidRPr="00BE4405" w:rsidRDefault="00883F1A" w:rsidP="007560AC">
      <w:r w:rsidRPr="00BE4405">
        <w:rPr>
          <w:noProof/>
          <w:lang w:eastAsia="cs-CZ"/>
        </w:rPr>
        <w:lastRenderedPageBreak/>
        <w:drawing>
          <wp:inline distT="0" distB="0" distL="0" distR="0" wp14:anchorId="56AD775D" wp14:editId="35DE2FDE">
            <wp:extent cx="5400040" cy="3248025"/>
            <wp:effectExtent l="0" t="0" r="10160" b="952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2B62" w:rsidRPr="00BE4405" w:rsidRDefault="00AC2B62" w:rsidP="00A61D11"/>
    <w:p w:rsidR="00F50C03" w:rsidRPr="00BE4405" w:rsidRDefault="00044DC1" w:rsidP="00A61D11">
      <w:pPr>
        <w:rPr>
          <w:lang w:val="en-GB"/>
        </w:rPr>
      </w:pPr>
      <w:r w:rsidRPr="00BE4405">
        <w:rPr>
          <w:lang w:val="en-GB"/>
        </w:rPr>
        <w:t>On the other hand, there are also nominal increases in the average wage</w:t>
      </w:r>
      <w:r w:rsidR="00005CA2" w:rsidRPr="00BE4405">
        <w:rPr>
          <w:lang w:val="en-GB"/>
        </w:rPr>
        <w:t xml:space="preserve"> exceeding the 5% threshold, namely in the economic activities sections ensuring basic functioning of the society: they were the highest in </w:t>
      </w:r>
      <w:r w:rsidR="00005CA2" w:rsidRPr="00BE4405">
        <w:rPr>
          <w:szCs w:val="20"/>
          <w:lang w:val="en-GB" w:eastAsia="cs-CZ"/>
        </w:rPr>
        <w:t>‘education’ and ‘human health and social work activities’</w:t>
      </w:r>
      <w:r w:rsidR="00005CA2" w:rsidRPr="00BE4405">
        <w:rPr>
          <w:lang w:val="en-GB"/>
        </w:rPr>
        <w:t xml:space="preserve"> (both increased the same by 5.5%), further in</w:t>
      </w:r>
      <w:r w:rsidRPr="00BE4405">
        <w:rPr>
          <w:lang w:val="en-GB"/>
        </w:rPr>
        <w:t xml:space="preserve"> </w:t>
      </w:r>
      <w:r w:rsidRPr="00BE4405">
        <w:rPr>
          <w:szCs w:val="20"/>
          <w:lang w:val="en-GB" w:eastAsia="cs-CZ"/>
        </w:rPr>
        <w:t>‘electricity, gas, steam and air conditioning supply’</w:t>
      </w:r>
      <w:r w:rsidRPr="00BE4405">
        <w:rPr>
          <w:lang w:val="en-GB"/>
        </w:rPr>
        <w:t xml:space="preserve"> (</w:t>
      </w:r>
      <w:r w:rsidR="001503FF" w:rsidRPr="00BE4405">
        <w:rPr>
          <w:lang w:val="en-GB"/>
        </w:rPr>
        <w:t>5.3%)</w:t>
      </w:r>
      <w:r w:rsidR="00005CA2" w:rsidRPr="00BE4405">
        <w:rPr>
          <w:lang w:val="en-GB"/>
        </w:rPr>
        <w:t xml:space="preserve"> and in </w:t>
      </w:r>
      <w:r w:rsidR="005B51F7" w:rsidRPr="00BE4405">
        <w:rPr>
          <w:lang w:val="en-GB"/>
        </w:rPr>
        <w:t>‘public administration and defence; compulsory social security’ (5.1%).</w:t>
      </w:r>
      <w:r w:rsidR="00F50C03" w:rsidRPr="00BE4405">
        <w:rPr>
          <w:lang w:val="en-GB"/>
        </w:rPr>
        <w:t xml:space="preserve"> In economic activities (industries), in which the state dominates, a decision of the Government about a change in the table of salaries was the main reason. </w:t>
      </w:r>
    </w:p>
    <w:p w:rsidR="00044DC1" w:rsidRPr="00BE4405" w:rsidRDefault="00044DC1" w:rsidP="00A61D11"/>
    <w:p w:rsidR="004A25FB" w:rsidRPr="00BE4405" w:rsidRDefault="00E126E0" w:rsidP="00A61D11">
      <w:pPr>
        <w:rPr>
          <w:lang w:val="en-GB"/>
        </w:rPr>
      </w:pPr>
      <w:r w:rsidRPr="00BE4405">
        <w:t>I</w:t>
      </w:r>
      <w:r w:rsidRPr="00BE4405">
        <w:rPr>
          <w:lang w:val="en-GB"/>
        </w:rPr>
        <w:t xml:space="preserve">n </w:t>
      </w:r>
      <w:r w:rsidRPr="00BE4405">
        <w:rPr>
          <w:lang w:val="en-GB" w:eastAsia="cs-CZ"/>
        </w:rPr>
        <w:t>‘administrative and support service activities</w:t>
      </w:r>
      <w:r w:rsidRPr="00BE4405">
        <w:rPr>
          <w:szCs w:val="20"/>
          <w:lang w:val="en-GB" w:eastAsia="cs-CZ"/>
        </w:rPr>
        <w:t>’ wages increased</w:t>
      </w:r>
      <w:r w:rsidRPr="00BE4405">
        <w:rPr>
          <w:lang w:val="en-GB"/>
        </w:rPr>
        <w:t xml:space="preserve"> by 4.2%, in which, however, it </w:t>
      </w:r>
      <w:r w:rsidR="00D759C2">
        <w:rPr>
          <w:lang w:val="en-GB"/>
        </w:rPr>
        <w:t>may have been</w:t>
      </w:r>
      <w:r w:rsidRPr="00BE4405">
        <w:rPr>
          <w:lang w:val="en-GB"/>
        </w:rPr>
        <w:t xml:space="preserve"> a consequence of dismissing of employees with low wages, which increases the arithmetic mean. </w:t>
      </w:r>
      <w:r w:rsidR="00A42EC8" w:rsidRPr="00BE4405">
        <w:rPr>
          <w:lang w:val="en-GB"/>
        </w:rPr>
        <w:t xml:space="preserve">Above-average growth can be found also in ‘agriculture, forestry and fishing’ (4.1%), </w:t>
      </w:r>
      <w:r w:rsidR="00A42EC8" w:rsidRPr="00BE4405">
        <w:rPr>
          <w:lang w:val="en-GB" w:eastAsia="cs-CZ"/>
        </w:rPr>
        <w:t>‘information and communication</w:t>
      </w:r>
      <w:r w:rsidR="00A42EC8" w:rsidRPr="00BE4405">
        <w:rPr>
          <w:szCs w:val="20"/>
          <w:lang w:val="en-GB" w:eastAsia="cs-CZ"/>
        </w:rPr>
        <w:t>’</w:t>
      </w:r>
      <w:r w:rsidR="00A42EC8" w:rsidRPr="00BE4405">
        <w:rPr>
          <w:lang w:val="en-GB"/>
        </w:rPr>
        <w:t xml:space="preserve"> (3.5%), and in</w:t>
      </w:r>
      <w:r w:rsidRPr="00BE4405">
        <w:rPr>
          <w:lang w:val="en-GB"/>
        </w:rPr>
        <w:t xml:space="preserve"> </w:t>
      </w:r>
      <w:r w:rsidR="004A25FB" w:rsidRPr="00BE4405">
        <w:rPr>
          <w:lang w:val="en-GB"/>
        </w:rPr>
        <w:t xml:space="preserve">‘water supply; sewerage, waste management and remediation activities’ (2.0%). </w:t>
      </w:r>
      <w:r w:rsidR="003A492D" w:rsidRPr="00BE4405">
        <w:rPr>
          <w:lang w:val="en-GB" w:eastAsia="cs-CZ"/>
        </w:rPr>
        <w:t>‘C</w:t>
      </w:r>
      <w:r w:rsidR="003A492D" w:rsidRPr="00BE4405">
        <w:rPr>
          <w:lang w:val="en-GB"/>
        </w:rPr>
        <w:t>onstruction</w:t>
      </w:r>
      <w:r w:rsidR="003A492D" w:rsidRPr="00BE4405">
        <w:rPr>
          <w:szCs w:val="20"/>
          <w:lang w:val="en-GB" w:eastAsia="cs-CZ"/>
        </w:rPr>
        <w:t xml:space="preserve">’ and ‘professional, scientific and technical activities’ </w:t>
      </w:r>
      <w:r w:rsidR="00225A02" w:rsidRPr="00BE4405">
        <w:rPr>
          <w:szCs w:val="20"/>
          <w:lang w:val="en-GB" w:eastAsia="cs-CZ"/>
        </w:rPr>
        <w:t xml:space="preserve">remained “above zero” (the wage growth in both was by 0.4%). </w:t>
      </w:r>
    </w:p>
    <w:p w:rsidR="002B6C3A" w:rsidRPr="00BE4405" w:rsidRDefault="002B6C3A" w:rsidP="00A61D11"/>
    <w:p w:rsidR="00277D8A" w:rsidRPr="00BE4405" w:rsidRDefault="00277D8A" w:rsidP="00277D8A">
      <w:pPr>
        <w:rPr>
          <w:lang w:val="en-GB"/>
        </w:rPr>
      </w:pPr>
      <w:r w:rsidRPr="00BE4405">
        <w:rPr>
          <w:lang w:val="en-GB"/>
        </w:rPr>
        <w:t xml:space="preserve">The highest absolute average gross wage can be found </w:t>
      </w:r>
      <w:r w:rsidR="00FA2D3A" w:rsidRPr="00BE4405">
        <w:rPr>
          <w:lang w:val="en-GB"/>
        </w:rPr>
        <w:t xml:space="preserve">still </w:t>
      </w:r>
      <w:r w:rsidRPr="00BE4405">
        <w:rPr>
          <w:lang w:val="en-GB"/>
        </w:rPr>
        <w:t>in </w:t>
      </w:r>
      <w:r w:rsidR="00FA2D3A" w:rsidRPr="00BE4405">
        <w:rPr>
          <w:lang w:val="en-GB"/>
        </w:rPr>
        <w:t>‘financial and insurance activities’ with the level of CZK 63</w:t>
      </w:r>
      <w:r w:rsidR="00B65D33" w:rsidRPr="00BE4405">
        <w:rPr>
          <w:lang w:val="en-GB"/>
        </w:rPr>
        <w:t> </w:t>
      </w:r>
      <w:r w:rsidR="00FA2D3A" w:rsidRPr="00BE4405">
        <w:rPr>
          <w:lang w:val="en-GB"/>
        </w:rPr>
        <w:t>425</w:t>
      </w:r>
      <w:r w:rsidR="00B65D33" w:rsidRPr="00BE4405">
        <w:rPr>
          <w:lang w:val="en-GB"/>
        </w:rPr>
        <w:t xml:space="preserve">, although it dropped by 0.6%, y-o-y. </w:t>
      </w:r>
      <w:r w:rsidR="00FA2D3A" w:rsidRPr="00BE4405">
        <w:rPr>
          <w:lang w:val="en-GB"/>
        </w:rPr>
        <w:t xml:space="preserve"> </w:t>
      </w:r>
      <w:r w:rsidR="00B65D33" w:rsidRPr="00BE4405">
        <w:rPr>
          <w:lang w:val="en-GB" w:eastAsia="cs-CZ"/>
        </w:rPr>
        <w:t>‘Information and communication</w:t>
      </w:r>
      <w:r w:rsidR="00B65D33" w:rsidRPr="00BE4405">
        <w:rPr>
          <w:szCs w:val="20"/>
          <w:lang w:val="en-GB" w:eastAsia="cs-CZ"/>
        </w:rPr>
        <w:t>’ ranked second</w:t>
      </w:r>
      <w:r w:rsidRPr="00BE4405">
        <w:rPr>
          <w:lang w:val="en-GB"/>
        </w:rPr>
        <w:t>; the average wage increased there to CZK 60 </w:t>
      </w:r>
      <w:r w:rsidR="001B673D" w:rsidRPr="00BE4405">
        <w:rPr>
          <w:lang w:val="en-GB"/>
        </w:rPr>
        <w:t>084</w:t>
      </w:r>
      <w:r w:rsidRPr="00BE4405">
        <w:rPr>
          <w:lang w:val="en-GB"/>
        </w:rPr>
        <w:t xml:space="preserve">. </w:t>
      </w:r>
      <w:r w:rsidRPr="00BE4405">
        <w:rPr>
          <w:szCs w:val="20"/>
          <w:lang w:val="en-GB" w:eastAsia="cs-CZ"/>
        </w:rPr>
        <w:t>‘Electricity, gas, steam and air conditioning supply’ ranked third</w:t>
      </w:r>
      <w:r w:rsidR="00362BDC" w:rsidRPr="00BE4405">
        <w:rPr>
          <w:szCs w:val="20"/>
          <w:lang w:val="en-GB" w:eastAsia="cs-CZ"/>
        </w:rPr>
        <w:t xml:space="preserve"> again</w:t>
      </w:r>
      <w:r w:rsidRPr="00BE4405">
        <w:rPr>
          <w:szCs w:val="20"/>
          <w:lang w:val="en-GB" w:eastAsia="cs-CZ"/>
        </w:rPr>
        <w:t xml:space="preserve"> (with a margin) with CZK</w:t>
      </w:r>
      <w:r w:rsidRPr="00BE4405">
        <w:rPr>
          <w:lang w:val="en-GB"/>
        </w:rPr>
        <w:t> </w:t>
      </w:r>
      <w:r w:rsidR="00992B94" w:rsidRPr="00BE4405">
        <w:rPr>
          <w:lang w:val="en-GB"/>
        </w:rPr>
        <w:t>49</w:t>
      </w:r>
      <w:r w:rsidRPr="00BE4405">
        <w:rPr>
          <w:lang w:val="en-GB"/>
        </w:rPr>
        <w:t> </w:t>
      </w:r>
      <w:r w:rsidR="00992B94" w:rsidRPr="00BE4405">
        <w:rPr>
          <w:lang w:val="en-GB"/>
        </w:rPr>
        <w:t>479</w:t>
      </w:r>
      <w:r w:rsidRPr="00BE4405">
        <w:rPr>
          <w:lang w:val="en-GB"/>
        </w:rPr>
        <w:t xml:space="preserve">. </w:t>
      </w:r>
    </w:p>
    <w:p w:rsidR="004A53FC" w:rsidRPr="00BE4405" w:rsidRDefault="004A53FC" w:rsidP="00FE7893">
      <w:pPr>
        <w:rPr>
          <w:noProof/>
          <w:lang w:eastAsia="cs-CZ"/>
        </w:rPr>
      </w:pPr>
    </w:p>
    <w:p w:rsidR="00A67988" w:rsidRPr="00BE4405" w:rsidRDefault="00691C8F" w:rsidP="00A67988">
      <w:pPr>
        <w:rPr>
          <w:b/>
          <w:lang w:val="en-GB"/>
        </w:rPr>
      </w:pPr>
      <w:r>
        <w:rPr>
          <w:b/>
          <w:lang w:val="en-GB"/>
        </w:rPr>
        <w:t>D</w:t>
      </w:r>
      <w:r w:rsidR="00A67988" w:rsidRPr="00BE4405">
        <w:rPr>
          <w:b/>
          <w:lang w:val="en-GB"/>
        </w:rPr>
        <w:t>evelopment</w:t>
      </w:r>
      <w:r>
        <w:rPr>
          <w:b/>
          <w:lang w:val="en-GB"/>
        </w:rPr>
        <w:t xml:space="preserve"> in Regions</w:t>
      </w:r>
    </w:p>
    <w:p w:rsidR="00D35F08" w:rsidRPr="00BE4405" w:rsidRDefault="00D35F08"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BE4405">
        <w:rPr>
          <w:rFonts w:cs="Arial"/>
          <w:szCs w:val="20"/>
          <w:lang w:val="en-GB"/>
        </w:rPr>
        <w:t xml:space="preserve">Regional results bring also a varied picture; however, the impact of the coronavirus crisis on the numbers of employees seems to be nationwide, i.e. there was a decrease in all Regions. </w:t>
      </w:r>
      <w:r w:rsidR="009421A4" w:rsidRPr="00BE4405">
        <w:rPr>
          <w:lang w:val="en-GB"/>
        </w:rPr>
        <w:t xml:space="preserve">The span of the average wage growth or decrease, however, was from 2.4% to </w:t>
      </w:r>
      <w:r w:rsidR="009421A4" w:rsidRPr="00BE4405">
        <w:rPr>
          <w:rFonts w:cs="Arial"/>
          <w:szCs w:val="20"/>
        </w:rPr>
        <w:t xml:space="preserve">-2.8%. </w:t>
      </w:r>
      <w:r w:rsidR="00C96744" w:rsidRPr="00BE4405">
        <w:rPr>
          <w:lang w:val="en-GB"/>
        </w:rPr>
        <w:t xml:space="preserve">The highest </w:t>
      </w:r>
      <w:r w:rsidR="00C96744" w:rsidRPr="00BE4405">
        <w:rPr>
          <w:lang w:val="en-GB"/>
        </w:rPr>
        <w:lastRenderedPageBreak/>
        <w:t xml:space="preserve">wage increase was in the </w:t>
      </w:r>
      <w:r w:rsidR="00C96744" w:rsidRPr="00BE4405">
        <w:rPr>
          <w:i/>
          <w:lang w:val="en-GB"/>
        </w:rPr>
        <w:t>Ústecký</w:t>
      </w:r>
      <w:r w:rsidR="00C96744" w:rsidRPr="00BE4405">
        <w:rPr>
          <w:lang w:val="en-GB"/>
        </w:rPr>
        <w:t xml:space="preserve"> Region (2.4%), which has a rather ordinary wage level (CZK 31 922). A decent growth was also in the </w:t>
      </w:r>
      <w:proofErr w:type="spellStart"/>
      <w:r w:rsidR="00C96744" w:rsidRPr="00BE4405">
        <w:rPr>
          <w:i/>
          <w:lang w:val="en-GB"/>
        </w:rPr>
        <w:t>Jihomoravský</w:t>
      </w:r>
      <w:proofErr w:type="spellEnd"/>
      <w:r w:rsidR="00C96744" w:rsidRPr="00BE4405">
        <w:rPr>
          <w:lang w:val="en-GB"/>
        </w:rPr>
        <w:t xml:space="preserve"> Region (1.7%) with a moderately above-standard level (CZK 33 049) and </w:t>
      </w:r>
      <w:r w:rsidR="003308CB">
        <w:rPr>
          <w:lang w:val="en-GB"/>
        </w:rPr>
        <w:t>further</w:t>
      </w:r>
      <w:r w:rsidR="00C96744" w:rsidRPr="00BE4405">
        <w:rPr>
          <w:lang w:val="en-GB"/>
        </w:rPr>
        <w:t xml:space="preserve"> in the </w:t>
      </w:r>
      <w:proofErr w:type="spellStart"/>
      <w:r w:rsidR="00C96744" w:rsidRPr="00BE4405">
        <w:rPr>
          <w:i/>
          <w:lang w:val="en-GB"/>
        </w:rPr>
        <w:t>Jihočeský</w:t>
      </w:r>
      <w:proofErr w:type="spellEnd"/>
      <w:r w:rsidR="00C96744" w:rsidRPr="00BE4405">
        <w:rPr>
          <w:lang w:val="en-GB"/>
        </w:rPr>
        <w:t xml:space="preserve"> Region (1.6%), in which the wage level is a bit weaker (CZK 31 194). </w:t>
      </w:r>
    </w:p>
    <w:p w:rsidR="00C96744" w:rsidRPr="00BE4405" w:rsidRDefault="00C96744"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C95E49" w:rsidRPr="00BE4405" w:rsidRDefault="00C95E49"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BE4405">
        <w:rPr>
          <w:rFonts w:cs="Arial"/>
          <w:szCs w:val="20"/>
          <w:lang w:val="en-GB"/>
        </w:rPr>
        <w:t xml:space="preserve">Conversely, the deepest fall of wages was in the </w:t>
      </w:r>
      <w:proofErr w:type="spellStart"/>
      <w:r w:rsidRPr="00BE4405">
        <w:rPr>
          <w:rFonts w:cs="Arial"/>
          <w:i/>
          <w:szCs w:val="20"/>
          <w:lang w:val="en-GB"/>
        </w:rPr>
        <w:t>Liberecký</w:t>
      </w:r>
      <w:proofErr w:type="spellEnd"/>
      <w:r w:rsidRPr="00BE4405">
        <w:rPr>
          <w:rFonts w:cs="Arial"/>
          <w:szCs w:val="20"/>
          <w:lang w:val="en-GB"/>
        </w:rPr>
        <w:t xml:space="preserve"> Region (2.8%), in which the level of wages was currently CZK 30 819. Other decreases were under one percent. </w:t>
      </w:r>
    </w:p>
    <w:p w:rsidR="00252463" w:rsidRPr="00BE4405" w:rsidRDefault="00252463"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747BAC" w:rsidRPr="00BE4405" w:rsidRDefault="00252463"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BE4405">
        <w:rPr>
          <w:rFonts w:cs="Arial"/>
          <w:szCs w:val="20"/>
          <w:lang w:val="en-GB"/>
        </w:rPr>
        <w:t xml:space="preserve">In Prague, </w:t>
      </w:r>
      <w:r w:rsidR="00747BAC" w:rsidRPr="00BE4405">
        <w:rPr>
          <w:rFonts w:cs="Arial"/>
          <w:szCs w:val="20"/>
          <w:lang w:val="en-GB"/>
        </w:rPr>
        <w:t xml:space="preserve">wages increased moderately (0.6%); however, there is still a marked </w:t>
      </w:r>
      <w:r w:rsidR="00C96744" w:rsidRPr="00BE4405">
        <w:rPr>
          <w:rFonts w:cs="Arial"/>
          <w:szCs w:val="20"/>
          <w:lang w:val="en-GB"/>
        </w:rPr>
        <w:t>margin</w:t>
      </w:r>
      <w:r w:rsidR="00747BAC" w:rsidRPr="00BE4405">
        <w:rPr>
          <w:rFonts w:cs="Arial"/>
          <w:szCs w:val="20"/>
          <w:lang w:val="en-GB"/>
        </w:rPr>
        <w:t xml:space="preserve"> between Prague and other Regions. The average wage in Prague was CZK 42 435. The </w:t>
      </w:r>
      <w:r w:rsidR="00747BAC" w:rsidRPr="00BE4405">
        <w:rPr>
          <w:rFonts w:cs="Arial"/>
          <w:i/>
          <w:szCs w:val="20"/>
          <w:lang w:val="en-GB"/>
        </w:rPr>
        <w:t>Karlovarský</w:t>
      </w:r>
      <w:r w:rsidR="00747BAC" w:rsidRPr="00BE4405">
        <w:rPr>
          <w:rFonts w:cs="Arial"/>
          <w:szCs w:val="20"/>
          <w:lang w:val="en-GB"/>
        </w:rPr>
        <w:t xml:space="preserve"> Region</w:t>
      </w:r>
      <w:r w:rsidR="00481F42" w:rsidRPr="00BE4405">
        <w:rPr>
          <w:rFonts w:cs="Arial"/>
          <w:szCs w:val="20"/>
          <w:lang w:val="en-GB"/>
        </w:rPr>
        <w:t xml:space="preserve"> remained to be the Region with the lowest wage level; </w:t>
      </w:r>
      <w:r w:rsidR="00310443" w:rsidRPr="00BE4405">
        <w:rPr>
          <w:rFonts w:cs="Arial"/>
          <w:szCs w:val="20"/>
          <w:lang w:val="en-GB"/>
        </w:rPr>
        <w:t xml:space="preserve">it was the only Region, in which the figure for the Q2 2020 did not exceed 30 thousand (CZK 29 514); the y-o-y development showed stagnation there (drop by CZK 7; 0.0%). The </w:t>
      </w:r>
      <w:proofErr w:type="spellStart"/>
      <w:r w:rsidR="00310443" w:rsidRPr="00BE4405">
        <w:rPr>
          <w:rFonts w:cs="Arial"/>
          <w:i/>
          <w:szCs w:val="20"/>
          <w:lang w:val="en-GB"/>
        </w:rPr>
        <w:t>Zlínský</w:t>
      </w:r>
      <w:proofErr w:type="spellEnd"/>
      <w:r w:rsidR="00310443" w:rsidRPr="00BE4405">
        <w:rPr>
          <w:rFonts w:cs="Arial"/>
          <w:i/>
          <w:szCs w:val="20"/>
          <w:lang w:val="en-GB"/>
        </w:rPr>
        <w:t xml:space="preserve"> </w:t>
      </w:r>
      <w:r w:rsidR="00310443" w:rsidRPr="00BE4405">
        <w:rPr>
          <w:rFonts w:cs="Arial"/>
          <w:szCs w:val="20"/>
          <w:lang w:val="en-GB"/>
        </w:rPr>
        <w:t xml:space="preserve">Region was slightly above the 30 thousand (CZK 30 105), the average wage decreased there by 0.6%. </w:t>
      </w:r>
    </w:p>
    <w:p w:rsidR="0069487E" w:rsidRPr="00BE4405" w:rsidRDefault="0069487E"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69487E" w:rsidRPr="00BE4405" w:rsidRDefault="0069487E" w:rsidP="00657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r w:rsidRPr="00BE4405">
        <w:rPr>
          <w:rFonts w:cs="Arial"/>
          <w:szCs w:val="20"/>
          <w:lang w:val="en-GB"/>
        </w:rPr>
        <w:t xml:space="preserve">As it was already said, in the Q2 2020, numbers of employees were decreasing in all Regions, the most markedly it was in the </w:t>
      </w:r>
      <w:r w:rsidRPr="00BE4405">
        <w:rPr>
          <w:rFonts w:cs="Arial"/>
          <w:i/>
          <w:szCs w:val="20"/>
          <w:lang w:val="en-GB"/>
        </w:rPr>
        <w:t>Karlovarský</w:t>
      </w:r>
      <w:r w:rsidRPr="00BE4405">
        <w:rPr>
          <w:rFonts w:cs="Arial"/>
          <w:szCs w:val="20"/>
          <w:lang w:val="en-GB"/>
        </w:rPr>
        <w:t xml:space="preserve"> Region (6.1%) followed by the </w:t>
      </w:r>
      <w:r w:rsidRPr="00BE4405">
        <w:rPr>
          <w:rFonts w:cs="Arial"/>
          <w:i/>
          <w:szCs w:val="20"/>
          <w:lang w:val="en-GB"/>
        </w:rPr>
        <w:t>Moravskoslezský</w:t>
      </w:r>
      <w:r w:rsidRPr="00BE4405">
        <w:rPr>
          <w:rFonts w:cs="Arial"/>
          <w:szCs w:val="20"/>
          <w:lang w:val="en-GB"/>
        </w:rPr>
        <w:t xml:space="preserve"> Region (4.7%), and </w:t>
      </w:r>
      <w:proofErr w:type="spellStart"/>
      <w:r w:rsidRPr="00BE4405">
        <w:rPr>
          <w:rFonts w:cs="Arial"/>
          <w:i/>
          <w:szCs w:val="20"/>
          <w:lang w:val="en-GB"/>
        </w:rPr>
        <w:t>Liberecký</w:t>
      </w:r>
      <w:proofErr w:type="spellEnd"/>
      <w:r w:rsidRPr="00BE4405">
        <w:rPr>
          <w:rFonts w:cs="Arial"/>
          <w:szCs w:val="20"/>
          <w:lang w:val="en-GB"/>
        </w:rPr>
        <w:t xml:space="preserve"> Region (4.4%). The weakest decrease was in Prague (1.8%). </w:t>
      </w:r>
    </w:p>
    <w:p w:rsidR="00381181" w:rsidRPr="00BE4405" w:rsidRDefault="00381181" w:rsidP="005860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381181" w:rsidRPr="00BE4405" w:rsidRDefault="00381181" w:rsidP="00381181">
      <w:pPr>
        <w:rPr>
          <w:b/>
          <w:lang w:val="en-GB"/>
        </w:rPr>
      </w:pPr>
      <w:r w:rsidRPr="00BE4405">
        <w:rPr>
          <w:b/>
          <w:lang w:val="en-GB"/>
        </w:rPr>
        <w:t>Results for the first half of 2020</w:t>
      </w:r>
    </w:p>
    <w:p w:rsidR="00760B96" w:rsidRPr="00BE4405" w:rsidRDefault="00381181" w:rsidP="00381181">
      <w:pPr>
        <w:rPr>
          <w:lang w:val="en-GB"/>
        </w:rPr>
      </w:pPr>
      <w:r w:rsidRPr="00BE4405">
        <w:rPr>
          <w:lang w:val="en-GB"/>
        </w:rPr>
        <w:t>The first half of 2020 was breaking as f</w:t>
      </w:r>
      <w:r w:rsidR="002B5ECC" w:rsidRPr="00BE4405">
        <w:rPr>
          <w:lang w:val="en-GB"/>
        </w:rPr>
        <w:t>ar as</w:t>
      </w:r>
      <w:r w:rsidRPr="00BE4405">
        <w:rPr>
          <w:lang w:val="en-GB"/>
        </w:rPr>
        <w:t xml:space="preserve"> statistics</w:t>
      </w:r>
      <w:r w:rsidR="002B5ECC" w:rsidRPr="00BE4405">
        <w:rPr>
          <w:lang w:val="en-GB"/>
        </w:rPr>
        <w:t xml:space="preserve"> is concerned</w:t>
      </w:r>
      <w:r w:rsidRPr="00BE4405">
        <w:rPr>
          <w:lang w:val="en-GB"/>
        </w:rPr>
        <w:t>.</w:t>
      </w:r>
      <w:r w:rsidR="00F60638" w:rsidRPr="00BE4405">
        <w:rPr>
          <w:lang w:val="en-GB"/>
        </w:rPr>
        <w:t xml:space="preserve"> During March, unprecedented anti-infection measures came into force that had huge economic impacts. Many operations (business premises</w:t>
      </w:r>
      <w:r w:rsidR="007B2D63" w:rsidRPr="00BE4405">
        <w:rPr>
          <w:lang w:val="en-GB"/>
        </w:rPr>
        <w:t xml:space="preserve"> / </w:t>
      </w:r>
      <w:r w:rsidR="00F60638" w:rsidRPr="00BE4405">
        <w:rPr>
          <w:lang w:val="en-GB"/>
        </w:rPr>
        <w:t xml:space="preserve">establishments) </w:t>
      </w:r>
      <w:r w:rsidR="007B2D63" w:rsidRPr="00BE4405">
        <w:rPr>
          <w:lang w:val="en-GB"/>
        </w:rPr>
        <w:t>were</w:t>
      </w:r>
      <w:r w:rsidR="00F60638" w:rsidRPr="00BE4405">
        <w:rPr>
          <w:lang w:val="en-GB"/>
        </w:rPr>
        <w:t xml:space="preserve"> closed </w:t>
      </w:r>
      <w:r w:rsidR="00750CFA">
        <w:rPr>
          <w:lang w:val="en-GB"/>
        </w:rPr>
        <w:t>and therefore</w:t>
      </w:r>
      <w:r w:rsidR="00F60638" w:rsidRPr="00BE4405">
        <w:rPr>
          <w:lang w:val="en-GB"/>
        </w:rPr>
        <w:t xml:space="preserve"> part of workers could not work; however, concurrently, overtime working hours were necessary</w:t>
      </w:r>
      <w:r w:rsidR="006F4894" w:rsidRPr="00BE4405">
        <w:rPr>
          <w:lang w:val="en-GB"/>
        </w:rPr>
        <w:t xml:space="preserve"> in other areas</w:t>
      </w:r>
      <w:r w:rsidR="00F60638" w:rsidRPr="00BE4405">
        <w:rPr>
          <w:lang w:val="en-GB"/>
        </w:rPr>
        <w:t xml:space="preserve"> in order to </w:t>
      </w:r>
      <w:r w:rsidR="00750CFA">
        <w:rPr>
          <w:lang w:val="en-GB"/>
        </w:rPr>
        <w:t>keep</w:t>
      </w:r>
      <w:r w:rsidR="00F60638" w:rsidRPr="00BE4405">
        <w:rPr>
          <w:lang w:val="en-GB"/>
        </w:rPr>
        <w:t xml:space="preserve"> vital services functioning. </w:t>
      </w:r>
      <w:r w:rsidR="00793BAA" w:rsidRPr="00BE4405">
        <w:rPr>
          <w:lang w:val="en-GB"/>
        </w:rPr>
        <w:t>All that happened in otherwise rather favourable macroeconomic situation when, for example, the unemployment was on a minimum level and part of the labour force had to be taken from abroad, although the gro</w:t>
      </w:r>
      <w:r w:rsidR="00551CF6" w:rsidRPr="00BE4405">
        <w:rPr>
          <w:lang w:val="en-GB"/>
        </w:rPr>
        <w:t>wing</w:t>
      </w:r>
      <w:r w:rsidR="00793BAA" w:rsidRPr="00BE4405">
        <w:rPr>
          <w:lang w:val="en-GB"/>
        </w:rPr>
        <w:t xml:space="preserve"> economic trend seemed to be exhausted already. </w:t>
      </w:r>
    </w:p>
    <w:p w:rsidR="00551CF6" w:rsidRPr="00BE4405" w:rsidRDefault="00551CF6" w:rsidP="00381181"/>
    <w:p w:rsidR="002D05DC" w:rsidRPr="00BE4405" w:rsidRDefault="007A60BE" w:rsidP="002D05DC">
      <w:pPr>
        <w:autoSpaceDE w:val="0"/>
        <w:autoSpaceDN w:val="0"/>
        <w:adjustRightInd w:val="0"/>
        <w:spacing w:line="240" w:lineRule="auto"/>
        <w:rPr>
          <w:lang w:val="en-GB"/>
        </w:rPr>
      </w:pPr>
      <w:r>
        <w:rPr>
          <w:lang w:val="en-GB"/>
        </w:rPr>
        <w:t>As for</w:t>
      </w:r>
      <w:r w:rsidR="00C60E30" w:rsidRPr="00BE4405">
        <w:rPr>
          <w:lang w:val="en-GB"/>
        </w:rPr>
        <w:t xml:space="preserve"> cumulative data from enterprises, the </w:t>
      </w:r>
      <w:r w:rsidR="00DD47AF" w:rsidRPr="00BE4405">
        <w:rPr>
          <w:lang w:val="en-GB"/>
        </w:rPr>
        <w:t>overall</w:t>
      </w:r>
      <w:r w:rsidR="00C60E30" w:rsidRPr="00BE4405">
        <w:rPr>
          <w:lang w:val="en-GB"/>
        </w:rPr>
        <w:t xml:space="preserve"> average wage increased to CZK 34 200, i.e. by 2.7%, which is a decrease by 0.7%, y-o-y, in real terms, due to the marked inflation (3.4%). Concurrently, </w:t>
      </w:r>
      <w:r w:rsidR="00DD47AF" w:rsidRPr="00BE4405">
        <w:rPr>
          <w:lang w:val="en-GB"/>
        </w:rPr>
        <w:t xml:space="preserve">the number of employees, converted to full-time equivalent employees, has </w:t>
      </w:r>
      <w:r w:rsidR="00C60E30" w:rsidRPr="00BE4405">
        <w:rPr>
          <w:lang w:val="en-GB"/>
        </w:rPr>
        <w:t xml:space="preserve">already decreased by 2.2%, y-o-y, i.e. by 89.1 thousand. </w:t>
      </w:r>
      <w:r w:rsidR="0053438B" w:rsidRPr="00BE4405">
        <w:rPr>
          <w:lang w:val="en-GB"/>
        </w:rPr>
        <w:t xml:space="preserve">In the following four sections (industries / economic activities of the CZ-NACE classification), there was a nominal fall in the wage level in the first half of 2020 compared to the corresponding period of the previous year: ‘manufacturing’ (0.6%), </w:t>
      </w:r>
      <w:r w:rsidR="005C0C37" w:rsidRPr="00BE4405">
        <w:rPr>
          <w:lang w:val="en-GB"/>
        </w:rPr>
        <w:t xml:space="preserve">‘arts, entertainment and recreation’ (2.3%), </w:t>
      </w:r>
      <w:r w:rsidR="002D05DC" w:rsidRPr="00BE4405">
        <w:rPr>
          <w:lang w:val="en-GB"/>
        </w:rPr>
        <w:t xml:space="preserve">‘accommodation and food service activities’ (3.8%), and ‘real estate activities’ (5.2%). </w:t>
      </w:r>
    </w:p>
    <w:p w:rsidR="00AE06C2" w:rsidRPr="00BE4405" w:rsidRDefault="00AE06C2" w:rsidP="005860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p>
    <w:p w:rsidR="00A67988" w:rsidRPr="00BE4405" w:rsidRDefault="00A67988" w:rsidP="00A67988">
      <w:pPr>
        <w:rPr>
          <w:b/>
          <w:lang w:val="en-GB"/>
        </w:rPr>
      </w:pPr>
      <w:r w:rsidRPr="00BE4405">
        <w:rPr>
          <w:b/>
          <w:lang w:val="en-GB"/>
        </w:rPr>
        <w:t xml:space="preserve">Median </w:t>
      </w:r>
      <w:r w:rsidR="00522F94" w:rsidRPr="00BE4405">
        <w:rPr>
          <w:b/>
          <w:lang w:val="en-GB"/>
        </w:rPr>
        <w:t>w</w:t>
      </w:r>
      <w:r w:rsidRPr="00BE4405">
        <w:rPr>
          <w:b/>
          <w:lang w:val="en-GB"/>
        </w:rPr>
        <w:t xml:space="preserve">ages and </w:t>
      </w:r>
      <w:r w:rsidR="00B85943" w:rsidRPr="00BE4405">
        <w:rPr>
          <w:b/>
          <w:lang w:val="en-GB"/>
        </w:rPr>
        <w:t>decile intervals of wages</w:t>
      </w:r>
      <w:r w:rsidR="002C4B71" w:rsidRPr="00BE4405">
        <w:rPr>
          <w:b/>
          <w:lang w:val="en-GB"/>
        </w:rPr>
        <w:t>, socio-economic characteristics</w:t>
      </w:r>
    </w:p>
    <w:p w:rsidR="00CE2DE4" w:rsidRPr="00BE4405" w:rsidRDefault="00B90C6C" w:rsidP="0047463E">
      <w:pPr>
        <w:pStyle w:val="Zkladntextodsazen3"/>
        <w:spacing w:after="0" w:line="276" w:lineRule="auto"/>
        <w:ind w:firstLine="0"/>
        <w:rPr>
          <w:rFonts w:cs="Arial"/>
          <w:bCs/>
          <w:szCs w:val="20"/>
          <w:lang w:val="en-GB"/>
        </w:rPr>
      </w:pPr>
      <w:r w:rsidRPr="00BE4405">
        <w:rPr>
          <w:rFonts w:cs="Arial"/>
          <w:lang w:val="en-GB"/>
        </w:rPr>
        <w:t>The New</w:t>
      </w:r>
      <w:r w:rsidR="00F04801" w:rsidRPr="00BE4405">
        <w:rPr>
          <w:rFonts w:cs="Arial"/>
          <w:lang w:val="en-GB"/>
        </w:rPr>
        <w:t>s Release of the CZSO for the Q2</w:t>
      </w:r>
      <w:r w:rsidRPr="00BE4405">
        <w:rPr>
          <w:rFonts w:cs="Arial"/>
          <w:lang w:val="en-GB"/>
        </w:rPr>
        <w:t xml:space="preserve"> 2020 contains also a piece of data on the median wage, which </w:t>
      </w:r>
      <w:proofErr w:type="gramStart"/>
      <w:r w:rsidRPr="00BE4405">
        <w:rPr>
          <w:rFonts w:cs="Arial"/>
          <w:lang w:val="en-GB"/>
        </w:rPr>
        <w:t>is calculated</w:t>
      </w:r>
      <w:proofErr w:type="gramEnd"/>
      <w:r w:rsidRPr="00BE4405">
        <w:rPr>
          <w:rFonts w:cs="Arial"/>
          <w:lang w:val="en-GB"/>
        </w:rPr>
        <w:t xml:space="preserve"> from a mathematical model of the earnings distribution. The model shows the wage of a middle employee that means a common wage level. Extreme deciles </w:t>
      </w:r>
      <w:proofErr w:type="gramStart"/>
      <w:r w:rsidRPr="00BE4405">
        <w:rPr>
          <w:rFonts w:cs="Arial"/>
          <w:lang w:val="en-GB"/>
        </w:rPr>
        <w:t>were calculated</w:t>
      </w:r>
      <w:proofErr w:type="gramEnd"/>
      <w:r w:rsidRPr="00BE4405">
        <w:rPr>
          <w:rFonts w:cs="Arial"/>
          <w:lang w:val="en-GB"/>
        </w:rPr>
        <w:t xml:space="preserve"> simultaneously as well. In </w:t>
      </w:r>
      <w:r w:rsidR="000525E8" w:rsidRPr="00BE4405">
        <w:rPr>
          <w:rFonts w:cs="Arial"/>
          <w:lang w:val="en-GB"/>
        </w:rPr>
        <w:t xml:space="preserve">the </w:t>
      </w:r>
      <w:r w:rsidR="00E50836" w:rsidRPr="00BE4405">
        <w:rPr>
          <w:rFonts w:cs="Arial"/>
          <w:lang w:val="en-GB"/>
        </w:rPr>
        <w:t>Q2</w:t>
      </w:r>
      <w:r w:rsidRPr="00BE4405">
        <w:rPr>
          <w:rFonts w:cs="Arial"/>
          <w:lang w:val="en-GB"/>
        </w:rPr>
        <w:t> </w:t>
      </w:r>
      <w:r w:rsidR="000525E8" w:rsidRPr="00BE4405">
        <w:rPr>
          <w:rFonts w:cs="Arial"/>
          <w:lang w:val="en-GB"/>
        </w:rPr>
        <w:t>2020,</w:t>
      </w:r>
      <w:r w:rsidRPr="00BE4405">
        <w:rPr>
          <w:rFonts w:cs="Arial"/>
          <w:lang w:val="en-GB"/>
        </w:rPr>
        <w:t xml:space="preserve"> the median wage </w:t>
      </w:r>
      <w:r w:rsidR="00E50836" w:rsidRPr="00BE4405">
        <w:rPr>
          <w:rFonts w:cs="Arial"/>
          <w:lang w:val="en-GB"/>
        </w:rPr>
        <w:t>decreased to</w:t>
      </w:r>
      <w:r w:rsidRPr="00BE4405">
        <w:rPr>
          <w:rFonts w:cs="Arial"/>
          <w:lang w:val="en-GB"/>
        </w:rPr>
        <w:t xml:space="preserve"> CZK 2</w:t>
      </w:r>
      <w:r w:rsidR="000525E8" w:rsidRPr="00BE4405">
        <w:rPr>
          <w:rFonts w:cs="Arial"/>
          <w:lang w:val="en-GB"/>
        </w:rPr>
        <w:t>9</w:t>
      </w:r>
      <w:r w:rsidRPr="00BE4405">
        <w:rPr>
          <w:rFonts w:cs="Arial"/>
          <w:lang w:val="en-GB"/>
        </w:rPr>
        <w:t> </w:t>
      </w:r>
      <w:r w:rsidR="00E50836" w:rsidRPr="00BE4405">
        <w:rPr>
          <w:rFonts w:cs="Arial"/>
          <w:lang w:val="en-GB"/>
        </w:rPr>
        <w:t>12</w:t>
      </w:r>
      <w:r w:rsidR="000525E8" w:rsidRPr="00BE4405">
        <w:rPr>
          <w:rFonts w:cs="Arial"/>
          <w:lang w:val="en-GB"/>
        </w:rPr>
        <w:t>3</w:t>
      </w:r>
      <w:r w:rsidRPr="00BE4405">
        <w:rPr>
          <w:rFonts w:cs="Arial"/>
          <w:lang w:val="en-GB"/>
        </w:rPr>
        <w:t>, which is by CZK </w:t>
      </w:r>
      <w:r w:rsidR="00E50836" w:rsidRPr="00BE4405">
        <w:rPr>
          <w:rFonts w:cs="Arial"/>
          <w:bCs/>
          <w:szCs w:val="20"/>
          <w:lang w:val="en-GB"/>
        </w:rPr>
        <w:t>54</w:t>
      </w:r>
      <w:r w:rsidRPr="00BE4405">
        <w:rPr>
          <w:rFonts w:cs="Arial"/>
          <w:bCs/>
          <w:szCs w:val="20"/>
          <w:lang w:val="en-GB"/>
        </w:rPr>
        <w:t xml:space="preserve"> </w:t>
      </w:r>
      <w:r w:rsidR="006B22FC" w:rsidRPr="00BE4405">
        <w:rPr>
          <w:rFonts w:cs="Arial"/>
          <w:bCs/>
          <w:szCs w:val="20"/>
          <w:lang w:val="en-GB"/>
        </w:rPr>
        <w:t>(</w:t>
      </w:r>
      <w:r w:rsidRPr="00BE4405">
        <w:rPr>
          <w:rFonts w:cs="Arial"/>
          <w:bCs/>
          <w:szCs w:val="20"/>
          <w:lang w:val="en-GB"/>
        </w:rPr>
        <w:t xml:space="preserve">i.e. by </w:t>
      </w:r>
      <w:r w:rsidR="00E50836" w:rsidRPr="00BE4405">
        <w:rPr>
          <w:rFonts w:cs="Arial"/>
          <w:bCs/>
          <w:szCs w:val="20"/>
          <w:lang w:val="en-GB"/>
        </w:rPr>
        <w:t>0</w:t>
      </w:r>
      <w:r w:rsidRPr="00BE4405">
        <w:rPr>
          <w:rFonts w:cs="Arial"/>
          <w:bCs/>
          <w:szCs w:val="20"/>
          <w:lang w:val="en-GB"/>
        </w:rPr>
        <w:t>.</w:t>
      </w:r>
      <w:r w:rsidR="00E50836" w:rsidRPr="00BE4405">
        <w:rPr>
          <w:rFonts w:cs="Arial"/>
          <w:bCs/>
          <w:szCs w:val="20"/>
          <w:lang w:val="en-GB"/>
        </w:rPr>
        <w:t>2</w:t>
      </w:r>
      <w:r w:rsidRPr="00BE4405">
        <w:rPr>
          <w:rFonts w:cs="Arial"/>
          <w:bCs/>
          <w:szCs w:val="20"/>
          <w:lang w:val="en-GB"/>
        </w:rPr>
        <w:t>%</w:t>
      </w:r>
      <w:r w:rsidR="006B22FC" w:rsidRPr="00BE4405">
        <w:rPr>
          <w:rFonts w:cs="Arial"/>
          <w:bCs/>
          <w:szCs w:val="20"/>
          <w:lang w:val="en-GB"/>
        </w:rPr>
        <w:t>)</w:t>
      </w:r>
      <w:r w:rsidRPr="00BE4405">
        <w:rPr>
          <w:rFonts w:cs="Arial"/>
          <w:bCs/>
          <w:szCs w:val="20"/>
          <w:lang w:val="en-GB"/>
        </w:rPr>
        <w:t xml:space="preserve"> </w:t>
      </w:r>
      <w:r w:rsidR="00E50836" w:rsidRPr="00BE4405">
        <w:rPr>
          <w:rFonts w:cs="Arial"/>
          <w:bCs/>
          <w:szCs w:val="20"/>
          <w:lang w:val="en-GB"/>
        </w:rPr>
        <w:t xml:space="preserve">less </w:t>
      </w:r>
      <w:r w:rsidRPr="00BE4405">
        <w:rPr>
          <w:rFonts w:cs="Arial"/>
          <w:bCs/>
          <w:szCs w:val="20"/>
          <w:lang w:val="en-GB"/>
        </w:rPr>
        <w:t>compared to</w:t>
      </w:r>
      <w:r w:rsidR="00DA1AFD" w:rsidRPr="00BE4405">
        <w:rPr>
          <w:rFonts w:cs="Arial"/>
          <w:bCs/>
          <w:szCs w:val="20"/>
          <w:lang w:val="en-GB"/>
        </w:rPr>
        <w:t xml:space="preserve"> that in</w:t>
      </w:r>
      <w:r w:rsidRPr="00BE4405">
        <w:rPr>
          <w:rFonts w:cs="Arial"/>
          <w:bCs/>
          <w:szCs w:val="20"/>
          <w:lang w:val="en-GB"/>
        </w:rPr>
        <w:t xml:space="preserve"> the </w:t>
      </w:r>
      <w:r w:rsidR="00DA1AFD" w:rsidRPr="00BE4405">
        <w:rPr>
          <w:rFonts w:cs="Arial"/>
          <w:bCs/>
          <w:szCs w:val="20"/>
          <w:lang w:val="en-GB"/>
        </w:rPr>
        <w:t>corresponding</w:t>
      </w:r>
      <w:r w:rsidRPr="00BE4405">
        <w:rPr>
          <w:rFonts w:cs="Arial"/>
          <w:bCs/>
          <w:szCs w:val="20"/>
          <w:lang w:val="en-GB"/>
        </w:rPr>
        <w:t xml:space="preserve"> period of the previous year. </w:t>
      </w:r>
      <w:r w:rsidR="006A4250">
        <w:rPr>
          <w:rFonts w:cs="Arial"/>
          <w:bCs/>
          <w:szCs w:val="20"/>
          <w:lang w:val="en-GB"/>
        </w:rPr>
        <w:t>Before</w:t>
      </w:r>
      <w:r w:rsidR="000B48B6" w:rsidRPr="00BE4405">
        <w:rPr>
          <w:rFonts w:cs="Arial"/>
          <w:bCs/>
          <w:szCs w:val="20"/>
          <w:lang w:val="en-GB"/>
        </w:rPr>
        <w:t xml:space="preserve">, </w:t>
      </w:r>
      <w:r w:rsidR="007561B4" w:rsidRPr="00BE4405">
        <w:rPr>
          <w:rFonts w:cs="Arial"/>
          <w:bCs/>
          <w:szCs w:val="20"/>
          <w:lang w:val="en-GB"/>
        </w:rPr>
        <w:t>the</w:t>
      </w:r>
      <w:r w:rsidR="00CE2DE4" w:rsidRPr="00BE4405">
        <w:rPr>
          <w:rFonts w:cs="Arial"/>
          <w:bCs/>
          <w:szCs w:val="20"/>
          <w:lang w:val="en-GB"/>
        </w:rPr>
        <w:t xml:space="preserve"> median decreased in the Q4 2012. </w:t>
      </w:r>
    </w:p>
    <w:p w:rsidR="00CE2DE4" w:rsidRPr="00BE4405" w:rsidRDefault="00CE2DE4" w:rsidP="0047463E">
      <w:pPr>
        <w:pStyle w:val="Zkladntextodsazen3"/>
        <w:spacing w:after="0" w:line="276" w:lineRule="auto"/>
        <w:ind w:firstLine="0"/>
        <w:rPr>
          <w:rFonts w:cs="Arial"/>
          <w:bCs/>
          <w:szCs w:val="20"/>
          <w:lang w:val="en-GB"/>
        </w:rPr>
      </w:pPr>
    </w:p>
    <w:p w:rsidR="002B6025" w:rsidRPr="00BE4405" w:rsidRDefault="00B90C6C" w:rsidP="0047463E">
      <w:pPr>
        <w:pStyle w:val="Zkladntextodsazen3"/>
        <w:spacing w:after="0" w:line="276" w:lineRule="auto"/>
        <w:ind w:firstLine="0"/>
        <w:rPr>
          <w:rFonts w:cs="Arial"/>
          <w:bCs/>
          <w:szCs w:val="20"/>
        </w:rPr>
      </w:pPr>
      <w:r w:rsidRPr="00BE4405">
        <w:rPr>
          <w:rFonts w:cs="Arial"/>
          <w:lang w:val="en-GB"/>
        </w:rPr>
        <w:lastRenderedPageBreak/>
        <w:t xml:space="preserve">The wage interval </w:t>
      </w:r>
      <w:r w:rsidR="00EF146C" w:rsidRPr="00BE4405">
        <w:rPr>
          <w:rFonts w:cs="Arial"/>
          <w:lang w:val="en-GB"/>
        </w:rPr>
        <w:t xml:space="preserve">has </w:t>
      </w:r>
      <w:r w:rsidR="00E9129A" w:rsidRPr="00BE4405">
        <w:rPr>
          <w:rFonts w:cs="Arial"/>
          <w:lang w:val="en-GB"/>
        </w:rPr>
        <w:t>widened</w:t>
      </w:r>
      <w:r w:rsidR="00A14007" w:rsidRPr="00BE4405">
        <w:rPr>
          <w:rFonts w:cs="Arial"/>
          <w:lang w:val="en-GB"/>
        </w:rPr>
        <w:t xml:space="preserve"> as the coronavirus crisis affected various groups with different strength. T</w:t>
      </w:r>
      <w:r w:rsidRPr="00BE4405">
        <w:rPr>
          <w:rFonts w:cs="Arial"/>
          <w:lang w:val="en-GB"/>
        </w:rPr>
        <w:t xml:space="preserve">en percent of employees </w:t>
      </w:r>
      <w:r w:rsidR="001A1ED3" w:rsidRPr="00BE4405">
        <w:rPr>
          <w:rFonts w:cs="Arial"/>
          <w:lang w:val="en-GB"/>
        </w:rPr>
        <w:t>with</w:t>
      </w:r>
      <w:r w:rsidRPr="00BE4405">
        <w:rPr>
          <w:rFonts w:cs="Arial"/>
          <w:lang w:val="en-GB"/>
        </w:rPr>
        <w:t xml:space="preserve"> the lowest wages got </w:t>
      </w:r>
      <w:r w:rsidR="001A1ED3" w:rsidRPr="00BE4405">
        <w:rPr>
          <w:rFonts w:cs="Arial"/>
          <w:lang w:val="en-GB"/>
        </w:rPr>
        <w:t xml:space="preserve">a </w:t>
      </w:r>
      <w:r w:rsidR="005238F9" w:rsidRPr="00BE4405">
        <w:rPr>
          <w:rFonts w:cs="Arial"/>
          <w:lang w:val="en-GB"/>
        </w:rPr>
        <w:t>gross wage</w:t>
      </w:r>
      <w:r w:rsidRPr="00BE4405">
        <w:rPr>
          <w:rFonts w:cs="Arial"/>
          <w:lang w:val="en-GB"/>
        </w:rPr>
        <w:t xml:space="preserve"> below CZK 1</w:t>
      </w:r>
      <w:r w:rsidR="005238F9" w:rsidRPr="00BE4405">
        <w:rPr>
          <w:rFonts w:cs="Arial"/>
          <w:lang w:val="en-GB"/>
        </w:rPr>
        <w:t>4</w:t>
      </w:r>
      <w:r w:rsidRPr="00BE4405">
        <w:rPr>
          <w:rFonts w:cs="Arial"/>
          <w:lang w:val="en-GB"/>
        </w:rPr>
        <w:t> </w:t>
      </w:r>
      <w:r w:rsidR="005238F9" w:rsidRPr="00BE4405">
        <w:rPr>
          <w:rFonts w:cs="Arial"/>
          <w:lang w:val="en-GB"/>
        </w:rPr>
        <w:t>659</w:t>
      </w:r>
      <w:r w:rsidR="0047463E" w:rsidRPr="00BE4405">
        <w:rPr>
          <w:rFonts w:cs="Arial"/>
          <w:lang w:val="en-GB"/>
        </w:rPr>
        <w:t xml:space="preserve"> (</w:t>
      </w:r>
      <w:r w:rsidR="005238F9" w:rsidRPr="00BE4405">
        <w:rPr>
          <w:rFonts w:cs="Arial"/>
          <w:lang w:val="en-GB"/>
        </w:rPr>
        <w:t xml:space="preserve">the </w:t>
      </w:r>
      <w:r w:rsidR="0047463E" w:rsidRPr="00BE4405">
        <w:rPr>
          <w:rFonts w:cs="Arial"/>
          <w:lang w:val="en-GB"/>
        </w:rPr>
        <w:t>bottom decile</w:t>
      </w:r>
      <w:r w:rsidR="005238F9" w:rsidRPr="00BE4405">
        <w:rPr>
          <w:rFonts w:cs="Arial"/>
          <w:lang w:val="en-GB"/>
        </w:rPr>
        <w:t xml:space="preserve"> decreased by CZK</w:t>
      </w:r>
      <w:r w:rsidR="002B6025" w:rsidRPr="00BE4405">
        <w:rPr>
          <w:rFonts w:cs="Arial"/>
          <w:lang w:val="en-GB"/>
        </w:rPr>
        <w:t> </w:t>
      </w:r>
      <w:r w:rsidR="005238F9" w:rsidRPr="00BE4405">
        <w:rPr>
          <w:rFonts w:cs="Arial"/>
          <w:lang w:val="en-GB"/>
        </w:rPr>
        <w:t>251</w:t>
      </w:r>
      <w:r w:rsidR="0047463E" w:rsidRPr="00BE4405">
        <w:rPr>
          <w:rFonts w:cs="Arial"/>
          <w:lang w:val="en-GB"/>
        </w:rPr>
        <w:t>)</w:t>
      </w:r>
      <w:r w:rsidR="001A1ED3" w:rsidRPr="00BE4405">
        <w:rPr>
          <w:rFonts w:cs="Arial"/>
          <w:lang w:val="en-GB"/>
        </w:rPr>
        <w:t>, while</w:t>
      </w:r>
      <w:r w:rsidRPr="00BE4405">
        <w:rPr>
          <w:rFonts w:cs="Arial"/>
          <w:lang w:val="en-GB"/>
        </w:rPr>
        <w:t xml:space="preserve"> the opposite tenth having highest wages earned above CZK 5</w:t>
      </w:r>
      <w:r w:rsidR="002B6025" w:rsidRPr="00BE4405">
        <w:rPr>
          <w:rFonts w:cs="Arial"/>
          <w:lang w:val="en-GB"/>
        </w:rPr>
        <w:t>6</w:t>
      </w:r>
      <w:r w:rsidRPr="00BE4405">
        <w:rPr>
          <w:rFonts w:cs="Arial"/>
          <w:lang w:val="en-GB"/>
        </w:rPr>
        <w:t> </w:t>
      </w:r>
      <w:r w:rsidR="002B6025" w:rsidRPr="00BE4405">
        <w:rPr>
          <w:rFonts w:cs="Arial"/>
          <w:lang w:val="en-GB"/>
        </w:rPr>
        <w:t>263</w:t>
      </w:r>
      <w:r w:rsidRPr="00BE4405">
        <w:rPr>
          <w:rFonts w:cs="Arial"/>
          <w:lang w:val="en-GB"/>
        </w:rPr>
        <w:t xml:space="preserve"> (</w:t>
      </w:r>
      <w:r w:rsidR="002B6025" w:rsidRPr="00BE4405">
        <w:rPr>
          <w:rFonts w:cs="Arial"/>
          <w:lang w:val="en-GB"/>
        </w:rPr>
        <w:t xml:space="preserve">the </w:t>
      </w:r>
      <w:r w:rsidRPr="00BE4405">
        <w:rPr>
          <w:rFonts w:cs="Arial"/>
          <w:lang w:val="en-GB"/>
        </w:rPr>
        <w:t>top decile</w:t>
      </w:r>
      <w:r w:rsidR="002B6025" w:rsidRPr="00BE4405">
        <w:rPr>
          <w:rFonts w:cs="Arial"/>
          <w:lang w:val="en-GB"/>
        </w:rPr>
        <w:t xml:space="preserve"> increased by CZK 1 191</w:t>
      </w:r>
      <w:r w:rsidRPr="00BE4405">
        <w:rPr>
          <w:rFonts w:cs="Arial"/>
          <w:lang w:val="en-GB"/>
        </w:rPr>
        <w:t xml:space="preserve">). </w:t>
      </w:r>
    </w:p>
    <w:p w:rsidR="00C934C0" w:rsidRPr="00BE4405" w:rsidRDefault="00C934C0" w:rsidP="00B90C6C">
      <w:pPr>
        <w:pStyle w:val="Zkladntextodsazen3"/>
        <w:spacing w:after="0" w:line="276" w:lineRule="auto"/>
        <w:ind w:firstLine="0"/>
        <w:rPr>
          <w:rFonts w:cs="Arial"/>
          <w:bCs/>
          <w:szCs w:val="20"/>
          <w:lang w:val="en-GB"/>
        </w:rPr>
      </w:pPr>
    </w:p>
    <w:p w:rsidR="009A7748" w:rsidRPr="00BE4405" w:rsidRDefault="00CF3930" w:rsidP="009A7748">
      <w:pPr>
        <w:pStyle w:val="Zkladntextodsazen3"/>
        <w:spacing w:after="0" w:line="276" w:lineRule="auto"/>
        <w:ind w:firstLine="0"/>
        <w:rPr>
          <w:rFonts w:cs="Arial"/>
          <w:bCs/>
          <w:szCs w:val="20"/>
          <w:lang w:val="en-GB"/>
        </w:rPr>
      </w:pPr>
      <w:r w:rsidRPr="00BE4405">
        <w:rPr>
          <w:rFonts w:cs="Arial"/>
          <w:bCs/>
          <w:szCs w:val="20"/>
          <w:lang w:val="en-GB"/>
        </w:rPr>
        <w:t>Although</w:t>
      </w:r>
      <w:r w:rsidR="00CE7341" w:rsidRPr="00BE4405">
        <w:rPr>
          <w:rFonts w:cs="Arial"/>
          <w:bCs/>
          <w:szCs w:val="20"/>
          <w:lang w:val="en-GB"/>
        </w:rPr>
        <w:t xml:space="preserve"> the</w:t>
      </w:r>
      <w:r w:rsidRPr="00BE4405">
        <w:rPr>
          <w:rFonts w:cs="Arial"/>
          <w:bCs/>
          <w:szCs w:val="20"/>
          <w:lang w:val="en-GB"/>
        </w:rPr>
        <w:t xml:space="preserve"> female median wage</w:t>
      </w:r>
      <w:r w:rsidR="00406A02" w:rsidRPr="00BE4405">
        <w:rPr>
          <w:rFonts w:cs="Arial"/>
          <w:bCs/>
          <w:szCs w:val="20"/>
          <w:lang w:val="en-GB"/>
        </w:rPr>
        <w:t xml:space="preserve"> slightly</w:t>
      </w:r>
      <w:r w:rsidRPr="00BE4405">
        <w:rPr>
          <w:rFonts w:cs="Arial"/>
          <w:bCs/>
          <w:szCs w:val="20"/>
          <w:lang w:val="en-GB"/>
        </w:rPr>
        <w:t xml:space="preserve"> increased</w:t>
      </w:r>
      <w:r w:rsidR="00406A02" w:rsidRPr="00BE4405">
        <w:rPr>
          <w:rFonts w:cs="Arial"/>
          <w:bCs/>
          <w:szCs w:val="20"/>
          <w:lang w:val="en-GB"/>
        </w:rPr>
        <w:t xml:space="preserve">, year-on-year (by 0.1%), while </w:t>
      </w:r>
      <w:r w:rsidR="00CE7341" w:rsidRPr="00BE4405">
        <w:rPr>
          <w:rFonts w:cs="Arial"/>
          <w:bCs/>
          <w:szCs w:val="20"/>
          <w:lang w:val="en-GB"/>
        </w:rPr>
        <w:t xml:space="preserve">the </w:t>
      </w:r>
      <w:r w:rsidRPr="00BE4405">
        <w:rPr>
          <w:rFonts w:cs="Arial"/>
          <w:bCs/>
          <w:szCs w:val="20"/>
          <w:lang w:val="en-GB"/>
        </w:rPr>
        <w:t>male median wage</w:t>
      </w:r>
      <w:r w:rsidR="00406A02" w:rsidRPr="00BE4405">
        <w:rPr>
          <w:rFonts w:cs="Arial"/>
          <w:bCs/>
          <w:szCs w:val="20"/>
          <w:lang w:val="en-GB"/>
        </w:rPr>
        <w:t xml:space="preserve"> dropped (by 1.0%), </w:t>
      </w:r>
      <w:r w:rsidRPr="00BE4405">
        <w:rPr>
          <w:rFonts w:cs="Arial"/>
          <w:bCs/>
          <w:szCs w:val="20"/>
          <w:lang w:val="en-GB"/>
        </w:rPr>
        <w:t>males still had</w:t>
      </w:r>
      <w:r w:rsidR="005E02E3" w:rsidRPr="00BE4405">
        <w:rPr>
          <w:rFonts w:cs="Arial"/>
          <w:bCs/>
          <w:szCs w:val="20"/>
          <w:lang w:val="en-GB"/>
        </w:rPr>
        <w:t xml:space="preserve"> a</w:t>
      </w:r>
      <w:r w:rsidRPr="00BE4405">
        <w:rPr>
          <w:rFonts w:cs="Arial"/>
          <w:bCs/>
          <w:szCs w:val="20"/>
          <w:lang w:val="en-GB"/>
        </w:rPr>
        <w:t xml:space="preserve"> much higher wa</w:t>
      </w:r>
      <w:r w:rsidR="00406A02" w:rsidRPr="00BE4405">
        <w:rPr>
          <w:rFonts w:cs="Arial"/>
          <w:bCs/>
          <w:szCs w:val="20"/>
          <w:lang w:val="en-GB"/>
        </w:rPr>
        <w:t>ge level: in the Q2</w:t>
      </w:r>
      <w:r w:rsidRPr="00BE4405">
        <w:rPr>
          <w:rFonts w:cs="Arial"/>
          <w:bCs/>
          <w:szCs w:val="20"/>
          <w:lang w:val="en-GB"/>
        </w:rPr>
        <w:t xml:space="preserve"> 2020, the female median wage was CZK </w:t>
      </w:r>
      <w:r w:rsidR="0047463E" w:rsidRPr="00BE4405">
        <w:rPr>
          <w:rFonts w:cs="Arial"/>
          <w:bCs/>
          <w:szCs w:val="20"/>
          <w:lang w:val="en-GB"/>
        </w:rPr>
        <w:t>26</w:t>
      </w:r>
      <w:r w:rsidRPr="00BE4405">
        <w:rPr>
          <w:rFonts w:cs="Arial"/>
          <w:bCs/>
          <w:szCs w:val="20"/>
          <w:lang w:val="en-GB"/>
        </w:rPr>
        <w:t> </w:t>
      </w:r>
      <w:r w:rsidR="00406A02" w:rsidRPr="00BE4405">
        <w:rPr>
          <w:rFonts w:cs="Arial"/>
          <w:bCs/>
          <w:szCs w:val="20"/>
          <w:lang w:val="en-GB"/>
        </w:rPr>
        <w:t>489</w:t>
      </w:r>
      <w:r w:rsidR="0047463E" w:rsidRPr="00BE4405">
        <w:rPr>
          <w:rFonts w:cs="Arial"/>
          <w:bCs/>
          <w:szCs w:val="20"/>
          <w:lang w:val="en-GB"/>
        </w:rPr>
        <w:t>,</w:t>
      </w:r>
      <w:r w:rsidRPr="00BE4405">
        <w:rPr>
          <w:rFonts w:cs="Arial"/>
          <w:bCs/>
          <w:szCs w:val="20"/>
          <w:lang w:val="en-GB"/>
        </w:rPr>
        <w:t xml:space="preserve"> while </w:t>
      </w:r>
      <w:r w:rsidR="005E02E3" w:rsidRPr="00BE4405">
        <w:rPr>
          <w:rFonts w:cs="Arial"/>
          <w:bCs/>
          <w:szCs w:val="20"/>
          <w:lang w:val="en-GB"/>
        </w:rPr>
        <w:t xml:space="preserve">the </w:t>
      </w:r>
      <w:r w:rsidRPr="00BE4405">
        <w:rPr>
          <w:rFonts w:cs="Arial"/>
          <w:bCs/>
          <w:szCs w:val="20"/>
          <w:lang w:val="en-GB"/>
        </w:rPr>
        <w:t>male median wage was CZK 31 </w:t>
      </w:r>
      <w:r w:rsidR="00F43481" w:rsidRPr="00BE4405">
        <w:rPr>
          <w:rFonts w:cs="Arial"/>
          <w:bCs/>
          <w:szCs w:val="20"/>
          <w:lang w:val="en-GB"/>
        </w:rPr>
        <w:t>450</w:t>
      </w:r>
      <w:r w:rsidRPr="00BE4405">
        <w:rPr>
          <w:rFonts w:cs="Arial"/>
          <w:bCs/>
          <w:szCs w:val="20"/>
          <w:lang w:val="en-GB"/>
        </w:rPr>
        <w:t xml:space="preserve">, i.e. by </w:t>
      </w:r>
      <w:r w:rsidR="00F43481" w:rsidRPr="00BE4405">
        <w:rPr>
          <w:rFonts w:cs="Arial"/>
          <w:bCs/>
          <w:szCs w:val="20"/>
          <w:lang w:val="en-GB"/>
        </w:rPr>
        <w:t xml:space="preserve">almost </w:t>
      </w:r>
      <w:r w:rsidRPr="00BE4405">
        <w:rPr>
          <w:rFonts w:cs="Arial"/>
          <w:bCs/>
          <w:szCs w:val="20"/>
          <w:lang w:val="en-GB"/>
        </w:rPr>
        <w:t>CZK 5</w:t>
      </w:r>
      <w:r w:rsidR="006677D6" w:rsidRPr="00BE4405">
        <w:rPr>
          <w:rFonts w:cs="Arial"/>
          <w:bCs/>
          <w:szCs w:val="20"/>
          <w:lang w:val="en-GB"/>
        </w:rPr>
        <w:t> </w:t>
      </w:r>
      <w:r w:rsidR="00F43481" w:rsidRPr="00BE4405">
        <w:rPr>
          <w:rFonts w:cs="Arial"/>
          <w:bCs/>
          <w:szCs w:val="20"/>
          <w:lang w:val="en-GB"/>
        </w:rPr>
        <w:t>thousand higher (i.e. by 16</w:t>
      </w:r>
      <w:r w:rsidRPr="00BE4405">
        <w:rPr>
          <w:rFonts w:cs="Arial"/>
          <w:bCs/>
          <w:szCs w:val="20"/>
          <w:lang w:val="en-GB"/>
        </w:rPr>
        <w:t xml:space="preserve">%). </w:t>
      </w:r>
      <w:r w:rsidR="002F4226" w:rsidRPr="00BE4405">
        <w:rPr>
          <w:rFonts w:cs="Arial"/>
          <w:bCs/>
          <w:szCs w:val="20"/>
          <w:lang w:val="en-GB"/>
        </w:rPr>
        <w:t xml:space="preserve">Concurrently, wages of males </w:t>
      </w:r>
      <w:proofErr w:type="gramStart"/>
      <w:r w:rsidR="002F4226" w:rsidRPr="00BE4405">
        <w:rPr>
          <w:rFonts w:cs="Arial"/>
          <w:lang w:val="en-GB"/>
        </w:rPr>
        <w:t>were distributed</w:t>
      </w:r>
      <w:proofErr w:type="gramEnd"/>
      <w:r w:rsidR="002F4226" w:rsidRPr="00BE4405">
        <w:rPr>
          <w:rFonts w:cs="Arial"/>
          <w:lang w:val="en-GB"/>
        </w:rPr>
        <w:t xml:space="preserve"> over a substantially wider interval than wages of females, especially the area of high earnings is considerably higher for males than for females. The top decile for females was CZK </w:t>
      </w:r>
      <w:r w:rsidR="00C96603" w:rsidRPr="00BE4405">
        <w:rPr>
          <w:rFonts w:cs="Arial"/>
          <w:lang w:val="en-GB"/>
        </w:rPr>
        <w:t>4</w:t>
      </w:r>
      <w:r w:rsidR="009A7748" w:rsidRPr="00BE4405">
        <w:rPr>
          <w:rFonts w:cs="Arial"/>
          <w:lang w:val="en-GB"/>
        </w:rPr>
        <w:t>8</w:t>
      </w:r>
      <w:r w:rsidR="002F4226" w:rsidRPr="00BE4405">
        <w:rPr>
          <w:rFonts w:cs="Arial"/>
          <w:bCs/>
          <w:szCs w:val="20"/>
          <w:lang w:val="en-GB"/>
        </w:rPr>
        <w:t> </w:t>
      </w:r>
      <w:r w:rsidR="009A7748" w:rsidRPr="00BE4405">
        <w:rPr>
          <w:rFonts w:cs="Arial"/>
          <w:bCs/>
          <w:szCs w:val="20"/>
          <w:lang w:val="en-GB"/>
        </w:rPr>
        <w:t>625</w:t>
      </w:r>
      <w:r w:rsidR="002F4226" w:rsidRPr="00BE4405">
        <w:rPr>
          <w:rFonts w:cs="Arial"/>
          <w:bCs/>
          <w:szCs w:val="20"/>
          <w:lang w:val="en-GB"/>
        </w:rPr>
        <w:t>, </w:t>
      </w:r>
      <w:r w:rsidR="002F4226" w:rsidRPr="00BE4405">
        <w:rPr>
          <w:rFonts w:cs="Arial"/>
          <w:lang w:val="en-GB"/>
        </w:rPr>
        <w:t>while for males it was CZK </w:t>
      </w:r>
      <w:r w:rsidR="002F4226" w:rsidRPr="00BE4405">
        <w:rPr>
          <w:rFonts w:cs="Arial"/>
          <w:bCs/>
          <w:szCs w:val="20"/>
          <w:lang w:val="en-GB"/>
        </w:rPr>
        <w:t>6</w:t>
      </w:r>
      <w:r w:rsidR="009A7748" w:rsidRPr="00BE4405">
        <w:rPr>
          <w:rFonts w:cs="Arial"/>
          <w:bCs/>
          <w:szCs w:val="20"/>
          <w:lang w:val="en-GB"/>
        </w:rPr>
        <w:t>3</w:t>
      </w:r>
      <w:r w:rsidR="003F1328" w:rsidRPr="00BE4405">
        <w:rPr>
          <w:rFonts w:cs="Arial"/>
          <w:bCs/>
          <w:szCs w:val="20"/>
          <w:lang w:val="en-GB"/>
        </w:rPr>
        <w:t> </w:t>
      </w:r>
      <w:r w:rsidR="009A7748" w:rsidRPr="00BE4405">
        <w:rPr>
          <w:rFonts w:cs="Arial"/>
          <w:bCs/>
          <w:szCs w:val="20"/>
          <w:lang w:val="en-GB"/>
        </w:rPr>
        <w:t>722</w:t>
      </w:r>
      <w:r w:rsidR="003F1328" w:rsidRPr="00BE4405">
        <w:rPr>
          <w:rFonts w:cs="Arial"/>
          <w:bCs/>
          <w:szCs w:val="20"/>
          <w:lang w:val="en-GB"/>
        </w:rPr>
        <w:t xml:space="preserve">, by which it is by </w:t>
      </w:r>
      <w:r w:rsidR="009A7748" w:rsidRPr="00BE4405">
        <w:rPr>
          <w:rFonts w:cs="Arial"/>
          <w:bCs/>
          <w:szCs w:val="20"/>
          <w:lang w:val="en-GB"/>
        </w:rPr>
        <w:t>24</w:t>
      </w:r>
      <w:r w:rsidR="003F1328" w:rsidRPr="00BE4405">
        <w:rPr>
          <w:rFonts w:cs="Arial"/>
          <w:bCs/>
          <w:szCs w:val="20"/>
          <w:lang w:val="en-GB"/>
        </w:rPr>
        <w:t>% higher</w:t>
      </w:r>
      <w:r w:rsidR="002F4226" w:rsidRPr="00BE4405">
        <w:rPr>
          <w:rFonts w:cs="Arial"/>
          <w:bCs/>
          <w:szCs w:val="20"/>
          <w:lang w:val="en-GB"/>
        </w:rPr>
        <w:t xml:space="preserve">. </w:t>
      </w:r>
      <w:r w:rsidR="002F4226" w:rsidRPr="00BE4405">
        <w:rPr>
          <w:rFonts w:cs="Arial"/>
          <w:lang w:val="en-GB"/>
        </w:rPr>
        <w:t>As for low earnings, the difference was smaller; the bottom decile for females was</w:t>
      </w:r>
      <w:r w:rsidR="002F4226" w:rsidRPr="00BE4405">
        <w:rPr>
          <w:rFonts w:cs="Arial"/>
          <w:bCs/>
          <w:szCs w:val="20"/>
          <w:lang w:val="en-GB"/>
        </w:rPr>
        <w:t xml:space="preserve"> CZK </w:t>
      </w:r>
      <w:r w:rsidR="009A7748" w:rsidRPr="00BE4405">
        <w:rPr>
          <w:rFonts w:cs="Arial"/>
          <w:bCs/>
          <w:szCs w:val="20"/>
          <w:lang w:val="en-GB"/>
        </w:rPr>
        <w:t>13</w:t>
      </w:r>
      <w:r w:rsidR="002F4226" w:rsidRPr="00BE4405">
        <w:rPr>
          <w:rFonts w:cs="Arial"/>
          <w:bCs/>
          <w:szCs w:val="20"/>
          <w:lang w:val="en-GB"/>
        </w:rPr>
        <w:t> </w:t>
      </w:r>
      <w:r w:rsidR="009A7748" w:rsidRPr="00BE4405">
        <w:rPr>
          <w:rFonts w:cs="Arial"/>
          <w:bCs/>
          <w:szCs w:val="20"/>
          <w:lang w:val="en-GB"/>
        </w:rPr>
        <w:t>556</w:t>
      </w:r>
      <w:r w:rsidR="002F4226" w:rsidRPr="00BE4405">
        <w:rPr>
          <w:rFonts w:cs="Arial"/>
          <w:bCs/>
          <w:szCs w:val="20"/>
          <w:lang w:val="en-GB"/>
        </w:rPr>
        <w:t xml:space="preserve"> and for</w:t>
      </w:r>
      <w:r w:rsidR="002F4226" w:rsidRPr="00BE4405">
        <w:rPr>
          <w:rFonts w:cs="Arial"/>
          <w:lang w:val="en-GB"/>
        </w:rPr>
        <w:t xml:space="preserve"> males it was CZK </w:t>
      </w:r>
      <w:r w:rsidR="002F4226" w:rsidRPr="00BE4405">
        <w:rPr>
          <w:rFonts w:cs="Arial"/>
          <w:bCs/>
          <w:szCs w:val="20"/>
          <w:lang w:val="en-GB"/>
        </w:rPr>
        <w:t>1</w:t>
      </w:r>
      <w:r w:rsidR="009A7748" w:rsidRPr="00BE4405">
        <w:rPr>
          <w:rFonts w:cs="Arial"/>
          <w:bCs/>
          <w:szCs w:val="20"/>
          <w:lang w:val="en-GB"/>
        </w:rPr>
        <w:t>5</w:t>
      </w:r>
      <w:r w:rsidR="00DD264B" w:rsidRPr="00BE4405">
        <w:rPr>
          <w:rFonts w:cs="Arial"/>
          <w:bCs/>
          <w:szCs w:val="20"/>
          <w:lang w:val="en-GB"/>
        </w:rPr>
        <w:t> </w:t>
      </w:r>
      <w:r w:rsidR="009A7748" w:rsidRPr="00BE4405">
        <w:rPr>
          <w:rFonts w:cs="Arial"/>
          <w:bCs/>
          <w:szCs w:val="20"/>
          <w:lang w:val="en-GB"/>
        </w:rPr>
        <w:t>705, i.e. by 14</w:t>
      </w:r>
      <w:r w:rsidR="00DD264B" w:rsidRPr="00BE4405">
        <w:rPr>
          <w:rFonts w:cs="Arial"/>
          <w:bCs/>
          <w:szCs w:val="20"/>
          <w:lang w:val="en-GB"/>
        </w:rPr>
        <w:t>% higher</w:t>
      </w:r>
      <w:r w:rsidR="002F4226" w:rsidRPr="00BE4405">
        <w:rPr>
          <w:rFonts w:cs="Arial"/>
          <w:bCs/>
          <w:szCs w:val="20"/>
          <w:lang w:val="en-GB"/>
        </w:rPr>
        <w:t>.</w:t>
      </w:r>
      <w:r w:rsidR="00CA1C8C" w:rsidRPr="00BE4405">
        <w:rPr>
          <w:rFonts w:cs="Arial"/>
          <w:bCs/>
          <w:szCs w:val="20"/>
          <w:lang w:val="en-GB"/>
        </w:rPr>
        <w:t xml:space="preserve"> </w:t>
      </w:r>
      <w:r w:rsidR="00C37DBA" w:rsidRPr="00BE4405">
        <w:rPr>
          <w:rFonts w:cs="Arial"/>
          <w:bCs/>
          <w:szCs w:val="20"/>
          <w:lang w:val="en-GB"/>
        </w:rPr>
        <w:t>As for wages of females, i</w:t>
      </w:r>
      <w:r w:rsidR="00CA1C8C" w:rsidRPr="00BE4405">
        <w:rPr>
          <w:rFonts w:cs="Arial"/>
          <w:bCs/>
          <w:szCs w:val="20"/>
          <w:lang w:val="en-GB"/>
        </w:rPr>
        <w:t xml:space="preserve">ncreasing differentiation of earnings was more </w:t>
      </w:r>
      <w:r w:rsidR="0064111A" w:rsidRPr="00BE4405">
        <w:rPr>
          <w:rFonts w:cs="Arial"/>
          <w:bCs/>
          <w:szCs w:val="20"/>
          <w:lang w:val="en-GB"/>
        </w:rPr>
        <w:t>marked</w:t>
      </w:r>
      <w:r w:rsidR="00CA1C8C" w:rsidRPr="00BE4405">
        <w:rPr>
          <w:rFonts w:cs="Arial"/>
          <w:bCs/>
          <w:szCs w:val="20"/>
          <w:lang w:val="en-GB"/>
        </w:rPr>
        <w:t xml:space="preserve">. </w:t>
      </w:r>
      <w:r w:rsidR="009A7748" w:rsidRPr="00BE4405">
        <w:rPr>
          <w:rFonts w:cs="Arial"/>
          <w:bCs/>
          <w:szCs w:val="20"/>
          <w:lang w:val="en-GB"/>
        </w:rPr>
        <w:t xml:space="preserve"> </w:t>
      </w:r>
    </w:p>
    <w:p w:rsidR="008E4CE2" w:rsidRPr="00BE4405" w:rsidRDefault="008E4CE2" w:rsidP="00D01D89">
      <w:pPr>
        <w:rPr>
          <w:rFonts w:cs="Arial"/>
        </w:rPr>
      </w:pPr>
    </w:p>
    <w:p w:rsidR="00ED100E" w:rsidRPr="00BE4405" w:rsidRDefault="00ED100E" w:rsidP="00ED100E">
      <w:pPr>
        <w:rPr>
          <w:rFonts w:cs="Arial"/>
          <w:lang w:val="en-GB"/>
        </w:rPr>
      </w:pPr>
      <w:r w:rsidRPr="00BE4405">
        <w:rPr>
          <w:rFonts w:cs="Arial"/>
          <w:lang w:val="en-GB"/>
        </w:rPr>
        <w:t>The</w:t>
      </w:r>
      <w:r w:rsidRPr="00BE4405">
        <w:rPr>
          <w:rFonts w:cs="Arial"/>
          <w:b/>
          <w:lang w:val="en-GB"/>
        </w:rPr>
        <w:t xml:space="preserve"> </w:t>
      </w:r>
      <w:r w:rsidRPr="00BE4405">
        <w:rPr>
          <w:rFonts w:cs="Arial"/>
          <w:lang w:val="en-GB"/>
        </w:rPr>
        <w:t>preliminary results of the</w:t>
      </w:r>
      <w:r w:rsidRPr="00BE4405">
        <w:rPr>
          <w:rFonts w:cs="Arial"/>
          <w:b/>
          <w:lang w:val="en-GB"/>
        </w:rPr>
        <w:t xml:space="preserve"> </w:t>
      </w:r>
      <w:r w:rsidRPr="00BE4405">
        <w:rPr>
          <w:b/>
          <w:lang w:val="en-GB"/>
        </w:rPr>
        <w:t>Information System</w:t>
      </w:r>
      <w:r w:rsidR="009A63E4">
        <w:rPr>
          <w:b/>
          <w:lang w:val="en-GB"/>
        </w:rPr>
        <w:t xml:space="preserve"> on </w:t>
      </w:r>
      <w:r w:rsidR="009A63E4" w:rsidRPr="00BE4405">
        <w:rPr>
          <w:b/>
          <w:lang w:val="en-GB"/>
        </w:rPr>
        <w:t>Average Earnings</w:t>
      </w:r>
      <w:r w:rsidRPr="00BE4405">
        <w:rPr>
          <w:rFonts w:cs="Arial"/>
          <w:lang w:val="en-GB"/>
        </w:rPr>
        <w:t xml:space="preserve"> (</w:t>
      </w:r>
      <w:r w:rsidR="008E0BEC" w:rsidRPr="00BE4405">
        <w:rPr>
          <w:rFonts w:cs="Arial"/>
          <w:lang w:val="en-GB"/>
        </w:rPr>
        <w:t>IS</w:t>
      </w:r>
      <w:r w:rsidR="009A63E4">
        <w:rPr>
          <w:rFonts w:cs="Arial"/>
          <w:lang w:val="en-GB"/>
        </w:rPr>
        <w:t>AE</w:t>
      </w:r>
      <w:r w:rsidR="008E0BEC" w:rsidRPr="00BE4405">
        <w:rPr>
          <w:rFonts w:cs="Arial"/>
          <w:lang w:val="en-GB"/>
        </w:rPr>
        <w:t>) for the first half of 2020</w:t>
      </w:r>
      <w:r w:rsidRPr="00BE4405">
        <w:rPr>
          <w:rFonts w:cs="Arial"/>
          <w:lang w:val="en-GB"/>
        </w:rPr>
        <w:t xml:space="preserve"> bring a more detailed view of wage distributions and </w:t>
      </w:r>
      <w:r w:rsidR="008E4CE2" w:rsidRPr="00BE4405">
        <w:rPr>
          <w:rFonts w:cs="Arial"/>
          <w:lang w:val="en-GB"/>
        </w:rPr>
        <w:t>socio-economic breakdown</w:t>
      </w:r>
      <w:r w:rsidR="00CE5D0D">
        <w:rPr>
          <w:rFonts w:cs="Arial"/>
          <w:lang w:val="en-GB"/>
        </w:rPr>
        <w:t>s</w:t>
      </w:r>
      <w:r w:rsidR="008E4CE2" w:rsidRPr="00BE4405">
        <w:rPr>
          <w:rFonts w:cs="Arial"/>
          <w:lang w:val="en-GB"/>
        </w:rPr>
        <w:t xml:space="preserve">. </w:t>
      </w:r>
      <w:r w:rsidRPr="00BE4405">
        <w:rPr>
          <w:rFonts w:cs="Arial"/>
          <w:lang w:val="en-GB"/>
        </w:rPr>
        <w:t>The IS</w:t>
      </w:r>
      <w:r w:rsidR="009A63E4">
        <w:rPr>
          <w:rFonts w:cs="Arial"/>
          <w:lang w:val="en-GB"/>
        </w:rPr>
        <w:t>AE</w:t>
      </w:r>
      <w:r w:rsidRPr="00BE4405">
        <w:rPr>
          <w:rFonts w:cs="Arial"/>
          <w:lang w:val="en-GB"/>
        </w:rPr>
        <w:t>, however, applies a different methodology for the calculation of personal earnings of employees</w:t>
      </w:r>
      <w:r w:rsidR="006C7E64" w:rsidRPr="00BE4405">
        <w:rPr>
          <w:rFonts w:cs="Arial"/>
          <w:lang w:val="en-GB"/>
        </w:rPr>
        <w:t xml:space="preserve"> (e</w:t>
      </w:r>
      <w:r w:rsidRPr="00BE4405">
        <w:rPr>
          <w:rFonts w:cs="Arial"/>
          <w:lang w:val="en-GB"/>
        </w:rPr>
        <w:t>specially</w:t>
      </w:r>
      <w:r w:rsidR="006C7E64" w:rsidRPr="00BE4405">
        <w:rPr>
          <w:rFonts w:cs="Arial"/>
          <w:lang w:val="en-GB"/>
        </w:rPr>
        <w:t>, it</w:t>
      </w:r>
      <w:r w:rsidRPr="00BE4405">
        <w:rPr>
          <w:rFonts w:cs="Arial"/>
          <w:lang w:val="en-GB"/>
        </w:rPr>
        <w:t xml:space="preserve"> excludes all absen</w:t>
      </w:r>
      <w:r w:rsidR="006C7E64" w:rsidRPr="00BE4405">
        <w:rPr>
          <w:rFonts w:cs="Arial"/>
          <w:lang w:val="en-GB"/>
        </w:rPr>
        <w:t>ce at work)</w:t>
      </w:r>
      <w:r w:rsidRPr="00BE4405">
        <w:rPr>
          <w:rFonts w:cs="Arial"/>
          <w:lang w:val="en-GB"/>
        </w:rPr>
        <w:t xml:space="preserve"> and therefore the data </w:t>
      </w:r>
      <w:r w:rsidR="00C82CBD">
        <w:rPr>
          <w:rFonts w:cs="Arial"/>
          <w:lang w:val="en-GB"/>
        </w:rPr>
        <w:t>are</w:t>
      </w:r>
      <w:r w:rsidRPr="00BE4405">
        <w:rPr>
          <w:rFonts w:cs="Arial"/>
          <w:lang w:val="en-GB"/>
        </w:rPr>
        <w:t xml:space="preserve"> compar</w:t>
      </w:r>
      <w:r w:rsidR="00C82CBD">
        <w:rPr>
          <w:rFonts w:cs="Arial"/>
          <w:lang w:val="en-GB"/>
        </w:rPr>
        <w:t>able</w:t>
      </w:r>
      <w:r w:rsidRPr="00BE4405">
        <w:rPr>
          <w:rFonts w:cs="Arial"/>
          <w:lang w:val="en-GB"/>
        </w:rPr>
        <w:t xml:space="preserve"> </w:t>
      </w:r>
      <w:r w:rsidR="00C82CBD" w:rsidRPr="00BE4405">
        <w:rPr>
          <w:rFonts w:cs="Arial"/>
          <w:lang w:val="en-GB"/>
        </w:rPr>
        <w:t xml:space="preserve">neither </w:t>
      </w:r>
      <w:r w:rsidRPr="00BE4405">
        <w:rPr>
          <w:rFonts w:cs="Arial"/>
          <w:lang w:val="en-GB"/>
        </w:rPr>
        <w:t xml:space="preserve">to the aforementioned </w:t>
      </w:r>
      <w:r w:rsidR="006C7E64" w:rsidRPr="00BE4405">
        <w:rPr>
          <w:rFonts w:cs="Arial"/>
          <w:lang w:val="en-GB"/>
        </w:rPr>
        <w:t>amounts of the average wages</w:t>
      </w:r>
      <w:r w:rsidRPr="00BE4405">
        <w:rPr>
          <w:rFonts w:cs="Arial"/>
          <w:lang w:val="en-GB"/>
        </w:rPr>
        <w:t xml:space="preserve"> nor to figures given in tables attached to the News Release of the Czech Statistical Office.</w:t>
      </w:r>
    </w:p>
    <w:p w:rsidR="00ED100E" w:rsidRPr="00BE4405" w:rsidRDefault="00ED100E" w:rsidP="00D01D89">
      <w:pPr>
        <w:rPr>
          <w:rFonts w:cs="Arial"/>
        </w:rPr>
      </w:pPr>
    </w:p>
    <w:p w:rsidR="00633502" w:rsidRPr="00BE4405" w:rsidRDefault="00ED100E" w:rsidP="00AD0B5F">
      <w:pPr>
        <w:rPr>
          <w:rFonts w:cs="Arial"/>
          <w:lang w:val="en-GB"/>
        </w:rPr>
      </w:pPr>
      <w:r w:rsidRPr="00BE4405">
        <w:rPr>
          <w:rFonts w:cs="Arial"/>
          <w:lang w:val="en-GB"/>
        </w:rPr>
        <w:t xml:space="preserve">According to the valid Classification of </w:t>
      </w:r>
      <w:r w:rsidRPr="00BE4405">
        <w:rPr>
          <w:rFonts w:cs="Arial"/>
          <w:b/>
          <w:lang w:val="en-GB"/>
        </w:rPr>
        <w:t>Occupations</w:t>
      </w:r>
      <w:r w:rsidRPr="00BE4405">
        <w:rPr>
          <w:rFonts w:cs="Arial"/>
          <w:lang w:val="en-GB"/>
        </w:rPr>
        <w:t xml:space="preserve"> (CZ-ISCO) managers were the group with highest earnings having the median wage of CZK </w:t>
      </w:r>
      <w:r w:rsidR="0065508A" w:rsidRPr="00BE4405">
        <w:rPr>
          <w:rFonts w:cs="Arial"/>
          <w:lang w:val="en-GB"/>
        </w:rPr>
        <w:t xml:space="preserve">61 278. However, their wages are the most differentiated ones; a tenth of the </w:t>
      </w:r>
      <w:proofErr w:type="gramStart"/>
      <w:r w:rsidR="0065508A" w:rsidRPr="00BE4405">
        <w:rPr>
          <w:rFonts w:cs="Arial"/>
          <w:lang w:val="en-GB"/>
        </w:rPr>
        <w:t>best-paid</w:t>
      </w:r>
      <w:proofErr w:type="gramEnd"/>
      <w:r w:rsidR="0065508A" w:rsidRPr="00BE4405">
        <w:rPr>
          <w:rFonts w:cs="Arial"/>
          <w:lang w:val="en-GB"/>
        </w:rPr>
        <w:t xml:space="preserve"> earned over CZK 148 817, while the opposite tenth got less than CZK 30 668. T</w:t>
      </w:r>
      <w:r w:rsidRPr="00BE4405">
        <w:rPr>
          <w:rFonts w:cs="Arial"/>
          <w:lang w:val="en-GB"/>
        </w:rPr>
        <w:t>he second highest wage level can be found in professionals with the median wage of CZK 4</w:t>
      </w:r>
      <w:r w:rsidR="0065508A" w:rsidRPr="00BE4405">
        <w:rPr>
          <w:rFonts w:cs="Arial"/>
          <w:lang w:val="en-GB"/>
        </w:rPr>
        <w:t>3</w:t>
      </w:r>
      <w:r w:rsidRPr="00BE4405">
        <w:rPr>
          <w:rFonts w:cs="Arial"/>
          <w:lang w:val="en-GB"/>
        </w:rPr>
        <w:t> </w:t>
      </w:r>
      <w:r w:rsidR="0065508A" w:rsidRPr="00BE4405">
        <w:rPr>
          <w:rFonts w:cs="Arial"/>
          <w:lang w:val="en-GB"/>
        </w:rPr>
        <w:t>362</w:t>
      </w:r>
      <w:r w:rsidRPr="00BE4405">
        <w:rPr>
          <w:rFonts w:cs="Arial"/>
          <w:lang w:val="en-GB"/>
        </w:rPr>
        <w:t xml:space="preserve"> and the third rank is occupied by technicians and associate professionals with the median wage of CZK 3</w:t>
      </w:r>
      <w:r w:rsidR="0065508A" w:rsidRPr="00BE4405">
        <w:rPr>
          <w:rFonts w:cs="Arial"/>
          <w:lang w:val="en-GB"/>
        </w:rPr>
        <w:t>6</w:t>
      </w:r>
      <w:r w:rsidRPr="00BE4405">
        <w:rPr>
          <w:rFonts w:cs="Arial"/>
          <w:lang w:val="en-GB"/>
        </w:rPr>
        <w:t> </w:t>
      </w:r>
      <w:r w:rsidR="0065508A" w:rsidRPr="00BE4405">
        <w:rPr>
          <w:rFonts w:cs="Arial"/>
          <w:lang w:val="en-GB"/>
        </w:rPr>
        <w:t>605</w:t>
      </w:r>
      <w:r w:rsidRPr="00BE4405">
        <w:rPr>
          <w:rFonts w:cs="Arial"/>
          <w:lang w:val="en-GB"/>
        </w:rPr>
        <w:t xml:space="preserve">. </w:t>
      </w:r>
      <w:r w:rsidRPr="00BE4405">
        <w:rPr>
          <w:rFonts w:ascii="FreeSerif" w:hAnsi="FreeSerif" w:cs="FreeSerif"/>
          <w:szCs w:val="20"/>
          <w:lang w:val="en-GB" w:eastAsia="cs-CZ"/>
        </w:rPr>
        <w:t>Clerical support workers</w:t>
      </w:r>
      <w:r w:rsidRPr="00BE4405">
        <w:rPr>
          <w:rFonts w:cs="Arial"/>
          <w:lang w:val="en-GB"/>
        </w:rPr>
        <w:t xml:space="preserve"> had the median wage of CZK 2</w:t>
      </w:r>
      <w:r w:rsidR="0065508A" w:rsidRPr="00BE4405">
        <w:rPr>
          <w:rFonts w:cs="Arial"/>
          <w:lang w:val="en-GB"/>
        </w:rPr>
        <w:t>8</w:t>
      </w:r>
      <w:r w:rsidRPr="00BE4405">
        <w:rPr>
          <w:rFonts w:cs="Arial"/>
          <w:lang w:val="en-GB"/>
        </w:rPr>
        <w:t> </w:t>
      </w:r>
      <w:r w:rsidR="0065508A" w:rsidRPr="00BE4405">
        <w:rPr>
          <w:rFonts w:cs="Arial"/>
          <w:lang w:val="en-GB"/>
        </w:rPr>
        <w:t>169</w:t>
      </w:r>
      <w:r w:rsidRPr="00BE4405">
        <w:rPr>
          <w:rFonts w:cs="Arial"/>
          <w:lang w:val="en-GB"/>
        </w:rPr>
        <w:t xml:space="preserve">. A rather significant year-on-year growth of the median wage </w:t>
      </w:r>
      <w:r w:rsidR="002966B6" w:rsidRPr="00BE4405">
        <w:rPr>
          <w:rFonts w:cs="Arial"/>
          <w:lang w:val="en-GB"/>
        </w:rPr>
        <w:t>(</w:t>
      </w:r>
      <w:r w:rsidRPr="00BE4405">
        <w:rPr>
          <w:rFonts w:cs="Arial"/>
          <w:lang w:val="en-GB"/>
        </w:rPr>
        <w:t xml:space="preserve">by </w:t>
      </w:r>
      <w:r w:rsidR="002966B6" w:rsidRPr="00BE4405">
        <w:rPr>
          <w:rFonts w:cs="Arial"/>
          <w:lang w:val="en-GB"/>
        </w:rPr>
        <w:t>7</w:t>
      </w:r>
      <w:r w:rsidR="003C748B">
        <w:rPr>
          <w:rFonts w:cs="Arial"/>
          <w:lang w:val="en-GB"/>
        </w:rPr>
        <w:t>.5</w:t>
      </w:r>
      <w:r w:rsidRPr="00BE4405">
        <w:rPr>
          <w:rFonts w:cs="Arial"/>
          <w:lang w:val="en-GB"/>
        </w:rPr>
        <w:t>%</w:t>
      </w:r>
      <w:r w:rsidR="002966B6" w:rsidRPr="00BE4405">
        <w:rPr>
          <w:rFonts w:cs="Arial"/>
          <w:lang w:val="en-GB"/>
        </w:rPr>
        <w:t>)</w:t>
      </w:r>
      <w:r w:rsidRPr="00BE4405">
        <w:rPr>
          <w:rFonts w:cs="Arial"/>
          <w:lang w:val="en-GB"/>
        </w:rPr>
        <w:t xml:space="preserve"> was found in the large group of service and sales workers, of which, however, </w:t>
      </w:r>
      <w:r w:rsidR="002966B6" w:rsidRPr="00BE4405">
        <w:rPr>
          <w:rFonts w:cs="Arial"/>
          <w:lang w:val="en-GB"/>
        </w:rPr>
        <w:t>many</w:t>
      </w:r>
      <w:r w:rsidRPr="00BE4405">
        <w:rPr>
          <w:rFonts w:cs="Arial"/>
          <w:lang w:val="en-GB"/>
        </w:rPr>
        <w:t xml:space="preserve"> belong to low-income employees</w:t>
      </w:r>
      <w:r w:rsidR="002966B6" w:rsidRPr="00BE4405">
        <w:rPr>
          <w:rFonts w:cs="Arial"/>
          <w:vertAlign w:val="superscript"/>
          <w:lang w:val="en-GB"/>
        </w:rPr>
        <w:t>1)</w:t>
      </w:r>
      <w:r w:rsidRPr="00BE4405">
        <w:rPr>
          <w:rFonts w:cs="Arial"/>
          <w:lang w:val="en-GB"/>
        </w:rPr>
        <w:t>, with the decile range from CZK 1</w:t>
      </w:r>
      <w:r w:rsidR="002966B6" w:rsidRPr="00BE4405">
        <w:rPr>
          <w:rFonts w:cs="Arial"/>
          <w:lang w:val="en-GB"/>
        </w:rPr>
        <w:t>6</w:t>
      </w:r>
      <w:r w:rsidRPr="00BE4405">
        <w:rPr>
          <w:rFonts w:cs="Arial"/>
          <w:lang w:val="en-GB"/>
        </w:rPr>
        <w:t> </w:t>
      </w:r>
      <w:r w:rsidR="002966B6" w:rsidRPr="00BE4405">
        <w:rPr>
          <w:rFonts w:cs="Arial"/>
          <w:lang w:val="en-GB"/>
        </w:rPr>
        <w:t>530</w:t>
      </w:r>
      <w:r w:rsidRPr="00BE4405">
        <w:rPr>
          <w:rFonts w:cs="Arial"/>
          <w:lang w:val="en-GB"/>
        </w:rPr>
        <w:t xml:space="preserve"> to CZK 3</w:t>
      </w:r>
      <w:r w:rsidR="002966B6" w:rsidRPr="00BE4405">
        <w:rPr>
          <w:rFonts w:cs="Arial"/>
          <w:lang w:val="en-GB"/>
        </w:rPr>
        <w:t>8</w:t>
      </w:r>
      <w:r w:rsidRPr="00BE4405">
        <w:rPr>
          <w:rFonts w:cs="Arial"/>
          <w:lang w:val="en-GB"/>
        </w:rPr>
        <w:t> </w:t>
      </w:r>
      <w:r w:rsidR="002966B6" w:rsidRPr="00BE4405">
        <w:rPr>
          <w:rFonts w:cs="Arial"/>
          <w:lang w:val="en-GB"/>
        </w:rPr>
        <w:t>875</w:t>
      </w:r>
      <w:r w:rsidRPr="00BE4405">
        <w:rPr>
          <w:rFonts w:cs="Arial"/>
          <w:lang w:val="en-GB"/>
        </w:rPr>
        <w:t xml:space="preserve"> and their median wage was CZK 2</w:t>
      </w:r>
      <w:r w:rsidR="002966B6" w:rsidRPr="00BE4405">
        <w:rPr>
          <w:rFonts w:cs="Arial"/>
          <w:lang w:val="en-GB"/>
        </w:rPr>
        <w:t>3</w:t>
      </w:r>
      <w:r w:rsidRPr="00BE4405">
        <w:rPr>
          <w:rFonts w:cs="Arial"/>
          <w:lang w:val="en-GB"/>
        </w:rPr>
        <w:t> </w:t>
      </w:r>
      <w:r w:rsidR="002966B6" w:rsidRPr="00BE4405">
        <w:rPr>
          <w:rFonts w:cs="Arial"/>
          <w:lang w:val="en-GB"/>
        </w:rPr>
        <w:t>911</w:t>
      </w:r>
      <w:r w:rsidRPr="00BE4405">
        <w:rPr>
          <w:rFonts w:cs="Arial"/>
          <w:lang w:val="en-GB"/>
        </w:rPr>
        <w:t>. Craft and related trades workers and plant and machine operators and assemblers have their median wages CZK 2</w:t>
      </w:r>
      <w:r w:rsidR="00D808B2" w:rsidRPr="00BE4405">
        <w:rPr>
          <w:rFonts w:cs="Arial"/>
          <w:lang w:val="en-GB"/>
        </w:rPr>
        <w:t>9</w:t>
      </w:r>
      <w:r w:rsidRPr="00BE4405">
        <w:rPr>
          <w:rFonts w:cs="Arial"/>
          <w:lang w:val="en-GB"/>
        </w:rPr>
        <w:t> </w:t>
      </w:r>
      <w:r w:rsidR="00D808B2" w:rsidRPr="00BE4405">
        <w:rPr>
          <w:rFonts w:cs="Arial"/>
          <w:lang w:val="en-GB"/>
        </w:rPr>
        <w:t>680</w:t>
      </w:r>
      <w:r w:rsidRPr="00BE4405">
        <w:rPr>
          <w:rFonts w:cs="Arial"/>
          <w:lang w:val="en-GB"/>
        </w:rPr>
        <w:t xml:space="preserve"> and CZK 2</w:t>
      </w:r>
      <w:r w:rsidR="00D808B2" w:rsidRPr="00BE4405">
        <w:rPr>
          <w:rFonts w:cs="Arial"/>
          <w:lang w:val="en-GB"/>
        </w:rPr>
        <w:t>8</w:t>
      </w:r>
      <w:r w:rsidRPr="00BE4405">
        <w:rPr>
          <w:rFonts w:cs="Arial"/>
          <w:lang w:val="en-GB"/>
        </w:rPr>
        <w:t> </w:t>
      </w:r>
      <w:r w:rsidR="00D808B2" w:rsidRPr="00BE4405">
        <w:rPr>
          <w:rFonts w:cs="Arial"/>
          <w:lang w:val="en-GB"/>
        </w:rPr>
        <w:t>500</w:t>
      </w:r>
      <w:r w:rsidRPr="00BE4405">
        <w:rPr>
          <w:rFonts w:cs="Arial"/>
          <w:lang w:val="en-GB"/>
        </w:rPr>
        <w:t>, respectively, yet wages in plant and machine operators and assemblers were growing at a slower pace. The</w:t>
      </w:r>
      <w:r w:rsidR="002520CE" w:rsidRPr="00BE4405">
        <w:rPr>
          <w:rFonts w:cs="Arial"/>
          <w:lang w:val="en-GB"/>
        </w:rPr>
        <w:t xml:space="preserve"> lowest wage level can be found</w:t>
      </w:r>
      <w:r w:rsidRPr="00BE4405">
        <w:rPr>
          <w:rFonts w:cs="Arial"/>
          <w:lang w:val="en-GB"/>
        </w:rPr>
        <w:t xml:space="preserve"> at elementary occupations with the median wage of CZK 1</w:t>
      </w:r>
      <w:r w:rsidR="002520CE" w:rsidRPr="00BE4405">
        <w:rPr>
          <w:rFonts w:cs="Arial"/>
          <w:lang w:val="en-GB"/>
        </w:rPr>
        <w:t>9</w:t>
      </w:r>
      <w:r w:rsidR="000805ED" w:rsidRPr="00BE4405">
        <w:rPr>
          <w:rFonts w:cs="Arial"/>
          <w:lang w:val="en-GB"/>
        </w:rPr>
        <w:t> </w:t>
      </w:r>
      <w:r w:rsidR="002520CE" w:rsidRPr="00BE4405">
        <w:rPr>
          <w:rFonts w:cs="Arial"/>
          <w:lang w:val="en-GB"/>
        </w:rPr>
        <w:t>731</w:t>
      </w:r>
      <w:r w:rsidR="000805ED" w:rsidRPr="00BE4405">
        <w:rPr>
          <w:rFonts w:cs="Arial"/>
          <w:lang w:val="en-GB"/>
        </w:rPr>
        <w:t>.</w:t>
      </w:r>
      <w:r w:rsidR="00AD0B5F" w:rsidRPr="00BE4405">
        <w:rPr>
          <w:rFonts w:cs="Arial"/>
          <w:lang w:val="en-GB"/>
        </w:rPr>
        <w:t xml:space="preserve"> </w:t>
      </w:r>
      <w:r w:rsidR="00E525A2">
        <w:rPr>
          <w:rFonts w:cs="Arial"/>
          <w:lang w:val="en-GB"/>
        </w:rPr>
        <w:t>Among them, the</w:t>
      </w:r>
      <w:r w:rsidR="006850C4">
        <w:rPr>
          <w:rFonts w:cs="Arial"/>
          <w:lang w:val="en-GB"/>
        </w:rPr>
        <w:t xml:space="preserve"> share </w:t>
      </w:r>
      <w:r w:rsidR="00F8072F">
        <w:rPr>
          <w:rFonts w:cs="Arial"/>
          <w:lang w:val="en-GB"/>
        </w:rPr>
        <w:t>of</w:t>
      </w:r>
      <w:r w:rsidR="006850C4">
        <w:rPr>
          <w:rFonts w:cs="Arial"/>
          <w:lang w:val="en-GB"/>
        </w:rPr>
        <w:t xml:space="preserve"> </w:t>
      </w:r>
      <w:r w:rsidR="006850C4" w:rsidRPr="00BE4405">
        <w:rPr>
          <w:rFonts w:cs="Arial"/>
          <w:lang w:val="en-GB"/>
        </w:rPr>
        <w:t>low-income employees</w:t>
      </w:r>
      <w:r w:rsidR="006850C4">
        <w:rPr>
          <w:rFonts w:cs="Arial"/>
          <w:lang w:val="en-GB"/>
        </w:rPr>
        <w:t xml:space="preserve"> is over a half</w:t>
      </w:r>
      <w:r w:rsidR="000805ED" w:rsidRPr="00BE4405">
        <w:rPr>
          <w:rFonts w:cs="Arial"/>
          <w:lang w:val="en-GB"/>
        </w:rPr>
        <w:t>; the</w:t>
      </w:r>
      <w:r w:rsidR="00F8072F">
        <w:rPr>
          <w:rFonts w:cs="Arial"/>
          <w:lang w:val="en-GB"/>
        </w:rPr>
        <w:t>ir</w:t>
      </w:r>
      <w:r w:rsidR="000805ED" w:rsidRPr="00BE4405">
        <w:rPr>
          <w:rFonts w:cs="Arial"/>
          <w:lang w:val="en-GB"/>
        </w:rPr>
        <w:t xml:space="preserve"> decile range was between CZK 14 727 and CZK 30 740. </w:t>
      </w:r>
      <w:bookmarkStart w:id="0" w:name="_GoBack"/>
      <w:bookmarkEnd w:id="0"/>
    </w:p>
    <w:p w:rsidR="00633502" w:rsidRPr="00BE4405" w:rsidRDefault="00633502" w:rsidP="00AD0B5F">
      <w:pPr>
        <w:rPr>
          <w:rFonts w:cs="Arial"/>
          <w:lang w:val="en-GB"/>
        </w:rPr>
      </w:pPr>
    </w:p>
    <w:p w:rsidR="006B23D7" w:rsidRPr="00BE4405" w:rsidRDefault="00B26C1B" w:rsidP="006B23D7">
      <w:pPr>
        <w:rPr>
          <w:rFonts w:cs="Arial"/>
          <w:lang w:val="en-GB"/>
        </w:rPr>
      </w:pPr>
      <w:r w:rsidRPr="00BE4405">
        <w:rPr>
          <w:rFonts w:cs="Arial"/>
        </w:rPr>
        <w:t>B</w:t>
      </w:r>
      <w:r w:rsidR="00AA68DD" w:rsidRPr="00BE4405">
        <w:rPr>
          <w:rFonts w:cs="Arial"/>
          <w:lang w:val="en-GB"/>
        </w:rPr>
        <w:t xml:space="preserve">y </w:t>
      </w:r>
      <w:r w:rsidR="00AA68DD" w:rsidRPr="00BE4405">
        <w:rPr>
          <w:rFonts w:cs="Arial"/>
          <w:b/>
          <w:lang w:val="en-GB"/>
        </w:rPr>
        <w:t>age group</w:t>
      </w:r>
      <w:r w:rsidR="00AA68DD" w:rsidRPr="00BE4405">
        <w:rPr>
          <w:rFonts w:cs="Arial"/>
          <w:lang w:val="en-GB"/>
        </w:rPr>
        <w:t>, the lowest median wage was earned by employees aged up to 20 years (CZK 21 349)</w:t>
      </w:r>
      <w:r w:rsidRPr="00BE4405">
        <w:rPr>
          <w:rFonts w:cs="Arial"/>
          <w:lang w:val="en-GB"/>
        </w:rPr>
        <w:t>. Their wages also increased the least of all, year-on-year. I</w:t>
      </w:r>
      <w:r w:rsidR="00AA68DD" w:rsidRPr="00BE4405">
        <w:rPr>
          <w:rFonts w:cs="Arial"/>
          <w:lang w:val="en-GB"/>
        </w:rPr>
        <w:t>n the age group 20–29 years</w:t>
      </w:r>
      <w:r w:rsidRPr="00BE4405">
        <w:rPr>
          <w:rFonts w:cs="Arial"/>
          <w:lang w:val="en-GB"/>
        </w:rPr>
        <w:t>,</w:t>
      </w:r>
      <w:r w:rsidR="00AA68DD" w:rsidRPr="00BE4405">
        <w:rPr>
          <w:rFonts w:cs="Arial"/>
          <w:lang w:val="en-GB"/>
        </w:rPr>
        <w:t xml:space="preserve"> the median wage was already</w:t>
      </w:r>
      <w:r w:rsidRPr="00BE4405">
        <w:rPr>
          <w:rFonts w:cs="Arial"/>
          <w:lang w:val="en-GB"/>
        </w:rPr>
        <w:t xml:space="preserve"> much higher</w:t>
      </w:r>
      <w:r w:rsidR="00AA68DD" w:rsidRPr="00BE4405">
        <w:rPr>
          <w:rFonts w:cs="Arial"/>
          <w:lang w:val="en-GB"/>
        </w:rPr>
        <w:t xml:space="preserve"> </w:t>
      </w:r>
      <w:r w:rsidRPr="00BE4405">
        <w:rPr>
          <w:rFonts w:cs="Arial"/>
          <w:lang w:val="en-GB"/>
        </w:rPr>
        <w:t>(CZK 29 185)</w:t>
      </w:r>
      <w:r w:rsidR="00AA68DD" w:rsidRPr="00BE4405">
        <w:rPr>
          <w:rFonts w:cs="Arial"/>
          <w:lang w:val="en-GB"/>
        </w:rPr>
        <w:t xml:space="preserve"> and </w:t>
      </w:r>
      <w:r w:rsidR="006B23D7" w:rsidRPr="00BE4405">
        <w:rPr>
          <w:rFonts w:cs="Arial"/>
          <w:lang w:val="en-GB"/>
        </w:rPr>
        <w:t xml:space="preserve">for </w:t>
      </w:r>
      <w:r w:rsidR="00AA68DD" w:rsidRPr="00BE4405">
        <w:rPr>
          <w:rFonts w:cs="Arial"/>
          <w:lang w:val="en-GB"/>
        </w:rPr>
        <w:t xml:space="preserve">the age group 30–39 years </w:t>
      </w:r>
      <w:r w:rsidR="006B23D7" w:rsidRPr="00BE4405">
        <w:rPr>
          <w:rFonts w:cs="Arial"/>
          <w:lang w:val="en-GB"/>
        </w:rPr>
        <w:t>it was</w:t>
      </w:r>
      <w:r w:rsidR="00AA68DD" w:rsidRPr="00BE4405">
        <w:rPr>
          <w:rFonts w:cs="Arial"/>
          <w:lang w:val="en-GB"/>
        </w:rPr>
        <w:t xml:space="preserve"> the highest </w:t>
      </w:r>
      <w:r w:rsidR="006B23D7" w:rsidRPr="00BE4405">
        <w:rPr>
          <w:rFonts w:cs="Arial"/>
          <w:lang w:val="en-GB"/>
        </w:rPr>
        <w:t>(CZK 33 279)</w:t>
      </w:r>
      <w:r w:rsidR="00AA68DD" w:rsidRPr="00BE4405">
        <w:rPr>
          <w:rFonts w:cs="Arial"/>
          <w:lang w:val="en-GB"/>
        </w:rPr>
        <w:t>.</w:t>
      </w:r>
      <w:r w:rsidR="006B23D7" w:rsidRPr="00BE4405">
        <w:rPr>
          <w:rFonts w:cs="Arial"/>
          <w:lang w:val="en-GB"/>
        </w:rPr>
        <w:t xml:space="preserve"> In other age groups, wages are very gradually decreasing. </w:t>
      </w:r>
    </w:p>
    <w:p w:rsidR="00AA68DD" w:rsidRPr="00BE4405" w:rsidRDefault="00AA68DD" w:rsidP="00D01D89">
      <w:pPr>
        <w:rPr>
          <w:rFonts w:cs="Arial"/>
        </w:rPr>
      </w:pPr>
    </w:p>
    <w:p w:rsidR="00ED100E" w:rsidRPr="00BE4405" w:rsidRDefault="00ED100E" w:rsidP="00D01D89">
      <w:pPr>
        <w:pStyle w:val="Zkladntextodsazen3"/>
        <w:spacing w:after="0" w:line="276" w:lineRule="auto"/>
        <w:ind w:firstLine="0"/>
        <w:rPr>
          <w:rFonts w:cs="Arial"/>
          <w:lang w:val="en-GB"/>
        </w:rPr>
      </w:pPr>
      <w:r w:rsidRPr="00BE4405">
        <w:rPr>
          <w:rFonts w:cs="Arial"/>
          <w:lang w:val="en-GB"/>
        </w:rPr>
        <w:t xml:space="preserve">Wages are also highly structured by the </w:t>
      </w:r>
      <w:r w:rsidRPr="00BE4405">
        <w:rPr>
          <w:rFonts w:cs="Arial"/>
          <w:b/>
          <w:lang w:val="en-GB"/>
        </w:rPr>
        <w:t>educational attainment</w:t>
      </w:r>
      <w:r w:rsidRPr="00BE4405">
        <w:rPr>
          <w:rFonts w:cs="Arial"/>
          <w:lang w:val="en-GB"/>
        </w:rPr>
        <w:t xml:space="preserve"> of an employee; </w:t>
      </w:r>
      <w:r w:rsidR="00277592" w:rsidRPr="00BE4405">
        <w:rPr>
          <w:rFonts w:cs="Arial"/>
          <w:lang w:val="en-GB"/>
        </w:rPr>
        <w:t xml:space="preserve">also </w:t>
      </w:r>
      <w:r w:rsidRPr="00BE4405">
        <w:rPr>
          <w:rFonts w:cs="Arial"/>
          <w:lang w:val="en-GB"/>
        </w:rPr>
        <w:t>in</w:t>
      </w:r>
      <w:r w:rsidR="00277592" w:rsidRPr="00BE4405">
        <w:rPr>
          <w:rFonts w:cs="Arial"/>
          <w:lang w:val="en-GB"/>
        </w:rPr>
        <w:t xml:space="preserve"> the first half of</w:t>
      </w:r>
      <w:r w:rsidRPr="00BE4405">
        <w:rPr>
          <w:rFonts w:cs="Arial"/>
          <w:lang w:val="en-GB"/>
        </w:rPr>
        <w:t xml:space="preserve"> 20</w:t>
      </w:r>
      <w:r w:rsidR="00277592" w:rsidRPr="00BE4405">
        <w:rPr>
          <w:rFonts w:cs="Arial"/>
          <w:lang w:val="en-GB"/>
        </w:rPr>
        <w:t>20</w:t>
      </w:r>
      <w:r w:rsidRPr="00BE4405">
        <w:rPr>
          <w:rFonts w:cs="Arial"/>
          <w:lang w:val="en-GB"/>
        </w:rPr>
        <w:t>, university graduates had the highest earnings, their median wage was CZK 44</w:t>
      </w:r>
      <w:r w:rsidR="00277592" w:rsidRPr="00BE4405">
        <w:rPr>
          <w:rFonts w:cs="Arial"/>
          <w:lang w:val="en-GB"/>
        </w:rPr>
        <w:t xml:space="preserve"> 620; </w:t>
      </w:r>
      <w:r w:rsidR="00277592" w:rsidRPr="00BE4405">
        <w:rPr>
          <w:rFonts w:cs="Arial"/>
          <w:lang w:val="en-GB"/>
        </w:rPr>
        <w:lastRenderedPageBreak/>
        <w:t xml:space="preserve">however, they were growing with the slowest pace. </w:t>
      </w:r>
      <w:r w:rsidR="008446D5" w:rsidRPr="00BE4405">
        <w:rPr>
          <w:rFonts w:cs="Arial"/>
          <w:lang w:val="en-GB"/>
        </w:rPr>
        <w:t>Conversely</w:t>
      </w:r>
      <w:r w:rsidRPr="00BE4405">
        <w:rPr>
          <w:rFonts w:cs="Arial"/>
          <w:lang w:val="en-GB"/>
        </w:rPr>
        <w:t xml:space="preserve">, </w:t>
      </w:r>
      <w:r w:rsidR="008446D5" w:rsidRPr="00BE4405">
        <w:rPr>
          <w:rFonts w:cs="Arial"/>
          <w:lang w:val="en-GB"/>
        </w:rPr>
        <w:t xml:space="preserve">wages were increasing the most among employees with </w:t>
      </w:r>
      <w:r w:rsidRPr="00BE4405">
        <w:rPr>
          <w:rFonts w:cs="Arial"/>
          <w:lang w:val="en-GB"/>
        </w:rPr>
        <w:t>primary education or with incomplete primary</w:t>
      </w:r>
      <w:r w:rsidR="008446D5" w:rsidRPr="00BE4405">
        <w:rPr>
          <w:rFonts w:cs="Arial"/>
          <w:lang w:val="en-GB"/>
        </w:rPr>
        <w:t xml:space="preserve"> education, which, however</w:t>
      </w:r>
      <w:proofErr w:type="gramStart"/>
      <w:r w:rsidR="008446D5" w:rsidRPr="00BE4405">
        <w:rPr>
          <w:rFonts w:cs="Arial"/>
          <w:lang w:val="en-GB"/>
        </w:rPr>
        <w:t>, still</w:t>
      </w:r>
      <w:proofErr w:type="gramEnd"/>
      <w:r w:rsidR="008446D5" w:rsidRPr="00BE4405">
        <w:rPr>
          <w:rFonts w:cs="Arial"/>
          <w:lang w:val="en-GB"/>
        </w:rPr>
        <w:t xml:space="preserve"> remained to be the lowest ones (CZK 23 867). </w:t>
      </w:r>
      <w:r w:rsidRPr="00BE4405">
        <w:rPr>
          <w:rFonts w:cs="Arial"/>
          <w:lang w:val="en-GB"/>
        </w:rPr>
        <w:t>Graduates of secondary schools with an A-level examination earned much more (CZK 32 </w:t>
      </w:r>
      <w:r w:rsidR="008446D5" w:rsidRPr="00BE4405">
        <w:rPr>
          <w:rFonts w:cs="Arial"/>
          <w:lang w:val="en-GB"/>
        </w:rPr>
        <w:t>573</w:t>
      </w:r>
      <w:r w:rsidRPr="00BE4405">
        <w:rPr>
          <w:rFonts w:cs="Arial"/>
          <w:lang w:val="en-GB"/>
        </w:rPr>
        <w:t>) than those without the A-level examination (CZK</w:t>
      </w:r>
      <w:r w:rsidR="008446D5" w:rsidRPr="00BE4405">
        <w:rPr>
          <w:rFonts w:cs="Arial"/>
          <w:lang w:val="en-GB"/>
        </w:rPr>
        <w:t xml:space="preserve"> 27</w:t>
      </w:r>
      <w:r w:rsidRPr="00BE4405">
        <w:rPr>
          <w:rFonts w:cs="Arial"/>
          <w:lang w:val="en-GB"/>
        </w:rPr>
        <w:t> </w:t>
      </w:r>
      <w:r w:rsidR="008446D5" w:rsidRPr="00BE4405">
        <w:rPr>
          <w:rFonts w:cs="Arial"/>
          <w:lang w:val="en-GB"/>
        </w:rPr>
        <w:t>098</w:t>
      </w:r>
      <w:r w:rsidRPr="00BE4405">
        <w:rPr>
          <w:rFonts w:cs="Arial"/>
          <w:lang w:val="en-GB"/>
        </w:rPr>
        <w:t>), but less than employees with higher professional education or graduates from ba</w:t>
      </w:r>
      <w:r w:rsidR="008446D5" w:rsidRPr="00BE4405">
        <w:rPr>
          <w:rFonts w:cs="Arial"/>
          <w:lang w:val="en-GB"/>
        </w:rPr>
        <w:t>chelor study programmes (CZK 37</w:t>
      </w:r>
      <w:r w:rsidRPr="00BE4405">
        <w:rPr>
          <w:rFonts w:cs="Arial"/>
          <w:lang w:val="en-GB"/>
        </w:rPr>
        <w:t> 8</w:t>
      </w:r>
      <w:r w:rsidR="008446D5" w:rsidRPr="00BE4405">
        <w:rPr>
          <w:rFonts w:cs="Arial"/>
          <w:lang w:val="en-GB"/>
        </w:rPr>
        <w:t>05</w:t>
      </w:r>
      <w:r w:rsidRPr="00BE4405">
        <w:rPr>
          <w:rFonts w:cs="Arial"/>
          <w:lang w:val="en-GB"/>
        </w:rPr>
        <w:t>).</w:t>
      </w:r>
    </w:p>
    <w:p w:rsidR="00894B6C" w:rsidRPr="00BE4405" w:rsidRDefault="00894B6C" w:rsidP="00894B6C">
      <w:pPr>
        <w:pStyle w:val="Zkladntextodsazen3"/>
        <w:spacing w:after="0" w:line="276" w:lineRule="auto"/>
        <w:ind w:firstLine="0"/>
        <w:rPr>
          <w:bCs/>
          <w:szCs w:val="18"/>
          <w:lang w:val="en-GB"/>
        </w:rPr>
      </w:pPr>
    </w:p>
    <w:p w:rsidR="00DA2E57" w:rsidRPr="00BE4405" w:rsidRDefault="00DA2E57" w:rsidP="00894B6C">
      <w:pPr>
        <w:pStyle w:val="Zkladntextodsazen3"/>
        <w:spacing w:after="0" w:line="276" w:lineRule="auto"/>
        <w:ind w:firstLine="0"/>
        <w:rPr>
          <w:rFonts w:cs="Arial"/>
          <w:lang w:val="en-GB"/>
        </w:rPr>
      </w:pPr>
    </w:p>
    <w:p w:rsidR="00DA2E57" w:rsidRPr="00BE4405" w:rsidRDefault="00DA2E57" w:rsidP="00894B6C">
      <w:pPr>
        <w:pStyle w:val="Zkladntextodsazen3"/>
        <w:spacing w:after="0" w:line="276" w:lineRule="auto"/>
        <w:ind w:firstLine="0"/>
        <w:rPr>
          <w:bCs/>
          <w:szCs w:val="18"/>
        </w:rPr>
      </w:pPr>
    </w:p>
    <w:p w:rsidR="00A67988" w:rsidRPr="00BE4405" w:rsidRDefault="00DA2E57" w:rsidP="00A67988">
      <w:pPr>
        <w:rPr>
          <w:b/>
          <w:lang w:val="en-GB"/>
        </w:rPr>
      </w:pPr>
      <w:r w:rsidRPr="00BE4405">
        <w:rPr>
          <w:b/>
          <w:lang w:val="en-GB"/>
        </w:rPr>
        <w:t>Elaborated by</w:t>
      </w:r>
      <w:r w:rsidR="00A67988" w:rsidRPr="00BE4405">
        <w:rPr>
          <w:b/>
          <w:lang w:val="en-GB"/>
        </w:rPr>
        <w:t xml:space="preserve">: </w:t>
      </w:r>
      <w:proofErr w:type="spellStart"/>
      <w:r w:rsidR="00A67988" w:rsidRPr="00BE4405">
        <w:rPr>
          <w:b/>
          <w:lang w:val="en-GB"/>
        </w:rPr>
        <w:t>Dalibor</w:t>
      </w:r>
      <w:proofErr w:type="spellEnd"/>
      <w:r w:rsidR="00A67988" w:rsidRPr="00BE4405">
        <w:rPr>
          <w:b/>
          <w:lang w:val="en-GB"/>
        </w:rPr>
        <w:t xml:space="preserve"> </w:t>
      </w:r>
      <w:proofErr w:type="spellStart"/>
      <w:r w:rsidR="00A67988" w:rsidRPr="00BE4405">
        <w:rPr>
          <w:b/>
          <w:lang w:val="en-GB"/>
        </w:rPr>
        <w:t>Holý</w:t>
      </w:r>
      <w:proofErr w:type="spellEnd"/>
    </w:p>
    <w:p w:rsidR="00A67988" w:rsidRPr="00BE4405" w:rsidRDefault="00A67988" w:rsidP="00A67988">
      <w:pPr>
        <w:rPr>
          <w:lang w:val="en-GB"/>
        </w:rPr>
      </w:pPr>
      <w:r w:rsidRPr="00BE4405">
        <w:rPr>
          <w:lang w:val="en-GB"/>
        </w:rPr>
        <w:t>Labour Market and Equal Opportunities Statistics Department of the CZSO</w:t>
      </w:r>
    </w:p>
    <w:p w:rsidR="00A67988" w:rsidRPr="00BE4405" w:rsidRDefault="00A67988" w:rsidP="00A67988">
      <w:pPr>
        <w:rPr>
          <w:lang w:val="en-GB"/>
        </w:rPr>
      </w:pPr>
      <w:r w:rsidRPr="00BE4405">
        <w:rPr>
          <w:lang w:val="en-GB"/>
        </w:rPr>
        <w:t>Phone number: (</w:t>
      </w:r>
      <w:r w:rsidR="005A408A" w:rsidRPr="00BE4405">
        <w:rPr>
          <w:lang w:val="en-GB"/>
        </w:rPr>
        <w:t>+</w:t>
      </w:r>
      <w:r w:rsidRPr="00BE4405">
        <w:rPr>
          <w:lang w:val="en-GB"/>
        </w:rPr>
        <w:t>420) 274 052 694</w:t>
      </w:r>
    </w:p>
    <w:p w:rsidR="007F5746" w:rsidRPr="00FE5CC9" w:rsidRDefault="00A67988" w:rsidP="00A67988">
      <w:pPr>
        <w:rPr>
          <w:lang w:val="en-GB"/>
        </w:rPr>
      </w:pPr>
      <w:r w:rsidRPr="00BE4405">
        <w:rPr>
          <w:lang w:val="en-GB"/>
        </w:rPr>
        <w:t xml:space="preserve">E-mail: </w:t>
      </w:r>
      <w:hyperlink r:id="rId9" w:history="1">
        <w:r w:rsidRPr="00BE4405">
          <w:rPr>
            <w:rStyle w:val="Hypertextovodkaz"/>
            <w:lang w:val="en-GB"/>
          </w:rPr>
          <w:t>dalibor.holy@czso.cz</w:t>
        </w:r>
      </w:hyperlink>
    </w:p>
    <w:sectPr w:rsidR="007F5746" w:rsidRPr="00FE5CC9"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C2" w:rsidRDefault="00C879C2" w:rsidP="00BA6370">
      <w:r>
        <w:separator/>
      </w:r>
    </w:p>
  </w:endnote>
  <w:endnote w:type="continuationSeparator" w:id="0">
    <w:p w:rsidR="00C879C2" w:rsidRDefault="00C879C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Free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0" w:rsidRDefault="005A4190">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5A4190" w:rsidRPr="00D52A09" w:rsidRDefault="005A4190"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5A4190" w:rsidRDefault="005A4190"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5A4190" w:rsidRPr="00D52A09" w:rsidRDefault="005A4190"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5A4190" w:rsidRPr="000172E7" w:rsidRDefault="005A4190"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525A2">
                            <w:rPr>
                              <w:rFonts w:cs="Arial"/>
                              <w:noProof/>
                              <w:szCs w:val="15"/>
                            </w:rPr>
                            <w:t>8</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5A4190" w:rsidRPr="00D52A09" w:rsidRDefault="005A4190"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5A4190" w:rsidRDefault="005A4190"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5A4190" w:rsidRPr="00D52A09" w:rsidRDefault="005A4190"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5A4190" w:rsidRPr="000172E7" w:rsidRDefault="005A4190"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525A2">
                      <w:rPr>
                        <w:rFonts w:cs="Arial"/>
                        <w:noProof/>
                        <w:szCs w:val="15"/>
                      </w:rPr>
                      <w:t>8</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479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C2" w:rsidRDefault="00C879C2" w:rsidP="00BA6370">
      <w:r>
        <w:separator/>
      </w:r>
    </w:p>
  </w:footnote>
  <w:footnote w:type="continuationSeparator" w:id="0">
    <w:p w:rsidR="00C879C2" w:rsidRDefault="00C879C2"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190" w:rsidRDefault="005A4190">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4"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6800F"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O3l4YAABO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S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8"/>
    <w:rsid w:val="00000675"/>
    <w:rsid w:val="00000B9F"/>
    <w:rsid w:val="00000BBB"/>
    <w:rsid w:val="0000142D"/>
    <w:rsid w:val="00003AC8"/>
    <w:rsid w:val="000046A5"/>
    <w:rsid w:val="000059EE"/>
    <w:rsid w:val="00005CA2"/>
    <w:rsid w:val="00012A9C"/>
    <w:rsid w:val="00013734"/>
    <w:rsid w:val="000143B5"/>
    <w:rsid w:val="00017F43"/>
    <w:rsid w:val="00021344"/>
    <w:rsid w:val="00030F4D"/>
    <w:rsid w:val="00032F2D"/>
    <w:rsid w:val="00033C2D"/>
    <w:rsid w:val="00034116"/>
    <w:rsid w:val="00034ED7"/>
    <w:rsid w:val="00037800"/>
    <w:rsid w:val="000415D2"/>
    <w:rsid w:val="000432B3"/>
    <w:rsid w:val="00043BF4"/>
    <w:rsid w:val="00044C30"/>
    <w:rsid w:val="00044DC1"/>
    <w:rsid w:val="00045189"/>
    <w:rsid w:val="00045547"/>
    <w:rsid w:val="00047047"/>
    <w:rsid w:val="000525E8"/>
    <w:rsid w:val="00052604"/>
    <w:rsid w:val="00055120"/>
    <w:rsid w:val="00055401"/>
    <w:rsid w:val="00057D91"/>
    <w:rsid w:val="00060B4C"/>
    <w:rsid w:val="00062785"/>
    <w:rsid w:val="00063A95"/>
    <w:rsid w:val="00066322"/>
    <w:rsid w:val="000671BC"/>
    <w:rsid w:val="000709A2"/>
    <w:rsid w:val="00070EFE"/>
    <w:rsid w:val="00073148"/>
    <w:rsid w:val="00074666"/>
    <w:rsid w:val="000777C6"/>
    <w:rsid w:val="000805ED"/>
    <w:rsid w:val="00084161"/>
    <w:rsid w:val="000842D7"/>
    <w:rsid w:val="000843A5"/>
    <w:rsid w:val="00086BA7"/>
    <w:rsid w:val="00090842"/>
    <w:rsid w:val="00093060"/>
    <w:rsid w:val="000A5211"/>
    <w:rsid w:val="000A5E46"/>
    <w:rsid w:val="000A6E9C"/>
    <w:rsid w:val="000B3D5C"/>
    <w:rsid w:val="000B48B6"/>
    <w:rsid w:val="000B53E0"/>
    <w:rsid w:val="000B5F23"/>
    <w:rsid w:val="000B6F63"/>
    <w:rsid w:val="000C1C4E"/>
    <w:rsid w:val="000C2C9A"/>
    <w:rsid w:val="000C48F9"/>
    <w:rsid w:val="000C5B92"/>
    <w:rsid w:val="000D0ED7"/>
    <w:rsid w:val="000D154F"/>
    <w:rsid w:val="000D28A4"/>
    <w:rsid w:val="000D660A"/>
    <w:rsid w:val="000D6A8B"/>
    <w:rsid w:val="000E2D07"/>
    <w:rsid w:val="000E3B95"/>
    <w:rsid w:val="000F2017"/>
    <w:rsid w:val="000F2EFC"/>
    <w:rsid w:val="001005C0"/>
    <w:rsid w:val="001008CF"/>
    <w:rsid w:val="00102968"/>
    <w:rsid w:val="001044BA"/>
    <w:rsid w:val="00107D66"/>
    <w:rsid w:val="00110AD1"/>
    <w:rsid w:val="0011243F"/>
    <w:rsid w:val="00115370"/>
    <w:rsid w:val="0012214E"/>
    <w:rsid w:val="001223DB"/>
    <w:rsid w:val="00123966"/>
    <w:rsid w:val="0012617B"/>
    <w:rsid w:val="0013653F"/>
    <w:rsid w:val="00136861"/>
    <w:rsid w:val="00137EB0"/>
    <w:rsid w:val="001404AB"/>
    <w:rsid w:val="001404E9"/>
    <w:rsid w:val="00144DD2"/>
    <w:rsid w:val="001454F8"/>
    <w:rsid w:val="00146067"/>
    <w:rsid w:val="001503FF"/>
    <w:rsid w:val="00150D71"/>
    <w:rsid w:val="00152CD9"/>
    <w:rsid w:val="00153694"/>
    <w:rsid w:val="00156844"/>
    <w:rsid w:val="00160289"/>
    <w:rsid w:val="0016382C"/>
    <w:rsid w:val="001639B4"/>
    <w:rsid w:val="0016431B"/>
    <w:rsid w:val="0016440F"/>
    <w:rsid w:val="00164D3A"/>
    <w:rsid w:val="0017111F"/>
    <w:rsid w:val="00171B07"/>
    <w:rsid w:val="0017231D"/>
    <w:rsid w:val="00176CCE"/>
    <w:rsid w:val="00180C24"/>
    <w:rsid w:val="001810DC"/>
    <w:rsid w:val="00184797"/>
    <w:rsid w:val="00184958"/>
    <w:rsid w:val="001854B5"/>
    <w:rsid w:val="001879A4"/>
    <w:rsid w:val="00190737"/>
    <w:rsid w:val="00193C2C"/>
    <w:rsid w:val="001969E1"/>
    <w:rsid w:val="001A1ED3"/>
    <w:rsid w:val="001A2875"/>
    <w:rsid w:val="001B372A"/>
    <w:rsid w:val="001B573B"/>
    <w:rsid w:val="001B607F"/>
    <w:rsid w:val="001B63E1"/>
    <w:rsid w:val="001B673D"/>
    <w:rsid w:val="001B6C1F"/>
    <w:rsid w:val="001B7705"/>
    <w:rsid w:val="001C0092"/>
    <w:rsid w:val="001C02A0"/>
    <w:rsid w:val="001D0CA6"/>
    <w:rsid w:val="001D0F8D"/>
    <w:rsid w:val="001D127D"/>
    <w:rsid w:val="001D277F"/>
    <w:rsid w:val="001D369A"/>
    <w:rsid w:val="001D3A02"/>
    <w:rsid w:val="001D635B"/>
    <w:rsid w:val="001D6E78"/>
    <w:rsid w:val="001E1ADA"/>
    <w:rsid w:val="001E3A5C"/>
    <w:rsid w:val="001E68D9"/>
    <w:rsid w:val="001E7C50"/>
    <w:rsid w:val="001F1F28"/>
    <w:rsid w:val="00200F85"/>
    <w:rsid w:val="002032D9"/>
    <w:rsid w:val="002037D8"/>
    <w:rsid w:val="002070FB"/>
    <w:rsid w:val="0020760D"/>
    <w:rsid w:val="00211BF9"/>
    <w:rsid w:val="00213729"/>
    <w:rsid w:val="0021723B"/>
    <w:rsid w:val="00220D90"/>
    <w:rsid w:val="00225A02"/>
    <w:rsid w:val="00231123"/>
    <w:rsid w:val="002333BA"/>
    <w:rsid w:val="002346E0"/>
    <w:rsid w:val="00234C47"/>
    <w:rsid w:val="00234EB3"/>
    <w:rsid w:val="002354A4"/>
    <w:rsid w:val="002375DB"/>
    <w:rsid w:val="002406FA"/>
    <w:rsid w:val="00242164"/>
    <w:rsid w:val="00242E9D"/>
    <w:rsid w:val="00242F64"/>
    <w:rsid w:val="00246743"/>
    <w:rsid w:val="00250571"/>
    <w:rsid w:val="00250C34"/>
    <w:rsid w:val="002520CE"/>
    <w:rsid w:val="00252463"/>
    <w:rsid w:val="00253CB7"/>
    <w:rsid w:val="00254685"/>
    <w:rsid w:val="0026176B"/>
    <w:rsid w:val="002701AD"/>
    <w:rsid w:val="00270970"/>
    <w:rsid w:val="00270DCD"/>
    <w:rsid w:val="00273619"/>
    <w:rsid w:val="00275A2C"/>
    <w:rsid w:val="00276B27"/>
    <w:rsid w:val="00277592"/>
    <w:rsid w:val="00277D8A"/>
    <w:rsid w:val="00283BBA"/>
    <w:rsid w:val="002848AE"/>
    <w:rsid w:val="00286697"/>
    <w:rsid w:val="002915B8"/>
    <w:rsid w:val="002966B6"/>
    <w:rsid w:val="002A2A28"/>
    <w:rsid w:val="002A3889"/>
    <w:rsid w:val="002A557C"/>
    <w:rsid w:val="002B2282"/>
    <w:rsid w:val="002B2E47"/>
    <w:rsid w:val="002B3140"/>
    <w:rsid w:val="002B5ECC"/>
    <w:rsid w:val="002B6025"/>
    <w:rsid w:val="002B657A"/>
    <w:rsid w:val="002B6C3A"/>
    <w:rsid w:val="002C4B71"/>
    <w:rsid w:val="002D05DC"/>
    <w:rsid w:val="002D294F"/>
    <w:rsid w:val="002D3748"/>
    <w:rsid w:val="002D765B"/>
    <w:rsid w:val="002E115B"/>
    <w:rsid w:val="002E3DD8"/>
    <w:rsid w:val="002F1BD4"/>
    <w:rsid w:val="002F4226"/>
    <w:rsid w:val="002F4B61"/>
    <w:rsid w:val="002F5B06"/>
    <w:rsid w:val="00301BA7"/>
    <w:rsid w:val="003046A0"/>
    <w:rsid w:val="0031032B"/>
    <w:rsid w:val="00310443"/>
    <w:rsid w:val="00312E5D"/>
    <w:rsid w:val="003141DA"/>
    <w:rsid w:val="00314DD1"/>
    <w:rsid w:val="003232D8"/>
    <w:rsid w:val="003301A3"/>
    <w:rsid w:val="003308CB"/>
    <w:rsid w:val="00331E49"/>
    <w:rsid w:val="003428FE"/>
    <w:rsid w:val="00342D1F"/>
    <w:rsid w:val="00345076"/>
    <w:rsid w:val="00361EB2"/>
    <w:rsid w:val="00362BDC"/>
    <w:rsid w:val="00367730"/>
    <w:rsid w:val="0036777B"/>
    <w:rsid w:val="00367F13"/>
    <w:rsid w:val="0037278F"/>
    <w:rsid w:val="00374605"/>
    <w:rsid w:val="00375206"/>
    <w:rsid w:val="00377E2A"/>
    <w:rsid w:val="00381181"/>
    <w:rsid w:val="0038282A"/>
    <w:rsid w:val="00384417"/>
    <w:rsid w:val="00397580"/>
    <w:rsid w:val="003A29A4"/>
    <w:rsid w:val="003A2BE1"/>
    <w:rsid w:val="003A45C8"/>
    <w:rsid w:val="003A492D"/>
    <w:rsid w:val="003A4AC2"/>
    <w:rsid w:val="003A5212"/>
    <w:rsid w:val="003A6C71"/>
    <w:rsid w:val="003A7E18"/>
    <w:rsid w:val="003A7FF4"/>
    <w:rsid w:val="003B537D"/>
    <w:rsid w:val="003B6309"/>
    <w:rsid w:val="003C070D"/>
    <w:rsid w:val="003C1B66"/>
    <w:rsid w:val="003C20BD"/>
    <w:rsid w:val="003C2DCF"/>
    <w:rsid w:val="003C6497"/>
    <w:rsid w:val="003C72C2"/>
    <w:rsid w:val="003C748B"/>
    <w:rsid w:val="003C7FE7"/>
    <w:rsid w:val="003D0499"/>
    <w:rsid w:val="003D1BD2"/>
    <w:rsid w:val="003D2A0A"/>
    <w:rsid w:val="003D5D4D"/>
    <w:rsid w:val="003D6656"/>
    <w:rsid w:val="003E6377"/>
    <w:rsid w:val="003F1328"/>
    <w:rsid w:val="003F526A"/>
    <w:rsid w:val="003F54EB"/>
    <w:rsid w:val="00400434"/>
    <w:rsid w:val="004008B0"/>
    <w:rsid w:val="00400C7E"/>
    <w:rsid w:val="00405244"/>
    <w:rsid w:val="00405EEE"/>
    <w:rsid w:val="004067C5"/>
    <w:rsid w:val="00406A02"/>
    <w:rsid w:val="0041272F"/>
    <w:rsid w:val="004212D0"/>
    <w:rsid w:val="00421621"/>
    <w:rsid w:val="004235D6"/>
    <w:rsid w:val="00425022"/>
    <w:rsid w:val="00425717"/>
    <w:rsid w:val="00431F7E"/>
    <w:rsid w:val="00432AA9"/>
    <w:rsid w:val="00434619"/>
    <w:rsid w:val="00435AD7"/>
    <w:rsid w:val="004425AD"/>
    <w:rsid w:val="0044324D"/>
    <w:rsid w:val="004436EE"/>
    <w:rsid w:val="00445DD6"/>
    <w:rsid w:val="0044654D"/>
    <w:rsid w:val="00450C00"/>
    <w:rsid w:val="00453E17"/>
    <w:rsid w:val="0045547F"/>
    <w:rsid w:val="00457C59"/>
    <w:rsid w:val="004623D7"/>
    <w:rsid w:val="00463C44"/>
    <w:rsid w:val="0047196F"/>
    <w:rsid w:val="004723C1"/>
    <w:rsid w:val="00473010"/>
    <w:rsid w:val="00473CDF"/>
    <w:rsid w:val="0047463E"/>
    <w:rsid w:val="00476BE5"/>
    <w:rsid w:val="00481F42"/>
    <w:rsid w:val="004920AD"/>
    <w:rsid w:val="00493DF6"/>
    <w:rsid w:val="00497628"/>
    <w:rsid w:val="004A0435"/>
    <w:rsid w:val="004A12BE"/>
    <w:rsid w:val="004A25FB"/>
    <w:rsid w:val="004A2D5C"/>
    <w:rsid w:val="004A3ABC"/>
    <w:rsid w:val="004A53FC"/>
    <w:rsid w:val="004A6927"/>
    <w:rsid w:val="004A71F0"/>
    <w:rsid w:val="004B1379"/>
    <w:rsid w:val="004B5C6C"/>
    <w:rsid w:val="004B74E6"/>
    <w:rsid w:val="004C0E3D"/>
    <w:rsid w:val="004C136F"/>
    <w:rsid w:val="004C1942"/>
    <w:rsid w:val="004C1BEE"/>
    <w:rsid w:val="004C24BB"/>
    <w:rsid w:val="004C4CD4"/>
    <w:rsid w:val="004C5D7C"/>
    <w:rsid w:val="004D0304"/>
    <w:rsid w:val="004D05B3"/>
    <w:rsid w:val="004D1023"/>
    <w:rsid w:val="004D591E"/>
    <w:rsid w:val="004D79C0"/>
    <w:rsid w:val="004E29CA"/>
    <w:rsid w:val="004E3A75"/>
    <w:rsid w:val="004E479E"/>
    <w:rsid w:val="004F31BF"/>
    <w:rsid w:val="004F78E6"/>
    <w:rsid w:val="00501BAE"/>
    <w:rsid w:val="005027B1"/>
    <w:rsid w:val="00503D46"/>
    <w:rsid w:val="00504C39"/>
    <w:rsid w:val="005061C8"/>
    <w:rsid w:val="00512D99"/>
    <w:rsid w:val="005149FC"/>
    <w:rsid w:val="00515545"/>
    <w:rsid w:val="005209B3"/>
    <w:rsid w:val="00522F94"/>
    <w:rsid w:val="005238F9"/>
    <w:rsid w:val="00525ED6"/>
    <w:rsid w:val="0052745C"/>
    <w:rsid w:val="005301D9"/>
    <w:rsid w:val="0053176D"/>
    <w:rsid w:val="00531DBB"/>
    <w:rsid w:val="0053438B"/>
    <w:rsid w:val="0053497C"/>
    <w:rsid w:val="005404ED"/>
    <w:rsid w:val="00543638"/>
    <w:rsid w:val="00543B1A"/>
    <w:rsid w:val="005442DB"/>
    <w:rsid w:val="00544F9C"/>
    <w:rsid w:val="005466DC"/>
    <w:rsid w:val="00551628"/>
    <w:rsid w:val="00551CF6"/>
    <w:rsid w:val="00551E24"/>
    <w:rsid w:val="005531E8"/>
    <w:rsid w:val="00553F2A"/>
    <w:rsid w:val="00556814"/>
    <w:rsid w:val="00557263"/>
    <w:rsid w:val="00561CD8"/>
    <w:rsid w:val="005651F7"/>
    <w:rsid w:val="00567B55"/>
    <w:rsid w:val="00570B38"/>
    <w:rsid w:val="005721C3"/>
    <w:rsid w:val="005745DD"/>
    <w:rsid w:val="00583DBC"/>
    <w:rsid w:val="005860FA"/>
    <w:rsid w:val="005905A7"/>
    <w:rsid w:val="00593ED0"/>
    <w:rsid w:val="00595642"/>
    <w:rsid w:val="00595674"/>
    <w:rsid w:val="005957FD"/>
    <w:rsid w:val="005A1BFE"/>
    <w:rsid w:val="005A2A09"/>
    <w:rsid w:val="005A408A"/>
    <w:rsid w:val="005A4190"/>
    <w:rsid w:val="005A714E"/>
    <w:rsid w:val="005B083F"/>
    <w:rsid w:val="005B0C56"/>
    <w:rsid w:val="005B51F7"/>
    <w:rsid w:val="005B64A4"/>
    <w:rsid w:val="005B7CDB"/>
    <w:rsid w:val="005C0C37"/>
    <w:rsid w:val="005C33B5"/>
    <w:rsid w:val="005D03B1"/>
    <w:rsid w:val="005D10CC"/>
    <w:rsid w:val="005D3DA1"/>
    <w:rsid w:val="005D77E4"/>
    <w:rsid w:val="005E02E3"/>
    <w:rsid w:val="005E1464"/>
    <w:rsid w:val="005E3079"/>
    <w:rsid w:val="005E51FF"/>
    <w:rsid w:val="005E6A8B"/>
    <w:rsid w:val="005F1122"/>
    <w:rsid w:val="005F5E9B"/>
    <w:rsid w:val="005F656F"/>
    <w:rsid w:val="005F79FB"/>
    <w:rsid w:val="005F7FCA"/>
    <w:rsid w:val="00603B77"/>
    <w:rsid w:val="00604324"/>
    <w:rsid w:val="00604406"/>
    <w:rsid w:val="00605551"/>
    <w:rsid w:val="00605F4A"/>
    <w:rsid w:val="00607822"/>
    <w:rsid w:val="006103AA"/>
    <w:rsid w:val="006112C0"/>
    <w:rsid w:val="00612237"/>
    <w:rsid w:val="006127BC"/>
    <w:rsid w:val="00613BBF"/>
    <w:rsid w:val="00622B80"/>
    <w:rsid w:val="00624725"/>
    <w:rsid w:val="006251EE"/>
    <w:rsid w:val="00627853"/>
    <w:rsid w:val="00627E2E"/>
    <w:rsid w:val="006323B0"/>
    <w:rsid w:val="00633502"/>
    <w:rsid w:val="00633961"/>
    <w:rsid w:val="00634B72"/>
    <w:rsid w:val="00637B90"/>
    <w:rsid w:val="00640968"/>
    <w:rsid w:val="0064111A"/>
    <w:rsid w:val="0064139A"/>
    <w:rsid w:val="00647A77"/>
    <w:rsid w:val="00652734"/>
    <w:rsid w:val="0065508A"/>
    <w:rsid w:val="00655286"/>
    <w:rsid w:val="006560B4"/>
    <w:rsid w:val="00656C83"/>
    <w:rsid w:val="00657035"/>
    <w:rsid w:val="00660DA4"/>
    <w:rsid w:val="0066452A"/>
    <w:rsid w:val="00665C20"/>
    <w:rsid w:val="00666B6E"/>
    <w:rsid w:val="006677D6"/>
    <w:rsid w:val="00670B44"/>
    <w:rsid w:val="006717E6"/>
    <w:rsid w:val="00673AA6"/>
    <w:rsid w:val="006757D0"/>
    <w:rsid w:val="00675FC2"/>
    <w:rsid w:val="00681309"/>
    <w:rsid w:val="00681B33"/>
    <w:rsid w:val="006850C4"/>
    <w:rsid w:val="00685C9D"/>
    <w:rsid w:val="006862A5"/>
    <w:rsid w:val="00690C59"/>
    <w:rsid w:val="00691C8F"/>
    <w:rsid w:val="006937DB"/>
    <w:rsid w:val="0069487E"/>
    <w:rsid w:val="00696345"/>
    <w:rsid w:val="00696887"/>
    <w:rsid w:val="006A18D7"/>
    <w:rsid w:val="006A4250"/>
    <w:rsid w:val="006A6742"/>
    <w:rsid w:val="006A7496"/>
    <w:rsid w:val="006B22FC"/>
    <w:rsid w:val="006B23D7"/>
    <w:rsid w:val="006B3171"/>
    <w:rsid w:val="006B51D3"/>
    <w:rsid w:val="006C25FB"/>
    <w:rsid w:val="006C7E64"/>
    <w:rsid w:val="006D550B"/>
    <w:rsid w:val="006D5811"/>
    <w:rsid w:val="006D5A65"/>
    <w:rsid w:val="006D641C"/>
    <w:rsid w:val="006D75F0"/>
    <w:rsid w:val="006E024F"/>
    <w:rsid w:val="006E2814"/>
    <w:rsid w:val="006E4B17"/>
    <w:rsid w:val="006E4E81"/>
    <w:rsid w:val="006E5045"/>
    <w:rsid w:val="006F081E"/>
    <w:rsid w:val="006F1796"/>
    <w:rsid w:val="006F4894"/>
    <w:rsid w:val="006F4AF3"/>
    <w:rsid w:val="007016C7"/>
    <w:rsid w:val="007020BD"/>
    <w:rsid w:val="0070411C"/>
    <w:rsid w:val="007066A1"/>
    <w:rsid w:val="00706916"/>
    <w:rsid w:val="00706A42"/>
    <w:rsid w:val="00707F7D"/>
    <w:rsid w:val="00713D18"/>
    <w:rsid w:val="007161A3"/>
    <w:rsid w:val="0071719F"/>
    <w:rsid w:val="00717EC5"/>
    <w:rsid w:val="00722E24"/>
    <w:rsid w:val="00723055"/>
    <w:rsid w:val="00725EF8"/>
    <w:rsid w:val="0072772F"/>
    <w:rsid w:val="00732C56"/>
    <w:rsid w:val="0074303D"/>
    <w:rsid w:val="007460CF"/>
    <w:rsid w:val="00747322"/>
    <w:rsid w:val="00747BAC"/>
    <w:rsid w:val="00750CFA"/>
    <w:rsid w:val="007511DF"/>
    <w:rsid w:val="00751716"/>
    <w:rsid w:val="00751DC8"/>
    <w:rsid w:val="007521D0"/>
    <w:rsid w:val="0075325B"/>
    <w:rsid w:val="0075466E"/>
    <w:rsid w:val="0075477E"/>
    <w:rsid w:val="007560AC"/>
    <w:rsid w:val="007561B4"/>
    <w:rsid w:val="00757242"/>
    <w:rsid w:val="007606C1"/>
    <w:rsid w:val="00760B96"/>
    <w:rsid w:val="00761EE0"/>
    <w:rsid w:val="0077177C"/>
    <w:rsid w:val="00775011"/>
    <w:rsid w:val="007756A8"/>
    <w:rsid w:val="00775FAC"/>
    <w:rsid w:val="00782D8E"/>
    <w:rsid w:val="00783767"/>
    <w:rsid w:val="00785BE9"/>
    <w:rsid w:val="00793BAA"/>
    <w:rsid w:val="007A0959"/>
    <w:rsid w:val="007A57F2"/>
    <w:rsid w:val="007A60BE"/>
    <w:rsid w:val="007B0953"/>
    <w:rsid w:val="007B1333"/>
    <w:rsid w:val="007B2D63"/>
    <w:rsid w:val="007B5CF7"/>
    <w:rsid w:val="007B77D2"/>
    <w:rsid w:val="007C28FB"/>
    <w:rsid w:val="007C5C31"/>
    <w:rsid w:val="007D0BA4"/>
    <w:rsid w:val="007D125C"/>
    <w:rsid w:val="007E0A0D"/>
    <w:rsid w:val="007E1FDA"/>
    <w:rsid w:val="007E244D"/>
    <w:rsid w:val="007E5010"/>
    <w:rsid w:val="007E7248"/>
    <w:rsid w:val="007F0D7B"/>
    <w:rsid w:val="007F4AEB"/>
    <w:rsid w:val="007F5746"/>
    <w:rsid w:val="007F5BA7"/>
    <w:rsid w:val="007F669B"/>
    <w:rsid w:val="007F75B2"/>
    <w:rsid w:val="00800711"/>
    <w:rsid w:val="008043C4"/>
    <w:rsid w:val="008067E1"/>
    <w:rsid w:val="008107A0"/>
    <w:rsid w:val="008123A6"/>
    <w:rsid w:val="00817AE5"/>
    <w:rsid w:val="008208BD"/>
    <w:rsid w:val="008228CE"/>
    <w:rsid w:val="008261CD"/>
    <w:rsid w:val="008278E9"/>
    <w:rsid w:val="00831077"/>
    <w:rsid w:val="00831091"/>
    <w:rsid w:val="0083167F"/>
    <w:rsid w:val="00831B1B"/>
    <w:rsid w:val="00834B42"/>
    <w:rsid w:val="00837BB8"/>
    <w:rsid w:val="00837DDD"/>
    <w:rsid w:val="0084206B"/>
    <w:rsid w:val="008424AC"/>
    <w:rsid w:val="008446D5"/>
    <w:rsid w:val="008446ED"/>
    <w:rsid w:val="008455AF"/>
    <w:rsid w:val="008455DC"/>
    <w:rsid w:val="00845EB7"/>
    <w:rsid w:val="00846E19"/>
    <w:rsid w:val="00847C38"/>
    <w:rsid w:val="00850E38"/>
    <w:rsid w:val="00861D0E"/>
    <w:rsid w:val="00863AB7"/>
    <w:rsid w:val="00865096"/>
    <w:rsid w:val="00867569"/>
    <w:rsid w:val="00867A3F"/>
    <w:rsid w:val="008734D5"/>
    <w:rsid w:val="008738B6"/>
    <w:rsid w:val="008739EA"/>
    <w:rsid w:val="008741E8"/>
    <w:rsid w:val="00874352"/>
    <w:rsid w:val="00874E6D"/>
    <w:rsid w:val="00876070"/>
    <w:rsid w:val="00881CD8"/>
    <w:rsid w:val="00883E0F"/>
    <w:rsid w:val="00883F1A"/>
    <w:rsid w:val="00885066"/>
    <w:rsid w:val="008910EE"/>
    <w:rsid w:val="0089277C"/>
    <w:rsid w:val="00894B6C"/>
    <w:rsid w:val="00895E93"/>
    <w:rsid w:val="008A05E2"/>
    <w:rsid w:val="008A750A"/>
    <w:rsid w:val="008B0076"/>
    <w:rsid w:val="008B27DD"/>
    <w:rsid w:val="008B3FB6"/>
    <w:rsid w:val="008C06B1"/>
    <w:rsid w:val="008C2161"/>
    <w:rsid w:val="008C384C"/>
    <w:rsid w:val="008C420A"/>
    <w:rsid w:val="008C53E7"/>
    <w:rsid w:val="008C5F76"/>
    <w:rsid w:val="008D0E19"/>
    <w:rsid w:val="008D0F11"/>
    <w:rsid w:val="008D47D4"/>
    <w:rsid w:val="008D4AA2"/>
    <w:rsid w:val="008D4C6B"/>
    <w:rsid w:val="008D50C7"/>
    <w:rsid w:val="008D7AF2"/>
    <w:rsid w:val="008E0BEC"/>
    <w:rsid w:val="008E220D"/>
    <w:rsid w:val="008E4CE2"/>
    <w:rsid w:val="008E67DA"/>
    <w:rsid w:val="008F13EF"/>
    <w:rsid w:val="008F16DD"/>
    <w:rsid w:val="008F4C09"/>
    <w:rsid w:val="008F4E28"/>
    <w:rsid w:val="008F6BAB"/>
    <w:rsid w:val="008F73B4"/>
    <w:rsid w:val="009077A4"/>
    <w:rsid w:val="0091008D"/>
    <w:rsid w:val="00912278"/>
    <w:rsid w:val="00913D12"/>
    <w:rsid w:val="00926275"/>
    <w:rsid w:val="009272F7"/>
    <w:rsid w:val="00930333"/>
    <w:rsid w:val="00932184"/>
    <w:rsid w:val="0093705C"/>
    <w:rsid w:val="00937F20"/>
    <w:rsid w:val="009421A4"/>
    <w:rsid w:val="00942C98"/>
    <w:rsid w:val="00943ECD"/>
    <w:rsid w:val="00946A4A"/>
    <w:rsid w:val="009512A8"/>
    <w:rsid w:val="00951ECE"/>
    <w:rsid w:val="00953078"/>
    <w:rsid w:val="0096150F"/>
    <w:rsid w:val="00961F05"/>
    <w:rsid w:val="00963EDB"/>
    <w:rsid w:val="00973224"/>
    <w:rsid w:val="00973577"/>
    <w:rsid w:val="00975A52"/>
    <w:rsid w:val="0098293C"/>
    <w:rsid w:val="00986141"/>
    <w:rsid w:val="00986F8D"/>
    <w:rsid w:val="0098714A"/>
    <w:rsid w:val="00992B94"/>
    <w:rsid w:val="00996FB9"/>
    <w:rsid w:val="009A03D1"/>
    <w:rsid w:val="009A13DF"/>
    <w:rsid w:val="009A4F34"/>
    <w:rsid w:val="009A63E4"/>
    <w:rsid w:val="009A7748"/>
    <w:rsid w:val="009B24CE"/>
    <w:rsid w:val="009B27CC"/>
    <w:rsid w:val="009B3678"/>
    <w:rsid w:val="009B5249"/>
    <w:rsid w:val="009B55B1"/>
    <w:rsid w:val="009C18F3"/>
    <w:rsid w:val="009C39DE"/>
    <w:rsid w:val="009D0103"/>
    <w:rsid w:val="009D1853"/>
    <w:rsid w:val="009D35FA"/>
    <w:rsid w:val="009D4AC8"/>
    <w:rsid w:val="009E2567"/>
    <w:rsid w:val="009E5F80"/>
    <w:rsid w:val="009E5F99"/>
    <w:rsid w:val="009E6498"/>
    <w:rsid w:val="009F1263"/>
    <w:rsid w:val="009F3706"/>
    <w:rsid w:val="00A05B90"/>
    <w:rsid w:val="00A1094A"/>
    <w:rsid w:val="00A1219E"/>
    <w:rsid w:val="00A12655"/>
    <w:rsid w:val="00A14007"/>
    <w:rsid w:val="00A140A0"/>
    <w:rsid w:val="00A214A5"/>
    <w:rsid w:val="00A23E2C"/>
    <w:rsid w:val="00A25377"/>
    <w:rsid w:val="00A258CE"/>
    <w:rsid w:val="00A27092"/>
    <w:rsid w:val="00A310F5"/>
    <w:rsid w:val="00A34294"/>
    <w:rsid w:val="00A42EC8"/>
    <w:rsid w:val="00A4343D"/>
    <w:rsid w:val="00A45EFA"/>
    <w:rsid w:val="00A478E5"/>
    <w:rsid w:val="00A502F1"/>
    <w:rsid w:val="00A5167F"/>
    <w:rsid w:val="00A51E57"/>
    <w:rsid w:val="00A52599"/>
    <w:rsid w:val="00A55F4D"/>
    <w:rsid w:val="00A57591"/>
    <w:rsid w:val="00A61D11"/>
    <w:rsid w:val="00A627DE"/>
    <w:rsid w:val="00A67988"/>
    <w:rsid w:val="00A70A83"/>
    <w:rsid w:val="00A7204A"/>
    <w:rsid w:val="00A73FED"/>
    <w:rsid w:val="00A80111"/>
    <w:rsid w:val="00A81EB3"/>
    <w:rsid w:val="00A82A3F"/>
    <w:rsid w:val="00A85160"/>
    <w:rsid w:val="00A8594B"/>
    <w:rsid w:val="00A93252"/>
    <w:rsid w:val="00AA0ADF"/>
    <w:rsid w:val="00AA68DD"/>
    <w:rsid w:val="00AA7D62"/>
    <w:rsid w:val="00AB1C8B"/>
    <w:rsid w:val="00AB2D99"/>
    <w:rsid w:val="00AB7FB2"/>
    <w:rsid w:val="00AC08B3"/>
    <w:rsid w:val="00AC2B62"/>
    <w:rsid w:val="00AC4868"/>
    <w:rsid w:val="00AC61E0"/>
    <w:rsid w:val="00AD0B5F"/>
    <w:rsid w:val="00AD24CB"/>
    <w:rsid w:val="00AD5241"/>
    <w:rsid w:val="00AD6279"/>
    <w:rsid w:val="00AE06C2"/>
    <w:rsid w:val="00AE2B0E"/>
    <w:rsid w:val="00AE3357"/>
    <w:rsid w:val="00AE33FE"/>
    <w:rsid w:val="00AE3691"/>
    <w:rsid w:val="00AE3FA0"/>
    <w:rsid w:val="00AE6E48"/>
    <w:rsid w:val="00AF1F82"/>
    <w:rsid w:val="00AF25AB"/>
    <w:rsid w:val="00AF2F4E"/>
    <w:rsid w:val="00B00C1D"/>
    <w:rsid w:val="00B07855"/>
    <w:rsid w:val="00B07F6E"/>
    <w:rsid w:val="00B107EB"/>
    <w:rsid w:val="00B124F3"/>
    <w:rsid w:val="00B14061"/>
    <w:rsid w:val="00B20E70"/>
    <w:rsid w:val="00B214ED"/>
    <w:rsid w:val="00B21C1B"/>
    <w:rsid w:val="00B22D09"/>
    <w:rsid w:val="00B22D60"/>
    <w:rsid w:val="00B25289"/>
    <w:rsid w:val="00B26C1B"/>
    <w:rsid w:val="00B273AC"/>
    <w:rsid w:val="00B27A50"/>
    <w:rsid w:val="00B27B93"/>
    <w:rsid w:val="00B32B0A"/>
    <w:rsid w:val="00B33AE0"/>
    <w:rsid w:val="00B37167"/>
    <w:rsid w:val="00B435A3"/>
    <w:rsid w:val="00B43E86"/>
    <w:rsid w:val="00B44B69"/>
    <w:rsid w:val="00B526ED"/>
    <w:rsid w:val="00B6312C"/>
    <w:rsid w:val="00B6369F"/>
    <w:rsid w:val="00B655E6"/>
    <w:rsid w:val="00B65D33"/>
    <w:rsid w:val="00B67F2E"/>
    <w:rsid w:val="00B708F3"/>
    <w:rsid w:val="00B823B7"/>
    <w:rsid w:val="00B853E5"/>
    <w:rsid w:val="00B85943"/>
    <w:rsid w:val="00B86C37"/>
    <w:rsid w:val="00B86F22"/>
    <w:rsid w:val="00B90C6C"/>
    <w:rsid w:val="00B91A58"/>
    <w:rsid w:val="00B92770"/>
    <w:rsid w:val="00B97263"/>
    <w:rsid w:val="00BA0519"/>
    <w:rsid w:val="00BA2C3F"/>
    <w:rsid w:val="00BA3BE4"/>
    <w:rsid w:val="00BA439F"/>
    <w:rsid w:val="00BA6370"/>
    <w:rsid w:val="00BB1CCD"/>
    <w:rsid w:val="00BB4B6B"/>
    <w:rsid w:val="00BC5D58"/>
    <w:rsid w:val="00BD4199"/>
    <w:rsid w:val="00BD4507"/>
    <w:rsid w:val="00BD67F3"/>
    <w:rsid w:val="00BD6BA7"/>
    <w:rsid w:val="00BE1216"/>
    <w:rsid w:val="00BE2C18"/>
    <w:rsid w:val="00BE3C4A"/>
    <w:rsid w:val="00BE4405"/>
    <w:rsid w:val="00BF01AC"/>
    <w:rsid w:val="00BF0EFF"/>
    <w:rsid w:val="00BF1F55"/>
    <w:rsid w:val="00BF3567"/>
    <w:rsid w:val="00BF630C"/>
    <w:rsid w:val="00C01CD9"/>
    <w:rsid w:val="00C03917"/>
    <w:rsid w:val="00C03FE4"/>
    <w:rsid w:val="00C047AC"/>
    <w:rsid w:val="00C05DB8"/>
    <w:rsid w:val="00C077A7"/>
    <w:rsid w:val="00C1267D"/>
    <w:rsid w:val="00C13A54"/>
    <w:rsid w:val="00C158EA"/>
    <w:rsid w:val="00C15FCD"/>
    <w:rsid w:val="00C160F0"/>
    <w:rsid w:val="00C17719"/>
    <w:rsid w:val="00C21824"/>
    <w:rsid w:val="00C269D4"/>
    <w:rsid w:val="00C33E4F"/>
    <w:rsid w:val="00C37DBA"/>
    <w:rsid w:val="00C403D5"/>
    <w:rsid w:val="00C4160D"/>
    <w:rsid w:val="00C41D38"/>
    <w:rsid w:val="00C508B3"/>
    <w:rsid w:val="00C51AEC"/>
    <w:rsid w:val="00C5311A"/>
    <w:rsid w:val="00C532DB"/>
    <w:rsid w:val="00C54945"/>
    <w:rsid w:val="00C60E30"/>
    <w:rsid w:val="00C611D6"/>
    <w:rsid w:val="00C659CD"/>
    <w:rsid w:val="00C7059B"/>
    <w:rsid w:val="00C70AF2"/>
    <w:rsid w:val="00C72B82"/>
    <w:rsid w:val="00C72E9F"/>
    <w:rsid w:val="00C75C88"/>
    <w:rsid w:val="00C813A6"/>
    <w:rsid w:val="00C81B74"/>
    <w:rsid w:val="00C82CBD"/>
    <w:rsid w:val="00C83CC6"/>
    <w:rsid w:val="00C8406E"/>
    <w:rsid w:val="00C84CCF"/>
    <w:rsid w:val="00C879C2"/>
    <w:rsid w:val="00C87E93"/>
    <w:rsid w:val="00C90647"/>
    <w:rsid w:val="00C92827"/>
    <w:rsid w:val="00C929D7"/>
    <w:rsid w:val="00C934C0"/>
    <w:rsid w:val="00C938C6"/>
    <w:rsid w:val="00C95E49"/>
    <w:rsid w:val="00C96603"/>
    <w:rsid w:val="00C96744"/>
    <w:rsid w:val="00CA0AEB"/>
    <w:rsid w:val="00CA18F0"/>
    <w:rsid w:val="00CA1BFA"/>
    <w:rsid w:val="00CA1C8C"/>
    <w:rsid w:val="00CA262C"/>
    <w:rsid w:val="00CA2F41"/>
    <w:rsid w:val="00CA3033"/>
    <w:rsid w:val="00CA47BE"/>
    <w:rsid w:val="00CA5EAE"/>
    <w:rsid w:val="00CA6C71"/>
    <w:rsid w:val="00CB005B"/>
    <w:rsid w:val="00CB268D"/>
    <w:rsid w:val="00CB2709"/>
    <w:rsid w:val="00CB6A5B"/>
    <w:rsid w:val="00CB6F89"/>
    <w:rsid w:val="00CC2798"/>
    <w:rsid w:val="00CC434F"/>
    <w:rsid w:val="00CC7162"/>
    <w:rsid w:val="00CC73E9"/>
    <w:rsid w:val="00CD40D2"/>
    <w:rsid w:val="00CD61BD"/>
    <w:rsid w:val="00CE228C"/>
    <w:rsid w:val="00CE2DE4"/>
    <w:rsid w:val="00CE5B5F"/>
    <w:rsid w:val="00CE5D0D"/>
    <w:rsid w:val="00CE7341"/>
    <w:rsid w:val="00CE7B96"/>
    <w:rsid w:val="00CF31ED"/>
    <w:rsid w:val="00CF3930"/>
    <w:rsid w:val="00CF545B"/>
    <w:rsid w:val="00CF6E5D"/>
    <w:rsid w:val="00CF7802"/>
    <w:rsid w:val="00D01D89"/>
    <w:rsid w:val="00D02952"/>
    <w:rsid w:val="00D0471B"/>
    <w:rsid w:val="00D0552A"/>
    <w:rsid w:val="00D127E1"/>
    <w:rsid w:val="00D14F12"/>
    <w:rsid w:val="00D156AB"/>
    <w:rsid w:val="00D229E3"/>
    <w:rsid w:val="00D22D49"/>
    <w:rsid w:val="00D22DA8"/>
    <w:rsid w:val="00D25711"/>
    <w:rsid w:val="00D26C0C"/>
    <w:rsid w:val="00D27D69"/>
    <w:rsid w:val="00D317F7"/>
    <w:rsid w:val="00D32572"/>
    <w:rsid w:val="00D3268A"/>
    <w:rsid w:val="00D35F08"/>
    <w:rsid w:val="00D448C2"/>
    <w:rsid w:val="00D44FF1"/>
    <w:rsid w:val="00D45271"/>
    <w:rsid w:val="00D52372"/>
    <w:rsid w:val="00D55193"/>
    <w:rsid w:val="00D55459"/>
    <w:rsid w:val="00D60A39"/>
    <w:rsid w:val="00D6102E"/>
    <w:rsid w:val="00D61A39"/>
    <w:rsid w:val="00D6496E"/>
    <w:rsid w:val="00D64FE7"/>
    <w:rsid w:val="00D666C3"/>
    <w:rsid w:val="00D71E6A"/>
    <w:rsid w:val="00D759C2"/>
    <w:rsid w:val="00D808B2"/>
    <w:rsid w:val="00D84547"/>
    <w:rsid w:val="00D84758"/>
    <w:rsid w:val="00D9188E"/>
    <w:rsid w:val="00D92B73"/>
    <w:rsid w:val="00D93330"/>
    <w:rsid w:val="00D9368D"/>
    <w:rsid w:val="00DA0B3E"/>
    <w:rsid w:val="00DA1AFD"/>
    <w:rsid w:val="00DA2E57"/>
    <w:rsid w:val="00DB19DD"/>
    <w:rsid w:val="00DB5D0F"/>
    <w:rsid w:val="00DB7DB7"/>
    <w:rsid w:val="00DC1BD4"/>
    <w:rsid w:val="00DC29F3"/>
    <w:rsid w:val="00DC60F4"/>
    <w:rsid w:val="00DC7261"/>
    <w:rsid w:val="00DD176A"/>
    <w:rsid w:val="00DD210E"/>
    <w:rsid w:val="00DD264B"/>
    <w:rsid w:val="00DD47AF"/>
    <w:rsid w:val="00DD7958"/>
    <w:rsid w:val="00DE54DA"/>
    <w:rsid w:val="00DE5DD9"/>
    <w:rsid w:val="00DE5EE6"/>
    <w:rsid w:val="00DE6AE9"/>
    <w:rsid w:val="00DE74FE"/>
    <w:rsid w:val="00DE7F79"/>
    <w:rsid w:val="00DF0AB3"/>
    <w:rsid w:val="00DF0E6C"/>
    <w:rsid w:val="00DF2494"/>
    <w:rsid w:val="00DF26E2"/>
    <w:rsid w:val="00DF47FE"/>
    <w:rsid w:val="00DF6482"/>
    <w:rsid w:val="00DF7100"/>
    <w:rsid w:val="00E06678"/>
    <w:rsid w:val="00E0734B"/>
    <w:rsid w:val="00E126E0"/>
    <w:rsid w:val="00E12FFB"/>
    <w:rsid w:val="00E150C2"/>
    <w:rsid w:val="00E16930"/>
    <w:rsid w:val="00E25160"/>
    <w:rsid w:val="00E266DF"/>
    <w:rsid w:val="00E26704"/>
    <w:rsid w:val="00E269D5"/>
    <w:rsid w:val="00E273C8"/>
    <w:rsid w:val="00E27A06"/>
    <w:rsid w:val="00E31700"/>
    <w:rsid w:val="00E31980"/>
    <w:rsid w:val="00E3573B"/>
    <w:rsid w:val="00E452D1"/>
    <w:rsid w:val="00E46610"/>
    <w:rsid w:val="00E50455"/>
    <w:rsid w:val="00E50836"/>
    <w:rsid w:val="00E50BDE"/>
    <w:rsid w:val="00E525A2"/>
    <w:rsid w:val="00E54CDE"/>
    <w:rsid w:val="00E55F28"/>
    <w:rsid w:val="00E6423C"/>
    <w:rsid w:val="00E644BF"/>
    <w:rsid w:val="00E66FC7"/>
    <w:rsid w:val="00E74091"/>
    <w:rsid w:val="00E74AA0"/>
    <w:rsid w:val="00E757DB"/>
    <w:rsid w:val="00E75F73"/>
    <w:rsid w:val="00E76BAC"/>
    <w:rsid w:val="00E8530C"/>
    <w:rsid w:val="00E9129A"/>
    <w:rsid w:val="00E93830"/>
    <w:rsid w:val="00E93E0E"/>
    <w:rsid w:val="00E94F67"/>
    <w:rsid w:val="00E95B27"/>
    <w:rsid w:val="00E97FDB"/>
    <w:rsid w:val="00EA09BB"/>
    <w:rsid w:val="00EA17C7"/>
    <w:rsid w:val="00EA4918"/>
    <w:rsid w:val="00EA6C4C"/>
    <w:rsid w:val="00EA75E5"/>
    <w:rsid w:val="00EB1ED3"/>
    <w:rsid w:val="00EB424B"/>
    <w:rsid w:val="00EC0978"/>
    <w:rsid w:val="00EC3C4E"/>
    <w:rsid w:val="00ED07CD"/>
    <w:rsid w:val="00ED100E"/>
    <w:rsid w:val="00ED26E2"/>
    <w:rsid w:val="00ED5820"/>
    <w:rsid w:val="00ED620D"/>
    <w:rsid w:val="00EE11DC"/>
    <w:rsid w:val="00EE1C28"/>
    <w:rsid w:val="00EE1EFA"/>
    <w:rsid w:val="00EE37E1"/>
    <w:rsid w:val="00EE5532"/>
    <w:rsid w:val="00EE5A28"/>
    <w:rsid w:val="00EE6736"/>
    <w:rsid w:val="00EE7F3B"/>
    <w:rsid w:val="00EF146C"/>
    <w:rsid w:val="00EF2188"/>
    <w:rsid w:val="00EF26E7"/>
    <w:rsid w:val="00EF374E"/>
    <w:rsid w:val="00EF45C0"/>
    <w:rsid w:val="00EF4D4E"/>
    <w:rsid w:val="00EF595E"/>
    <w:rsid w:val="00EF721F"/>
    <w:rsid w:val="00EF7357"/>
    <w:rsid w:val="00F02E11"/>
    <w:rsid w:val="00F03B79"/>
    <w:rsid w:val="00F03DB7"/>
    <w:rsid w:val="00F04801"/>
    <w:rsid w:val="00F077A9"/>
    <w:rsid w:val="00F122FE"/>
    <w:rsid w:val="00F14E80"/>
    <w:rsid w:val="00F15813"/>
    <w:rsid w:val="00F1610C"/>
    <w:rsid w:val="00F20CD5"/>
    <w:rsid w:val="00F24B38"/>
    <w:rsid w:val="00F26A67"/>
    <w:rsid w:val="00F30388"/>
    <w:rsid w:val="00F43481"/>
    <w:rsid w:val="00F46400"/>
    <w:rsid w:val="00F50C03"/>
    <w:rsid w:val="00F548D0"/>
    <w:rsid w:val="00F55A3C"/>
    <w:rsid w:val="00F56808"/>
    <w:rsid w:val="00F60638"/>
    <w:rsid w:val="00F639A1"/>
    <w:rsid w:val="00F63BBE"/>
    <w:rsid w:val="00F64302"/>
    <w:rsid w:val="00F70333"/>
    <w:rsid w:val="00F717DC"/>
    <w:rsid w:val="00F731C3"/>
    <w:rsid w:val="00F768A0"/>
    <w:rsid w:val="00F76C65"/>
    <w:rsid w:val="00F8072F"/>
    <w:rsid w:val="00F80C5C"/>
    <w:rsid w:val="00F82E2A"/>
    <w:rsid w:val="00F85151"/>
    <w:rsid w:val="00F87E5E"/>
    <w:rsid w:val="00F91D3D"/>
    <w:rsid w:val="00F94649"/>
    <w:rsid w:val="00F97995"/>
    <w:rsid w:val="00FA2D3A"/>
    <w:rsid w:val="00FA2DA4"/>
    <w:rsid w:val="00FA3A01"/>
    <w:rsid w:val="00FA718A"/>
    <w:rsid w:val="00FB0FEB"/>
    <w:rsid w:val="00FB4EBA"/>
    <w:rsid w:val="00FB6317"/>
    <w:rsid w:val="00FB687C"/>
    <w:rsid w:val="00FC2B8E"/>
    <w:rsid w:val="00FC7FFA"/>
    <w:rsid w:val="00FD167D"/>
    <w:rsid w:val="00FD2DF6"/>
    <w:rsid w:val="00FD57DC"/>
    <w:rsid w:val="00FD60B7"/>
    <w:rsid w:val="00FD63EC"/>
    <w:rsid w:val="00FE123C"/>
    <w:rsid w:val="00FE34E8"/>
    <w:rsid w:val="00FE5CC9"/>
    <w:rsid w:val="00FE7223"/>
    <w:rsid w:val="00FE7893"/>
    <w:rsid w:val="00FF17D9"/>
    <w:rsid w:val="00FF1EBA"/>
    <w:rsid w:val="00FF2152"/>
    <w:rsid w:val="00FF2AC7"/>
    <w:rsid w:val="00FF3782"/>
    <w:rsid w:val="00FF745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05DF8FB"/>
  <w15:docId w15:val="{0D07C48C-2BDC-4B9F-ABE0-FBBB3D2A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A67988"/>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odsazen3">
    <w:name w:val="Body Text Indent 3"/>
    <w:basedOn w:val="Normln"/>
    <w:link w:val="Zkladntextodsazen3Char"/>
    <w:semiHidden/>
    <w:rsid w:val="00A67988"/>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basedOn w:val="Standardnpsmoodstavce"/>
    <w:link w:val="Zkladntextodsazen3"/>
    <w:semiHidden/>
    <w:rsid w:val="00A67988"/>
    <w:rPr>
      <w:rFonts w:ascii="Arial" w:eastAsia="Times New Roman" w:hAnsi="Arial"/>
      <w:szCs w:val="24"/>
      <w:lang w:eastAsia="en-US"/>
    </w:rPr>
  </w:style>
  <w:style w:type="paragraph" w:styleId="Textpoznpodarou">
    <w:name w:val="footnote text"/>
    <w:basedOn w:val="Normln"/>
    <w:link w:val="TextpoznpodarouChar"/>
    <w:uiPriority w:val="99"/>
    <w:semiHidden/>
    <w:unhideWhenUsed/>
    <w:rsid w:val="00D01D89"/>
    <w:pPr>
      <w:spacing w:line="240" w:lineRule="auto"/>
    </w:pPr>
    <w:rPr>
      <w:szCs w:val="20"/>
    </w:rPr>
  </w:style>
  <w:style w:type="character" w:customStyle="1" w:styleId="TextpoznpodarouChar">
    <w:name w:val="Text pozn. pod čarou Char"/>
    <w:basedOn w:val="Standardnpsmoodstavce"/>
    <w:link w:val="Textpoznpodarou"/>
    <w:uiPriority w:val="99"/>
    <w:semiHidden/>
    <w:rsid w:val="00D01D89"/>
    <w:rPr>
      <w:rFonts w:ascii="Arial" w:hAnsi="Arial"/>
      <w:lang w:eastAsia="en-US"/>
    </w:rPr>
  </w:style>
  <w:style w:type="character" w:styleId="Znakapoznpodarou">
    <w:name w:val="footnote reference"/>
    <w:basedOn w:val="Standardnpsmoodstavce"/>
    <w:uiPriority w:val="99"/>
    <w:semiHidden/>
    <w:unhideWhenUsed/>
    <w:rsid w:val="00D01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2370299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libor.holy@czso.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Anal&#253;za%20ENG.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atousova9707\Desktop\Anal&#253;za_Graf1_odpracovan&#225;Dob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matousova9707\Desktop\Anal&#253;za_Graf2_nom-re&#225;l.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9003021414744"/>
          <c:y val="0.10173121075295023"/>
          <c:w val="0.86694500907454364"/>
          <c:h val="0.70284018423399586"/>
        </c:manualLayout>
      </c:layout>
      <c:lineChart>
        <c:grouping val="standard"/>
        <c:varyColors val="0"/>
        <c:ser>
          <c:idx val="0"/>
          <c:order val="0"/>
          <c:tx>
            <c:strRef>
              <c:f>Tab_03!$F$3</c:f>
              <c:strCache>
                <c:ptCount val="1"/>
                <c:pt idx="0">
                  <c:v>Total</c:v>
                </c:pt>
              </c:strCache>
            </c:strRef>
          </c:tx>
          <c:spPr>
            <a:ln w="28575" cap="rnd">
              <a:solidFill>
                <a:schemeClr val="accent1"/>
              </a:solidFill>
              <a:round/>
            </a:ln>
            <a:effectLst/>
          </c:spPr>
          <c:marker>
            <c:symbol val="none"/>
          </c:marker>
          <c:dPt>
            <c:idx val="27"/>
            <c:marker>
              <c:symbol val="none"/>
            </c:marker>
            <c:bubble3D val="0"/>
            <c:spPr>
              <a:ln w="28575" cap="rnd">
                <a:solidFill>
                  <a:schemeClr val="accent1"/>
                </a:solidFill>
                <a:prstDash val="sysDash"/>
                <a:round/>
              </a:ln>
              <a:effectLst/>
            </c:spPr>
            <c:extLst>
              <c:ext xmlns:c16="http://schemas.microsoft.com/office/drawing/2014/chart" uri="{C3380CC4-5D6E-409C-BE32-E72D297353CC}">
                <c16:uniqueId val="{00000001-0557-4470-B349-CDCD9880CC43}"/>
              </c:ext>
            </c:extLst>
          </c:dPt>
          <c:cat>
            <c:multiLvlStrRef>
              <c:f>Tab_03!$A$16:$B$46</c:f>
              <c:multiLvlStrCache>
                <c:ptCount val="31"/>
                <c:lvl>
                  <c:pt idx="0">
                    <c:v>M 01</c:v>
                  </c:pt>
                  <c:pt idx="1">
                    <c:v>M 02</c:v>
                  </c:pt>
                  <c:pt idx="2">
                    <c:v>M 03</c:v>
                  </c:pt>
                  <c:pt idx="3">
                    <c:v>M 04</c:v>
                  </c:pt>
                  <c:pt idx="4">
                    <c:v>M 05</c:v>
                  </c:pt>
                  <c:pt idx="5">
                    <c:v>M 06</c:v>
                  </c:pt>
                  <c:pt idx="6">
                    <c:v>M 07</c:v>
                  </c:pt>
                  <c:pt idx="7">
                    <c:v>M 08</c:v>
                  </c:pt>
                  <c:pt idx="8">
                    <c:v>M 09</c:v>
                  </c:pt>
                  <c:pt idx="9">
                    <c:v>M 10</c:v>
                  </c:pt>
                  <c:pt idx="10">
                    <c:v>M 11</c:v>
                  </c:pt>
                  <c:pt idx="11">
                    <c:v>M 12</c:v>
                  </c:pt>
                  <c:pt idx="12">
                    <c:v>M 01</c:v>
                  </c:pt>
                  <c:pt idx="13">
                    <c:v>M 02</c:v>
                  </c:pt>
                  <c:pt idx="14">
                    <c:v>M 03</c:v>
                  </c:pt>
                  <c:pt idx="15">
                    <c:v>M 04</c:v>
                  </c:pt>
                  <c:pt idx="16">
                    <c:v>M 05</c:v>
                  </c:pt>
                  <c:pt idx="17">
                    <c:v>M 06</c:v>
                  </c:pt>
                  <c:pt idx="18">
                    <c:v>M 07</c:v>
                  </c:pt>
                  <c:pt idx="19">
                    <c:v>M 08</c:v>
                  </c:pt>
                  <c:pt idx="20">
                    <c:v>M 09</c:v>
                  </c:pt>
                  <c:pt idx="21">
                    <c:v>M 10</c:v>
                  </c:pt>
                  <c:pt idx="22">
                    <c:v>M 11</c:v>
                  </c:pt>
                  <c:pt idx="23">
                    <c:v>M 12</c:v>
                  </c:pt>
                  <c:pt idx="24">
                    <c:v>M 01</c:v>
                  </c:pt>
                  <c:pt idx="25">
                    <c:v>M 02</c:v>
                  </c:pt>
                  <c:pt idx="26">
                    <c:v>M 03</c:v>
                  </c:pt>
                  <c:pt idx="27">
                    <c:v>M 04</c:v>
                  </c:pt>
                  <c:pt idx="28">
                    <c:v>M 05</c:v>
                  </c:pt>
                  <c:pt idx="29">
                    <c:v>M 06</c:v>
                  </c:pt>
                  <c:pt idx="30">
                    <c:v>M 07</c:v>
                  </c:pt>
                </c:lvl>
                <c:lvl>
                  <c:pt idx="0">
                    <c:v>2018</c:v>
                  </c:pt>
                  <c:pt idx="12">
                    <c:v>2019</c:v>
                  </c:pt>
                  <c:pt idx="24">
                    <c:v>2020</c:v>
                  </c:pt>
                </c:lvl>
              </c:multiLvlStrCache>
            </c:multiLvlStrRef>
          </c:cat>
          <c:val>
            <c:numRef>
              <c:f>Tab_03!$F$16:$F$46</c:f>
              <c:numCache>
                <c:formatCode>0</c:formatCode>
                <c:ptCount val="31"/>
                <c:pt idx="0">
                  <c:v>93.976783311552168</c:v>
                </c:pt>
                <c:pt idx="1">
                  <c:v>98.739804860765645</c:v>
                </c:pt>
                <c:pt idx="2">
                  <c:v>94.539007174541339</c:v>
                </c:pt>
                <c:pt idx="3">
                  <c:v>99.008647212970686</c:v>
                </c:pt>
                <c:pt idx="4">
                  <c:v>99.630228877366221</c:v>
                </c:pt>
                <c:pt idx="5">
                  <c:v>99.705658798790154</c:v>
                </c:pt>
                <c:pt idx="6">
                  <c:v>101.96199960568389</c:v>
                </c:pt>
                <c:pt idx="7">
                  <c:v>100.28027481108654</c:v>
                </c:pt>
                <c:pt idx="8">
                  <c:v>99.285962798593673</c:v>
                </c:pt>
                <c:pt idx="9">
                  <c:v>100.16775825168961</c:v>
                </c:pt>
                <c:pt idx="10">
                  <c:v>102.92938243459764</c:v>
                </c:pt>
                <c:pt idx="11">
                  <c:v>98.554943720662891</c:v>
                </c:pt>
                <c:pt idx="12">
                  <c:v>95.475299271018656</c:v>
                </c:pt>
                <c:pt idx="13">
                  <c:v>100.50324058133435</c:v>
                </c:pt>
                <c:pt idx="14">
                  <c:v>105.34400856315575</c:v>
                </c:pt>
                <c:pt idx="15">
                  <c:v>103.30312019652305</c:v>
                </c:pt>
                <c:pt idx="16">
                  <c:v>98.18439669640216</c:v>
                </c:pt>
                <c:pt idx="17">
                  <c:v>99.342733614332815</c:v>
                </c:pt>
                <c:pt idx="18">
                  <c:v>102.51727860768092</c:v>
                </c:pt>
                <c:pt idx="19">
                  <c:v>99.110990074822382</c:v>
                </c:pt>
                <c:pt idx="20">
                  <c:v>103.30895952940202</c:v>
                </c:pt>
                <c:pt idx="21">
                  <c:v>98.766030497530849</c:v>
                </c:pt>
                <c:pt idx="22">
                  <c:v>95.498394529315519</c:v>
                </c:pt>
                <c:pt idx="23">
                  <c:v>99.415542590958879</c:v>
                </c:pt>
                <c:pt idx="24">
                  <c:v>97.377260995914725</c:v>
                </c:pt>
                <c:pt idx="25">
                  <c:v>98.879872034728194</c:v>
                </c:pt>
                <c:pt idx="26">
                  <c:v>89.606068522076072</c:v>
                </c:pt>
                <c:pt idx="27">
                  <c:v>78.352825334168713</c:v>
                </c:pt>
                <c:pt idx="28">
                  <c:v>92.262016046263454</c:v>
                </c:pt>
                <c:pt idx="29">
                  <c:v>98.47941094620424</c:v>
                </c:pt>
                <c:pt idx="30">
                  <c:v>104.32710712161621</c:v>
                </c:pt>
              </c:numCache>
            </c:numRef>
          </c:val>
          <c:smooth val="0"/>
          <c:extLst>
            <c:ext xmlns:c16="http://schemas.microsoft.com/office/drawing/2014/chart" uri="{C3380CC4-5D6E-409C-BE32-E72D297353CC}">
              <c16:uniqueId val="{00000002-0557-4470-B349-CDCD9880CC43}"/>
            </c:ext>
          </c:extLst>
        </c:ser>
        <c:ser>
          <c:idx val="1"/>
          <c:order val="1"/>
          <c:tx>
            <c:strRef>
              <c:f>Tab_03!$G$3</c:f>
              <c:strCache>
                <c:ptCount val="1"/>
                <c:pt idx="0">
                  <c:v>Employees</c:v>
                </c:pt>
              </c:strCache>
            </c:strRef>
          </c:tx>
          <c:spPr>
            <a:ln w="28575" cap="rnd">
              <a:solidFill>
                <a:schemeClr val="accent2"/>
              </a:solidFill>
              <a:round/>
            </a:ln>
            <a:effectLst/>
          </c:spPr>
          <c:marker>
            <c:symbol val="none"/>
          </c:marker>
          <c:cat>
            <c:multiLvlStrRef>
              <c:f>Tab_03!$A$16:$B$46</c:f>
              <c:multiLvlStrCache>
                <c:ptCount val="31"/>
                <c:lvl>
                  <c:pt idx="0">
                    <c:v>M 01</c:v>
                  </c:pt>
                  <c:pt idx="1">
                    <c:v>M 02</c:v>
                  </c:pt>
                  <c:pt idx="2">
                    <c:v>M 03</c:v>
                  </c:pt>
                  <c:pt idx="3">
                    <c:v>M 04</c:v>
                  </c:pt>
                  <c:pt idx="4">
                    <c:v>M 05</c:v>
                  </c:pt>
                  <c:pt idx="5">
                    <c:v>M 06</c:v>
                  </c:pt>
                  <c:pt idx="6">
                    <c:v>M 07</c:v>
                  </c:pt>
                  <c:pt idx="7">
                    <c:v>M 08</c:v>
                  </c:pt>
                  <c:pt idx="8">
                    <c:v>M 09</c:v>
                  </c:pt>
                  <c:pt idx="9">
                    <c:v>M 10</c:v>
                  </c:pt>
                  <c:pt idx="10">
                    <c:v>M 11</c:v>
                  </c:pt>
                  <c:pt idx="11">
                    <c:v>M 12</c:v>
                  </c:pt>
                  <c:pt idx="12">
                    <c:v>M 01</c:v>
                  </c:pt>
                  <c:pt idx="13">
                    <c:v>M 02</c:v>
                  </c:pt>
                  <c:pt idx="14">
                    <c:v>M 03</c:v>
                  </c:pt>
                  <c:pt idx="15">
                    <c:v>M 04</c:v>
                  </c:pt>
                  <c:pt idx="16">
                    <c:v>M 05</c:v>
                  </c:pt>
                  <c:pt idx="17">
                    <c:v>M 06</c:v>
                  </c:pt>
                  <c:pt idx="18">
                    <c:v>M 07</c:v>
                  </c:pt>
                  <c:pt idx="19">
                    <c:v>M 08</c:v>
                  </c:pt>
                  <c:pt idx="20">
                    <c:v>M 09</c:v>
                  </c:pt>
                  <c:pt idx="21">
                    <c:v>M 10</c:v>
                  </c:pt>
                  <c:pt idx="22">
                    <c:v>M 11</c:v>
                  </c:pt>
                  <c:pt idx="23">
                    <c:v>M 12</c:v>
                  </c:pt>
                  <c:pt idx="24">
                    <c:v>M 01</c:v>
                  </c:pt>
                  <c:pt idx="25">
                    <c:v>M 02</c:v>
                  </c:pt>
                  <c:pt idx="26">
                    <c:v>M 03</c:v>
                  </c:pt>
                  <c:pt idx="27">
                    <c:v>M 04</c:v>
                  </c:pt>
                  <c:pt idx="28">
                    <c:v>M 05</c:v>
                  </c:pt>
                  <c:pt idx="29">
                    <c:v>M 06</c:v>
                  </c:pt>
                  <c:pt idx="30">
                    <c:v>M 07</c:v>
                  </c:pt>
                </c:lvl>
                <c:lvl>
                  <c:pt idx="0">
                    <c:v>2018</c:v>
                  </c:pt>
                  <c:pt idx="12">
                    <c:v>2019</c:v>
                  </c:pt>
                  <c:pt idx="24">
                    <c:v>2020</c:v>
                  </c:pt>
                </c:lvl>
              </c:multiLvlStrCache>
            </c:multiLvlStrRef>
          </c:cat>
          <c:val>
            <c:numRef>
              <c:f>Tab_03!$G$16:$G$46</c:f>
              <c:numCache>
                <c:formatCode>0</c:formatCode>
                <c:ptCount val="31"/>
                <c:pt idx="0">
                  <c:v>93.925495736572088</c:v>
                </c:pt>
                <c:pt idx="1">
                  <c:v>98.620650276275484</c:v>
                </c:pt>
                <c:pt idx="2">
                  <c:v>94.899415347259136</c:v>
                </c:pt>
                <c:pt idx="3">
                  <c:v>99.237505827610491</c:v>
                </c:pt>
                <c:pt idx="4">
                  <c:v>99.334258602727132</c:v>
                </c:pt>
                <c:pt idx="5">
                  <c:v>99.710864268022164</c:v>
                </c:pt>
                <c:pt idx="6">
                  <c:v>101.78314063307442</c:v>
                </c:pt>
                <c:pt idx="7">
                  <c:v>100.16972604683363</c:v>
                </c:pt>
                <c:pt idx="8">
                  <c:v>99.363543402021065</c:v>
                </c:pt>
                <c:pt idx="9">
                  <c:v>100.31145164016162</c:v>
                </c:pt>
                <c:pt idx="10">
                  <c:v>102.70492395792357</c:v>
                </c:pt>
                <c:pt idx="11">
                  <c:v>98.650714312923142</c:v>
                </c:pt>
                <c:pt idx="12">
                  <c:v>95.472313208583415</c:v>
                </c:pt>
                <c:pt idx="13">
                  <c:v>100.64346741312309</c:v>
                </c:pt>
                <c:pt idx="14">
                  <c:v>105.07515570396259</c:v>
                </c:pt>
                <c:pt idx="15">
                  <c:v>103.60659860400415</c:v>
                </c:pt>
                <c:pt idx="16">
                  <c:v>98.977450941131934</c:v>
                </c:pt>
                <c:pt idx="17">
                  <c:v>99.407679299327441</c:v>
                </c:pt>
                <c:pt idx="18">
                  <c:v>102.84971071765277</c:v>
                </c:pt>
                <c:pt idx="19">
                  <c:v>99.504677830327779</c:v>
                </c:pt>
                <c:pt idx="20">
                  <c:v>103.32991735946524</c:v>
                </c:pt>
                <c:pt idx="21">
                  <c:v>99.157811387725118</c:v>
                </c:pt>
                <c:pt idx="22">
                  <c:v>95.900510575007274</c:v>
                </c:pt>
                <c:pt idx="23">
                  <c:v>100.27012542656098</c:v>
                </c:pt>
                <c:pt idx="24">
                  <c:v>97.861186643540194</c:v>
                </c:pt>
                <c:pt idx="25">
                  <c:v>99.231711298548049</c:v>
                </c:pt>
                <c:pt idx="26">
                  <c:v>91.060657266901686</c:v>
                </c:pt>
                <c:pt idx="27">
                  <c:v>80.557994866764588</c:v>
                </c:pt>
                <c:pt idx="28">
                  <c:v>93.65285063258122</c:v>
                </c:pt>
                <c:pt idx="29">
                  <c:v>99.468872687268401</c:v>
                </c:pt>
                <c:pt idx="30">
                  <c:v>105.07218092200081</c:v>
                </c:pt>
              </c:numCache>
            </c:numRef>
          </c:val>
          <c:smooth val="0"/>
          <c:extLst>
            <c:ext xmlns:c16="http://schemas.microsoft.com/office/drawing/2014/chart" uri="{C3380CC4-5D6E-409C-BE32-E72D297353CC}">
              <c16:uniqueId val="{00000003-0557-4470-B349-CDCD9880CC43}"/>
            </c:ext>
          </c:extLst>
        </c:ser>
        <c:ser>
          <c:idx val="2"/>
          <c:order val="2"/>
          <c:tx>
            <c:strRef>
              <c:f>Tab_03!$H$3</c:f>
              <c:strCache>
                <c:ptCount val="1"/>
                <c:pt idx="0">
                  <c:v>The self-employed</c:v>
                </c:pt>
              </c:strCache>
            </c:strRef>
          </c:tx>
          <c:spPr>
            <a:ln w="28575" cap="rnd">
              <a:solidFill>
                <a:schemeClr val="accent3"/>
              </a:solidFill>
              <a:round/>
            </a:ln>
            <a:effectLst/>
          </c:spPr>
          <c:marker>
            <c:symbol val="none"/>
          </c:marker>
          <c:cat>
            <c:multiLvlStrRef>
              <c:f>Tab_03!$A$16:$B$46</c:f>
              <c:multiLvlStrCache>
                <c:ptCount val="31"/>
                <c:lvl>
                  <c:pt idx="0">
                    <c:v>M 01</c:v>
                  </c:pt>
                  <c:pt idx="1">
                    <c:v>M 02</c:v>
                  </c:pt>
                  <c:pt idx="2">
                    <c:v>M 03</c:v>
                  </c:pt>
                  <c:pt idx="3">
                    <c:v>M 04</c:v>
                  </c:pt>
                  <c:pt idx="4">
                    <c:v>M 05</c:v>
                  </c:pt>
                  <c:pt idx="5">
                    <c:v>M 06</c:v>
                  </c:pt>
                  <c:pt idx="6">
                    <c:v>M 07</c:v>
                  </c:pt>
                  <c:pt idx="7">
                    <c:v>M 08</c:v>
                  </c:pt>
                  <c:pt idx="8">
                    <c:v>M 09</c:v>
                  </c:pt>
                  <c:pt idx="9">
                    <c:v>M 10</c:v>
                  </c:pt>
                  <c:pt idx="10">
                    <c:v>M 11</c:v>
                  </c:pt>
                  <c:pt idx="11">
                    <c:v>M 12</c:v>
                  </c:pt>
                  <c:pt idx="12">
                    <c:v>M 01</c:v>
                  </c:pt>
                  <c:pt idx="13">
                    <c:v>M 02</c:v>
                  </c:pt>
                  <c:pt idx="14">
                    <c:v>M 03</c:v>
                  </c:pt>
                  <c:pt idx="15">
                    <c:v>M 04</c:v>
                  </c:pt>
                  <c:pt idx="16">
                    <c:v>M 05</c:v>
                  </c:pt>
                  <c:pt idx="17">
                    <c:v>M 06</c:v>
                  </c:pt>
                  <c:pt idx="18">
                    <c:v>M 07</c:v>
                  </c:pt>
                  <c:pt idx="19">
                    <c:v>M 08</c:v>
                  </c:pt>
                  <c:pt idx="20">
                    <c:v>M 09</c:v>
                  </c:pt>
                  <c:pt idx="21">
                    <c:v>M 10</c:v>
                  </c:pt>
                  <c:pt idx="22">
                    <c:v>M 11</c:v>
                  </c:pt>
                  <c:pt idx="23">
                    <c:v>M 12</c:v>
                  </c:pt>
                  <c:pt idx="24">
                    <c:v>M 01</c:v>
                  </c:pt>
                  <c:pt idx="25">
                    <c:v>M 02</c:v>
                  </c:pt>
                  <c:pt idx="26">
                    <c:v>M 03</c:v>
                  </c:pt>
                  <c:pt idx="27">
                    <c:v>M 04</c:v>
                  </c:pt>
                  <c:pt idx="28">
                    <c:v>M 05</c:v>
                  </c:pt>
                  <c:pt idx="29">
                    <c:v>M 06</c:v>
                  </c:pt>
                  <c:pt idx="30">
                    <c:v>M 07</c:v>
                  </c:pt>
                </c:lvl>
                <c:lvl>
                  <c:pt idx="0">
                    <c:v>2018</c:v>
                  </c:pt>
                  <c:pt idx="12">
                    <c:v>2019</c:v>
                  </c:pt>
                  <c:pt idx="24">
                    <c:v>2020</c:v>
                  </c:pt>
                </c:lvl>
              </c:multiLvlStrCache>
            </c:multiLvlStrRef>
          </c:cat>
          <c:val>
            <c:numRef>
              <c:f>Tab_03!$H$16:$H$46</c:f>
              <c:numCache>
                <c:formatCode>0</c:formatCode>
                <c:ptCount val="31"/>
                <c:pt idx="0">
                  <c:v>94.515653661788107</c:v>
                </c:pt>
                <c:pt idx="1">
                  <c:v>98.957773263398579</c:v>
                </c:pt>
                <c:pt idx="2">
                  <c:v>93.548880822776226</c:v>
                </c:pt>
                <c:pt idx="3">
                  <c:v>98.856576879434783</c:v>
                </c:pt>
                <c:pt idx="4">
                  <c:v>100.2904176448292</c:v>
                </c:pt>
                <c:pt idx="5">
                  <c:v>99.905660831987291</c:v>
                </c:pt>
                <c:pt idx="6">
                  <c:v>103.71990624899674</c:v>
                </c:pt>
                <c:pt idx="7">
                  <c:v>100.14994987938475</c:v>
                </c:pt>
                <c:pt idx="8">
                  <c:v>98.69869915338974</c:v>
                </c:pt>
                <c:pt idx="9">
                  <c:v>99.807263864529631</c:v>
                </c:pt>
                <c:pt idx="10">
                  <c:v>104.15286261845024</c:v>
                </c:pt>
                <c:pt idx="11">
                  <c:v>97.807096708163925</c:v>
                </c:pt>
                <c:pt idx="12">
                  <c:v>95.532118577868943</c:v>
                </c:pt>
                <c:pt idx="13">
                  <c:v>100.48554825312017</c:v>
                </c:pt>
                <c:pt idx="14">
                  <c:v>105.99242711128427</c:v>
                </c:pt>
                <c:pt idx="15">
                  <c:v>101.6836578388814</c:v>
                </c:pt>
                <c:pt idx="16">
                  <c:v>95.852096299509697</c:v>
                </c:pt>
                <c:pt idx="17">
                  <c:v>98.703011207985398</c:v>
                </c:pt>
                <c:pt idx="18">
                  <c:v>100.43050993976539</c:v>
                </c:pt>
                <c:pt idx="19">
                  <c:v>98.694215638469785</c:v>
                </c:pt>
                <c:pt idx="20">
                  <c:v>103.49787204865561</c:v>
                </c:pt>
                <c:pt idx="21">
                  <c:v>96.832737948970703</c:v>
                </c:pt>
                <c:pt idx="22">
                  <c:v>94.361047024639731</c:v>
                </c:pt>
                <c:pt idx="23">
                  <c:v>95.847537749838622</c:v>
                </c:pt>
                <c:pt idx="24">
                  <c:v>95.158599298823276</c:v>
                </c:pt>
                <c:pt idx="25">
                  <c:v>97.330880083024752</c:v>
                </c:pt>
                <c:pt idx="26">
                  <c:v>83.36142294334573</c:v>
                </c:pt>
                <c:pt idx="27">
                  <c:v>68.901973534313115</c:v>
                </c:pt>
                <c:pt idx="28">
                  <c:v>85.976487155863325</c:v>
                </c:pt>
                <c:pt idx="29">
                  <c:v>94.222568461855786</c:v>
                </c:pt>
                <c:pt idx="30">
                  <c:v>101.76068865914596</c:v>
                </c:pt>
              </c:numCache>
            </c:numRef>
          </c:val>
          <c:smooth val="0"/>
          <c:extLst>
            <c:ext xmlns:c16="http://schemas.microsoft.com/office/drawing/2014/chart" uri="{C3380CC4-5D6E-409C-BE32-E72D297353CC}">
              <c16:uniqueId val="{00000004-0557-4470-B349-CDCD9880CC43}"/>
            </c:ext>
          </c:extLst>
        </c:ser>
        <c:dLbls>
          <c:showLegendKey val="0"/>
          <c:showVal val="0"/>
          <c:showCatName val="0"/>
          <c:showSerName val="0"/>
          <c:showPercent val="0"/>
          <c:showBubbleSize val="0"/>
        </c:dLbls>
        <c:smooth val="0"/>
        <c:axId val="1120599808"/>
        <c:axId val="1120600224"/>
      </c:lineChart>
      <c:catAx>
        <c:axId val="112059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20600224"/>
        <c:crosses val="autoZero"/>
        <c:auto val="1"/>
        <c:lblAlgn val="ctr"/>
        <c:lblOffset val="100"/>
        <c:noMultiLvlLbl val="0"/>
      </c:catAx>
      <c:valAx>
        <c:axId val="1120600224"/>
        <c:scaling>
          <c:orientation val="minMax"/>
          <c:max val="110"/>
          <c:min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index </a:t>
                </a:r>
                <a:r>
                  <a:rPr lang="cs-CZ"/>
                  <a:t>(</a:t>
                </a:r>
                <a:r>
                  <a:rPr lang="en-US"/>
                  <a:t>%</a:t>
                </a:r>
                <a:r>
                  <a:rPr lang="cs-CZ"/>
                  <a:t>)</a:t>
                </a:r>
                <a:endParaRPr lang="en-US"/>
              </a:p>
            </c:rich>
          </c:tx>
          <c:layout>
            <c:manualLayout>
              <c:xMode val="edge"/>
              <c:yMode val="edge"/>
              <c:x val="1.4551823479342633E-2"/>
              <c:y val="0.4011347288923086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120599808"/>
        <c:crosses val="autoZero"/>
        <c:crossBetween val="between"/>
        <c:majorUnit val="5"/>
      </c:valAx>
      <c:spPr>
        <a:noFill/>
        <a:ln>
          <a:noFill/>
        </a:ln>
        <a:effectLst/>
      </c:spPr>
    </c:plotArea>
    <c:legend>
      <c:legendPos val="b"/>
      <c:layout>
        <c:manualLayout>
          <c:xMode val="edge"/>
          <c:yMode val="edge"/>
          <c:x val="0.14192428144842514"/>
          <c:y val="0.57433794277789585"/>
          <c:w val="0.60169889288360079"/>
          <c:h val="0.11289265921779275"/>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7051087947067"/>
          <c:y val="0.10328772310035228"/>
          <c:w val="0.85084330800331809"/>
          <c:h val="0.76350316712548849"/>
        </c:manualLayout>
      </c:layout>
      <c:lineChart>
        <c:grouping val="standard"/>
        <c:varyColors val="0"/>
        <c:ser>
          <c:idx val="0"/>
          <c:order val="0"/>
          <c:tx>
            <c:strRef>
              <c:f>graf!$C$1</c:f>
              <c:strCache>
                <c:ptCount val="1"/>
                <c:pt idx="0">
                  <c:v>nominal wage index</c:v>
                </c:pt>
              </c:strCache>
            </c:strRef>
          </c:tx>
          <c:spPr>
            <a:ln w="38100" cap="rnd">
              <a:solidFill>
                <a:schemeClr val="accent1"/>
              </a:solidFill>
              <a:round/>
            </a:ln>
            <a:effectLst/>
          </c:spPr>
          <c:marker>
            <c:symbol val="none"/>
          </c:marker>
          <c:cat>
            <c:numRef>
              <c:f>graf!$B$14:$B$55</c:f>
              <c:numCache>
                <c:formatCode>General</c:formatCode>
                <c:ptCount val="42"/>
                <c:pt idx="0">
                  <c:v>2010</c:v>
                </c:pt>
                <c:pt idx="4">
                  <c:v>2011</c:v>
                </c:pt>
                <c:pt idx="8">
                  <c:v>2012</c:v>
                </c:pt>
                <c:pt idx="12">
                  <c:v>2013</c:v>
                </c:pt>
                <c:pt idx="16">
                  <c:v>2014</c:v>
                </c:pt>
                <c:pt idx="20">
                  <c:v>2015</c:v>
                </c:pt>
                <c:pt idx="24">
                  <c:v>2016</c:v>
                </c:pt>
                <c:pt idx="28">
                  <c:v>2017</c:v>
                </c:pt>
                <c:pt idx="32">
                  <c:v>2018</c:v>
                </c:pt>
                <c:pt idx="36">
                  <c:v>2019</c:v>
                </c:pt>
                <c:pt idx="40">
                  <c:v>2020</c:v>
                </c:pt>
              </c:numCache>
            </c:numRef>
          </c:cat>
          <c:val>
            <c:numRef>
              <c:f>graf!$C$14:$C$55</c:f>
              <c:numCache>
                <c:formatCode>0</c:formatCode>
                <c:ptCount val="42"/>
                <c:pt idx="0">
                  <c:v>102.8</c:v>
                </c:pt>
                <c:pt idx="1">
                  <c:v>103.1</c:v>
                </c:pt>
                <c:pt idx="2">
                  <c:v>102.2</c:v>
                </c:pt>
                <c:pt idx="3">
                  <c:v>100.7</c:v>
                </c:pt>
                <c:pt idx="4">
                  <c:v>102.8</c:v>
                </c:pt>
                <c:pt idx="5">
                  <c:v>102.6</c:v>
                </c:pt>
                <c:pt idx="6">
                  <c:v>102.1</c:v>
                </c:pt>
                <c:pt idx="7">
                  <c:v>102.4</c:v>
                </c:pt>
                <c:pt idx="8">
                  <c:v>103.2</c:v>
                </c:pt>
                <c:pt idx="9">
                  <c:v>102.1</c:v>
                </c:pt>
                <c:pt idx="10">
                  <c:v>101.4</c:v>
                </c:pt>
                <c:pt idx="11">
                  <c:v>103.2</c:v>
                </c:pt>
                <c:pt idx="12">
                  <c:v>99.4</c:v>
                </c:pt>
                <c:pt idx="13">
                  <c:v>101</c:v>
                </c:pt>
                <c:pt idx="14">
                  <c:v>101.2</c:v>
                </c:pt>
                <c:pt idx="15">
                  <c:v>98</c:v>
                </c:pt>
                <c:pt idx="16">
                  <c:v>103.9</c:v>
                </c:pt>
                <c:pt idx="17">
                  <c:v>102.8</c:v>
                </c:pt>
                <c:pt idx="18">
                  <c:v>102.2</c:v>
                </c:pt>
                <c:pt idx="19">
                  <c:v>102.8</c:v>
                </c:pt>
                <c:pt idx="20">
                  <c:v>102.3</c:v>
                </c:pt>
                <c:pt idx="21">
                  <c:v>103.3</c:v>
                </c:pt>
                <c:pt idx="22">
                  <c:v>103.5</c:v>
                </c:pt>
                <c:pt idx="23">
                  <c:v>103.7</c:v>
                </c:pt>
                <c:pt idx="24">
                  <c:v>104.7</c:v>
                </c:pt>
                <c:pt idx="25">
                  <c:v>104</c:v>
                </c:pt>
                <c:pt idx="26">
                  <c:v>104.7</c:v>
                </c:pt>
                <c:pt idx="27">
                  <c:v>104.4</c:v>
                </c:pt>
                <c:pt idx="28">
                  <c:v>105.1</c:v>
                </c:pt>
                <c:pt idx="29">
                  <c:v>107.2</c:v>
                </c:pt>
                <c:pt idx="30">
                  <c:v>106.7</c:v>
                </c:pt>
                <c:pt idx="31">
                  <c:v>107.8</c:v>
                </c:pt>
                <c:pt idx="32">
                  <c:v>108.5</c:v>
                </c:pt>
                <c:pt idx="33">
                  <c:v>108.7</c:v>
                </c:pt>
                <c:pt idx="34">
                  <c:v>108.4</c:v>
                </c:pt>
                <c:pt idx="35">
                  <c:v>107.1</c:v>
                </c:pt>
                <c:pt idx="36">
                  <c:v>106.7</c:v>
                </c:pt>
                <c:pt idx="37">
                  <c:v>106.6</c:v>
                </c:pt>
                <c:pt idx="38">
                  <c:v>106.3</c:v>
                </c:pt>
                <c:pt idx="39">
                  <c:v>106.2</c:v>
                </c:pt>
                <c:pt idx="40">
                  <c:v>105.1</c:v>
                </c:pt>
                <c:pt idx="41">
                  <c:v>100.5</c:v>
                </c:pt>
              </c:numCache>
            </c:numRef>
          </c:val>
          <c:smooth val="0"/>
          <c:extLst>
            <c:ext xmlns:c16="http://schemas.microsoft.com/office/drawing/2014/chart" uri="{C3380CC4-5D6E-409C-BE32-E72D297353CC}">
              <c16:uniqueId val="{00000000-42E8-4E3B-A6FB-E3E5BFE2EE28}"/>
            </c:ext>
          </c:extLst>
        </c:ser>
        <c:ser>
          <c:idx val="1"/>
          <c:order val="1"/>
          <c:tx>
            <c:strRef>
              <c:f>graf!$D$1</c:f>
              <c:strCache>
                <c:ptCount val="1"/>
                <c:pt idx="0">
                  <c:v>real wage index</c:v>
                </c:pt>
              </c:strCache>
            </c:strRef>
          </c:tx>
          <c:spPr>
            <a:ln w="38100" cap="rnd">
              <a:solidFill>
                <a:schemeClr val="accent2"/>
              </a:solidFill>
              <a:prstDash val="sysDash"/>
              <a:round/>
            </a:ln>
            <a:effectLst/>
          </c:spPr>
          <c:marker>
            <c:symbol val="none"/>
          </c:marker>
          <c:cat>
            <c:numRef>
              <c:f>graf!$B$14:$B$55</c:f>
              <c:numCache>
                <c:formatCode>General</c:formatCode>
                <c:ptCount val="42"/>
                <c:pt idx="0">
                  <c:v>2010</c:v>
                </c:pt>
                <c:pt idx="4">
                  <c:v>2011</c:v>
                </c:pt>
                <c:pt idx="8">
                  <c:v>2012</c:v>
                </c:pt>
                <c:pt idx="12">
                  <c:v>2013</c:v>
                </c:pt>
                <c:pt idx="16">
                  <c:v>2014</c:v>
                </c:pt>
                <c:pt idx="20">
                  <c:v>2015</c:v>
                </c:pt>
                <c:pt idx="24">
                  <c:v>2016</c:v>
                </c:pt>
                <c:pt idx="28">
                  <c:v>2017</c:v>
                </c:pt>
                <c:pt idx="32">
                  <c:v>2018</c:v>
                </c:pt>
                <c:pt idx="36">
                  <c:v>2019</c:v>
                </c:pt>
                <c:pt idx="40">
                  <c:v>2020</c:v>
                </c:pt>
              </c:numCache>
            </c:numRef>
          </c:cat>
          <c:val>
            <c:numRef>
              <c:f>graf!$D$14:$D$55</c:f>
              <c:numCache>
                <c:formatCode>0</c:formatCode>
                <c:ptCount val="42"/>
                <c:pt idx="0">
                  <c:v>102.1</c:v>
                </c:pt>
                <c:pt idx="1">
                  <c:v>101.9</c:v>
                </c:pt>
                <c:pt idx="2">
                  <c:v>100.3</c:v>
                </c:pt>
                <c:pt idx="3">
                  <c:v>98.6</c:v>
                </c:pt>
                <c:pt idx="4">
                  <c:v>101.1</c:v>
                </c:pt>
                <c:pt idx="5">
                  <c:v>100.8</c:v>
                </c:pt>
                <c:pt idx="6">
                  <c:v>100.3</c:v>
                </c:pt>
                <c:pt idx="7">
                  <c:v>100</c:v>
                </c:pt>
                <c:pt idx="8">
                  <c:v>99.5</c:v>
                </c:pt>
                <c:pt idx="9">
                  <c:v>98.7</c:v>
                </c:pt>
                <c:pt idx="10">
                  <c:v>98.2</c:v>
                </c:pt>
                <c:pt idx="11">
                  <c:v>100.4</c:v>
                </c:pt>
                <c:pt idx="12">
                  <c:v>97.6</c:v>
                </c:pt>
                <c:pt idx="13">
                  <c:v>99.5</c:v>
                </c:pt>
                <c:pt idx="14">
                  <c:v>100</c:v>
                </c:pt>
                <c:pt idx="15">
                  <c:v>96.9</c:v>
                </c:pt>
                <c:pt idx="16">
                  <c:v>103.7</c:v>
                </c:pt>
                <c:pt idx="17">
                  <c:v>102.6</c:v>
                </c:pt>
                <c:pt idx="18">
                  <c:v>101.6</c:v>
                </c:pt>
                <c:pt idx="19">
                  <c:v>102.3</c:v>
                </c:pt>
                <c:pt idx="20">
                  <c:v>102.2</c:v>
                </c:pt>
                <c:pt idx="21">
                  <c:v>102.6</c:v>
                </c:pt>
                <c:pt idx="22">
                  <c:v>103.1</c:v>
                </c:pt>
                <c:pt idx="23">
                  <c:v>103.6</c:v>
                </c:pt>
                <c:pt idx="24">
                  <c:v>104.2</c:v>
                </c:pt>
                <c:pt idx="25">
                  <c:v>103.8</c:v>
                </c:pt>
                <c:pt idx="26">
                  <c:v>104.2</c:v>
                </c:pt>
                <c:pt idx="27">
                  <c:v>103</c:v>
                </c:pt>
                <c:pt idx="28">
                  <c:v>102.6</c:v>
                </c:pt>
                <c:pt idx="29">
                  <c:v>104.9</c:v>
                </c:pt>
                <c:pt idx="30">
                  <c:v>104.1</c:v>
                </c:pt>
                <c:pt idx="31">
                  <c:v>105.1</c:v>
                </c:pt>
                <c:pt idx="32">
                  <c:v>106.5</c:v>
                </c:pt>
                <c:pt idx="33">
                  <c:v>106.3</c:v>
                </c:pt>
                <c:pt idx="34">
                  <c:v>105.9</c:v>
                </c:pt>
                <c:pt idx="35">
                  <c:v>104.9</c:v>
                </c:pt>
                <c:pt idx="36">
                  <c:v>103.9</c:v>
                </c:pt>
                <c:pt idx="37">
                  <c:v>103.7</c:v>
                </c:pt>
                <c:pt idx="38">
                  <c:v>103.4</c:v>
                </c:pt>
                <c:pt idx="39">
                  <c:v>103.1</c:v>
                </c:pt>
                <c:pt idx="40">
                  <c:v>101.4</c:v>
                </c:pt>
                <c:pt idx="41">
                  <c:v>97.5</c:v>
                </c:pt>
              </c:numCache>
            </c:numRef>
          </c:val>
          <c:smooth val="0"/>
          <c:extLst>
            <c:ext xmlns:c16="http://schemas.microsoft.com/office/drawing/2014/chart" uri="{C3380CC4-5D6E-409C-BE32-E72D297353CC}">
              <c16:uniqueId val="{00000001-42E8-4E3B-A6FB-E3E5BFE2EE28}"/>
            </c:ext>
          </c:extLst>
        </c:ser>
        <c:dLbls>
          <c:showLegendKey val="0"/>
          <c:showVal val="0"/>
          <c:showCatName val="0"/>
          <c:showSerName val="0"/>
          <c:showPercent val="0"/>
          <c:showBubbleSize val="0"/>
        </c:dLbls>
        <c:smooth val="0"/>
        <c:axId val="297237696"/>
        <c:axId val="327938464"/>
      </c:lineChart>
      <c:catAx>
        <c:axId val="29723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327938464"/>
        <c:crosses val="autoZero"/>
        <c:auto val="1"/>
        <c:lblAlgn val="ctr"/>
        <c:lblOffset val="100"/>
        <c:noMultiLvlLbl val="0"/>
      </c:catAx>
      <c:valAx>
        <c:axId val="327938464"/>
        <c:scaling>
          <c:orientation val="minMax"/>
          <c:max val="110"/>
          <c:min val="9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index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97237696"/>
        <c:crosses val="autoZero"/>
        <c:crossBetween val="between"/>
        <c:majorUnit val="1"/>
      </c:valAx>
      <c:spPr>
        <a:noFill/>
        <a:ln>
          <a:noFill/>
        </a:ln>
        <a:effectLst/>
      </c:spPr>
    </c:plotArea>
    <c:legend>
      <c:legendPos val="b"/>
      <c:layout>
        <c:manualLayout>
          <c:xMode val="edge"/>
          <c:yMode val="edge"/>
          <c:x val="0.36630445279585927"/>
          <c:y val="0.13034426277518849"/>
          <c:w val="0.3532837218607669"/>
          <c:h val="0.12577870704298422"/>
        </c:manualLayout>
      </c:layout>
      <c:overlay val="0"/>
      <c:spPr>
        <a:solidFill>
          <a:schemeClr val="bg1"/>
        </a:solid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0.83212</cdr:x>
      <cdr:y>0.02543</cdr:y>
    </cdr:from>
    <cdr:to>
      <cdr:x>0.98812</cdr:x>
      <cdr:y>0.08628</cdr:y>
    </cdr:to>
    <cdr:pic>
      <cdr:nvPicPr>
        <cdr:cNvPr id="2"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524375" y="90487"/>
          <a:ext cx="848220" cy="216545"/>
        </a:xfrm>
        <a:prstGeom xmlns:a="http://schemas.openxmlformats.org/drawingml/2006/main" prst="rect">
          <a:avLst/>
        </a:prstGeom>
        <a:noFill xmlns:a="http://schemas.openxmlformats.org/drawingml/2006/main"/>
      </cdr:spPr>
    </cdr:pic>
  </cdr:relSizeAnchor>
</c:userShapes>
</file>

<file path=word/drawings/drawing2.xml><?xml version="1.0" encoding="utf-8"?>
<c:userShapes xmlns:c="http://schemas.openxmlformats.org/drawingml/2006/chart">
  <cdr:relSizeAnchor xmlns:cdr="http://schemas.openxmlformats.org/drawingml/2006/chartDrawing">
    <cdr:from>
      <cdr:x>0.84364</cdr:x>
      <cdr:y>0.02397</cdr:y>
    </cdr:from>
    <cdr:to>
      <cdr:x>0.99403</cdr:x>
      <cdr:y>0.0878</cdr:y>
    </cdr:to>
    <cdr:pic>
      <cdr:nvPicPr>
        <cdr:cNvPr id="3" name="Picture 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5363824" y="91686"/>
          <a:ext cx="956185" cy="244074"/>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C892-3E33-4BBC-A57E-DCFED1CC8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806</TotalTime>
  <Pages>8</Pages>
  <Words>2895</Words>
  <Characters>17086</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19942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matousova9707</cp:lastModifiedBy>
  <cp:revision>260</cp:revision>
  <cp:lastPrinted>2020-09-07T12:48:00Z</cp:lastPrinted>
  <dcterms:created xsi:type="dcterms:W3CDTF">2020-09-02T10:34:00Z</dcterms:created>
  <dcterms:modified xsi:type="dcterms:W3CDTF">2020-09-08T09:28:00Z</dcterms:modified>
</cp:coreProperties>
</file>