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167" w:rsidRPr="00884167" w:rsidRDefault="00635539" w:rsidP="00C969E9">
      <w:pPr>
        <w:pStyle w:val="Nadpis1"/>
        <w:numPr>
          <w:ilvl w:val="0"/>
          <w:numId w:val="3"/>
        </w:numPr>
        <w:ind w:left="426" w:right="1133" w:hanging="426"/>
        <w:jc w:val="both"/>
        <w:rPr>
          <w:sz w:val="30"/>
          <w:szCs w:val="30"/>
        </w:rPr>
      </w:pPr>
      <w:r w:rsidRPr="00635539">
        <w:rPr>
          <w:sz w:val="30"/>
          <w:szCs w:val="30"/>
        </w:rPr>
        <w:t>Používání informačních a komunikačních technologií</w:t>
      </w:r>
      <w:r w:rsidRPr="00884167">
        <w:rPr>
          <w:sz w:val="30"/>
          <w:szCs w:val="30"/>
        </w:rPr>
        <w:t xml:space="preserve"> </w:t>
      </w:r>
    </w:p>
    <w:p w:rsidR="00635539" w:rsidRPr="00635539" w:rsidRDefault="00401330" w:rsidP="00635539">
      <w:pPr>
        <w:pStyle w:val="Zkladntext"/>
        <w:spacing w:before="0" w:after="80" w:line="264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Nikoho zřejmě nepřekvapí, že naprostá většina f</w:t>
      </w:r>
      <w:r w:rsidR="00AE1B9B">
        <w:rPr>
          <w:rFonts w:ascii="Arial" w:hAnsi="Arial" w:cs="Arial"/>
          <w:i/>
          <w:sz w:val="20"/>
        </w:rPr>
        <w:t xml:space="preserve">irem </w:t>
      </w:r>
      <w:r>
        <w:rPr>
          <w:rFonts w:ascii="Arial" w:hAnsi="Arial" w:cs="Arial"/>
          <w:i/>
          <w:sz w:val="20"/>
        </w:rPr>
        <w:t xml:space="preserve">v ČR již řadu let </w:t>
      </w:r>
      <w:r w:rsidR="00AE1B9B">
        <w:rPr>
          <w:rFonts w:ascii="Arial" w:hAnsi="Arial" w:cs="Arial"/>
          <w:i/>
          <w:sz w:val="20"/>
        </w:rPr>
        <w:t>využí</w:t>
      </w:r>
      <w:r>
        <w:rPr>
          <w:rFonts w:ascii="Arial" w:hAnsi="Arial" w:cs="Arial"/>
          <w:i/>
          <w:sz w:val="20"/>
        </w:rPr>
        <w:t>vá</w:t>
      </w:r>
      <w:r w:rsidR="00AE1B9B">
        <w:rPr>
          <w:rFonts w:ascii="Arial" w:hAnsi="Arial" w:cs="Arial"/>
          <w:i/>
          <w:sz w:val="20"/>
        </w:rPr>
        <w:t xml:space="preserve"> počítače</w:t>
      </w:r>
      <w:r>
        <w:rPr>
          <w:rFonts w:ascii="Arial" w:hAnsi="Arial" w:cs="Arial"/>
          <w:i/>
          <w:sz w:val="20"/>
        </w:rPr>
        <w:t xml:space="preserve"> či jiná ICT zařízení</w:t>
      </w:r>
      <w:r w:rsidR="00AE1B9B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  <w:r w:rsidR="00635539">
        <w:rPr>
          <w:rFonts w:ascii="Arial" w:hAnsi="Arial" w:cs="Arial"/>
          <w:i/>
          <w:sz w:val="20"/>
        </w:rPr>
        <w:t xml:space="preserve"> V roce 2012 využívalo počítače 97 % firem</w:t>
      </w:r>
      <w:r w:rsidR="00AE1B9B">
        <w:rPr>
          <w:rFonts w:ascii="Arial" w:hAnsi="Arial" w:cs="Arial"/>
          <w:i/>
          <w:sz w:val="20"/>
        </w:rPr>
        <w:t>, v roce 2020 využívalo libovolná ICT zařízení 99 % firem</w:t>
      </w:r>
      <w:r w:rsidR="00635539">
        <w:rPr>
          <w:rFonts w:ascii="Arial" w:hAnsi="Arial" w:cs="Arial"/>
          <w:i/>
          <w:sz w:val="20"/>
        </w:rPr>
        <w:t>.</w:t>
      </w:r>
      <w:r w:rsidR="00AE1B9B">
        <w:rPr>
          <w:rFonts w:ascii="Arial" w:hAnsi="Arial" w:cs="Arial"/>
          <w:i/>
          <w:sz w:val="20"/>
        </w:rPr>
        <w:t xml:space="preserve"> Nejčastěji šlo o desktopy, těsně následované </w:t>
      </w:r>
      <w:r>
        <w:rPr>
          <w:rFonts w:ascii="Arial" w:hAnsi="Arial" w:cs="Arial"/>
          <w:i/>
          <w:sz w:val="20"/>
        </w:rPr>
        <w:t>chytrými mobily</w:t>
      </w:r>
      <w:r w:rsidR="00AE1B9B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a</w:t>
      </w:r>
      <w:r w:rsidR="00AE1B9B">
        <w:rPr>
          <w:rFonts w:ascii="Arial" w:hAnsi="Arial" w:cs="Arial"/>
          <w:i/>
          <w:sz w:val="20"/>
        </w:rPr>
        <w:t xml:space="preserve"> dalšími přenosnými počítači. Drtivá většina používaných ICT má zároveň přístup na internet a významně narůstá i využívání přenosných zařízení umožňujících přístup na internet přes mobilní sítě.</w:t>
      </w:r>
      <w:r w:rsidR="00635539">
        <w:rPr>
          <w:rFonts w:ascii="Arial" w:hAnsi="Arial" w:cs="Arial"/>
          <w:i/>
          <w:sz w:val="20"/>
        </w:rPr>
        <w:t xml:space="preserve"> </w:t>
      </w:r>
    </w:p>
    <w:p w:rsidR="00884167" w:rsidRDefault="00884167" w:rsidP="00355AE7">
      <w:pPr>
        <w:pStyle w:val="Nadpis2"/>
        <w:tabs>
          <w:tab w:val="left" w:pos="9639"/>
        </w:tabs>
        <w:spacing w:before="240" w:after="120"/>
        <w:jc w:val="both"/>
      </w:pPr>
      <w:r>
        <w:t>Hlavní zjištění</w:t>
      </w:r>
    </w:p>
    <w:p w:rsidR="0084796F" w:rsidRPr="0084796F" w:rsidRDefault="00884167" w:rsidP="00A254A1">
      <w:pPr>
        <w:numPr>
          <w:ilvl w:val="0"/>
          <w:numId w:val="2"/>
        </w:numPr>
        <w:autoSpaceDE w:val="0"/>
        <w:autoSpaceDN w:val="0"/>
        <w:adjustRightInd w:val="0"/>
        <w:spacing w:after="100" w:line="300" w:lineRule="auto"/>
        <w:ind w:left="357" w:hanging="357"/>
        <w:jc w:val="both"/>
        <w:rPr>
          <w:rFonts w:cs="Arial"/>
          <w:iCs/>
          <w:szCs w:val="20"/>
        </w:rPr>
      </w:pPr>
      <w:r w:rsidRPr="000D58D6">
        <w:rPr>
          <w:rFonts w:cs="Arial"/>
        </w:rPr>
        <w:t>V </w:t>
      </w:r>
      <w:r w:rsidR="00355AE7" w:rsidRPr="000D58D6">
        <w:rPr>
          <w:rFonts w:cs="Arial"/>
        </w:rPr>
        <w:t>roce</w:t>
      </w:r>
      <w:r w:rsidRPr="000D58D6">
        <w:rPr>
          <w:rFonts w:cs="Arial"/>
        </w:rPr>
        <w:t xml:space="preserve"> 20</w:t>
      </w:r>
      <w:r w:rsidR="00401330" w:rsidRPr="000D58D6">
        <w:rPr>
          <w:rFonts w:cs="Arial"/>
        </w:rPr>
        <w:t>20</w:t>
      </w:r>
      <w:r w:rsidRPr="000D58D6">
        <w:rPr>
          <w:rFonts w:cs="Arial"/>
        </w:rPr>
        <w:t xml:space="preserve"> </w:t>
      </w:r>
      <w:r w:rsidR="00401330" w:rsidRPr="00010075">
        <w:rPr>
          <w:rFonts w:cs="Arial"/>
          <w:b/>
        </w:rPr>
        <w:t xml:space="preserve">nepoužívalo nějaké ICT zařízení jen jedno procento </w:t>
      </w:r>
      <w:r w:rsidRPr="00010075">
        <w:rPr>
          <w:rFonts w:cs="Arial"/>
          <w:b/>
        </w:rPr>
        <w:t>firem</w:t>
      </w:r>
      <w:r w:rsidR="00810610" w:rsidRPr="000D58D6">
        <w:rPr>
          <w:rFonts w:cs="Arial"/>
        </w:rPr>
        <w:t xml:space="preserve"> </w:t>
      </w:r>
      <w:r w:rsidR="001C534C" w:rsidRPr="000D58D6">
        <w:rPr>
          <w:rFonts w:cs="Arial"/>
        </w:rPr>
        <w:t>s deseti a více zaměstnanci</w:t>
      </w:r>
      <w:r w:rsidR="00355AE7" w:rsidRPr="000D58D6">
        <w:rPr>
          <w:rFonts w:cs="Arial"/>
        </w:rPr>
        <w:t xml:space="preserve"> v</w:t>
      </w:r>
      <w:r w:rsidR="00010075">
        <w:rPr>
          <w:rFonts w:cs="Arial"/>
        </w:rPr>
        <w:t> </w:t>
      </w:r>
      <w:r w:rsidR="00355AE7" w:rsidRPr="000D58D6">
        <w:rPr>
          <w:rFonts w:cs="Arial"/>
        </w:rPr>
        <w:t>ČR</w:t>
      </w:r>
      <w:r w:rsidRPr="000D58D6">
        <w:rPr>
          <w:rFonts w:cs="Arial"/>
        </w:rPr>
        <w:t xml:space="preserve">. </w:t>
      </w:r>
      <w:r w:rsidR="001303B9">
        <w:rPr>
          <w:rFonts w:cs="Arial"/>
        </w:rPr>
        <w:t xml:space="preserve">Pro naprostou většinu firem je používání ICT </w:t>
      </w:r>
      <w:r w:rsidR="00401330" w:rsidRPr="000D58D6">
        <w:rPr>
          <w:rFonts w:cs="Arial"/>
        </w:rPr>
        <w:t xml:space="preserve">zařízení </w:t>
      </w:r>
      <w:r w:rsidR="001303B9">
        <w:rPr>
          <w:rFonts w:cs="Arial"/>
        </w:rPr>
        <w:t>denní rutinou a platí to napříč</w:t>
      </w:r>
      <w:r w:rsidR="00401330" w:rsidRPr="000D58D6">
        <w:rPr>
          <w:rFonts w:cs="Arial"/>
        </w:rPr>
        <w:t xml:space="preserve"> velikostními skupinami. </w:t>
      </w:r>
    </w:p>
    <w:p w:rsidR="00884167" w:rsidRPr="0084796F" w:rsidRDefault="0084796F" w:rsidP="008002CE">
      <w:pPr>
        <w:numPr>
          <w:ilvl w:val="0"/>
          <w:numId w:val="2"/>
        </w:numPr>
        <w:autoSpaceDE w:val="0"/>
        <w:autoSpaceDN w:val="0"/>
        <w:adjustRightInd w:val="0"/>
        <w:spacing w:after="100" w:line="300" w:lineRule="auto"/>
        <w:ind w:left="357" w:hanging="357"/>
        <w:jc w:val="both"/>
        <w:rPr>
          <w:rFonts w:cs="Arial"/>
          <w:iCs/>
          <w:szCs w:val="20"/>
        </w:rPr>
      </w:pPr>
      <w:r w:rsidRPr="0084796F">
        <w:rPr>
          <w:rFonts w:cs="Arial"/>
          <w:iCs/>
          <w:szCs w:val="20"/>
        </w:rPr>
        <w:t>ICT zařízení používají všechny subjekty z odvětví velkoobchod, činnosti cestovních agentur a kanceláří, firmy působící v audiovizuálním sektoru či v telekomunikačních činnostech.</w:t>
      </w:r>
      <w:r>
        <w:rPr>
          <w:rFonts w:cs="Arial"/>
          <w:iCs/>
          <w:szCs w:val="20"/>
        </w:rPr>
        <w:t xml:space="preserve"> M</w:t>
      </w:r>
      <w:r w:rsidR="000D58D6" w:rsidRPr="0084796F">
        <w:rPr>
          <w:rFonts w:cs="Arial"/>
        </w:rPr>
        <w:t>éně</w:t>
      </w:r>
      <w:r>
        <w:rPr>
          <w:rFonts w:cs="Arial"/>
        </w:rPr>
        <w:t xml:space="preserve"> </w:t>
      </w:r>
      <w:r w:rsidR="000D58D6" w:rsidRPr="0084796F">
        <w:rPr>
          <w:rFonts w:cs="Arial"/>
        </w:rPr>
        <w:t>často jsou ICT zařízení využívána v odvětví souhrnně nazvaném Ostatní administrativní a podpůrné činnosti, kam se řadí např</w:t>
      </w:r>
      <w:r>
        <w:rPr>
          <w:rFonts w:cs="Arial"/>
        </w:rPr>
        <w:t xml:space="preserve">. </w:t>
      </w:r>
      <w:r w:rsidR="000D58D6" w:rsidRPr="0084796F">
        <w:rPr>
          <w:rFonts w:cs="Arial"/>
        </w:rPr>
        <w:t xml:space="preserve">poskytování pronájmu, činnosti personálních agentur, </w:t>
      </w:r>
      <w:r w:rsidR="000D58D6" w:rsidRPr="000D58D6">
        <w:t>činnosti související s bezpečností či ostrahou či poskytování celé řady každodenních administrativních a běžných rutinních úkonů</w:t>
      </w:r>
      <w:r w:rsidR="000D58D6" w:rsidRPr="0084796F">
        <w:rPr>
          <w:rFonts w:cs="Arial"/>
        </w:rPr>
        <w:t xml:space="preserve"> nebo v</w:t>
      </w:r>
      <w:r>
        <w:rPr>
          <w:rFonts w:cs="Arial"/>
        </w:rPr>
        <w:t>e s</w:t>
      </w:r>
      <w:r w:rsidR="000D58D6" w:rsidRPr="0084796F">
        <w:rPr>
          <w:rFonts w:cs="Arial"/>
        </w:rPr>
        <w:t>travování a</w:t>
      </w:r>
      <w:r>
        <w:rPr>
          <w:rFonts w:cs="Arial"/>
        </w:rPr>
        <w:t> </w:t>
      </w:r>
      <w:r w:rsidR="000D58D6" w:rsidRPr="0084796F">
        <w:rPr>
          <w:rFonts w:cs="Arial"/>
        </w:rPr>
        <w:t>pohostinství. V těchto odvětvích nepoužívá ICT zařízení přibližně 5 % subjektů.</w:t>
      </w:r>
    </w:p>
    <w:p w:rsidR="00010075" w:rsidRPr="00010075" w:rsidRDefault="00010075" w:rsidP="00A254A1">
      <w:pPr>
        <w:numPr>
          <w:ilvl w:val="0"/>
          <w:numId w:val="2"/>
        </w:numPr>
        <w:autoSpaceDE w:val="0"/>
        <w:autoSpaceDN w:val="0"/>
        <w:adjustRightInd w:val="0"/>
        <w:spacing w:after="100" w:line="300" w:lineRule="auto"/>
        <w:ind w:left="357" w:hanging="357"/>
        <w:jc w:val="both"/>
        <w:rPr>
          <w:rFonts w:cs="Arial"/>
          <w:iCs/>
          <w:szCs w:val="20"/>
        </w:rPr>
      </w:pPr>
      <w:r w:rsidRPr="00D440D4">
        <w:rPr>
          <w:rFonts w:cs="Arial"/>
          <w:b/>
        </w:rPr>
        <w:t xml:space="preserve">Nejčastěji využívaným typem ICT zařízení ve firmách jsou </w:t>
      </w:r>
      <w:r w:rsidR="0084796F">
        <w:rPr>
          <w:rFonts w:cs="Arial"/>
          <w:b/>
        </w:rPr>
        <w:t>osobní stolní</w:t>
      </w:r>
      <w:r w:rsidRPr="00D440D4">
        <w:rPr>
          <w:rFonts w:cs="Arial"/>
          <w:b/>
        </w:rPr>
        <w:t xml:space="preserve"> počítače</w:t>
      </w:r>
      <w:r>
        <w:rPr>
          <w:rFonts w:cs="Arial"/>
        </w:rPr>
        <w:t xml:space="preserve">. Využívá je více než 92 % subjektů s 10 a více zaměstnanci. Desktopy využívá 98 % velkých firem a 91 % malých subjektů. </w:t>
      </w:r>
      <w:r w:rsidR="00476D73">
        <w:rPr>
          <w:rFonts w:cs="Arial"/>
        </w:rPr>
        <w:t>Častěji</w:t>
      </w:r>
      <w:r w:rsidR="00D440D4">
        <w:rPr>
          <w:rFonts w:cs="Arial"/>
        </w:rPr>
        <w:t xml:space="preserve"> než přenosné typy ICT zařízení jsou </w:t>
      </w:r>
      <w:r w:rsidR="0084796F">
        <w:rPr>
          <w:rFonts w:cs="Arial"/>
        </w:rPr>
        <w:t xml:space="preserve">osobní </w:t>
      </w:r>
      <w:r w:rsidR="00D440D4">
        <w:rPr>
          <w:rFonts w:cs="Arial"/>
        </w:rPr>
        <w:t xml:space="preserve">stolní počítače využívány ve zpracovatelském průmyslu, ve stavebnictví, v maloobchodě, v odvětví ubytování nebo v cestovních agenturách či kancelářích. </w:t>
      </w:r>
    </w:p>
    <w:p w:rsidR="00551D9C" w:rsidRPr="00551D9C" w:rsidRDefault="00010075" w:rsidP="00A254A1">
      <w:pPr>
        <w:numPr>
          <w:ilvl w:val="0"/>
          <w:numId w:val="2"/>
        </w:numPr>
        <w:autoSpaceDE w:val="0"/>
        <w:autoSpaceDN w:val="0"/>
        <w:adjustRightInd w:val="0"/>
        <w:spacing w:after="100" w:line="300" w:lineRule="auto"/>
        <w:ind w:left="357" w:hanging="357"/>
        <w:jc w:val="both"/>
        <w:rPr>
          <w:rFonts w:cs="Arial"/>
          <w:iCs/>
          <w:szCs w:val="20"/>
        </w:rPr>
      </w:pPr>
      <w:r w:rsidRPr="00D440D4">
        <w:rPr>
          <w:rFonts w:cs="Arial"/>
          <w:b/>
        </w:rPr>
        <w:t>Více než devět firem z deseti využívá také chytré mobilní telefony</w:t>
      </w:r>
      <w:r>
        <w:rPr>
          <w:rFonts w:cs="Arial"/>
        </w:rPr>
        <w:t xml:space="preserve">. Velké a středně velké firmy používají stejně často jak stolní počítače tak </w:t>
      </w:r>
      <w:proofErr w:type="spellStart"/>
      <w:r>
        <w:rPr>
          <w:rFonts w:cs="Arial"/>
        </w:rPr>
        <w:t>smartphony</w:t>
      </w:r>
      <w:proofErr w:type="spellEnd"/>
      <w:r>
        <w:rPr>
          <w:rFonts w:cs="Arial"/>
        </w:rPr>
        <w:t>. Malé subjekty s 10 až 49 zaměstnanci používají o něco častěji desktopy než chytré mobily.</w:t>
      </w:r>
      <w:r w:rsidR="00476D73">
        <w:rPr>
          <w:rFonts w:cs="Arial"/>
        </w:rPr>
        <w:t xml:space="preserve"> </w:t>
      </w:r>
    </w:p>
    <w:p w:rsidR="00010075" w:rsidRPr="00476D73" w:rsidRDefault="00476D73" w:rsidP="00A254A1">
      <w:pPr>
        <w:numPr>
          <w:ilvl w:val="0"/>
          <w:numId w:val="2"/>
        </w:numPr>
        <w:autoSpaceDE w:val="0"/>
        <w:autoSpaceDN w:val="0"/>
        <w:adjustRightInd w:val="0"/>
        <w:spacing w:after="100" w:line="300" w:lineRule="auto"/>
        <w:ind w:left="357" w:hanging="357"/>
        <w:jc w:val="both"/>
        <w:rPr>
          <w:rFonts w:cs="Arial"/>
          <w:iCs/>
          <w:szCs w:val="20"/>
        </w:rPr>
      </w:pPr>
      <w:proofErr w:type="spellStart"/>
      <w:r w:rsidRPr="0057071D">
        <w:rPr>
          <w:rFonts w:cs="Arial"/>
          <w:b/>
        </w:rPr>
        <w:t>Smartphony</w:t>
      </w:r>
      <w:proofErr w:type="spellEnd"/>
      <w:r w:rsidRPr="0057071D">
        <w:rPr>
          <w:rFonts w:cs="Arial"/>
          <w:b/>
        </w:rPr>
        <w:t xml:space="preserve"> jsou používány častěji než stolní počítače</w:t>
      </w:r>
      <w:r>
        <w:rPr>
          <w:rFonts w:cs="Arial"/>
        </w:rPr>
        <w:t xml:space="preserve"> například v odvětvích činnosti v oblasti IT, telekomunikační činnosti, v energetice, ve velkoobchodě, v dopravě a skladování nebo v </w:t>
      </w:r>
      <w:r w:rsidRPr="001F2C5D">
        <w:rPr>
          <w:rFonts w:cs="Arial"/>
        </w:rPr>
        <w:t>odvětví souhrnně nazvané</w:t>
      </w:r>
      <w:r>
        <w:rPr>
          <w:rFonts w:cs="Arial"/>
        </w:rPr>
        <w:t>m</w:t>
      </w:r>
      <w:r w:rsidRPr="001F2C5D">
        <w:rPr>
          <w:rFonts w:cs="Arial"/>
        </w:rPr>
        <w:t xml:space="preserve"> Profesní, vědecké a technické činnosti, kam se řadí např. poskytování právních služeb, vedení účetnictví, výzkum a</w:t>
      </w:r>
      <w:r>
        <w:rPr>
          <w:rFonts w:cs="Arial"/>
        </w:rPr>
        <w:t> </w:t>
      </w:r>
      <w:r w:rsidRPr="001F2C5D">
        <w:rPr>
          <w:rFonts w:cs="Arial"/>
        </w:rPr>
        <w:t>vývoj, průzkum trhu a</w:t>
      </w:r>
      <w:r>
        <w:rPr>
          <w:rFonts w:cs="Arial"/>
        </w:rPr>
        <w:t> </w:t>
      </w:r>
      <w:r w:rsidRPr="001F2C5D">
        <w:rPr>
          <w:rFonts w:cs="Arial"/>
        </w:rPr>
        <w:t xml:space="preserve">další. </w:t>
      </w:r>
      <w:r>
        <w:rPr>
          <w:rFonts w:cs="Arial"/>
        </w:rPr>
        <w:t xml:space="preserve"> </w:t>
      </w:r>
    </w:p>
    <w:p w:rsidR="00476D73" w:rsidRPr="00D03366" w:rsidRDefault="00476D73" w:rsidP="00A254A1">
      <w:pPr>
        <w:numPr>
          <w:ilvl w:val="0"/>
          <w:numId w:val="2"/>
        </w:numPr>
        <w:autoSpaceDE w:val="0"/>
        <w:autoSpaceDN w:val="0"/>
        <w:adjustRightInd w:val="0"/>
        <w:spacing w:after="100" w:line="300" w:lineRule="auto"/>
        <w:ind w:left="357" w:hanging="357"/>
        <w:jc w:val="both"/>
        <w:rPr>
          <w:rFonts w:cs="Arial"/>
          <w:iCs/>
          <w:szCs w:val="20"/>
        </w:rPr>
      </w:pPr>
      <w:r w:rsidRPr="00D03366">
        <w:rPr>
          <w:rFonts w:cs="Arial"/>
          <w:b/>
        </w:rPr>
        <w:t>Notebooky nebo tablety</w:t>
      </w:r>
      <w:r>
        <w:rPr>
          <w:rFonts w:cs="Arial"/>
        </w:rPr>
        <w:t xml:space="preserve"> využívalo v roce 2020 více než 87 % firem s </w:t>
      </w:r>
      <w:r w:rsidR="00D03366">
        <w:rPr>
          <w:rFonts w:cs="Arial"/>
        </w:rPr>
        <w:t>1</w:t>
      </w:r>
      <w:r>
        <w:rPr>
          <w:rFonts w:cs="Arial"/>
        </w:rPr>
        <w:t>0 a více zaměstnanci.</w:t>
      </w:r>
      <w:r w:rsidR="00E3047D">
        <w:rPr>
          <w:rFonts w:cs="Arial"/>
        </w:rPr>
        <w:t xml:space="preserve"> </w:t>
      </w:r>
      <w:r w:rsidR="00D440D4">
        <w:rPr>
          <w:rFonts w:cs="Arial"/>
        </w:rPr>
        <w:t>Přenosné počítače využívají téměř všechny firmy v</w:t>
      </w:r>
      <w:r w:rsidR="00E3047D">
        <w:rPr>
          <w:rFonts w:cs="Arial"/>
        </w:rPr>
        <w:t xml:space="preserve"> telekomunikačních činnostech a v </w:t>
      </w:r>
      <w:r w:rsidR="00D440D4">
        <w:rPr>
          <w:rFonts w:cs="Arial"/>
        </w:rPr>
        <w:t xml:space="preserve">IT </w:t>
      </w:r>
      <w:r w:rsidR="00E3047D">
        <w:rPr>
          <w:rFonts w:cs="Arial"/>
        </w:rPr>
        <w:t xml:space="preserve">odvětví. </w:t>
      </w:r>
      <w:r w:rsidR="00D03366">
        <w:rPr>
          <w:rFonts w:cs="Arial"/>
        </w:rPr>
        <w:t>Nejméně často je naopak využívají subjekty působící v maloobchodě nebo ve stravování a pohostinství.</w:t>
      </w:r>
    </w:p>
    <w:p w:rsidR="00D03366" w:rsidRDefault="00D03366" w:rsidP="00A254A1">
      <w:pPr>
        <w:numPr>
          <w:ilvl w:val="0"/>
          <w:numId w:val="2"/>
        </w:numPr>
        <w:autoSpaceDE w:val="0"/>
        <w:autoSpaceDN w:val="0"/>
        <w:adjustRightInd w:val="0"/>
        <w:spacing w:after="100" w:line="300" w:lineRule="auto"/>
        <w:ind w:left="357" w:hanging="357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Téměř všechna ICT zařízení používaná zaměstnanci firem v ČR </w:t>
      </w:r>
      <w:r w:rsidR="0084796F">
        <w:rPr>
          <w:rFonts w:cs="Arial"/>
          <w:iCs/>
          <w:szCs w:val="20"/>
        </w:rPr>
        <w:t>měl</w:t>
      </w:r>
      <w:r w:rsidR="001E4FEA">
        <w:rPr>
          <w:rFonts w:cs="Arial"/>
          <w:iCs/>
          <w:szCs w:val="20"/>
        </w:rPr>
        <w:t>a</w:t>
      </w:r>
      <w:r w:rsidR="0084796F">
        <w:rPr>
          <w:rFonts w:cs="Arial"/>
          <w:iCs/>
          <w:szCs w:val="20"/>
        </w:rPr>
        <w:t xml:space="preserve"> v roce 2020</w:t>
      </w:r>
      <w:r>
        <w:rPr>
          <w:rFonts w:cs="Arial"/>
          <w:iCs/>
          <w:szCs w:val="20"/>
        </w:rPr>
        <w:t xml:space="preserve"> zároveň </w:t>
      </w:r>
      <w:r w:rsidRPr="00D03366">
        <w:rPr>
          <w:rFonts w:cs="Arial"/>
          <w:b/>
          <w:iCs/>
          <w:szCs w:val="20"/>
        </w:rPr>
        <w:t>přístup na</w:t>
      </w:r>
      <w:r w:rsidR="0084796F">
        <w:rPr>
          <w:rFonts w:cs="Arial"/>
          <w:b/>
          <w:iCs/>
          <w:szCs w:val="20"/>
        </w:rPr>
        <w:t> </w:t>
      </w:r>
      <w:r w:rsidRPr="00D03366">
        <w:rPr>
          <w:rFonts w:cs="Arial"/>
          <w:b/>
          <w:iCs/>
          <w:szCs w:val="20"/>
        </w:rPr>
        <w:t>internet</w:t>
      </w:r>
      <w:r>
        <w:rPr>
          <w:rFonts w:cs="Arial"/>
          <w:iCs/>
          <w:szCs w:val="20"/>
        </w:rPr>
        <w:t xml:space="preserve">. Přístup na internet znamená využití jakéhokoli typu pevného připojení (např. pomocí </w:t>
      </w:r>
      <w:proofErr w:type="spellStart"/>
      <w:r>
        <w:rPr>
          <w:rFonts w:cs="Arial"/>
          <w:iCs/>
          <w:szCs w:val="20"/>
        </w:rPr>
        <w:t>xDSL</w:t>
      </w:r>
      <w:proofErr w:type="spellEnd"/>
      <w:r>
        <w:rPr>
          <w:rFonts w:cs="Arial"/>
          <w:iCs/>
          <w:szCs w:val="20"/>
        </w:rPr>
        <w:t xml:space="preserve"> technologie využívající rozvodů klasických telefonních linek, externí bezdrátové připojení) nebo mobilní připojení prostřednictvím datového tarifu od mobilních operátorů. ICT zařízení s přístupem na internet používají všechny subjekty z odvětví velkoobchod, činnosti cestovních agentur a kanceláří, </w:t>
      </w:r>
      <w:r w:rsidR="004061AC">
        <w:rPr>
          <w:rFonts w:cs="Arial"/>
          <w:iCs/>
          <w:szCs w:val="20"/>
        </w:rPr>
        <w:t>firmy působící v audiovizuálním sektoru či v telekomunikačních činnostech.</w:t>
      </w:r>
    </w:p>
    <w:p w:rsidR="008002CE" w:rsidRPr="0057071D" w:rsidRDefault="00197494" w:rsidP="0057071D">
      <w:pPr>
        <w:numPr>
          <w:ilvl w:val="0"/>
          <w:numId w:val="2"/>
        </w:numPr>
        <w:autoSpaceDE w:val="0"/>
        <w:autoSpaceDN w:val="0"/>
        <w:adjustRightInd w:val="0"/>
        <w:spacing w:after="100" w:line="300" w:lineRule="auto"/>
        <w:ind w:left="357" w:hanging="357"/>
        <w:jc w:val="both"/>
        <w:rPr>
          <w:rFonts w:cs="Arial"/>
          <w:b/>
          <w:bCs/>
          <w:color w:val="000000"/>
          <w:szCs w:val="20"/>
        </w:rPr>
      </w:pPr>
      <w:r w:rsidRPr="0057071D">
        <w:rPr>
          <w:rFonts w:cs="Arial"/>
          <w:b/>
          <w:iCs/>
          <w:szCs w:val="20"/>
        </w:rPr>
        <w:t>Využívání přenosných zařízení vybavených mobilními daty</w:t>
      </w:r>
      <w:r w:rsidRPr="0057071D">
        <w:rPr>
          <w:rFonts w:cs="Arial"/>
          <w:iCs/>
          <w:szCs w:val="20"/>
        </w:rPr>
        <w:t xml:space="preserve"> (hrazenými firmou, alespoň do výše dohodnutého limitu) </w:t>
      </w:r>
      <w:r w:rsidR="008002CE" w:rsidRPr="0057071D">
        <w:rPr>
          <w:rFonts w:cs="Arial"/>
          <w:iCs/>
          <w:szCs w:val="20"/>
        </w:rPr>
        <w:t>bylo v roce 2020</w:t>
      </w:r>
      <w:r w:rsidRPr="0057071D">
        <w:rPr>
          <w:rFonts w:cs="Arial"/>
          <w:iCs/>
          <w:szCs w:val="20"/>
        </w:rPr>
        <w:t xml:space="preserve"> typické pro </w:t>
      </w:r>
      <w:r w:rsidR="00551D9C" w:rsidRPr="0057071D">
        <w:rPr>
          <w:rFonts w:cs="Arial"/>
          <w:iCs/>
          <w:szCs w:val="20"/>
        </w:rPr>
        <w:t xml:space="preserve">zaměstnance </w:t>
      </w:r>
      <w:r w:rsidRPr="0057071D">
        <w:rPr>
          <w:rFonts w:cs="Arial"/>
          <w:iCs/>
          <w:szCs w:val="20"/>
        </w:rPr>
        <w:t>dev</w:t>
      </w:r>
      <w:r w:rsidR="00551D9C" w:rsidRPr="0057071D">
        <w:rPr>
          <w:rFonts w:cs="Arial"/>
          <w:iCs/>
          <w:szCs w:val="20"/>
        </w:rPr>
        <w:t>íti</w:t>
      </w:r>
      <w:r w:rsidRPr="0057071D">
        <w:rPr>
          <w:rFonts w:cs="Arial"/>
          <w:iCs/>
          <w:szCs w:val="20"/>
        </w:rPr>
        <w:t xml:space="preserve"> firem z</w:t>
      </w:r>
      <w:r w:rsidR="00B55DEE">
        <w:rPr>
          <w:rFonts w:cs="Arial"/>
          <w:iCs/>
          <w:szCs w:val="20"/>
        </w:rPr>
        <w:t> </w:t>
      </w:r>
      <w:r w:rsidRPr="0057071D">
        <w:rPr>
          <w:rFonts w:cs="Arial"/>
          <w:iCs/>
          <w:szCs w:val="20"/>
        </w:rPr>
        <w:t>deseti</w:t>
      </w:r>
      <w:r w:rsidR="00B55DEE">
        <w:rPr>
          <w:rFonts w:cs="Arial"/>
          <w:iCs/>
          <w:szCs w:val="20"/>
        </w:rPr>
        <w:t xml:space="preserve"> (v předchozím roce je používalo 83 % firem)</w:t>
      </w:r>
      <w:r w:rsidRPr="0057071D">
        <w:rPr>
          <w:rFonts w:cs="Arial"/>
          <w:iCs/>
          <w:szCs w:val="20"/>
        </w:rPr>
        <w:t xml:space="preserve">, nejčastěji pro </w:t>
      </w:r>
      <w:r w:rsidR="00551D9C" w:rsidRPr="0057071D">
        <w:rPr>
          <w:rFonts w:cs="Arial"/>
          <w:iCs/>
          <w:szCs w:val="20"/>
        </w:rPr>
        <w:t xml:space="preserve">zaměstnance </w:t>
      </w:r>
      <w:r w:rsidRPr="0057071D">
        <w:rPr>
          <w:rFonts w:cs="Arial"/>
          <w:iCs/>
          <w:szCs w:val="20"/>
        </w:rPr>
        <w:t>velk</w:t>
      </w:r>
      <w:r w:rsidR="00551D9C" w:rsidRPr="0057071D">
        <w:rPr>
          <w:rFonts w:cs="Arial"/>
          <w:iCs/>
          <w:szCs w:val="20"/>
        </w:rPr>
        <w:t>ých</w:t>
      </w:r>
      <w:r w:rsidRPr="0057071D">
        <w:rPr>
          <w:rFonts w:cs="Arial"/>
          <w:iCs/>
          <w:szCs w:val="20"/>
        </w:rPr>
        <w:t xml:space="preserve"> subjek</w:t>
      </w:r>
      <w:r w:rsidR="00551D9C" w:rsidRPr="0057071D">
        <w:rPr>
          <w:rFonts w:cs="Arial"/>
          <w:iCs/>
          <w:szCs w:val="20"/>
        </w:rPr>
        <w:t>tů</w:t>
      </w:r>
      <w:r w:rsidRPr="0057071D">
        <w:rPr>
          <w:rFonts w:cs="Arial"/>
          <w:iCs/>
          <w:szCs w:val="20"/>
        </w:rPr>
        <w:t xml:space="preserve"> s více než 250 zaměstnanci</w:t>
      </w:r>
      <w:r w:rsidR="001C29A7" w:rsidRPr="0057071D">
        <w:rPr>
          <w:rFonts w:cs="Arial"/>
          <w:iCs/>
          <w:szCs w:val="20"/>
        </w:rPr>
        <w:t xml:space="preserve"> (98 %)</w:t>
      </w:r>
      <w:r w:rsidRPr="0057071D">
        <w:rPr>
          <w:rFonts w:cs="Arial"/>
          <w:iCs/>
          <w:szCs w:val="20"/>
        </w:rPr>
        <w:t>.</w:t>
      </w:r>
      <w:r w:rsidR="0084796F" w:rsidRPr="0057071D">
        <w:rPr>
          <w:rFonts w:cs="Arial"/>
          <w:iCs/>
          <w:szCs w:val="20"/>
        </w:rPr>
        <w:t xml:space="preserve"> Z hlediska odvětví je využívání přenosných zařízení s přístupem na internet přes mobilní sítě nejčastější v telekomunikačních činnostech (99 % firem) nebo v cestovních agenturách a</w:t>
      </w:r>
      <w:r w:rsidR="008002CE" w:rsidRPr="0057071D">
        <w:rPr>
          <w:rFonts w:cs="Arial"/>
          <w:iCs/>
          <w:szCs w:val="20"/>
        </w:rPr>
        <w:t> </w:t>
      </w:r>
      <w:r w:rsidR="0084796F" w:rsidRPr="0057071D">
        <w:rPr>
          <w:rFonts w:cs="Arial"/>
          <w:iCs/>
          <w:szCs w:val="20"/>
        </w:rPr>
        <w:t xml:space="preserve">kancelářích (98 % firem), nejméně časté naopak v maloobchodě (78 %) nebo v ostatních administrativních a podpůrných činnostech, ve stravování </w:t>
      </w:r>
      <w:r w:rsidR="0084796F" w:rsidRPr="00551D9C">
        <w:t>a</w:t>
      </w:r>
      <w:r w:rsidR="00551D9C">
        <w:t> </w:t>
      </w:r>
      <w:r w:rsidR="0084796F" w:rsidRPr="00551D9C">
        <w:t>pohostinství</w:t>
      </w:r>
      <w:r w:rsidR="0084796F" w:rsidRPr="0057071D">
        <w:rPr>
          <w:rFonts w:cs="Arial"/>
          <w:iCs/>
          <w:szCs w:val="20"/>
        </w:rPr>
        <w:t xml:space="preserve"> či v ubytování (všude shodně 84</w:t>
      </w:r>
      <w:r w:rsidR="008002CE" w:rsidRPr="0057071D">
        <w:rPr>
          <w:rFonts w:cs="Arial"/>
          <w:iCs/>
          <w:szCs w:val="20"/>
        </w:rPr>
        <w:t> </w:t>
      </w:r>
      <w:r w:rsidR="0084796F" w:rsidRPr="0057071D">
        <w:rPr>
          <w:rFonts w:cs="Arial"/>
          <w:iCs/>
          <w:szCs w:val="20"/>
        </w:rPr>
        <w:t>%).</w:t>
      </w:r>
      <w:r w:rsidR="008002CE" w:rsidRPr="0057071D">
        <w:rPr>
          <w:rFonts w:cs="Arial"/>
          <w:b/>
          <w:bCs/>
          <w:color w:val="000000"/>
          <w:szCs w:val="20"/>
        </w:rPr>
        <w:br w:type="page"/>
      </w:r>
    </w:p>
    <w:p w:rsidR="009B089B" w:rsidRDefault="009B089B" w:rsidP="00635539">
      <w:pPr>
        <w:autoSpaceDE w:val="0"/>
        <w:autoSpaceDN w:val="0"/>
        <w:adjustRightInd w:val="0"/>
        <w:spacing w:after="80" w:line="240" w:lineRule="auto"/>
        <w:jc w:val="both"/>
        <w:rPr>
          <w:rFonts w:cs="Arial"/>
          <w:b/>
          <w:bCs/>
          <w:color w:val="000000"/>
          <w:szCs w:val="20"/>
        </w:rPr>
      </w:pPr>
      <w:r w:rsidRPr="009B089B">
        <w:rPr>
          <w:rFonts w:cs="Arial"/>
          <w:b/>
          <w:bCs/>
          <w:color w:val="000000"/>
          <w:szCs w:val="20"/>
        </w:rPr>
        <w:lastRenderedPageBreak/>
        <w:t xml:space="preserve">Tab. 1.1: </w:t>
      </w:r>
      <w:r w:rsidR="00A10ACC">
        <w:rPr>
          <w:rFonts w:cs="Arial"/>
          <w:b/>
          <w:bCs/>
          <w:color w:val="000000"/>
          <w:szCs w:val="20"/>
        </w:rPr>
        <w:t xml:space="preserve">Firmy s 10 a více zaměstnanci v ČR používající </w:t>
      </w:r>
      <w:bookmarkStart w:id="0" w:name="_GoBack"/>
      <w:r w:rsidR="00635539">
        <w:rPr>
          <w:rFonts w:cs="Arial"/>
          <w:b/>
          <w:bCs/>
          <w:color w:val="000000"/>
          <w:szCs w:val="20"/>
        </w:rPr>
        <w:t xml:space="preserve">informační a komunikační </w:t>
      </w:r>
      <w:r w:rsidRPr="009B089B">
        <w:rPr>
          <w:rFonts w:cs="Arial"/>
          <w:b/>
          <w:bCs/>
          <w:color w:val="000000"/>
          <w:szCs w:val="20"/>
        </w:rPr>
        <w:t xml:space="preserve">technologie </w:t>
      </w:r>
      <w:bookmarkEnd w:id="0"/>
      <w:r w:rsidR="002B39B8">
        <w:rPr>
          <w:rFonts w:cs="Arial"/>
          <w:b/>
          <w:bCs/>
          <w:color w:val="000000"/>
          <w:szCs w:val="20"/>
        </w:rPr>
        <w:br/>
      </w:r>
      <w:r w:rsidRPr="009B089B">
        <w:rPr>
          <w:rFonts w:cs="Arial"/>
          <w:b/>
          <w:bCs/>
          <w:color w:val="000000"/>
          <w:szCs w:val="20"/>
        </w:rPr>
        <w:t xml:space="preserve">v </w:t>
      </w:r>
      <w:r w:rsidR="00355AE7">
        <w:rPr>
          <w:rFonts w:cs="Arial"/>
          <w:b/>
          <w:bCs/>
          <w:color w:val="000000"/>
          <w:szCs w:val="20"/>
        </w:rPr>
        <w:t xml:space="preserve">roce </w:t>
      </w:r>
      <w:r w:rsidRPr="009B089B">
        <w:rPr>
          <w:rFonts w:cs="Arial"/>
          <w:b/>
          <w:bCs/>
          <w:color w:val="000000"/>
          <w:szCs w:val="20"/>
        </w:rPr>
        <w:t>20</w:t>
      </w:r>
      <w:r w:rsidR="00635539">
        <w:rPr>
          <w:rFonts w:cs="Arial"/>
          <w:b/>
          <w:bCs/>
          <w:color w:val="000000"/>
          <w:szCs w:val="20"/>
        </w:rPr>
        <w:t>20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851"/>
        <w:gridCol w:w="850"/>
        <w:gridCol w:w="851"/>
        <w:gridCol w:w="992"/>
        <w:gridCol w:w="1200"/>
        <w:gridCol w:w="1493"/>
      </w:tblGrid>
      <w:tr w:rsidR="00635539" w:rsidRPr="00635539" w:rsidTr="00DD531C">
        <w:trPr>
          <w:trHeight w:val="300"/>
        </w:trPr>
        <w:tc>
          <w:tcPr>
            <w:tcW w:w="3402" w:type="dxa"/>
            <w:vMerge w:val="restart"/>
            <w:tcBorders>
              <w:top w:val="single" w:sz="8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635539" w:rsidRPr="00635539" w:rsidRDefault="00635539" w:rsidP="00635539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7" w:type="dxa"/>
            <w:gridSpan w:val="6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>firmy používající</w:t>
            </w:r>
          </w:p>
        </w:tc>
      </w:tr>
      <w:tr w:rsidR="00635539" w:rsidRPr="00635539" w:rsidTr="001E4FEA">
        <w:trPr>
          <w:trHeight w:val="270"/>
        </w:trPr>
        <w:tc>
          <w:tcPr>
            <w:tcW w:w="3402" w:type="dxa"/>
            <w:vMerge/>
            <w:tcBorders>
              <w:top w:val="single" w:sz="8" w:space="0" w:color="969696"/>
              <w:left w:val="nil"/>
              <w:bottom w:val="nil"/>
              <w:right w:val="single" w:sz="4" w:space="0" w:color="969696"/>
            </w:tcBorders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dashed" w:sz="4" w:space="0" w:color="969696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>libovolná ICT zařízení celkem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35539" w:rsidRPr="00635539" w:rsidRDefault="0084796F" w:rsidP="0063553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osobní </w:t>
            </w:r>
            <w:r w:rsidR="00635539" w:rsidRPr="00635539">
              <w:rPr>
                <w:rFonts w:cs="Arial"/>
                <w:color w:val="000000"/>
                <w:sz w:val="16"/>
                <w:szCs w:val="16"/>
              </w:rPr>
              <w:t>stolní počítač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>přenosný počítač nebo tablet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chytrý mobilní telefon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libovolná ICT zařízení </w:t>
            </w:r>
            <w:r w:rsidRPr="00635539">
              <w:rPr>
                <w:rFonts w:cs="Arial"/>
                <w:color w:val="000000"/>
                <w:sz w:val="16"/>
                <w:szCs w:val="16"/>
              </w:rPr>
              <w:br/>
              <w:t xml:space="preserve">s přístupem </w:t>
            </w:r>
            <w:r w:rsidRPr="00635539">
              <w:rPr>
                <w:rFonts w:cs="Arial"/>
                <w:color w:val="000000"/>
                <w:sz w:val="16"/>
                <w:szCs w:val="16"/>
              </w:rPr>
              <w:br/>
              <w:t>na internet</w:t>
            </w:r>
          </w:p>
        </w:tc>
        <w:tc>
          <w:tcPr>
            <w:tcW w:w="1493" w:type="dxa"/>
            <w:vMerge w:val="restar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přenosná ICT zařízení </w:t>
            </w:r>
            <w:r w:rsidRPr="00635539">
              <w:rPr>
                <w:rFonts w:cs="Arial"/>
                <w:color w:val="000000"/>
                <w:sz w:val="16"/>
                <w:szCs w:val="16"/>
              </w:rPr>
              <w:br/>
              <w:t xml:space="preserve">s přístupem </w:t>
            </w:r>
            <w:r w:rsidRPr="00635539">
              <w:rPr>
                <w:rFonts w:cs="Arial"/>
                <w:color w:val="000000"/>
                <w:sz w:val="16"/>
                <w:szCs w:val="16"/>
              </w:rPr>
              <w:br/>
              <w:t xml:space="preserve">na internet </w:t>
            </w:r>
            <w:r w:rsidRPr="00635539">
              <w:rPr>
                <w:rFonts w:cs="Arial"/>
                <w:color w:val="000000"/>
                <w:sz w:val="16"/>
                <w:szCs w:val="16"/>
              </w:rPr>
              <w:br/>
              <w:t>přes mobilní sítě</w:t>
            </w:r>
          </w:p>
        </w:tc>
      </w:tr>
      <w:tr w:rsidR="00635539" w:rsidRPr="00635539" w:rsidTr="001E4FEA">
        <w:trPr>
          <w:trHeight w:val="719"/>
        </w:trPr>
        <w:tc>
          <w:tcPr>
            <w:tcW w:w="3402" w:type="dxa"/>
            <w:vMerge/>
            <w:tcBorders>
              <w:top w:val="single" w:sz="8" w:space="0" w:color="969696"/>
              <w:left w:val="nil"/>
              <w:bottom w:val="nil"/>
              <w:right w:val="single" w:sz="4" w:space="0" w:color="969696"/>
            </w:tcBorders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dashed" w:sz="4" w:space="0" w:color="969696"/>
              <w:bottom w:val="single" w:sz="4" w:space="0" w:color="969696"/>
              <w:right w:val="nil"/>
            </w:tcBorders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nil"/>
              <w:left w:val="nil"/>
              <w:bottom w:val="single" w:sz="4" w:space="0" w:color="969696"/>
              <w:right w:val="nil"/>
            </w:tcBorders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35539" w:rsidRPr="00635539" w:rsidTr="001E4FEA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635539" w:rsidRPr="00635539" w:rsidRDefault="00635539" w:rsidP="00635539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b/>
                <w:bCs/>
                <w:color w:val="000000"/>
                <w:sz w:val="16"/>
                <w:szCs w:val="16"/>
              </w:rPr>
              <w:t>Firmy celkem (10+)</w:t>
            </w:r>
          </w:p>
        </w:tc>
        <w:tc>
          <w:tcPr>
            <w:tcW w:w="851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98,7 </w:t>
            </w:r>
          </w:p>
        </w:tc>
        <w:tc>
          <w:tcPr>
            <w:tcW w:w="850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92,2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87,3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91,2 </w:t>
            </w:r>
          </w:p>
        </w:tc>
        <w:tc>
          <w:tcPr>
            <w:tcW w:w="12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B7DEE8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98,4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90,1 </w:t>
            </w:r>
          </w:p>
        </w:tc>
      </w:tr>
      <w:tr w:rsidR="00635539" w:rsidRPr="00635539" w:rsidTr="001E4FEA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35539" w:rsidRPr="00635539" w:rsidRDefault="00635539" w:rsidP="00635539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b/>
                <w:bCs/>
                <w:color w:val="000000"/>
                <w:sz w:val="16"/>
                <w:szCs w:val="16"/>
              </w:rPr>
              <w:t>Velikost firmy</w:t>
            </w:r>
          </w:p>
        </w:tc>
        <w:tc>
          <w:tcPr>
            <w:tcW w:w="851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3553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3553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3553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3553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35539" w:rsidRPr="00635539" w:rsidTr="001E4FEA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  10–49 zaměstnanců</w:t>
            </w:r>
          </w:p>
        </w:tc>
        <w:tc>
          <w:tcPr>
            <w:tcW w:w="851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98,5 </w:t>
            </w:r>
          </w:p>
        </w:tc>
        <w:tc>
          <w:tcPr>
            <w:tcW w:w="850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91,0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84,7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89,6 </w:t>
            </w:r>
          </w:p>
        </w:tc>
        <w:tc>
          <w:tcPr>
            <w:tcW w:w="12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98,1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88,3 </w:t>
            </w:r>
          </w:p>
        </w:tc>
      </w:tr>
      <w:tr w:rsidR="00635539" w:rsidRPr="00635539" w:rsidTr="001E4FEA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  50–249 zaměstnanců</w:t>
            </w:r>
          </w:p>
        </w:tc>
        <w:tc>
          <w:tcPr>
            <w:tcW w:w="851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99,4 </w:t>
            </w:r>
          </w:p>
        </w:tc>
        <w:tc>
          <w:tcPr>
            <w:tcW w:w="850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96,5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95,9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96,5 </w:t>
            </w:r>
          </w:p>
        </w:tc>
        <w:tc>
          <w:tcPr>
            <w:tcW w:w="12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99,2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95,9 </w:t>
            </w:r>
          </w:p>
        </w:tc>
      </w:tr>
      <w:tr w:rsidR="00635539" w:rsidRPr="00635539" w:rsidTr="001E4FEA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  250 a více zaměstnanců</w:t>
            </w:r>
          </w:p>
        </w:tc>
        <w:tc>
          <w:tcPr>
            <w:tcW w:w="851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99,6 </w:t>
            </w:r>
          </w:p>
        </w:tc>
        <w:tc>
          <w:tcPr>
            <w:tcW w:w="850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98,1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99,0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98,1 </w:t>
            </w:r>
          </w:p>
        </w:tc>
        <w:tc>
          <w:tcPr>
            <w:tcW w:w="12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99,6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98,2 </w:t>
            </w:r>
          </w:p>
        </w:tc>
      </w:tr>
      <w:tr w:rsidR="00635539" w:rsidRPr="00635539" w:rsidTr="001E4FEA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b/>
                <w:bCs/>
                <w:color w:val="000000"/>
                <w:sz w:val="16"/>
                <w:szCs w:val="16"/>
              </w:rPr>
              <w:t>Odvětví (ekonomická činnost)</w:t>
            </w:r>
          </w:p>
        </w:tc>
        <w:tc>
          <w:tcPr>
            <w:tcW w:w="851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3553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3553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3553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35539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35539" w:rsidRPr="00635539" w:rsidTr="001E4FEA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  Zpracovatelský průmysl</w:t>
            </w:r>
          </w:p>
        </w:tc>
        <w:tc>
          <w:tcPr>
            <w:tcW w:w="851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99,4 </w:t>
            </w:r>
          </w:p>
        </w:tc>
        <w:tc>
          <w:tcPr>
            <w:tcW w:w="850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96,3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88,2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91,6 </w:t>
            </w:r>
          </w:p>
        </w:tc>
        <w:tc>
          <w:tcPr>
            <w:tcW w:w="12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99,1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91,1 </w:t>
            </w:r>
          </w:p>
        </w:tc>
      </w:tr>
      <w:tr w:rsidR="00635539" w:rsidRPr="00635539" w:rsidTr="001E4FEA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  Výroba a rozvod energie, plynu, tepla</w:t>
            </w:r>
          </w:p>
        </w:tc>
        <w:tc>
          <w:tcPr>
            <w:tcW w:w="851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99,9 </w:t>
            </w:r>
          </w:p>
        </w:tc>
        <w:tc>
          <w:tcPr>
            <w:tcW w:w="850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95,8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96,0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97,2 </w:t>
            </w:r>
          </w:p>
        </w:tc>
        <w:tc>
          <w:tcPr>
            <w:tcW w:w="12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99,7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95,4 </w:t>
            </w:r>
          </w:p>
        </w:tc>
      </w:tr>
      <w:tr w:rsidR="00635539" w:rsidRPr="00635539" w:rsidTr="001E4FEA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  Stavebnictví</w:t>
            </w:r>
          </w:p>
        </w:tc>
        <w:tc>
          <w:tcPr>
            <w:tcW w:w="851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98,1 </w:t>
            </w:r>
          </w:p>
        </w:tc>
        <w:tc>
          <w:tcPr>
            <w:tcW w:w="850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91,6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83,9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89,6 </w:t>
            </w:r>
          </w:p>
        </w:tc>
        <w:tc>
          <w:tcPr>
            <w:tcW w:w="12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98,1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89,7 </w:t>
            </w:r>
          </w:p>
        </w:tc>
      </w:tr>
      <w:tr w:rsidR="00635539" w:rsidRPr="00635539" w:rsidTr="001E4FEA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  Obchod a opravy motorových vozidel</w:t>
            </w:r>
          </w:p>
        </w:tc>
        <w:tc>
          <w:tcPr>
            <w:tcW w:w="851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99,5 </w:t>
            </w:r>
          </w:p>
        </w:tc>
        <w:tc>
          <w:tcPr>
            <w:tcW w:w="850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99,5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93,5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96,6 </w:t>
            </w:r>
          </w:p>
        </w:tc>
        <w:tc>
          <w:tcPr>
            <w:tcW w:w="12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99,5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94,9 </w:t>
            </w:r>
          </w:p>
        </w:tc>
      </w:tr>
      <w:tr w:rsidR="00635539" w:rsidRPr="00635539" w:rsidTr="001E4FEA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  Velkoobchod</w:t>
            </w:r>
          </w:p>
        </w:tc>
        <w:tc>
          <w:tcPr>
            <w:tcW w:w="851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100,0 </w:t>
            </w:r>
          </w:p>
        </w:tc>
        <w:tc>
          <w:tcPr>
            <w:tcW w:w="850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93,6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92,4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95,8 </w:t>
            </w:r>
          </w:p>
        </w:tc>
        <w:tc>
          <w:tcPr>
            <w:tcW w:w="12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100,0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95,5 </w:t>
            </w:r>
          </w:p>
        </w:tc>
      </w:tr>
      <w:tr w:rsidR="00635539" w:rsidRPr="00635539" w:rsidTr="001E4FEA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  Maloobchod</w:t>
            </w:r>
          </w:p>
        </w:tc>
        <w:tc>
          <w:tcPr>
            <w:tcW w:w="851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99,9 </w:t>
            </w:r>
          </w:p>
        </w:tc>
        <w:tc>
          <w:tcPr>
            <w:tcW w:w="850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92,5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77,3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83,5 </w:t>
            </w:r>
          </w:p>
        </w:tc>
        <w:tc>
          <w:tcPr>
            <w:tcW w:w="12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99,3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78,3 </w:t>
            </w:r>
          </w:p>
        </w:tc>
      </w:tr>
      <w:tr w:rsidR="00635539" w:rsidRPr="00635539" w:rsidTr="001E4FEA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  Doprava a skladování</w:t>
            </w:r>
          </w:p>
        </w:tc>
        <w:tc>
          <w:tcPr>
            <w:tcW w:w="851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99,3 </w:t>
            </w:r>
          </w:p>
        </w:tc>
        <w:tc>
          <w:tcPr>
            <w:tcW w:w="850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90,0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87,1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93,4 </w:t>
            </w:r>
          </w:p>
        </w:tc>
        <w:tc>
          <w:tcPr>
            <w:tcW w:w="12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98,6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92,2 </w:t>
            </w:r>
          </w:p>
        </w:tc>
      </w:tr>
      <w:tr w:rsidR="00635539" w:rsidRPr="00635539" w:rsidTr="001E4FEA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  Ubytování</w:t>
            </w:r>
          </w:p>
        </w:tc>
        <w:tc>
          <w:tcPr>
            <w:tcW w:w="851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99,4 </w:t>
            </w:r>
          </w:p>
        </w:tc>
        <w:tc>
          <w:tcPr>
            <w:tcW w:w="850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97,1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82,8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87,8 </w:t>
            </w:r>
          </w:p>
        </w:tc>
        <w:tc>
          <w:tcPr>
            <w:tcW w:w="12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98,7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84,0 </w:t>
            </w:r>
          </w:p>
        </w:tc>
      </w:tr>
      <w:tr w:rsidR="00635539" w:rsidRPr="00635539" w:rsidTr="001E4FEA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  Stravování a pohostinství</w:t>
            </w:r>
          </w:p>
        </w:tc>
        <w:tc>
          <w:tcPr>
            <w:tcW w:w="851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95,5 </w:t>
            </w:r>
          </w:p>
        </w:tc>
        <w:tc>
          <w:tcPr>
            <w:tcW w:w="850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82,6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75,9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82,0 </w:t>
            </w:r>
          </w:p>
        </w:tc>
        <w:tc>
          <w:tcPr>
            <w:tcW w:w="12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95,2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83,9 </w:t>
            </w:r>
          </w:p>
        </w:tc>
      </w:tr>
      <w:tr w:rsidR="00635539" w:rsidRPr="00635539" w:rsidTr="001E4FEA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  Činnosti cestovních agentur a kanceláří</w:t>
            </w:r>
          </w:p>
        </w:tc>
        <w:tc>
          <w:tcPr>
            <w:tcW w:w="851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100,0 </w:t>
            </w:r>
          </w:p>
        </w:tc>
        <w:tc>
          <w:tcPr>
            <w:tcW w:w="850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99,0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95,8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95,8 </w:t>
            </w:r>
          </w:p>
        </w:tc>
        <w:tc>
          <w:tcPr>
            <w:tcW w:w="12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100,0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98,2 </w:t>
            </w:r>
          </w:p>
        </w:tc>
      </w:tr>
      <w:tr w:rsidR="00635539" w:rsidRPr="00635539" w:rsidTr="001E4FEA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  Audiovizuální činnosti; vydavatelství</w:t>
            </w:r>
          </w:p>
        </w:tc>
        <w:tc>
          <w:tcPr>
            <w:tcW w:w="851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100,0 </w:t>
            </w:r>
          </w:p>
        </w:tc>
        <w:tc>
          <w:tcPr>
            <w:tcW w:w="850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94,8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96,6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90,6 </w:t>
            </w:r>
          </w:p>
        </w:tc>
        <w:tc>
          <w:tcPr>
            <w:tcW w:w="12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100,0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91,0 </w:t>
            </w:r>
          </w:p>
        </w:tc>
      </w:tr>
      <w:tr w:rsidR="00635539" w:rsidRPr="00635539" w:rsidTr="001E4FEA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  Telekomunikační činnosti</w:t>
            </w:r>
          </w:p>
        </w:tc>
        <w:tc>
          <w:tcPr>
            <w:tcW w:w="851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100,0 </w:t>
            </w:r>
          </w:p>
        </w:tc>
        <w:tc>
          <w:tcPr>
            <w:tcW w:w="850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96,1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99,4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99,4 </w:t>
            </w:r>
          </w:p>
        </w:tc>
        <w:tc>
          <w:tcPr>
            <w:tcW w:w="12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100,0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99,4 </w:t>
            </w:r>
          </w:p>
        </w:tc>
      </w:tr>
      <w:tr w:rsidR="00635539" w:rsidRPr="00635539" w:rsidTr="001E4FEA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  Činnosti v oblasti IT</w:t>
            </w:r>
          </w:p>
        </w:tc>
        <w:tc>
          <w:tcPr>
            <w:tcW w:w="851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99,8 </w:t>
            </w:r>
          </w:p>
        </w:tc>
        <w:tc>
          <w:tcPr>
            <w:tcW w:w="850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87,0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99,0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99,4 </w:t>
            </w:r>
          </w:p>
        </w:tc>
        <w:tc>
          <w:tcPr>
            <w:tcW w:w="12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99,8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96,7 </w:t>
            </w:r>
          </w:p>
        </w:tc>
      </w:tr>
      <w:tr w:rsidR="00635539" w:rsidRPr="00635539" w:rsidTr="001E4FEA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  Činnosti v oblasti nemovitostí</w:t>
            </w:r>
          </w:p>
        </w:tc>
        <w:tc>
          <w:tcPr>
            <w:tcW w:w="851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97,6 </w:t>
            </w:r>
          </w:p>
        </w:tc>
        <w:tc>
          <w:tcPr>
            <w:tcW w:w="850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92,0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83,7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94,2 </w:t>
            </w:r>
          </w:p>
        </w:tc>
        <w:tc>
          <w:tcPr>
            <w:tcW w:w="12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97,6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93,2 </w:t>
            </w:r>
          </w:p>
        </w:tc>
      </w:tr>
      <w:tr w:rsidR="00635539" w:rsidRPr="00635539" w:rsidTr="001E4FEA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  Profesní, vědecké a technické činnosti</w:t>
            </w:r>
          </w:p>
        </w:tc>
        <w:tc>
          <w:tcPr>
            <w:tcW w:w="851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98,5 </w:t>
            </w:r>
          </w:p>
        </w:tc>
        <w:tc>
          <w:tcPr>
            <w:tcW w:w="850" w:type="dxa"/>
            <w:tcBorders>
              <w:top w:val="nil"/>
              <w:left w:val="dotted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89,3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94,3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93,4 </w:t>
            </w:r>
          </w:p>
        </w:tc>
        <w:tc>
          <w:tcPr>
            <w:tcW w:w="12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98,5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90,9 </w:t>
            </w:r>
          </w:p>
        </w:tc>
      </w:tr>
      <w:tr w:rsidR="00635539" w:rsidRPr="00635539" w:rsidTr="001E4FEA">
        <w:trPr>
          <w:trHeight w:val="270"/>
        </w:trPr>
        <w:tc>
          <w:tcPr>
            <w:tcW w:w="340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  Ostatní administrativní a podpůrné činnosti</w:t>
            </w:r>
          </w:p>
        </w:tc>
        <w:tc>
          <w:tcPr>
            <w:tcW w:w="851" w:type="dxa"/>
            <w:tcBorders>
              <w:top w:val="nil"/>
              <w:left w:val="dotted" w:sz="4" w:space="0" w:color="969696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94,6 </w:t>
            </w:r>
          </w:p>
        </w:tc>
        <w:tc>
          <w:tcPr>
            <w:tcW w:w="850" w:type="dxa"/>
            <w:tcBorders>
              <w:top w:val="nil"/>
              <w:left w:val="dotted" w:sz="4" w:space="0" w:color="969696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81,6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82,8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86,6 </w:t>
            </w:r>
          </w:p>
        </w:tc>
        <w:tc>
          <w:tcPr>
            <w:tcW w:w="1200" w:type="dxa"/>
            <w:tcBorders>
              <w:top w:val="nil"/>
              <w:left w:val="single" w:sz="4" w:space="0" w:color="969696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92,3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635539" w:rsidRPr="00635539" w:rsidRDefault="00635539" w:rsidP="00635539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35539">
              <w:rPr>
                <w:rFonts w:cs="Arial"/>
                <w:color w:val="000000"/>
                <w:sz w:val="16"/>
                <w:szCs w:val="16"/>
              </w:rPr>
              <w:t xml:space="preserve">83,7 </w:t>
            </w:r>
          </w:p>
        </w:tc>
      </w:tr>
    </w:tbl>
    <w:p w:rsidR="009B089B" w:rsidRPr="00420C62" w:rsidRDefault="009B089B" w:rsidP="009B089B">
      <w:pPr>
        <w:autoSpaceDE w:val="0"/>
        <w:autoSpaceDN w:val="0"/>
        <w:adjustRightInd w:val="0"/>
        <w:spacing w:before="120" w:after="80"/>
        <w:jc w:val="both"/>
        <w:rPr>
          <w:i/>
          <w:sz w:val="18"/>
          <w:szCs w:val="18"/>
        </w:rPr>
      </w:pPr>
      <w:r w:rsidRPr="00420C62">
        <w:rPr>
          <w:i/>
          <w:sz w:val="18"/>
          <w:szCs w:val="18"/>
        </w:rPr>
        <w:t>podíl na celkovém počtu firem</w:t>
      </w:r>
      <w:r w:rsidR="00BA3195" w:rsidRPr="00420C62">
        <w:rPr>
          <w:i/>
          <w:sz w:val="18"/>
          <w:szCs w:val="18"/>
        </w:rPr>
        <w:t xml:space="preserve"> s 10 a více zaměstnanci</w:t>
      </w:r>
      <w:r w:rsidRPr="00420C62">
        <w:rPr>
          <w:i/>
          <w:sz w:val="18"/>
          <w:szCs w:val="18"/>
        </w:rPr>
        <w:t xml:space="preserve"> v dané velikostní a odvětvové skupině (v %)</w:t>
      </w:r>
    </w:p>
    <w:p w:rsidR="005C1FDB" w:rsidRPr="00105F0A" w:rsidRDefault="005C1FDB" w:rsidP="00910E6F">
      <w:pPr>
        <w:autoSpaceDE w:val="0"/>
        <w:autoSpaceDN w:val="0"/>
        <w:adjustRightInd w:val="0"/>
        <w:spacing w:after="80"/>
        <w:jc w:val="both"/>
        <w:rPr>
          <w:rFonts w:cs="Arial"/>
          <w:b/>
          <w:bCs/>
          <w:color w:val="000000"/>
          <w:sz w:val="4"/>
          <w:szCs w:val="4"/>
        </w:rPr>
      </w:pPr>
    </w:p>
    <w:p w:rsidR="00590C27" w:rsidRDefault="00B93DA4" w:rsidP="00105F0A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0"/>
        </w:rPr>
      </w:pPr>
      <w:r w:rsidRPr="00B93DA4">
        <w:rPr>
          <w:rFonts w:cs="Arial"/>
          <w:b/>
          <w:bCs/>
          <w:color w:val="000000"/>
          <w:szCs w:val="20"/>
        </w:rPr>
        <w:t xml:space="preserve">Graf 1.1: Firmy </w:t>
      </w:r>
      <w:r w:rsidR="001B2BE0">
        <w:rPr>
          <w:rFonts w:cs="Arial"/>
          <w:b/>
          <w:bCs/>
          <w:color w:val="000000"/>
          <w:szCs w:val="20"/>
        </w:rPr>
        <w:t xml:space="preserve">s 10 a více zaměstnanci v ČR </w:t>
      </w:r>
      <w:r w:rsidRPr="00B93DA4">
        <w:rPr>
          <w:rFonts w:cs="Arial"/>
          <w:b/>
          <w:bCs/>
          <w:color w:val="000000"/>
          <w:szCs w:val="20"/>
        </w:rPr>
        <w:t xml:space="preserve">používající </w:t>
      </w:r>
      <w:r w:rsidR="00635539">
        <w:rPr>
          <w:rFonts w:cs="Arial"/>
          <w:b/>
          <w:bCs/>
          <w:color w:val="000000"/>
          <w:szCs w:val="20"/>
        </w:rPr>
        <w:t>vybrané ICT v roce 2020</w:t>
      </w:r>
    </w:p>
    <w:p w:rsidR="001303B9" w:rsidRDefault="001303B9" w:rsidP="00105F0A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0"/>
        </w:rPr>
      </w:pPr>
    </w:p>
    <w:p w:rsidR="001303B9" w:rsidRDefault="001E4FEA" w:rsidP="00105F0A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noProof/>
          <w:color w:val="000000"/>
          <w:szCs w:val="20"/>
        </w:rPr>
        <w:drawing>
          <wp:inline distT="0" distB="0" distL="0" distR="0" wp14:anchorId="030626EC">
            <wp:extent cx="6132830" cy="28473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284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821" w:rsidRDefault="00B43C9E" w:rsidP="00105F0A">
      <w:pPr>
        <w:spacing w:before="120" w:line="240" w:lineRule="auto"/>
        <w:rPr>
          <w:sz w:val="18"/>
          <w:szCs w:val="18"/>
        </w:rPr>
      </w:pPr>
      <w:r w:rsidRPr="00420C62">
        <w:rPr>
          <w:i/>
          <w:sz w:val="18"/>
          <w:szCs w:val="18"/>
        </w:rPr>
        <w:t>p</w:t>
      </w:r>
      <w:r w:rsidR="00A254A1" w:rsidRPr="00420C62">
        <w:rPr>
          <w:i/>
          <w:sz w:val="18"/>
          <w:szCs w:val="18"/>
        </w:rPr>
        <w:t>odíl</w:t>
      </w:r>
      <w:r w:rsidRPr="00420C62">
        <w:rPr>
          <w:i/>
          <w:sz w:val="18"/>
          <w:szCs w:val="18"/>
        </w:rPr>
        <w:t xml:space="preserve"> firem využívajících danou technologii </w:t>
      </w:r>
      <w:r w:rsidR="00A254A1" w:rsidRPr="00420C62">
        <w:rPr>
          <w:i/>
          <w:sz w:val="18"/>
          <w:szCs w:val="18"/>
        </w:rPr>
        <w:t>na celkovém počtu firem</w:t>
      </w:r>
      <w:r w:rsidR="00BA3195" w:rsidRPr="00420C62">
        <w:rPr>
          <w:i/>
          <w:sz w:val="18"/>
          <w:szCs w:val="18"/>
        </w:rPr>
        <w:t xml:space="preserve"> s 10 a více zaměstnanci</w:t>
      </w:r>
      <w:r w:rsidR="00A254A1" w:rsidRPr="00420C62">
        <w:rPr>
          <w:i/>
          <w:sz w:val="18"/>
          <w:szCs w:val="18"/>
        </w:rPr>
        <w:t xml:space="preserve"> </w:t>
      </w:r>
    </w:p>
    <w:p w:rsidR="00B93DA4" w:rsidRPr="00D16821" w:rsidRDefault="00D16821" w:rsidP="00105F0A">
      <w:pPr>
        <w:autoSpaceDE w:val="0"/>
        <w:autoSpaceDN w:val="0"/>
        <w:adjustRightInd w:val="0"/>
        <w:spacing w:before="60" w:line="240" w:lineRule="auto"/>
        <w:jc w:val="right"/>
        <w:rPr>
          <w:sz w:val="18"/>
          <w:szCs w:val="18"/>
        </w:rPr>
      </w:pPr>
      <w:r w:rsidRPr="00D16821">
        <w:rPr>
          <w:sz w:val="18"/>
          <w:szCs w:val="18"/>
        </w:rPr>
        <w:t>Zdroj: Český statistický úřad, 20</w:t>
      </w:r>
      <w:r w:rsidR="00635539">
        <w:rPr>
          <w:sz w:val="18"/>
          <w:szCs w:val="18"/>
        </w:rPr>
        <w:t>20</w:t>
      </w:r>
    </w:p>
    <w:sectPr w:rsidR="00B93DA4" w:rsidRPr="00D16821" w:rsidSect="00A10ACC">
      <w:footerReference w:type="even" r:id="rId9"/>
      <w:footerReference w:type="default" r:id="rId10"/>
      <w:pgSz w:w="11906" w:h="16838" w:code="9"/>
      <w:pgMar w:top="1134" w:right="849" w:bottom="1418" w:left="1134" w:header="680" w:footer="680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48C" w:rsidRDefault="00DD448C" w:rsidP="00E71A58">
      <w:r>
        <w:separator/>
      </w:r>
    </w:p>
  </w:endnote>
  <w:endnote w:type="continuationSeparator" w:id="0">
    <w:p w:rsidR="00DD448C" w:rsidRDefault="00DD448C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40" w:rsidRDefault="00A75E40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tab/>
    </w:r>
    <w:r>
      <w:tab/>
    </w:r>
    <w:r w:rsidRPr="00DC5B3B">
      <w:t xml:space="preserve">                              </w:t>
    </w:r>
  </w:p>
  <w:p w:rsidR="00A75E40" w:rsidRDefault="00A75E40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48C" w:rsidRDefault="00DD448C" w:rsidP="00E71A58">
      <w:r>
        <w:separator/>
      </w:r>
    </w:p>
  </w:footnote>
  <w:footnote w:type="continuationSeparator" w:id="0">
    <w:p w:rsidR="00DD448C" w:rsidRDefault="00DD448C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6A0"/>
    <w:multiLevelType w:val="hybridMultilevel"/>
    <w:tmpl w:val="FEA6C1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B4673"/>
    <w:multiLevelType w:val="hybridMultilevel"/>
    <w:tmpl w:val="82FA25BC"/>
    <w:lvl w:ilvl="0" w:tplc="3174A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167"/>
    <w:rsid w:val="0000767A"/>
    <w:rsid w:val="00010075"/>
    <w:rsid w:val="00010702"/>
    <w:rsid w:val="00013A10"/>
    <w:rsid w:val="0004694F"/>
    <w:rsid w:val="00061D3F"/>
    <w:rsid w:val="00062EC5"/>
    <w:rsid w:val="00087634"/>
    <w:rsid w:val="000A1183"/>
    <w:rsid w:val="000C3408"/>
    <w:rsid w:val="000D58D6"/>
    <w:rsid w:val="00105F0A"/>
    <w:rsid w:val="001303B9"/>
    <w:rsid w:val="0013195F"/>
    <w:rsid w:val="00134ECF"/>
    <w:rsid w:val="001405FA"/>
    <w:rsid w:val="001425C3"/>
    <w:rsid w:val="00143453"/>
    <w:rsid w:val="00145B05"/>
    <w:rsid w:val="00152C7B"/>
    <w:rsid w:val="00163793"/>
    <w:rsid w:val="001708A8"/>
    <w:rsid w:val="001714F2"/>
    <w:rsid w:val="00185010"/>
    <w:rsid w:val="00197494"/>
    <w:rsid w:val="001A3286"/>
    <w:rsid w:val="001A552F"/>
    <w:rsid w:val="001A6BAF"/>
    <w:rsid w:val="001B2BE0"/>
    <w:rsid w:val="001B3110"/>
    <w:rsid w:val="001C29A7"/>
    <w:rsid w:val="001C2FA4"/>
    <w:rsid w:val="001C534C"/>
    <w:rsid w:val="001D0124"/>
    <w:rsid w:val="001D1600"/>
    <w:rsid w:val="001E1D86"/>
    <w:rsid w:val="001E4FEA"/>
    <w:rsid w:val="001F12E1"/>
    <w:rsid w:val="001F2C5D"/>
    <w:rsid w:val="001F4597"/>
    <w:rsid w:val="0022139E"/>
    <w:rsid w:val="002252E0"/>
    <w:rsid w:val="002255F6"/>
    <w:rsid w:val="00236443"/>
    <w:rsid w:val="002436BA"/>
    <w:rsid w:val="00244A15"/>
    <w:rsid w:val="0024799E"/>
    <w:rsid w:val="00260269"/>
    <w:rsid w:val="0028091B"/>
    <w:rsid w:val="0028698F"/>
    <w:rsid w:val="00287581"/>
    <w:rsid w:val="002A3266"/>
    <w:rsid w:val="002A7D9F"/>
    <w:rsid w:val="002B39B8"/>
    <w:rsid w:val="002C31D3"/>
    <w:rsid w:val="002C43BD"/>
    <w:rsid w:val="002D487B"/>
    <w:rsid w:val="002E02A1"/>
    <w:rsid w:val="00304771"/>
    <w:rsid w:val="00306C5B"/>
    <w:rsid w:val="003209D6"/>
    <w:rsid w:val="00325192"/>
    <w:rsid w:val="003346DB"/>
    <w:rsid w:val="003370AF"/>
    <w:rsid w:val="00342787"/>
    <w:rsid w:val="0035247B"/>
    <w:rsid w:val="00355AE7"/>
    <w:rsid w:val="0035607C"/>
    <w:rsid w:val="00364EFF"/>
    <w:rsid w:val="003657F3"/>
    <w:rsid w:val="003661DA"/>
    <w:rsid w:val="00385D98"/>
    <w:rsid w:val="00392148"/>
    <w:rsid w:val="003953A6"/>
    <w:rsid w:val="003A2B4D"/>
    <w:rsid w:val="003A478C"/>
    <w:rsid w:val="003A5525"/>
    <w:rsid w:val="003A6B38"/>
    <w:rsid w:val="003B5A32"/>
    <w:rsid w:val="003E2625"/>
    <w:rsid w:val="003F313C"/>
    <w:rsid w:val="003F7376"/>
    <w:rsid w:val="00401330"/>
    <w:rsid w:val="004061AC"/>
    <w:rsid w:val="00413550"/>
    <w:rsid w:val="00414240"/>
    <w:rsid w:val="0042033C"/>
    <w:rsid w:val="00420C62"/>
    <w:rsid w:val="00421EDA"/>
    <w:rsid w:val="0043194A"/>
    <w:rsid w:val="004468F4"/>
    <w:rsid w:val="004547E4"/>
    <w:rsid w:val="00460A19"/>
    <w:rsid w:val="004620D9"/>
    <w:rsid w:val="00476D73"/>
    <w:rsid w:val="00480FCC"/>
    <w:rsid w:val="0048139F"/>
    <w:rsid w:val="004A77DF"/>
    <w:rsid w:val="004B55B7"/>
    <w:rsid w:val="004C3867"/>
    <w:rsid w:val="004C4CD0"/>
    <w:rsid w:val="004C70DC"/>
    <w:rsid w:val="004D0211"/>
    <w:rsid w:val="004D3414"/>
    <w:rsid w:val="004F06F5"/>
    <w:rsid w:val="004F0F4F"/>
    <w:rsid w:val="004F33A0"/>
    <w:rsid w:val="004F679B"/>
    <w:rsid w:val="005108C0"/>
    <w:rsid w:val="00511873"/>
    <w:rsid w:val="00513B7E"/>
    <w:rsid w:val="005222D9"/>
    <w:rsid w:val="00525137"/>
    <w:rsid w:val="005251DD"/>
    <w:rsid w:val="00546009"/>
    <w:rsid w:val="00551D9C"/>
    <w:rsid w:val="0057071D"/>
    <w:rsid w:val="00570B80"/>
    <w:rsid w:val="00571FBF"/>
    <w:rsid w:val="00583FFD"/>
    <w:rsid w:val="00590C27"/>
    <w:rsid w:val="00593152"/>
    <w:rsid w:val="005A21E0"/>
    <w:rsid w:val="005B4204"/>
    <w:rsid w:val="005C0C17"/>
    <w:rsid w:val="005C1FDB"/>
    <w:rsid w:val="005C6BEE"/>
    <w:rsid w:val="005D1877"/>
    <w:rsid w:val="005D5802"/>
    <w:rsid w:val="005F7FA5"/>
    <w:rsid w:val="00603363"/>
    <w:rsid w:val="00604307"/>
    <w:rsid w:val="0060487F"/>
    <w:rsid w:val="00610928"/>
    <w:rsid w:val="00624093"/>
    <w:rsid w:val="00635539"/>
    <w:rsid w:val="006404A7"/>
    <w:rsid w:val="006451E4"/>
    <w:rsid w:val="00657E87"/>
    <w:rsid w:val="00661969"/>
    <w:rsid w:val="006710C9"/>
    <w:rsid w:val="00675E37"/>
    <w:rsid w:val="0068260E"/>
    <w:rsid w:val="0069108E"/>
    <w:rsid w:val="00693C50"/>
    <w:rsid w:val="00695BEF"/>
    <w:rsid w:val="00696591"/>
    <w:rsid w:val="006977F6"/>
    <w:rsid w:val="00697A13"/>
    <w:rsid w:val="006A109C"/>
    <w:rsid w:val="006B78D8"/>
    <w:rsid w:val="006C113F"/>
    <w:rsid w:val="006D61F6"/>
    <w:rsid w:val="006E279A"/>
    <w:rsid w:val="006E313B"/>
    <w:rsid w:val="006F7BC6"/>
    <w:rsid w:val="00711627"/>
    <w:rsid w:val="007211F5"/>
    <w:rsid w:val="007248E9"/>
    <w:rsid w:val="00725A22"/>
    <w:rsid w:val="00730AE8"/>
    <w:rsid w:val="00741493"/>
    <w:rsid w:val="00752180"/>
    <w:rsid w:val="00755D3A"/>
    <w:rsid w:val="007609C6"/>
    <w:rsid w:val="00761B3D"/>
    <w:rsid w:val="00776527"/>
    <w:rsid w:val="00785B2D"/>
    <w:rsid w:val="007A639A"/>
    <w:rsid w:val="007B15DF"/>
    <w:rsid w:val="007C3F6A"/>
    <w:rsid w:val="007E7E61"/>
    <w:rsid w:val="007F0845"/>
    <w:rsid w:val="008002CE"/>
    <w:rsid w:val="008010DA"/>
    <w:rsid w:val="00810610"/>
    <w:rsid w:val="00821FF6"/>
    <w:rsid w:val="00823193"/>
    <w:rsid w:val="00823FE9"/>
    <w:rsid w:val="0083143E"/>
    <w:rsid w:val="00834FAA"/>
    <w:rsid w:val="00836086"/>
    <w:rsid w:val="008411B7"/>
    <w:rsid w:val="0084796F"/>
    <w:rsid w:val="00853B52"/>
    <w:rsid w:val="008543FF"/>
    <w:rsid w:val="00856BD3"/>
    <w:rsid w:val="00864884"/>
    <w:rsid w:val="00870A95"/>
    <w:rsid w:val="00871E37"/>
    <w:rsid w:val="00876086"/>
    <w:rsid w:val="00884167"/>
    <w:rsid w:val="00894964"/>
    <w:rsid w:val="008A1CEB"/>
    <w:rsid w:val="008A3B44"/>
    <w:rsid w:val="008B7C02"/>
    <w:rsid w:val="008C0E88"/>
    <w:rsid w:val="008D2A16"/>
    <w:rsid w:val="008E31FF"/>
    <w:rsid w:val="008E3D51"/>
    <w:rsid w:val="008E5F96"/>
    <w:rsid w:val="009003A8"/>
    <w:rsid w:val="00902442"/>
    <w:rsid w:val="00902EFF"/>
    <w:rsid w:val="00910E6F"/>
    <w:rsid w:val="00914EF5"/>
    <w:rsid w:val="009215C2"/>
    <w:rsid w:val="00921F14"/>
    <w:rsid w:val="00940F75"/>
    <w:rsid w:val="0094427A"/>
    <w:rsid w:val="00971AF4"/>
    <w:rsid w:val="00974923"/>
    <w:rsid w:val="00976DC0"/>
    <w:rsid w:val="00987E97"/>
    <w:rsid w:val="009B089B"/>
    <w:rsid w:val="009B6FD3"/>
    <w:rsid w:val="009D56F8"/>
    <w:rsid w:val="009E06E7"/>
    <w:rsid w:val="009F6B62"/>
    <w:rsid w:val="00A10ACC"/>
    <w:rsid w:val="00A10D66"/>
    <w:rsid w:val="00A20521"/>
    <w:rsid w:val="00A23E43"/>
    <w:rsid w:val="00A254A1"/>
    <w:rsid w:val="00A26C46"/>
    <w:rsid w:val="00A3260F"/>
    <w:rsid w:val="00A46DE0"/>
    <w:rsid w:val="00A62CE1"/>
    <w:rsid w:val="00A75E40"/>
    <w:rsid w:val="00A857C0"/>
    <w:rsid w:val="00AA559A"/>
    <w:rsid w:val="00AB2AF1"/>
    <w:rsid w:val="00AB76F3"/>
    <w:rsid w:val="00AD306C"/>
    <w:rsid w:val="00AE1B9B"/>
    <w:rsid w:val="00B02FC8"/>
    <w:rsid w:val="00B1004A"/>
    <w:rsid w:val="00B17E71"/>
    <w:rsid w:val="00B17FDE"/>
    <w:rsid w:val="00B20BA9"/>
    <w:rsid w:val="00B32DDB"/>
    <w:rsid w:val="00B43C9E"/>
    <w:rsid w:val="00B52D5A"/>
    <w:rsid w:val="00B55DEE"/>
    <w:rsid w:val="00B655C1"/>
    <w:rsid w:val="00B6608F"/>
    <w:rsid w:val="00B76BC5"/>
    <w:rsid w:val="00B76D1E"/>
    <w:rsid w:val="00B84A1C"/>
    <w:rsid w:val="00B93DA4"/>
    <w:rsid w:val="00B95940"/>
    <w:rsid w:val="00B95FED"/>
    <w:rsid w:val="00BA3195"/>
    <w:rsid w:val="00BB5AAC"/>
    <w:rsid w:val="00BC29FE"/>
    <w:rsid w:val="00BD1F3C"/>
    <w:rsid w:val="00BD366B"/>
    <w:rsid w:val="00BD517E"/>
    <w:rsid w:val="00BD6D50"/>
    <w:rsid w:val="00C21F94"/>
    <w:rsid w:val="00C319CB"/>
    <w:rsid w:val="00C33643"/>
    <w:rsid w:val="00C35F19"/>
    <w:rsid w:val="00C64BC4"/>
    <w:rsid w:val="00C6660B"/>
    <w:rsid w:val="00C803B0"/>
    <w:rsid w:val="00C82097"/>
    <w:rsid w:val="00C86FFA"/>
    <w:rsid w:val="00C90CF4"/>
    <w:rsid w:val="00C93389"/>
    <w:rsid w:val="00C949FD"/>
    <w:rsid w:val="00C969E9"/>
    <w:rsid w:val="00CA0C7F"/>
    <w:rsid w:val="00CA7673"/>
    <w:rsid w:val="00CB35AC"/>
    <w:rsid w:val="00CC61F7"/>
    <w:rsid w:val="00CD57C7"/>
    <w:rsid w:val="00CF51EC"/>
    <w:rsid w:val="00D03366"/>
    <w:rsid w:val="00D040DD"/>
    <w:rsid w:val="00D16821"/>
    <w:rsid w:val="00D36189"/>
    <w:rsid w:val="00D440D4"/>
    <w:rsid w:val="00D4752A"/>
    <w:rsid w:val="00D70DF5"/>
    <w:rsid w:val="00D7364A"/>
    <w:rsid w:val="00D7531C"/>
    <w:rsid w:val="00D904E2"/>
    <w:rsid w:val="00DB43BA"/>
    <w:rsid w:val="00DB69AA"/>
    <w:rsid w:val="00DC40E5"/>
    <w:rsid w:val="00DC5B3B"/>
    <w:rsid w:val="00DD448C"/>
    <w:rsid w:val="00DD531C"/>
    <w:rsid w:val="00DE1B03"/>
    <w:rsid w:val="00E01C0E"/>
    <w:rsid w:val="00E04694"/>
    <w:rsid w:val="00E065CF"/>
    <w:rsid w:val="00E105CD"/>
    <w:rsid w:val="00E17138"/>
    <w:rsid w:val="00E23996"/>
    <w:rsid w:val="00E3047D"/>
    <w:rsid w:val="00E364D1"/>
    <w:rsid w:val="00E42C81"/>
    <w:rsid w:val="00E671EC"/>
    <w:rsid w:val="00E71A58"/>
    <w:rsid w:val="00E87F7D"/>
    <w:rsid w:val="00EA069A"/>
    <w:rsid w:val="00EA0C68"/>
    <w:rsid w:val="00EA59F0"/>
    <w:rsid w:val="00EB0CA7"/>
    <w:rsid w:val="00EB4BFA"/>
    <w:rsid w:val="00EB569A"/>
    <w:rsid w:val="00EC4A12"/>
    <w:rsid w:val="00EC7132"/>
    <w:rsid w:val="00ED6280"/>
    <w:rsid w:val="00ED6CE1"/>
    <w:rsid w:val="00EE01F9"/>
    <w:rsid w:val="00EE3E78"/>
    <w:rsid w:val="00EF1F5A"/>
    <w:rsid w:val="00F04811"/>
    <w:rsid w:val="00F0488C"/>
    <w:rsid w:val="00F144EE"/>
    <w:rsid w:val="00F14DD3"/>
    <w:rsid w:val="00F15BEF"/>
    <w:rsid w:val="00F24FAA"/>
    <w:rsid w:val="00F3364D"/>
    <w:rsid w:val="00F42C99"/>
    <w:rsid w:val="00F548DD"/>
    <w:rsid w:val="00F63DDE"/>
    <w:rsid w:val="00F63FB7"/>
    <w:rsid w:val="00F73A0C"/>
    <w:rsid w:val="00FA34C4"/>
    <w:rsid w:val="00FB0E1D"/>
    <w:rsid w:val="00FB2D95"/>
    <w:rsid w:val="00FB5C87"/>
    <w:rsid w:val="00FC0E5F"/>
    <w:rsid w:val="00FC56DE"/>
    <w:rsid w:val="00FD2DE3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1772932"/>
  <w15:docId w15:val="{A52AF633-61C0-4230-916E-3ECA8CC7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 w:cs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character" w:styleId="Odkaznakoment">
    <w:name w:val="annotation reference"/>
    <w:uiPriority w:val="99"/>
    <w:semiHidden/>
    <w:unhideWhenUsed/>
    <w:rsid w:val="009F6B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6B62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F6B62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6B6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F6B62"/>
    <w:rPr>
      <w:rFonts w:ascii="Arial" w:eastAsia="Times New Roman" w:hAnsi="Arial"/>
      <w:b/>
      <w:bCs/>
    </w:rPr>
  </w:style>
  <w:style w:type="paragraph" w:styleId="Zkladntext">
    <w:name w:val="Body Text"/>
    <w:basedOn w:val="Normln"/>
    <w:link w:val="ZkladntextChar"/>
    <w:semiHidden/>
    <w:rsid w:val="00871E37"/>
    <w:pPr>
      <w:spacing w:before="120" w:after="120" w:line="240" w:lineRule="auto"/>
      <w:ind w:right="-13"/>
      <w:jc w:val="both"/>
    </w:pPr>
    <w:rPr>
      <w:rFonts w:ascii="Times New Roman" w:hAnsi="Times New Roman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871E37"/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5107B-C37D-411A-BB7C-5AB49B95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1018</TotalTime>
  <Pages>2</Pages>
  <Words>856</Words>
  <Characters>5052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Burešová</dc:creator>
  <cp:keywords/>
  <dc:description/>
  <cp:lastModifiedBy>Kamila Burešová</cp:lastModifiedBy>
  <cp:revision>5</cp:revision>
  <cp:lastPrinted>2019-01-18T10:13:00Z</cp:lastPrinted>
  <dcterms:created xsi:type="dcterms:W3CDTF">2017-11-10T11:11:00Z</dcterms:created>
  <dcterms:modified xsi:type="dcterms:W3CDTF">2020-12-18T07:45:00Z</dcterms:modified>
</cp:coreProperties>
</file>