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1B6B" w14:textId="63DA6996" w:rsidR="00867569" w:rsidRDefault="0093560C" w:rsidP="00E42E00">
      <w:pPr>
        <w:pStyle w:val="Datum"/>
      </w:pPr>
      <w:r>
        <w:t>23</w:t>
      </w:r>
      <w:r w:rsidR="00AB1BF4">
        <w:t>. 6.</w:t>
      </w:r>
      <w:r w:rsidR="00070E95">
        <w:t xml:space="preserve"> </w:t>
      </w:r>
      <w:r w:rsidR="00477C5E">
        <w:t>2020</w:t>
      </w:r>
    </w:p>
    <w:p w14:paraId="07C99398" w14:textId="77777777" w:rsidR="00867569" w:rsidRPr="00A56C80" w:rsidRDefault="00477C5E" w:rsidP="00A56C80">
      <w:pPr>
        <w:pStyle w:val="Nzev"/>
      </w:pPr>
      <w:r>
        <w:t>Využívání informačních a komunikačních technologií studenty – 2019</w:t>
      </w:r>
    </w:p>
    <w:p w14:paraId="5B2FD8C7" w14:textId="571CCA9D" w:rsidR="00B20672" w:rsidRDefault="008A7770" w:rsidP="00E42E00">
      <w:pPr>
        <w:pStyle w:val="Perex"/>
      </w:pPr>
      <w:r w:rsidRPr="008A7770">
        <w:t xml:space="preserve">Informační </w:t>
      </w:r>
      <w:r>
        <w:t xml:space="preserve">a komunikační technologie (ICT), </w:t>
      </w:r>
      <w:r w:rsidRPr="008A7770">
        <w:t>zejména internet a mobilní zařízení</w:t>
      </w:r>
      <w:r w:rsidR="00654BB3">
        <w:t>, jako jsou</w:t>
      </w:r>
      <w:r w:rsidRPr="008A7770">
        <w:t xml:space="preserve"> mobilní telefony</w:t>
      </w:r>
      <w:r>
        <w:t>, notebooky</w:t>
      </w:r>
      <w:r w:rsidRPr="008A7770">
        <w:t xml:space="preserve"> a tablety</w:t>
      </w:r>
      <w:r w:rsidR="000B683E">
        <w:t>,</w:t>
      </w:r>
      <w:r w:rsidRPr="008A7770">
        <w:t xml:space="preserve"> </w:t>
      </w:r>
      <w:r>
        <w:t>se staly nedílnou</w:t>
      </w:r>
      <w:r w:rsidRPr="008A7770">
        <w:t xml:space="preserve"> součástí života mladých lidí, a to jak ve </w:t>
      </w:r>
      <w:r>
        <w:t>školním prostředí</w:t>
      </w:r>
      <w:r w:rsidRPr="008A7770">
        <w:t xml:space="preserve">, tak </w:t>
      </w:r>
      <w:r w:rsidR="00D4318A">
        <w:t xml:space="preserve">i </w:t>
      </w:r>
      <w:r w:rsidRPr="008A7770">
        <w:t>mimo něj.</w:t>
      </w:r>
      <w:r>
        <w:t xml:space="preserve"> Výběrové šetření </w:t>
      </w:r>
      <w:r w:rsidR="00070E95">
        <w:t xml:space="preserve">o využívání ICT </w:t>
      </w:r>
      <w:r w:rsidR="00152138">
        <w:t> </w:t>
      </w:r>
      <w:r w:rsidR="00152138">
        <w:t>v</w:t>
      </w:r>
      <w:r w:rsidR="00152138">
        <w:t> </w:t>
      </w:r>
      <w:r w:rsidR="00070E95">
        <w:t>domácnostech a</w:t>
      </w:r>
      <w:r w:rsidR="00765AF8">
        <w:t> </w:t>
      </w:r>
      <w:r w:rsidR="00070E95">
        <w:t xml:space="preserve">mezi jednotlivci (VŠIT) provedené ČSÚ v </w:t>
      </w:r>
      <w:r w:rsidR="00304D3A">
        <w:t>roce 2019 ukázalo, že téměř 100 </w:t>
      </w:r>
      <w:r w:rsidR="00070E95">
        <w:t>% českých studentů</w:t>
      </w:r>
      <w:r w:rsidR="00070E95">
        <w:rPr>
          <w:rStyle w:val="Znakapoznpodarou"/>
        </w:rPr>
        <w:footnoteReference w:id="1"/>
      </w:r>
      <w:r w:rsidR="00070E95">
        <w:t xml:space="preserve"> používá internet, počítač nebo chytrý mobilní telefon.</w:t>
      </w:r>
      <w:r w:rsidR="00D35D05">
        <w:t xml:space="preserve"> </w:t>
      </w:r>
      <w:r w:rsidR="00B20672">
        <w:t>Použití ICT pro mimoškolní aktivity je</w:t>
      </w:r>
      <w:r w:rsidR="0086111E">
        <w:t xml:space="preserve"> pak</w:t>
      </w:r>
      <w:r w:rsidR="00B20672">
        <w:t xml:space="preserve"> u studentů spojeno se sledováním videoklipů, poslechem hudby, používáním sociálních sítí nebo posíláním zpráv.</w:t>
      </w:r>
    </w:p>
    <w:p w14:paraId="559C2ABA" w14:textId="0F4E193E" w:rsidR="005D4B51" w:rsidRPr="00B72045" w:rsidRDefault="00873294" w:rsidP="002F40A8">
      <w:pPr>
        <w:spacing w:after="120"/>
      </w:pPr>
      <w:r>
        <w:rPr>
          <w:color w:val="000000"/>
          <w:szCs w:val="18"/>
        </w:rPr>
        <w:t xml:space="preserve">Podíl studentů využívajících </w:t>
      </w:r>
      <w:r w:rsidR="00780921">
        <w:rPr>
          <w:color w:val="000000"/>
          <w:szCs w:val="18"/>
        </w:rPr>
        <w:t>některé formy</w:t>
      </w:r>
      <w:r>
        <w:rPr>
          <w:color w:val="000000"/>
          <w:szCs w:val="18"/>
        </w:rPr>
        <w:t xml:space="preserve"> ICT </w:t>
      </w:r>
      <w:r w:rsidR="00B368A1">
        <w:rPr>
          <w:color w:val="000000"/>
          <w:szCs w:val="18"/>
        </w:rPr>
        <w:t xml:space="preserve">v Česku </w:t>
      </w:r>
      <w:r>
        <w:rPr>
          <w:color w:val="000000"/>
          <w:szCs w:val="18"/>
        </w:rPr>
        <w:t xml:space="preserve">stále </w:t>
      </w:r>
      <w:r w:rsidR="00B20672">
        <w:rPr>
          <w:color w:val="000000"/>
          <w:szCs w:val="18"/>
        </w:rPr>
        <w:t>meziročně</w:t>
      </w:r>
      <w:r>
        <w:rPr>
          <w:color w:val="000000"/>
          <w:szCs w:val="18"/>
        </w:rPr>
        <w:t xml:space="preserve"> roste, ačkoliv růst není v</w:t>
      </w:r>
      <w:r w:rsidR="00765AF8">
        <w:rPr>
          <w:color w:val="000000"/>
          <w:szCs w:val="18"/>
        </w:rPr>
        <w:t> </w:t>
      </w:r>
      <w:r>
        <w:rPr>
          <w:color w:val="000000"/>
          <w:szCs w:val="18"/>
        </w:rPr>
        <w:t xml:space="preserve">posledních letech </w:t>
      </w:r>
      <w:r w:rsidR="00B20672">
        <w:rPr>
          <w:color w:val="000000"/>
          <w:szCs w:val="18"/>
        </w:rPr>
        <w:t xml:space="preserve">již </w:t>
      </w:r>
      <w:r>
        <w:rPr>
          <w:color w:val="000000"/>
          <w:szCs w:val="18"/>
        </w:rPr>
        <w:t>ta</w:t>
      </w:r>
      <w:r w:rsidR="00B20672">
        <w:rPr>
          <w:color w:val="000000"/>
          <w:szCs w:val="18"/>
        </w:rPr>
        <w:t>k výrazný, jako v případě podílu</w:t>
      </w:r>
      <w:r>
        <w:rPr>
          <w:color w:val="000000"/>
          <w:szCs w:val="18"/>
        </w:rPr>
        <w:t xml:space="preserve"> za celou populaci.</w:t>
      </w:r>
      <w:r w:rsidR="00B06227">
        <w:rPr>
          <w:color w:val="000000"/>
          <w:szCs w:val="18"/>
        </w:rPr>
        <w:t xml:space="preserve"> </w:t>
      </w:r>
      <w:r w:rsidR="005D4B51">
        <w:rPr>
          <w:color w:val="000000"/>
          <w:szCs w:val="18"/>
        </w:rPr>
        <w:t>To je dáno podstatně vyššími počátečními hodnotami</w:t>
      </w:r>
      <w:r w:rsidR="00B20672">
        <w:rPr>
          <w:color w:val="000000"/>
          <w:szCs w:val="18"/>
        </w:rPr>
        <w:t xml:space="preserve"> u studentů</w:t>
      </w:r>
      <w:r w:rsidR="005D4B51">
        <w:rPr>
          <w:color w:val="000000"/>
          <w:szCs w:val="18"/>
        </w:rPr>
        <w:t xml:space="preserve"> než u jednotlivců celkem. </w:t>
      </w:r>
      <w:r w:rsidR="005D4B51">
        <w:t>Drtivá většina</w:t>
      </w:r>
      <w:r w:rsidR="00B72045">
        <w:t xml:space="preserve"> českých studentů</w:t>
      </w:r>
      <w:r w:rsidR="00B368A1">
        <w:t xml:space="preserve">, konkrétně </w:t>
      </w:r>
      <w:r w:rsidR="00B65CB3">
        <w:t>99 </w:t>
      </w:r>
      <w:r w:rsidR="00B368A1">
        <w:t>%,</w:t>
      </w:r>
      <w:r w:rsidR="00B72045">
        <w:t xml:space="preserve"> během posledních 3 měsíců alespoň jednou použila internet, 92,4</w:t>
      </w:r>
      <w:r w:rsidR="00B368A1">
        <w:t> </w:t>
      </w:r>
      <w:r w:rsidR="00B72045">
        <w:t>% dokonce několikrát během jednoho dne. P</w:t>
      </w:r>
      <w:r w:rsidR="005D4B51">
        <w:t>ro srovnání, několikrát za den otevře internetový prohlížeč pouze</w:t>
      </w:r>
      <w:r w:rsidR="00304D3A">
        <w:t xml:space="preserve"> 44,4 </w:t>
      </w:r>
      <w:r w:rsidR="00B72045">
        <w:t xml:space="preserve">% </w:t>
      </w:r>
      <w:r w:rsidR="005D4B51">
        <w:t xml:space="preserve">celkové populace. </w:t>
      </w:r>
    </w:p>
    <w:p w14:paraId="5BAC6BF2" w14:textId="422566AE" w:rsidR="00551579" w:rsidRDefault="00B06227" w:rsidP="00551579">
      <w:r>
        <w:t xml:space="preserve">Mezi ostatními evropskými studenty je situace podobná jako v Česku, </w:t>
      </w:r>
      <w:r w:rsidR="00B72045">
        <w:t>v</w:t>
      </w:r>
      <w:r>
        <w:t xml:space="preserve"> členských zemích EU se v posledních 3 měsících k internetu připojilo v průměru 98,4</w:t>
      </w:r>
      <w:r w:rsidR="00DD53F7">
        <w:t> </w:t>
      </w:r>
      <w:r>
        <w:t>% procent studentů. Pouze v</w:t>
      </w:r>
      <w:r w:rsidR="00765AF8">
        <w:t> </w:t>
      </w:r>
      <w:r>
        <w:t>jediné zemi internet použilo méně jak 95</w:t>
      </w:r>
      <w:r w:rsidR="00DD53F7">
        <w:t> </w:t>
      </w:r>
      <w:r>
        <w:t>% studentů</w:t>
      </w:r>
      <w:r w:rsidR="00B91FC3">
        <w:t>,</w:t>
      </w:r>
      <w:r>
        <w:t xml:space="preserve"> a to v Itálii. </w:t>
      </w:r>
      <w:r w:rsidR="00A67704">
        <w:t xml:space="preserve">V sedmi evropských zemích používá internet dokonce 100 % studentů. </w:t>
      </w:r>
    </w:p>
    <w:p w14:paraId="00B6121D" w14:textId="77777777" w:rsidR="00C6216E" w:rsidRDefault="00C6216E" w:rsidP="005D4B51"/>
    <w:p w14:paraId="63E184ED" w14:textId="77777777" w:rsidR="00C6216E" w:rsidRPr="00C6216E" w:rsidRDefault="00C6216E" w:rsidP="00C6216E">
      <w:pPr>
        <w:pStyle w:val="TabulkaGraf"/>
      </w:pPr>
      <w:r w:rsidRPr="00C6216E">
        <w:t xml:space="preserve">Graf 1: Použití internetu studenty (v posledních 3 měsících); </w:t>
      </w:r>
      <w:r>
        <w:t>2019</w:t>
      </w:r>
    </w:p>
    <w:p w14:paraId="5DB5603F" w14:textId="4D32A367" w:rsidR="00C6216E" w:rsidRDefault="007E0F69" w:rsidP="005D4B51">
      <w:r>
        <w:rPr>
          <w:noProof/>
          <w:lang w:eastAsia="cs-CZ"/>
        </w:rPr>
        <w:drawing>
          <wp:inline distT="0" distB="0" distL="0" distR="0" wp14:anchorId="2AB37D69" wp14:editId="57BF1927">
            <wp:extent cx="5400040" cy="238061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7272E9" w14:textId="77517596" w:rsidR="001532B1" w:rsidRPr="007E0F69" w:rsidRDefault="001532B1" w:rsidP="005D4B51">
      <w:pPr>
        <w:rPr>
          <w:sz w:val="18"/>
          <w:szCs w:val="18"/>
        </w:rPr>
      </w:pPr>
      <w:r w:rsidRPr="007E0F69">
        <w:rPr>
          <w:sz w:val="18"/>
          <w:szCs w:val="18"/>
        </w:rPr>
        <w:t>Zdroj: Eurostat</w:t>
      </w:r>
    </w:p>
    <w:p w14:paraId="174B4010" w14:textId="7732A827" w:rsidR="004A0147" w:rsidRDefault="00873294" w:rsidP="002F40A8">
      <w:pPr>
        <w:spacing w:after="120"/>
      </w:pPr>
      <w:r w:rsidRPr="00A75971">
        <w:lastRenderedPageBreak/>
        <w:t>K vysoké četnosti používání internetu studenty přispívá</w:t>
      </w:r>
      <w:r>
        <w:t xml:space="preserve"> i </w:t>
      </w:r>
      <w:r w:rsidR="002F186F">
        <w:t>fakt</w:t>
      </w:r>
      <w:r>
        <w:t xml:space="preserve">, že se lze dnes </w:t>
      </w:r>
      <w:r w:rsidR="002F186F">
        <w:t xml:space="preserve">k síti </w:t>
      </w:r>
      <w:r>
        <w:t>připojit z</w:t>
      </w:r>
      <w:r w:rsidR="00765AF8">
        <w:t> </w:t>
      </w:r>
      <w:r>
        <w:t xml:space="preserve">nejrůznějších zařízení, nejenom z počítače. Studenti se nejraději připojují z přenosných zařízení, mezi která řadíme notebooky, tablety a mobilní telefony, u kterých dnes převládají jejich „chytré“ verze, tzv. smartphony. Smartphony </w:t>
      </w:r>
      <w:r w:rsidR="00967B3C">
        <w:t xml:space="preserve">pak </w:t>
      </w:r>
      <w:r>
        <w:t>mezi studenty jednoznačně vedou, k internetu se z nich v roce 2019</w:t>
      </w:r>
      <w:r w:rsidR="009A5252">
        <w:t xml:space="preserve"> připojilo 98,2</w:t>
      </w:r>
      <w:r w:rsidR="00A52E39">
        <w:t> </w:t>
      </w:r>
      <w:r>
        <w:t xml:space="preserve">% z nich, častěji pak </w:t>
      </w:r>
      <w:r w:rsidR="00A76D56">
        <w:t>přes WiFi (96,9</w:t>
      </w:r>
      <w:r w:rsidR="00A52E39">
        <w:t> </w:t>
      </w:r>
      <w:r>
        <w:t>%</w:t>
      </w:r>
      <w:r w:rsidR="00B65CB3">
        <w:t xml:space="preserve"> studentů</w:t>
      </w:r>
      <w:r>
        <w:t>), než přes mobilní data (</w:t>
      </w:r>
      <w:r w:rsidR="00A76D56">
        <w:t>84</w:t>
      </w:r>
      <w:r>
        <w:t>,</w:t>
      </w:r>
      <w:r w:rsidR="00A76D56">
        <w:t>5</w:t>
      </w:r>
      <w:r w:rsidR="00A52E39">
        <w:t> </w:t>
      </w:r>
      <w:r>
        <w:t>%</w:t>
      </w:r>
      <w:r w:rsidR="00B65CB3">
        <w:t xml:space="preserve"> studentů</w:t>
      </w:r>
      <w:r>
        <w:t>).</w:t>
      </w:r>
      <w:r w:rsidR="004A0147">
        <w:t xml:space="preserve"> Z grafu </w:t>
      </w:r>
      <w:r w:rsidR="00926036">
        <w:t>č. 1 je</w:t>
      </w:r>
      <w:r w:rsidR="004A0147">
        <w:t xml:space="preserve"> patrné, že </w:t>
      </w:r>
      <w:r w:rsidR="00926036">
        <w:t>studenti používají internet v mobilním telefonu</w:t>
      </w:r>
      <w:r w:rsidR="00360DDF">
        <w:t xml:space="preserve"> stejně, nebo</w:t>
      </w:r>
      <w:r w:rsidR="00926036">
        <w:t xml:space="preserve"> téměř stejně často, jako internet samotný. Pouze v několik</w:t>
      </w:r>
      <w:r w:rsidR="008B2CAB">
        <w:t>a</w:t>
      </w:r>
      <w:r w:rsidR="00926036">
        <w:t xml:space="preserve"> zemích je rozdíl větší, např. v Itálii 94,4</w:t>
      </w:r>
      <w:r w:rsidR="00360DDF">
        <w:t> </w:t>
      </w:r>
      <w:r w:rsidR="00926036">
        <w:t xml:space="preserve">% studentů uvedlo, že použilo internet, </w:t>
      </w:r>
      <w:r w:rsidR="00360DDF">
        <w:t xml:space="preserve">nicméně </w:t>
      </w:r>
      <w:r w:rsidR="00012D11">
        <w:t xml:space="preserve">na mobilním telefonu se </w:t>
      </w:r>
      <w:r w:rsidR="008B2CAB">
        <w:t xml:space="preserve">k </w:t>
      </w:r>
      <w:r w:rsidR="00360DDF">
        <w:t xml:space="preserve">internetu </w:t>
      </w:r>
      <w:r w:rsidR="008B2CAB">
        <w:t>připojilo pouze</w:t>
      </w:r>
      <w:r w:rsidR="00926036">
        <w:t xml:space="preserve"> 86</w:t>
      </w:r>
      <w:r w:rsidR="00360DDF">
        <w:t> </w:t>
      </w:r>
      <w:r w:rsidR="00926036">
        <w:t>%</w:t>
      </w:r>
      <w:r w:rsidR="008B2CAB">
        <w:t xml:space="preserve"> italských studentů</w:t>
      </w:r>
      <w:r w:rsidR="00926036">
        <w:t>.</w:t>
      </w:r>
    </w:p>
    <w:p w14:paraId="123A48A0" w14:textId="7A80B2EE" w:rsidR="00873294" w:rsidRDefault="00873294" w:rsidP="002F40A8">
      <w:pPr>
        <w:spacing w:after="120"/>
      </w:pPr>
      <w:r w:rsidRPr="0003341A">
        <w:t>Počet studentů používajících</w:t>
      </w:r>
      <w:r>
        <w:t xml:space="preserve"> pro přístup k internetu</w:t>
      </w:r>
      <w:r w:rsidRPr="0003341A">
        <w:t xml:space="preserve"> notebook </w:t>
      </w:r>
      <w:r>
        <w:t xml:space="preserve">již </w:t>
      </w:r>
      <w:r w:rsidR="00967B3C">
        <w:t xml:space="preserve">také </w:t>
      </w:r>
      <w:r w:rsidR="00A76D56">
        <w:t>přesáhl</w:t>
      </w:r>
      <w:r>
        <w:t xml:space="preserve"> </w:t>
      </w:r>
      <w:r w:rsidR="003705AC">
        <w:t>90 </w:t>
      </w:r>
      <w:r>
        <w:t xml:space="preserve">%. </w:t>
      </w:r>
      <w:r w:rsidR="00967B3C">
        <w:t>Počet</w:t>
      </w:r>
      <w:r w:rsidRPr="00F55CB9">
        <w:t xml:space="preserve"> studentů používajících internet na tabletu proti telefonu a notebooku zaostává, od roku 2013</w:t>
      </w:r>
      <w:r w:rsidR="00A76D56">
        <w:t xml:space="preserve"> však</w:t>
      </w:r>
      <w:r w:rsidRPr="00F55CB9">
        <w:t xml:space="preserve"> významně narostl</w:t>
      </w:r>
      <w:r w:rsidR="003705AC">
        <w:t>, a to</w:t>
      </w:r>
      <w:r w:rsidRPr="00F55CB9">
        <w:t xml:space="preserve"> o </w:t>
      </w:r>
      <w:r w:rsidR="00A76D56">
        <w:t>43 procentních bodů</w:t>
      </w:r>
      <w:r w:rsidRPr="00F55CB9">
        <w:t xml:space="preserve"> (z 5</w:t>
      </w:r>
      <w:r w:rsidR="00A76D56">
        <w:t>,</w:t>
      </w:r>
      <w:r w:rsidR="003705AC">
        <w:t>4 </w:t>
      </w:r>
      <w:r w:rsidR="00A76D56">
        <w:t>% na 48,</w:t>
      </w:r>
      <w:r w:rsidR="003705AC">
        <w:t>4 </w:t>
      </w:r>
      <w:r w:rsidRPr="00F55CB9">
        <w:t>%).</w:t>
      </w:r>
    </w:p>
    <w:p w14:paraId="79907549" w14:textId="77777777" w:rsidR="00A76D56" w:rsidRDefault="00A76D56" w:rsidP="00A76D56">
      <w:pPr>
        <w:pStyle w:val="Nadpis1"/>
      </w:pPr>
      <w:r>
        <w:t xml:space="preserve">Graf </w:t>
      </w:r>
      <w:r w:rsidR="00C6216E">
        <w:t>2</w:t>
      </w:r>
      <w:r>
        <w:t>: Používání internetu studenty na jednotlivých typech zařízení; 2019</w:t>
      </w:r>
    </w:p>
    <w:p w14:paraId="35F06223" w14:textId="117998DA" w:rsidR="00A76D56" w:rsidRDefault="00AE5685" w:rsidP="00A76D56">
      <w:r>
        <w:rPr>
          <w:noProof/>
          <w:lang w:eastAsia="cs-CZ"/>
        </w:rPr>
        <w:drawing>
          <wp:inline distT="0" distB="0" distL="0" distR="0" wp14:anchorId="00E99ADF" wp14:editId="2BF6B32D">
            <wp:extent cx="4886325" cy="272415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631E8D" w14:textId="77777777" w:rsidR="00F526EF" w:rsidRPr="00AE5685" w:rsidRDefault="00F526EF" w:rsidP="00F526EF">
      <w:pPr>
        <w:rPr>
          <w:sz w:val="18"/>
          <w:szCs w:val="18"/>
        </w:rPr>
      </w:pPr>
      <w:r w:rsidRPr="00AE5685">
        <w:rPr>
          <w:sz w:val="18"/>
          <w:szCs w:val="18"/>
        </w:rPr>
        <w:t>Zdroj: ČSÚ, šetření o využívání ICT v domácnostech a mezi jednotlivci</w:t>
      </w:r>
    </w:p>
    <w:p w14:paraId="106742BE" w14:textId="77777777" w:rsidR="00B06227" w:rsidRDefault="00007556" w:rsidP="002F40A8">
      <w:pPr>
        <w:pStyle w:val="Nadpis1"/>
        <w:spacing w:before="180"/>
      </w:pPr>
      <w:r>
        <w:t>Do online kurzů se studenti moc nehlásí</w:t>
      </w:r>
    </w:p>
    <w:p w14:paraId="64783BED" w14:textId="5423C043" w:rsidR="00967B3C" w:rsidRDefault="00D35D05" w:rsidP="00D35D05">
      <w:pPr>
        <w:rPr>
          <w:shd w:val="clear" w:color="auto" w:fill="FFFFFF"/>
        </w:rPr>
      </w:pPr>
      <w:r>
        <w:rPr>
          <w:shd w:val="clear" w:color="auto" w:fill="FFFFFF"/>
        </w:rPr>
        <w:t>Pod vlivem nových technologií se mění i </w:t>
      </w:r>
      <w:r w:rsidR="00580D4E">
        <w:rPr>
          <w:shd w:val="clear" w:color="auto" w:fill="FFFFFF"/>
        </w:rPr>
        <w:t>vzdělávací procesy,</w:t>
      </w:r>
      <w:r>
        <w:rPr>
          <w:shd w:val="clear" w:color="auto" w:fill="FFFFFF"/>
        </w:rPr>
        <w:t xml:space="preserve"> </w:t>
      </w:r>
      <w:r w:rsidR="00580D4E">
        <w:rPr>
          <w:shd w:val="clear" w:color="auto" w:fill="FFFFFF"/>
        </w:rPr>
        <w:t>i</w:t>
      </w:r>
      <w:r>
        <w:rPr>
          <w:shd w:val="clear" w:color="auto" w:fill="FFFFFF"/>
        </w:rPr>
        <w:t xml:space="preserve">nformační technologie se staly nezbytnou součástí školní výuky. Kromě </w:t>
      </w:r>
      <w:r w:rsidR="00580D4E">
        <w:rPr>
          <w:shd w:val="clear" w:color="auto" w:fill="FFFFFF"/>
        </w:rPr>
        <w:t xml:space="preserve">využití ICT pro potřeby klasické školní výuky, </w:t>
      </w:r>
      <w:r w:rsidR="00FA72A0">
        <w:rPr>
          <w:shd w:val="clear" w:color="auto" w:fill="FFFFFF"/>
        </w:rPr>
        <w:t>je mohou</w:t>
      </w:r>
      <w:r w:rsidR="00580D4E">
        <w:rPr>
          <w:shd w:val="clear" w:color="auto" w:fill="FFFFFF"/>
        </w:rPr>
        <w:t xml:space="preserve"> studenti využít i pro zapojení se do </w:t>
      </w:r>
      <w:r>
        <w:rPr>
          <w:shd w:val="clear" w:color="auto" w:fill="FFFFFF"/>
        </w:rPr>
        <w:t>dalších online vzdělávacích aktivit jak ve škole, tak ve svém volném čase. Nejčastěji (45,9</w:t>
      </w:r>
      <w:r w:rsidR="008063D2">
        <w:rPr>
          <w:shd w:val="clear" w:color="auto" w:fill="FFFFFF"/>
        </w:rPr>
        <w:t> </w:t>
      </w:r>
      <w:r>
        <w:rPr>
          <w:shd w:val="clear" w:color="auto" w:fill="FFFFFF"/>
        </w:rPr>
        <w:t>%) studenti využili internet pro online komunikaci s</w:t>
      </w:r>
      <w:r w:rsidR="00765AF8">
        <w:rPr>
          <w:shd w:val="clear" w:color="auto" w:fill="FFFFFF"/>
        </w:rPr>
        <w:t> </w:t>
      </w:r>
      <w:r>
        <w:rPr>
          <w:shd w:val="clear" w:color="auto" w:fill="FFFFFF"/>
        </w:rPr>
        <w:t>lektorem/učitelem nebo dalšími studenty přes některý ze specializovaný</w:t>
      </w:r>
      <w:r w:rsidR="006D1AF2">
        <w:rPr>
          <w:shd w:val="clear" w:color="auto" w:fill="FFFFFF"/>
        </w:rPr>
        <w:t>ch</w:t>
      </w:r>
      <w:r>
        <w:rPr>
          <w:shd w:val="clear" w:color="auto" w:fill="FFFFFF"/>
        </w:rPr>
        <w:t xml:space="preserve"> studijní</w:t>
      </w:r>
      <w:r w:rsidR="006D1AF2">
        <w:rPr>
          <w:shd w:val="clear" w:color="auto" w:fill="FFFFFF"/>
        </w:rPr>
        <w:t>ch</w:t>
      </w:r>
      <w:r>
        <w:rPr>
          <w:shd w:val="clear" w:color="auto" w:fill="FFFFFF"/>
        </w:rPr>
        <w:t xml:space="preserve"> portál</w:t>
      </w:r>
      <w:r w:rsidR="006D1AF2">
        <w:rPr>
          <w:shd w:val="clear" w:color="auto" w:fill="FFFFFF"/>
        </w:rPr>
        <w:t>ů</w:t>
      </w:r>
      <w:r>
        <w:rPr>
          <w:shd w:val="clear" w:color="auto" w:fill="FFFFFF"/>
        </w:rPr>
        <w:t xml:space="preserve"> (jako je např. Moodle). Přes 40</w:t>
      </w:r>
      <w:r w:rsidR="008063D2">
        <w:rPr>
          <w:shd w:val="clear" w:color="auto" w:fill="FFFFFF"/>
        </w:rPr>
        <w:t> </w:t>
      </w:r>
      <w:r>
        <w:rPr>
          <w:shd w:val="clear" w:color="auto" w:fill="FFFFFF"/>
        </w:rPr>
        <w:t>% studentů také použilo online výukový materiál, ať už se jednalo o</w:t>
      </w:r>
      <w:r w:rsidR="00765AF8">
        <w:rPr>
          <w:shd w:val="clear" w:color="auto" w:fill="FFFFFF"/>
        </w:rPr>
        <w:t> </w:t>
      </w:r>
      <w:r>
        <w:rPr>
          <w:shd w:val="clear" w:color="auto" w:fill="FFFFFF"/>
        </w:rPr>
        <w:t>textové materiály nebo výuková videa např. na YouTube. Nejméně často (15,7</w:t>
      </w:r>
      <w:r w:rsidR="008063D2">
        <w:rPr>
          <w:shd w:val="clear" w:color="auto" w:fill="FFFFFF"/>
        </w:rPr>
        <w:t> </w:t>
      </w:r>
      <w:r>
        <w:rPr>
          <w:shd w:val="clear" w:color="auto" w:fill="FFFFFF"/>
        </w:rPr>
        <w:t>%) se studenti přihlásili do nějaké</w:t>
      </w:r>
      <w:r w:rsidR="00FA72A0">
        <w:rPr>
          <w:shd w:val="clear" w:color="auto" w:fill="FFFFFF"/>
        </w:rPr>
        <w:t>ho</w:t>
      </w:r>
      <w:r>
        <w:rPr>
          <w:shd w:val="clear" w:color="auto" w:fill="FFFFFF"/>
        </w:rPr>
        <w:t xml:space="preserve"> online kurzu (např. jazykového).</w:t>
      </w:r>
      <w:r w:rsidR="0042573A">
        <w:rPr>
          <w:shd w:val="clear" w:color="auto" w:fill="FFFFFF"/>
        </w:rPr>
        <w:t xml:space="preserve"> Online kurz byl ale jedinou ze zmíněných </w:t>
      </w:r>
      <w:r w:rsidR="00FA72A0">
        <w:rPr>
          <w:shd w:val="clear" w:color="auto" w:fill="FFFFFF"/>
        </w:rPr>
        <w:t xml:space="preserve">vzdělávacích aktivit, </w:t>
      </w:r>
      <w:r w:rsidR="00ED07B0">
        <w:rPr>
          <w:shd w:val="clear" w:color="auto" w:fill="FFFFFF"/>
        </w:rPr>
        <w:t xml:space="preserve">do </w:t>
      </w:r>
      <w:r w:rsidR="00FA72A0">
        <w:rPr>
          <w:shd w:val="clear" w:color="auto" w:fill="FFFFFF"/>
        </w:rPr>
        <w:t xml:space="preserve">které </w:t>
      </w:r>
      <w:r w:rsidR="0042573A">
        <w:rPr>
          <w:shd w:val="clear" w:color="auto" w:fill="FFFFFF"/>
        </w:rPr>
        <w:t>se častěji zapojili studenti než studentky.</w:t>
      </w:r>
      <w:r w:rsidR="00BA091C">
        <w:rPr>
          <w:shd w:val="clear" w:color="auto" w:fill="FFFFFF"/>
        </w:rPr>
        <w:t xml:space="preserve"> Zde je nutno obzvlášť upozornit, že výše zmiňovaná data za </w:t>
      </w:r>
      <w:r w:rsidR="00152138">
        <w:rPr>
          <w:shd w:val="clear" w:color="auto" w:fill="FFFFFF"/>
        </w:rPr>
        <w:t xml:space="preserve">zapojení </w:t>
      </w:r>
      <w:r w:rsidR="00BA091C">
        <w:rPr>
          <w:shd w:val="clear" w:color="auto" w:fill="FFFFFF"/>
        </w:rPr>
        <w:t xml:space="preserve">studentů </w:t>
      </w:r>
      <w:r w:rsidR="00152138">
        <w:rPr>
          <w:shd w:val="clear" w:color="auto" w:fill="FFFFFF"/>
        </w:rPr>
        <w:t>do online vzdělávacích aktivit</w:t>
      </w:r>
      <w:r w:rsidR="00BA091C">
        <w:rPr>
          <w:shd w:val="clear" w:color="auto" w:fill="FFFFFF"/>
        </w:rPr>
        <w:t xml:space="preserve"> jsou za rok 2019 a neodráží tak situaci, která ve školství nastala v souvislosti s výskytem </w:t>
      </w:r>
      <w:r w:rsidR="00B65CB3">
        <w:rPr>
          <w:shd w:val="clear" w:color="auto" w:fill="FFFFFF"/>
        </w:rPr>
        <w:t>nemoci  Covid-</w:t>
      </w:r>
      <w:r w:rsidR="00BA091C">
        <w:rPr>
          <w:shd w:val="clear" w:color="auto" w:fill="FFFFFF"/>
        </w:rPr>
        <w:t>19, kdy lze očekávat výrazný nárůst zapo</w:t>
      </w:r>
      <w:r w:rsidR="00D9386B">
        <w:rPr>
          <w:shd w:val="clear" w:color="auto" w:fill="FFFFFF"/>
        </w:rPr>
        <w:t>jení studentů do on</w:t>
      </w:r>
      <w:r w:rsidR="00B65CB3">
        <w:rPr>
          <w:shd w:val="clear" w:color="auto" w:fill="FFFFFF"/>
        </w:rPr>
        <w:t>line výuky.</w:t>
      </w:r>
    </w:p>
    <w:p w14:paraId="60879454" w14:textId="77777777" w:rsidR="00151B4D" w:rsidRDefault="00151B4D" w:rsidP="00D35D05">
      <w:pPr>
        <w:rPr>
          <w:shd w:val="clear" w:color="auto" w:fill="FFFFFF"/>
        </w:rPr>
      </w:pPr>
    </w:p>
    <w:p w14:paraId="58C1941A" w14:textId="7CF2D935" w:rsidR="00C6216E" w:rsidRPr="00967B3C" w:rsidRDefault="0042573A" w:rsidP="00151B4D">
      <w:pPr>
        <w:pStyle w:val="TabulkaGraf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551579" w:rsidRPr="00551579">
        <w:t>Graf</w:t>
      </w:r>
      <w:r w:rsidR="00007556">
        <w:t xml:space="preserve"> 3</w:t>
      </w:r>
      <w:r w:rsidR="00551579" w:rsidRPr="00551579">
        <w:t xml:space="preserve">: </w:t>
      </w:r>
      <w:r w:rsidR="00D93317">
        <w:t>Online v</w:t>
      </w:r>
      <w:r w:rsidR="00551579" w:rsidRPr="00551579">
        <w:t>zdělávací aktivity studentů; 2019</w:t>
      </w:r>
    </w:p>
    <w:p w14:paraId="155B962B" w14:textId="493BBD7D" w:rsidR="00C6216E" w:rsidRDefault="00395A8E" w:rsidP="005D4B51">
      <w:r>
        <w:rPr>
          <w:noProof/>
          <w:lang w:eastAsia="cs-CZ"/>
        </w:rPr>
        <w:drawing>
          <wp:inline distT="0" distB="0" distL="0" distR="0" wp14:anchorId="13E13749" wp14:editId="47C57045">
            <wp:extent cx="4886325" cy="28670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3FC857" w14:textId="77777777" w:rsidR="00792240" w:rsidRPr="00025385" w:rsidRDefault="00792240" w:rsidP="00792240">
      <w:pPr>
        <w:rPr>
          <w:sz w:val="18"/>
          <w:szCs w:val="18"/>
        </w:rPr>
      </w:pPr>
      <w:r w:rsidRPr="00025385">
        <w:rPr>
          <w:sz w:val="18"/>
          <w:szCs w:val="18"/>
        </w:rPr>
        <w:t>Zdroj: ČSÚ, šetření o využívání ICT v domácnostech a mezi jednotlivci</w:t>
      </w:r>
    </w:p>
    <w:p w14:paraId="1862C2A4" w14:textId="2B7402FA" w:rsidR="0042573A" w:rsidRDefault="0042573A" w:rsidP="002F40A8">
      <w:pPr>
        <w:spacing w:before="180" w:after="120"/>
      </w:pPr>
      <w:r>
        <w:t>K tomu, aby mohli studenti info</w:t>
      </w:r>
      <w:r w:rsidR="006D1AF2">
        <w:t>rmační technologie naplno využívat</w:t>
      </w:r>
      <w:r>
        <w:t xml:space="preserve"> (nejenom) ke studijním účelům</w:t>
      </w:r>
      <w:r w:rsidR="00377C0C">
        <w:t>,</w:t>
      </w:r>
      <w:r>
        <w:t xml:space="preserve"> je v dnešní době nezbytné, aby ovládali alespoň základní tzv. kancelářský software. Jak je vidět z grafu </w:t>
      </w:r>
      <w:r w:rsidR="00FA72A0">
        <w:t>4</w:t>
      </w:r>
      <w:r>
        <w:t xml:space="preserve">, tak pro české studenty </w:t>
      </w:r>
      <w:r w:rsidR="006D1AF2">
        <w:t>by to neměl být</w:t>
      </w:r>
      <w:r>
        <w:t xml:space="preserve"> problém, přes 90</w:t>
      </w:r>
      <w:r w:rsidR="00795FB6">
        <w:t> </w:t>
      </w:r>
      <w:r>
        <w:t>% z</w:t>
      </w:r>
      <w:r w:rsidR="001F4AE8">
        <w:t> </w:t>
      </w:r>
      <w:r>
        <w:t>nich</w:t>
      </w:r>
      <w:r w:rsidR="001F4AE8">
        <w:t xml:space="preserve"> uvedlo, že</w:t>
      </w:r>
      <w:r>
        <w:t xml:space="preserve"> v</w:t>
      </w:r>
      <w:r w:rsidR="001F4AE8">
        <w:t> </w:t>
      </w:r>
      <w:r>
        <w:t xml:space="preserve">posledních </w:t>
      </w:r>
      <w:r w:rsidR="00FA72A0">
        <w:t xml:space="preserve">12 </w:t>
      </w:r>
      <w:r>
        <w:t>měsících použilo Word nebo jiný textový editor</w:t>
      </w:r>
      <w:r w:rsidR="00AC7740">
        <w:t>,</w:t>
      </w:r>
      <w:r>
        <w:t xml:space="preserve"> </w:t>
      </w:r>
      <w:r w:rsidR="00AC7740">
        <w:t xml:space="preserve">či </w:t>
      </w:r>
      <w:r>
        <w:t>Excel nebo</w:t>
      </w:r>
      <w:r w:rsidR="00FA72A0">
        <w:t xml:space="preserve"> podobný</w:t>
      </w:r>
      <w:r>
        <w:t xml:space="preserve"> tabulkový procesor</w:t>
      </w:r>
      <w:r w:rsidR="00795FB6">
        <w:t>,</w:t>
      </w:r>
      <w:r w:rsidR="00880E79">
        <w:t xml:space="preserve"> z toho 56,7</w:t>
      </w:r>
      <w:r w:rsidR="00795FB6">
        <w:t> </w:t>
      </w:r>
      <w:r w:rsidR="00880E79">
        <w:t xml:space="preserve">% </w:t>
      </w:r>
      <w:r w:rsidR="006B0E4D">
        <w:t>je</w:t>
      </w:r>
      <w:r w:rsidR="009A3FC8">
        <w:t>j</w:t>
      </w:r>
      <w:r w:rsidR="006B0E4D">
        <w:t xml:space="preserve"> využívalo </w:t>
      </w:r>
      <w:r w:rsidR="00880E79">
        <w:t>včetně pokročilých funkcí</w:t>
      </w:r>
      <w:r>
        <w:t>. Téměř 70</w:t>
      </w:r>
      <w:r w:rsidR="008B0329">
        <w:t> </w:t>
      </w:r>
      <w:r>
        <w:t>% studentů také vytvářelo prezentaci v některém</w:t>
      </w:r>
      <w:r w:rsidR="00FA72A0">
        <w:t xml:space="preserve"> z</w:t>
      </w:r>
      <w:r>
        <w:t xml:space="preserve"> </w:t>
      </w:r>
      <w:r w:rsidR="00880E79">
        <w:t>k</w:t>
      </w:r>
      <w:r>
        <w:t xml:space="preserve"> tomu určených programů.</w:t>
      </w:r>
      <w:r w:rsidR="00880E79">
        <w:t xml:space="preserve"> Kancelářské programy studenti používají </w:t>
      </w:r>
      <w:r w:rsidR="004E26E3">
        <w:t xml:space="preserve">přibližně </w:t>
      </w:r>
      <w:r w:rsidR="00880E79">
        <w:t xml:space="preserve">2x až 4x častěji než je tomu </w:t>
      </w:r>
      <w:r w:rsidR="00FA72A0">
        <w:t>u</w:t>
      </w:r>
      <w:r w:rsidR="00765AF8">
        <w:t> </w:t>
      </w:r>
      <w:r w:rsidR="00FA72A0">
        <w:t>celkové populace.</w:t>
      </w:r>
    </w:p>
    <w:p w14:paraId="4DD3BD27" w14:textId="04BB9F65" w:rsidR="0042573A" w:rsidRDefault="0042573A" w:rsidP="0042573A">
      <w:pPr>
        <w:pStyle w:val="TabulkaGraf"/>
      </w:pPr>
      <w:r w:rsidRPr="0042573A">
        <w:t>Graf</w:t>
      </w:r>
      <w:r w:rsidR="00FA72A0">
        <w:t xml:space="preserve"> 4</w:t>
      </w:r>
      <w:r w:rsidRPr="0042573A">
        <w:t>: Používání</w:t>
      </w:r>
      <w:r w:rsidR="00D93317">
        <w:t xml:space="preserve"> vybraného</w:t>
      </w:r>
      <w:r w:rsidRPr="0042573A">
        <w:t xml:space="preserve"> kancelářského softwaru</w:t>
      </w:r>
      <w:r w:rsidR="00D93317">
        <w:t>;</w:t>
      </w:r>
      <w:r w:rsidRPr="0042573A">
        <w:t xml:space="preserve"> 2019</w:t>
      </w:r>
    </w:p>
    <w:p w14:paraId="4F0C61E6" w14:textId="58770D07" w:rsidR="00C6216E" w:rsidRDefault="00025385" w:rsidP="00025385">
      <w:r>
        <w:rPr>
          <w:noProof/>
          <w:lang w:eastAsia="cs-CZ"/>
        </w:rPr>
        <w:drawing>
          <wp:inline distT="0" distB="0" distL="0" distR="0" wp14:anchorId="6A3BADFE" wp14:editId="666D3724">
            <wp:extent cx="4886325" cy="2389517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FE82DD" w14:textId="77777777" w:rsidR="00E502E2" w:rsidRPr="00025385" w:rsidRDefault="00E502E2" w:rsidP="00E502E2">
      <w:pPr>
        <w:rPr>
          <w:sz w:val="18"/>
          <w:szCs w:val="18"/>
        </w:rPr>
      </w:pPr>
      <w:r w:rsidRPr="00025385">
        <w:rPr>
          <w:sz w:val="18"/>
          <w:szCs w:val="18"/>
        </w:rPr>
        <w:t>Zdroj: ČSÚ, šetření o využívání ICT v domácnostech a mezi jednotlivci</w:t>
      </w:r>
    </w:p>
    <w:p w14:paraId="17848963" w14:textId="0CB63AE1" w:rsidR="00AE49BE" w:rsidRDefault="008D7AFD" w:rsidP="002F40A8">
      <w:pPr>
        <w:spacing w:after="120"/>
      </w:pPr>
      <w:r>
        <w:lastRenderedPageBreak/>
        <w:t xml:space="preserve">Vzhledem k množství času, který studenti tráví na </w:t>
      </w:r>
      <w:r w:rsidR="00AC7B91">
        <w:t>počítači a internetu, je zřejmé</w:t>
      </w:r>
      <w:r>
        <w:t xml:space="preserve">, že </w:t>
      </w:r>
      <w:r w:rsidR="00AC7B91">
        <w:t>zde</w:t>
      </w:r>
      <w:r w:rsidR="00AE49BE">
        <w:t xml:space="preserve"> pouze </w:t>
      </w:r>
      <w:r w:rsidR="00AC7B91">
        <w:t xml:space="preserve">nepracují na věcech </w:t>
      </w:r>
      <w:r w:rsidR="00AE49BE">
        <w:t>do školy, ale že velká část studentů navštěvuje internet především kvůli zábavě. V roce 2019</w:t>
      </w:r>
      <w:r w:rsidR="00AC7B91">
        <w:t xml:space="preserve"> bylo</w:t>
      </w:r>
      <w:r w:rsidR="00AE49BE">
        <w:t xml:space="preserve"> nejčastější studentskou aktivitou na internetu</w:t>
      </w:r>
      <w:r w:rsidR="00C2637D">
        <w:t xml:space="preserve"> v posledních 3 měsících</w:t>
      </w:r>
      <w:r w:rsidR="00AE49BE">
        <w:t xml:space="preserve"> posílání e-mailů (98,3</w:t>
      </w:r>
      <w:r w:rsidR="00765AF8">
        <w:t> </w:t>
      </w:r>
      <w:r w:rsidR="00AE49BE">
        <w:t>%), používání sociálních sítí (98,0</w:t>
      </w:r>
      <w:r w:rsidR="008B0329">
        <w:t> </w:t>
      </w:r>
      <w:r w:rsidR="00AE49BE">
        <w:t>%) a</w:t>
      </w:r>
      <w:r w:rsidR="00ED07B0">
        <w:t xml:space="preserve"> chatování</w:t>
      </w:r>
      <w:r w:rsidR="00AE49BE">
        <w:t xml:space="preserve"> </w:t>
      </w:r>
      <w:r w:rsidR="00ED07B0">
        <w:t>(</w:t>
      </w:r>
      <w:r w:rsidR="00AE49BE">
        <w:t xml:space="preserve">posílání zpráv např. přes </w:t>
      </w:r>
      <w:r w:rsidR="00AC7B91">
        <w:t>aplikac</w:t>
      </w:r>
      <w:r w:rsidR="009A3FC8">
        <w:t>e</w:t>
      </w:r>
      <w:r w:rsidR="00AC7B91">
        <w:t xml:space="preserve"> </w:t>
      </w:r>
      <w:r w:rsidR="00ED07B0">
        <w:t>Messenger</w:t>
      </w:r>
      <w:r w:rsidR="009A3FC8">
        <w:t xml:space="preserve"> či WhatsApp</w:t>
      </w:r>
      <w:r w:rsidR="00ED07B0">
        <w:t xml:space="preserve"> </w:t>
      </w:r>
      <w:r w:rsidR="00AE49BE">
        <w:t>94,1</w:t>
      </w:r>
      <w:r w:rsidR="008B0329">
        <w:t> </w:t>
      </w:r>
      <w:r w:rsidR="00AE49BE">
        <w:t>%).</w:t>
      </w:r>
      <w:r w:rsidR="0086111E">
        <w:t xml:space="preserve"> </w:t>
      </w:r>
      <w:r w:rsidR="00AE49BE">
        <w:t xml:space="preserve">Naopak mezi méně frekventované činnosti prováděné </w:t>
      </w:r>
      <w:r w:rsidR="00ED07B0">
        <w:t xml:space="preserve">českými </w:t>
      </w:r>
      <w:r w:rsidR="00AE49BE">
        <w:t>studenty patří např. online nakupování (</w:t>
      </w:r>
      <w:r w:rsidR="00AC7B91">
        <w:t>59,3</w:t>
      </w:r>
      <w:r w:rsidR="008B0329">
        <w:t> </w:t>
      </w:r>
      <w:r w:rsidR="00AE49BE">
        <w:t>%), vyhledávání informací týkajících se zdraví (</w:t>
      </w:r>
      <w:r w:rsidR="00AC7B91">
        <w:t>44,4</w:t>
      </w:r>
      <w:r w:rsidR="008B0329">
        <w:t> </w:t>
      </w:r>
      <w:r w:rsidR="00AE49BE">
        <w:t xml:space="preserve">%) a především sledování filmů a videí, za které je nutné zaplatit, jako </w:t>
      </w:r>
      <w:r w:rsidR="004225FE">
        <w:t>např</w:t>
      </w:r>
      <w:r w:rsidR="00AE49BE">
        <w:t>.</w:t>
      </w:r>
      <w:r w:rsidR="004225FE">
        <w:t xml:space="preserve"> těch přes službu</w:t>
      </w:r>
      <w:r w:rsidR="00AE49BE">
        <w:t xml:space="preserve"> Netflix (</w:t>
      </w:r>
      <w:r w:rsidR="001F4AE8">
        <w:t>3,1</w:t>
      </w:r>
      <w:r w:rsidR="008B0329">
        <w:t> </w:t>
      </w:r>
      <w:r w:rsidR="00AE49BE" w:rsidRPr="001F4AE8">
        <w:t>%).</w:t>
      </w:r>
    </w:p>
    <w:p w14:paraId="1515CF48" w14:textId="77777777" w:rsidR="00AE49BE" w:rsidRPr="008D7AFD" w:rsidRDefault="0049532D" w:rsidP="00AE49BE">
      <w:pPr>
        <w:pStyle w:val="TabulkaGraf"/>
      </w:pPr>
      <w:r>
        <w:t>Graf 5</w:t>
      </w:r>
      <w:r w:rsidR="00AE49BE" w:rsidRPr="00AE49BE">
        <w:t>: Studenti používající internet k vybraným činnostem; 2019</w:t>
      </w:r>
    </w:p>
    <w:p w14:paraId="00BDB941" w14:textId="7A24FCB1" w:rsidR="00C6216E" w:rsidRDefault="00FD268A" w:rsidP="005D4B51">
      <w:r>
        <w:rPr>
          <w:noProof/>
          <w:lang w:eastAsia="cs-CZ"/>
        </w:rPr>
        <w:drawing>
          <wp:inline distT="0" distB="0" distL="0" distR="0" wp14:anchorId="77FF0FE1" wp14:editId="2E69A5E6">
            <wp:extent cx="5400040" cy="307963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83D9F9" w14:textId="77777777" w:rsidR="009E7311" w:rsidRPr="00FD268A" w:rsidRDefault="009E7311" w:rsidP="009E7311">
      <w:pPr>
        <w:rPr>
          <w:sz w:val="18"/>
          <w:szCs w:val="18"/>
        </w:rPr>
      </w:pPr>
      <w:r w:rsidRPr="00FD268A">
        <w:rPr>
          <w:sz w:val="18"/>
          <w:szCs w:val="18"/>
        </w:rPr>
        <w:t>Zdroj: ČSÚ, šetření o využívání ICT v domácnostech a mezi jednotlivci</w:t>
      </w:r>
    </w:p>
    <w:p w14:paraId="2C14DABE" w14:textId="1BE18AA9" w:rsidR="00C2637D" w:rsidRDefault="003F3955" w:rsidP="002F40A8">
      <w:pPr>
        <w:spacing w:before="180" w:after="120"/>
      </w:pPr>
      <w:r>
        <w:t>Studenti mívají</w:t>
      </w:r>
      <w:r w:rsidR="006B0E4D">
        <w:t>,</w:t>
      </w:r>
      <w:r>
        <w:t xml:space="preserve"> bez ohledu na národnost</w:t>
      </w:r>
      <w:r w:rsidR="006B0E4D">
        <w:t>,</w:t>
      </w:r>
      <w:r>
        <w:t xml:space="preserve"> podobné zájmy a u mnoha internetových činností nejsou mezi jednotlivými národy velké rozdíly. Ve všech zemích je mezi studenty velice oblíbená elektronická komunikace ve </w:t>
      </w:r>
      <w:r w:rsidR="00C2637D">
        <w:t>všemožných</w:t>
      </w:r>
      <w:r>
        <w:t xml:space="preserve"> podobách. U posílání e-mailů, chatování a</w:t>
      </w:r>
      <w:r w:rsidR="00937037">
        <w:t> </w:t>
      </w:r>
      <w:r>
        <w:t>používání sociálních sítí se evropský průměr studentů-uživatelů pohybuje těsně pod 90 %. Pouze telefonování přes internetové aplikace není tak populární a je to jediný ze zmíněných ukazatelů, kde jsou čeští studenti pod evropským průměrem (77,6</w:t>
      </w:r>
      <w:r w:rsidR="00C2637D">
        <w:t> </w:t>
      </w:r>
      <w:r>
        <w:t xml:space="preserve">%). Nejméně přes internet telefonují studenti v Irsku </w:t>
      </w:r>
      <w:r w:rsidR="00C2637D">
        <w:t>(59,4 %), mailují v Bulharsku (72,1 %), chatují v Rumunsku (63 %) a</w:t>
      </w:r>
      <w:r w:rsidR="00937037">
        <w:t> </w:t>
      </w:r>
      <w:r w:rsidR="00C2637D">
        <w:t xml:space="preserve">sociální sítě nejméně používají </w:t>
      </w:r>
      <w:r w:rsidR="00ED07B0">
        <w:t>student</w:t>
      </w:r>
      <w:r w:rsidR="00AC7740">
        <w:t>i</w:t>
      </w:r>
      <w:r w:rsidR="00ED07B0">
        <w:t xml:space="preserve"> v Itálii </w:t>
      </w:r>
      <w:r w:rsidR="00C2637D">
        <w:t>(76,2 %).</w:t>
      </w:r>
      <w:r>
        <w:t xml:space="preserve"> </w:t>
      </w:r>
      <w:r w:rsidR="00ED07B0">
        <w:t>Podprůměrní rovnou v</w:t>
      </w:r>
      <w:r w:rsidR="00C2637D">
        <w:t xml:space="preserve">e všech čtyřech ukazatelích jsou studenti </w:t>
      </w:r>
      <w:r w:rsidR="00E5337C">
        <w:t>Francie, Irska</w:t>
      </w:r>
      <w:r w:rsidR="0023398D">
        <w:t xml:space="preserve"> a</w:t>
      </w:r>
      <w:r w:rsidR="00A020B4">
        <w:t xml:space="preserve"> Lucemburska.</w:t>
      </w:r>
    </w:p>
    <w:p w14:paraId="62BF699D" w14:textId="77777777" w:rsidR="00C2637D" w:rsidRDefault="00C2637D">
      <w:pPr>
        <w:spacing w:line="240" w:lineRule="auto"/>
        <w:jc w:val="left"/>
      </w:pPr>
      <w:r>
        <w:br w:type="page"/>
      </w:r>
    </w:p>
    <w:p w14:paraId="34AE5196" w14:textId="655AE2F2" w:rsidR="00A76D56" w:rsidRPr="005D4B51" w:rsidRDefault="0049532D" w:rsidP="00207A3E">
      <w:pPr>
        <w:pStyle w:val="TabulkaGraf"/>
      </w:pPr>
      <w:r>
        <w:lastRenderedPageBreak/>
        <w:t>Graf 6</w:t>
      </w:r>
      <w:r w:rsidR="00207A3E" w:rsidRPr="00207A3E">
        <w:t xml:space="preserve">: </w:t>
      </w:r>
      <w:r w:rsidR="000D5335">
        <w:t>Po</w:t>
      </w:r>
      <w:r w:rsidR="00FD268A">
        <w:t>užívání sociálních sítí</w:t>
      </w:r>
      <w:r w:rsidR="00207A3E" w:rsidRPr="00207A3E">
        <w:t>; 2019</w:t>
      </w:r>
    </w:p>
    <w:p w14:paraId="1E7CACA7" w14:textId="098F4B45" w:rsidR="00D27D69" w:rsidRDefault="00FD268A" w:rsidP="00E42E00">
      <w:r>
        <w:rPr>
          <w:noProof/>
          <w:lang w:eastAsia="cs-CZ"/>
        </w:rPr>
        <w:drawing>
          <wp:inline distT="0" distB="0" distL="0" distR="0" wp14:anchorId="59473EC0" wp14:editId="1999ED22">
            <wp:extent cx="5400040" cy="2484408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C341F9" w14:textId="77777777" w:rsidR="009E7311" w:rsidRPr="001557C9" w:rsidRDefault="009E7311" w:rsidP="009E7311">
      <w:pPr>
        <w:rPr>
          <w:sz w:val="18"/>
          <w:szCs w:val="18"/>
        </w:rPr>
      </w:pPr>
      <w:r w:rsidRPr="001557C9">
        <w:rPr>
          <w:sz w:val="18"/>
          <w:szCs w:val="18"/>
        </w:rPr>
        <w:t>Zdroj: Eurostat</w:t>
      </w:r>
    </w:p>
    <w:p w14:paraId="2FF84F3F" w14:textId="2CEF4786" w:rsidR="00AC7B91" w:rsidRDefault="00C2637D" w:rsidP="004D7092">
      <w:pPr>
        <w:spacing w:before="180"/>
      </w:pPr>
      <w:r>
        <w:t xml:space="preserve">Studenti také internet využívají k získávání nejrůznějších informací. Čeští studenti </w:t>
      </w:r>
      <w:r w:rsidR="003E6AA9">
        <w:t>(</w:t>
      </w:r>
      <w:r w:rsidR="006B0E4D">
        <w:t>89 </w:t>
      </w:r>
      <w:r w:rsidR="003E6AA9">
        <w:t xml:space="preserve">%) </w:t>
      </w:r>
      <w:r>
        <w:t>v roce 2019 patřili společně s</w:t>
      </w:r>
      <w:r w:rsidR="003E6AA9">
        <w:t> </w:t>
      </w:r>
      <w:r>
        <w:t>estonskými</w:t>
      </w:r>
      <w:r w:rsidR="003E6AA9">
        <w:t xml:space="preserve"> (89,</w:t>
      </w:r>
      <w:r w:rsidR="006B0E4D">
        <w:t>8 </w:t>
      </w:r>
      <w:r w:rsidR="003E6AA9">
        <w:t>%)</w:t>
      </w:r>
      <w:r>
        <w:t xml:space="preserve"> a finskými</w:t>
      </w:r>
      <w:r w:rsidR="003E6AA9">
        <w:t xml:space="preserve"> (87,1</w:t>
      </w:r>
      <w:r w:rsidR="006B0E4D">
        <w:t> </w:t>
      </w:r>
      <w:r w:rsidR="003E6AA9">
        <w:t>%)</w:t>
      </w:r>
      <w:r>
        <w:t xml:space="preserve"> studenty k největším čtenářům online zpráv</w:t>
      </w:r>
      <w:r w:rsidR="003E6AA9">
        <w:t xml:space="preserve">, </w:t>
      </w:r>
      <w:r>
        <w:t>naopak o informace týkající se zdraví se zajímali podprůměrně často (</w:t>
      </w:r>
      <w:r w:rsidR="003040D4">
        <w:t>44,</w:t>
      </w:r>
      <w:r>
        <w:t>4</w:t>
      </w:r>
      <w:r w:rsidR="003040D4">
        <w:t> </w:t>
      </w:r>
      <w:r>
        <w:t>%</w:t>
      </w:r>
      <w:r w:rsidR="00AA5413">
        <w:t xml:space="preserve"> vs. p</w:t>
      </w:r>
      <w:r w:rsidR="003E6AA9">
        <w:t>růměr EU28 53,8 %</w:t>
      </w:r>
      <w:r>
        <w:t>). Naopak informace o zboží a službách hledali v 89,1</w:t>
      </w:r>
      <w:r w:rsidR="003040D4">
        <w:t> </w:t>
      </w:r>
      <w:r>
        <w:t>% případů, což je nad evropským průměrem (</w:t>
      </w:r>
      <w:r w:rsidR="003040D4">
        <w:t>76,7 %).</w:t>
      </w:r>
      <w:r w:rsidR="000F2DE1">
        <w:t xml:space="preserve"> Nejrůznější obsah je ale možné na internetu nejenom hledat, ale svým způsobem i vytvářet. </w:t>
      </w:r>
      <w:r w:rsidR="00AC7B91">
        <w:t>Mezi</w:t>
      </w:r>
      <w:r w:rsidR="00207A3E">
        <w:t xml:space="preserve"> českými studenty </w:t>
      </w:r>
      <w:r w:rsidR="00AC7B91">
        <w:t>je</w:t>
      </w:r>
      <w:r w:rsidR="006B0E4D">
        <w:t>, v případě srovnání s ostatními státy EU28,</w:t>
      </w:r>
      <w:r w:rsidR="00AC7B91">
        <w:t xml:space="preserve"> </w:t>
      </w:r>
      <w:r w:rsidR="00207A3E">
        <w:t xml:space="preserve">nejvyšší </w:t>
      </w:r>
      <w:r w:rsidR="00AC7B91">
        <w:t>podíl</w:t>
      </w:r>
      <w:r w:rsidR="00207A3E">
        <w:t xml:space="preserve"> těch, </w:t>
      </w:r>
      <w:r w:rsidR="00AC7B91">
        <w:t>kteří na internet nahrávají svůj vlastní obsah, jako jsou např. videa, fotografie nebo hudba (87,9</w:t>
      </w:r>
      <w:r w:rsidR="003040D4">
        <w:t> </w:t>
      </w:r>
      <w:r w:rsidR="00AC7B91">
        <w:t>%)</w:t>
      </w:r>
      <w:r w:rsidR="000F2DE1">
        <w:t>.</w:t>
      </w:r>
      <w:r w:rsidR="002B6A78">
        <w:t xml:space="preserve"> </w:t>
      </w:r>
      <w:r w:rsidR="006B0E4D">
        <w:t>Průměr za EU28 je v případě tohoto ukazatele 51</w:t>
      </w:r>
      <w:r w:rsidR="009A3FC8">
        <w:t>,4</w:t>
      </w:r>
      <w:r w:rsidR="006B0E4D">
        <w:t> % a</w:t>
      </w:r>
      <w:r w:rsidR="0069538B">
        <w:t> </w:t>
      </w:r>
      <w:r w:rsidR="006B0E4D">
        <w:t>Česko tak mezi evropskými státy výrazně vyniká.</w:t>
      </w:r>
    </w:p>
    <w:p w14:paraId="2C6FF24C" w14:textId="0B48F0F3" w:rsidR="00D27D69" w:rsidRDefault="0049532D" w:rsidP="002F40A8">
      <w:pPr>
        <w:pStyle w:val="TabulkaGraf"/>
        <w:spacing w:before="120"/>
      </w:pPr>
      <w:r>
        <w:t>Graf 7</w:t>
      </w:r>
      <w:r w:rsidR="000D5335">
        <w:t>: Nahrávání fotek, videí a hudby na internet</w:t>
      </w:r>
      <w:r w:rsidR="00207A3E" w:rsidRPr="00207A3E">
        <w:t>; 2019</w:t>
      </w:r>
    </w:p>
    <w:p w14:paraId="5DAF2640" w14:textId="50275E27" w:rsidR="00207A3E" w:rsidRDefault="004D7092" w:rsidP="00E42E00">
      <w:r>
        <w:rPr>
          <w:noProof/>
          <w:lang w:eastAsia="cs-CZ"/>
        </w:rPr>
        <w:drawing>
          <wp:inline distT="0" distB="0" distL="0" distR="0" wp14:anchorId="1153E233" wp14:editId="14D2798D">
            <wp:extent cx="5400040" cy="2656936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4299654" w14:textId="77777777" w:rsidR="00347F6E" w:rsidRPr="001557C9" w:rsidRDefault="00347F6E" w:rsidP="00347F6E">
      <w:pPr>
        <w:rPr>
          <w:sz w:val="18"/>
          <w:szCs w:val="18"/>
        </w:rPr>
      </w:pPr>
      <w:r w:rsidRPr="001557C9">
        <w:rPr>
          <w:sz w:val="18"/>
          <w:szCs w:val="18"/>
        </w:rPr>
        <w:t>Zdroj: Eurostat</w:t>
      </w:r>
    </w:p>
    <w:p w14:paraId="18DB30E3" w14:textId="1F0B6F6A" w:rsidR="003663A6" w:rsidRDefault="0049532D" w:rsidP="002F40A8">
      <w:pPr>
        <w:spacing w:before="180" w:after="120"/>
      </w:pPr>
      <w:r>
        <w:lastRenderedPageBreak/>
        <w:t>Poměrně výrazné rozdíly pak najdeme u používání internetového bankovnictví. Zatímco např. v</w:t>
      </w:r>
      <w:r w:rsidR="00765AF8">
        <w:t> </w:t>
      </w:r>
      <w:r>
        <w:t xml:space="preserve">Dánsku a Nizozemsku tuto službu používá přes </w:t>
      </w:r>
      <w:r w:rsidR="00A573A9">
        <w:t>90 </w:t>
      </w:r>
      <w:r>
        <w:t>% tamních studentů, v Bulharsku a</w:t>
      </w:r>
      <w:r w:rsidR="00765AF8">
        <w:t> </w:t>
      </w:r>
      <w:r>
        <w:t xml:space="preserve">Rumunsku to je méně než </w:t>
      </w:r>
      <w:r w:rsidR="00A573A9">
        <w:t>10 </w:t>
      </w:r>
      <w:r>
        <w:t>% studentů.</w:t>
      </w:r>
      <w:r w:rsidR="00A573A9">
        <w:t xml:space="preserve"> V průměru EU28 využívá služeb internetového bankovnictví rovná polovina studentů a Česko se tak s hodnotou 59 % nachází nad evropským průměrem.</w:t>
      </w:r>
      <w:r w:rsidR="002B6A78">
        <w:t xml:space="preserve"> </w:t>
      </w:r>
      <w:r w:rsidR="003663A6">
        <w:t>V případě inte</w:t>
      </w:r>
      <w:bookmarkStart w:id="0" w:name="_GoBack"/>
      <w:bookmarkEnd w:id="0"/>
      <w:r w:rsidR="003663A6">
        <w:t>rnetového bankovnictví nabízí mezinárodní srovnání několik zajímavých</w:t>
      </w:r>
      <w:r w:rsidR="003E6AA9">
        <w:t xml:space="preserve"> případů</w:t>
      </w:r>
      <w:r w:rsidR="003663A6">
        <w:t xml:space="preserve">. </w:t>
      </w:r>
      <w:r w:rsidR="002B6A78">
        <w:t>Nejenom že</w:t>
      </w:r>
      <w:r w:rsidR="003663A6">
        <w:t xml:space="preserve"> najdeme</w:t>
      </w:r>
      <w:r w:rsidR="002B6A78">
        <w:t xml:space="preserve"> poměrně výrazný rozdíl</w:t>
      </w:r>
      <w:r w:rsidR="003663A6">
        <w:t xml:space="preserve"> v jeho používání</w:t>
      </w:r>
      <w:r w:rsidR="002B6A78">
        <w:t xml:space="preserve"> mezi studenty</w:t>
      </w:r>
      <w:r w:rsidR="003663A6">
        <w:t xml:space="preserve"> v jednotlivých zemích</w:t>
      </w:r>
      <w:r w:rsidR="003E6AA9">
        <w:t>, jak je zmíněno výše</w:t>
      </w:r>
      <w:r w:rsidR="002B6A78">
        <w:t xml:space="preserve">, ale i ve srovnání mezi studenty a celkovou populací daných zemí. </w:t>
      </w:r>
      <w:r w:rsidR="003663A6">
        <w:t xml:space="preserve">V některých zemích </w:t>
      </w:r>
      <w:r w:rsidR="0041418C">
        <w:t>není mezi těmito skupinami téměř žádný rozdíl (např. Irsko 66,8 % studentů a 67,4 % osob celkem), někde je používání rozšířenější v celkové populaci (např. Lucembursko, 70,6</w:t>
      </w:r>
      <w:r w:rsidR="00947BD9">
        <w:t> </w:t>
      </w:r>
      <w:r w:rsidR="0041418C">
        <w:t>% osob celkem vs. 50</w:t>
      </w:r>
      <w:r w:rsidR="00947BD9">
        <w:t> </w:t>
      </w:r>
      <w:r w:rsidR="0041418C">
        <w:t>% studentů), někde je ale tato služba používanější mezi studenty (např. Velká Británie, 87,1</w:t>
      </w:r>
      <w:r w:rsidR="00947BD9">
        <w:t> </w:t>
      </w:r>
      <w:r w:rsidR="0041418C">
        <w:t>% studentů vs. 77,7</w:t>
      </w:r>
      <w:r w:rsidR="00947BD9">
        <w:t> </w:t>
      </w:r>
      <w:r w:rsidR="0041418C">
        <w:t>% osob celkem).</w:t>
      </w:r>
    </w:p>
    <w:p w14:paraId="1B0552AF" w14:textId="340DF187" w:rsidR="0049532D" w:rsidRDefault="0049532D" w:rsidP="0049532D">
      <w:pPr>
        <w:pStyle w:val="TabulkaGraf"/>
      </w:pPr>
      <w:r>
        <w:t xml:space="preserve">Graf 8 </w:t>
      </w:r>
      <w:r w:rsidRPr="00207A3E">
        <w:t xml:space="preserve">: </w:t>
      </w:r>
      <w:r w:rsidR="000D5335">
        <w:t>Používání internetového bankovnictví</w:t>
      </w:r>
      <w:r w:rsidRPr="00207A3E">
        <w:t>; 2019</w:t>
      </w:r>
    </w:p>
    <w:p w14:paraId="3641BFF8" w14:textId="0931E314" w:rsidR="00207A3E" w:rsidRDefault="00AD035A" w:rsidP="00E42E00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9E1265E" wp14:editId="04734089">
            <wp:extent cx="5400040" cy="2794958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175405" w14:textId="77777777" w:rsidR="00347F6E" w:rsidRPr="001557C9" w:rsidRDefault="00347F6E" w:rsidP="00347F6E">
      <w:pPr>
        <w:rPr>
          <w:sz w:val="18"/>
          <w:szCs w:val="18"/>
        </w:rPr>
      </w:pPr>
      <w:r w:rsidRPr="001557C9">
        <w:rPr>
          <w:sz w:val="18"/>
          <w:szCs w:val="18"/>
        </w:rPr>
        <w:t>Zdroj: Eurostat</w:t>
      </w:r>
    </w:p>
    <w:p w14:paraId="136E5002" w14:textId="2E0D0784" w:rsidR="00207A3E" w:rsidRDefault="00207A3E" w:rsidP="00E42E00">
      <w:pPr>
        <w:rPr>
          <w:b/>
        </w:rPr>
      </w:pPr>
    </w:p>
    <w:p w14:paraId="44E62C91" w14:textId="2CB14059" w:rsidR="00AD035A" w:rsidRDefault="00AD035A" w:rsidP="00E42E00">
      <w:pPr>
        <w:rPr>
          <w:b/>
        </w:rPr>
      </w:pPr>
    </w:p>
    <w:p w14:paraId="26FE53A0" w14:textId="77777777" w:rsidR="00AD035A" w:rsidRDefault="00AD035A" w:rsidP="00E42E00">
      <w:pPr>
        <w:rPr>
          <w:b/>
        </w:rPr>
      </w:pPr>
    </w:p>
    <w:p w14:paraId="0A001813" w14:textId="77777777" w:rsidR="00DB392C" w:rsidRDefault="007B1333" w:rsidP="00E42E00">
      <w:pPr>
        <w:rPr>
          <w:b/>
        </w:rPr>
      </w:pPr>
      <w:r>
        <w:rPr>
          <w:b/>
        </w:rPr>
        <w:t>Autor</w:t>
      </w:r>
    </w:p>
    <w:p w14:paraId="40A83EFC" w14:textId="77777777" w:rsidR="007B1333" w:rsidRDefault="00DB392C" w:rsidP="00E42E00">
      <w:r>
        <w:t>Jitka Wichová</w:t>
      </w:r>
    </w:p>
    <w:p w14:paraId="1185183A" w14:textId="77777777" w:rsidR="00DB392C" w:rsidRDefault="00DB392C" w:rsidP="00DB392C">
      <w:r>
        <w:t>Odbor statistik rozvoje společnosti</w:t>
      </w:r>
    </w:p>
    <w:p w14:paraId="39FF11E8" w14:textId="77777777" w:rsidR="00DB392C" w:rsidRDefault="00DB392C" w:rsidP="00DB392C">
      <w:r>
        <w:t xml:space="preserve">Tel.: </w:t>
      </w:r>
      <w:r w:rsidRPr="00F46E8C">
        <w:t>+420 274 052 005</w:t>
      </w:r>
    </w:p>
    <w:p w14:paraId="095ECAE6" w14:textId="77777777" w:rsidR="00DB392C" w:rsidRPr="00851591" w:rsidRDefault="00DB392C" w:rsidP="00DB392C">
      <w:r>
        <w:t>E-mail: jitka.wichova@czso.cz</w:t>
      </w:r>
    </w:p>
    <w:sectPr w:rsidR="00DB392C" w:rsidRPr="00851591" w:rsidSect="009C5841">
      <w:headerReference w:type="default" r:id="rId15"/>
      <w:footerReference w:type="default" r:id="rId16"/>
      <w:pgSz w:w="11907" w:h="16839" w:code="9"/>
      <w:pgMar w:top="2948" w:right="1418" w:bottom="1843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1216" w14:textId="77777777" w:rsidR="00DA0FA5" w:rsidRDefault="00DA0FA5" w:rsidP="00BA6370">
      <w:r>
        <w:separator/>
      </w:r>
    </w:p>
  </w:endnote>
  <w:endnote w:type="continuationSeparator" w:id="0">
    <w:p w14:paraId="063FBFF6" w14:textId="77777777" w:rsidR="00DA0FA5" w:rsidRDefault="00DA0FA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E35C" w14:textId="77777777" w:rsidR="003D0499" w:rsidRDefault="00AA5BC0">
    <w:pPr>
      <w:pStyle w:val="Zpat"/>
    </w:pPr>
    <w:r>
      <w:rPr>
        <w:noProof/>
        <w:lang w:eastAsia="cs-CZ"/>
      </w:rPr>
      <w:pict w14:anchorId="0A0FC232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<v:textbox inset="0,0,0,0">
            <w:txbxContent>
              <w:p w14:paraId="59B892F2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18EA2E46" w14:textId="164587C1"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="0086111E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</w:t>
                </w:r>
                <w:r w:rsidR="0086111E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7758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77587" w:rsidRPr="004E479E">
                  <w:rPr>
                    <w:rFonts w:cs="Arial"/>
                    <w:szCs w:val="15"/>
                  </w:rPr>
                  <w:fldChar w:fldCharType="separate"/>
                </w:r>
                <w:r w:rsidR="00AA5BC0">
                  <w:rPr>
                    <w:rFonts w:cs="Arial"/>
                    <w:noProof/>
                    <w:szCs w:val="15"/>
                  </w:rPr>
                  <w:t>6</w:t>
                </w:r>
                <w:r w:rsidR="0017758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 w14:anchorId="1999A4AD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1FC7" w14:textId="77777777" w:rsidR="00DA0FA5" w:rsidRDefault="00DA0FA5" w:rsidP="00BA6370">
      <w:r>
        <w:separator/>
      </w:r>
    </w:p>
  </w:footnote>
  <w:footnote w:type="continuationSeparator" w:id="0">
    <w:p w14:paraId="273E6D4E" w14:textId="77777777" w:rsidR="00DA0FA5" w:rsidRDefault="00DA0FA5" w:rsidP="00BA6370">
      <w:r>
        <w:continuationSeparator/>
      </w:r>
    </w:p>
  </w:footnote>
  <w:footnote w:id="1">
    <w:p w14:paraId="364F3047" w14:textId="315ECCF3" w:rsidR="00070E95" w:rsidRDefault="00070E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85507">
        <w:rPr>
          <w:i/>
          <w:sz w:val="18"/>
          <w:szCs w:val="18"/>
        </w:rPr>
        <w:t>O</w:t>
      </w:r>
      <w:r w:rsidR="00185507" w:rsidRPr="00A23CD0">
        <w:rPr>
          <w:i/>
          <w:sz w:val="18"/>
          <w:szCs w:val="18"/>
        </w:rPr>
        <w:t xml:space="preserve">soby </w:t>
      </w:r>
      <w:r w:rsidRPr="00A23CD0">
        <w:rPr>
          <w:i/>
          <w:sz w:val="18"/>
          <w:szCs w:val="18"/>
        </w:rPr>
        <w:t xml:space="preserve">ve věku 16+, </w:t>
      </w:r>
      <w:r w:rsidR="00D4318A" w:rsidRPr="00A23CD0">
        <w:rPr>
          <w:i/>
          <w:sz w:val="18"/>
          <w:szCs w:val="18"/>
        </w:rPr>
        <w:t>kte</w:t>
      </w:r>
      <w:r w:rsidR="00D4318A">
        <w:rPr>
          <w:i/>
          <w:sz w:val="18"/>
          <w:szCs w:val="18"/>
        </w:rPr>
        <w:t>ré</w:t>
      </w:r>
      <w:r w:rsidR="00D4318A" w:rsidRPr="00A23CD0">
        <w:rPr>
          <w:i/>
          <w:sz w:val="18"/>
          <w:szCs w:val="18"/>
        </w:rPr>
        <w:t xml:space="preserve"> </w:t>
      </w:r>
      <w:r w:rsidRPr="00A23CD0">
        <w:rPr>
          <w:i/>
          <w:sz w:val="18"/>
          <w:szCs w:val="18"/>
        </w:rPr>
        <w:t>uvedl</w:t>
      </w:r>
      <w:r w:rsidR="00E50016">
        <w:rPr>
          <w:i/>
          <w:sz w:val="18"/>
          <w:szCs w:val="18"/>
        </w:rPr>
        <w:t>y</w:t>
      </w:r>
      <w:r w:rsidRPr="00A23CD0">
        <w:rPr>
          <w:i/>
          <w:sz w:val="18"/>
          <w:szCs w:val="18"/>
        </w:rPr>
        <w:t xml:space="preserve"> studium jako svojí převažující ekonomickou aktivitu, zahrnuti jsou studenti středních škol, učilišť, vy</w:t>
      </w:r>
      <w:r w:rsidR="007E0F69">
        <w:rPr>
          <w:i/>
          <w:sz w:val="18"/>
          <w:szCs w:val="18"/>
        </w:rPr>
        <w:t>šších odborných i vysokých škol.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2193" w14:textId="77777777" w:rsidR="003D0499" w:rsidRDefault="00AA5BC0">
    <w:pPr>
      <w:pStyle w:val="Zhlav"/>
    </w:pPr>
    <w:r>
      <w:rPr>
        <w:noProof/>
        <w:lang w:eastAsia="cs-CZ"/>
      </w:rPr>
      <w:pict w14:anchorId="58171F11">
        <v:group id="Group 6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<v:rect id="Rectangle 7" o:spid="_x0000_s2066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8" o:spid="_x0000_s2065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9" o:spid="_x0000_s206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10" o:spid="_x0000_s2063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11" o:spid="_x0000_s2062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12" o:spid="_x0000_s2061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3" o:spid="_x0000_s2060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4" o:spid="_x0000_s2059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<v:path arrowok="t" o:connecttype="custom" o:connectlocs="98,58;78,117;118,117;98,58;64,154;52,186;0,186;71,0;125,0;195,186;143,186;131,154;64,154" o:connectangles="0,0,0,0,0,0,0,0,0,0,0,0,0"/>
            <o:lock v:ext="edit" verticies="t"/>
          </v:shape>
          <v:shape id="Freeform 15" o:spid="_x0000_s2058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<v:path arrowok="t" o:connecttype="custom" o:connectlocs="0,0;49,0;138,114;138,0;187,0;187,186;138,186;49,73;49,186;0,186;0,0" o:connectangles="0,0,0,0,0,0,0,0,0,0,0"/>
          </v:shape>
          <v:shape id="Freeform 16" o:spid="_x0000_s2057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<v:path arrowok="t" o:connecttype="custom" o:connectlocs="98,58;78,117;118,117;98,58;64,154;51,186;0,186;72,0;125,0;195,186;144,186;132,154;64,154" o:connectangles="0,0,0,0,0,0,0,0,0,0,0,0,0"/>
            <o:lock v:ext="edit" verticies="t"/>
          </v:shape>
          <v:shape id="Freeform 17" o:spid="_x0000_s2056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<v:path arrowok="t" o:connecttype="custom" o:connectlocs="48,145;106,145;106,186;0,186;0,0;48,0;48,145" o:connectangles="0,0,0,0,0,0,0"/>
          </v:shape>
          <v:shape id="Freeform 18" o:spid="_x0000_s2055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<v:path arrowok="t" o:connecttype="custom" o:connectlocs="94,51;77,34;117,0;141,21;94,51;0,60;59,60;94,111;128,60;187,60;117,158;117,247;68,247;68,158;0,60" o:connectangles="0,0,0,0,0,0,0,0,0,0,0,0,0,0,0"/>
            <o:lock v:ext="edit" verticies="t"/>
          </v:shape>
          <v:shape id="Freeform 19" o:spid="_x0000_s2054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<v:path arrowok="t" o:connecttype="custom" o:connectlocs="160,145;160,186;0,186;89,41;15,41;15,0;170,0;82,145;160,145" o:connectangles="0,0,0,0,0,0,0,0,0"/>
          </v:shape>
          <v:shape id="Freeform 20" o:spid="_x0000_s2053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<v:path arrowok="t" o:connecttype="custom" o:connectlocs="98,58;78,117;118,117;98,58;64,154;51,186;0,186;72,0;125,0;195,186;143,186;131,154;64,154" o:connectangles="0,0,0,0,0,0,0,0,0,0,0,0,0"/>
            <o:lock v:ext="edit" verticies="t"/>
          </v:shape>
          <v:shape id="Freeform 21" o:spid="_x0000_s2052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DD8"/>
    <w:rsid w:val="000042D6"/>
    <w:rsid w:val="00007556"/>
    <w:rsid w:val="00012D11"/>
    <w:rsid w:val="000204B0"/>
    <w:rsid w:val="00025385"/>
    <w:rsid w:val="00043BF4"/>
    <w:rsid w:val="00070E95"/>
    <w:rsid w:val="000843A5"/>
    <w:rsid w:val="00097AA0"/>
    <w:rsid w:val="000B21FB"/>
    <w:rsid w:val="000B683E"/>
    <w:rsid w:val="000B6F63"/>
    <w:rsid w:val="000D5335"/>
    <w:rsid w:val="000F2DE1"/>
    <w:rsid w:val="000F5B28"/>
    <w:rsid w:val="00124A54"/>
    <w:rsid w:val="00127216"/>
    <w:rsid w:val="00136D78"/>
    <w:rsid w:val="001404AB"/>
    <w:rsid w:val="00151B4D"/>
    <w:rsid w:val="00152138"/>
    <w:rsid w:val="001532B1"/>
    <w:rsid w:val="001658A9"/>
    <w:rsid w:val="0017231D"/>
    <w:rsid w:val="00175ABA"/>
    <w:rsid w:val="00177587"/>
    <w:rsid w:val="001810DC"/>
    <w:rsid w:val="00185507"/>
    <w:rsid w:val="001A59BF"/>
    <w:rsid w:val="001B607F"/>
    <w:rsid w:val="001D2496"/>
    <w:rsid w:val="001D369A"/>
    <w:rsid w:val="001E1F35"/>
    <w:rsid w:val="001F4350"/>
    <w:rsid w:val="001F4AE8"/>
    <w:rsid w:val="001F6C45"/>
    <w:rsid w:val="002070FB"/>
    <w:rsid w:val="00207A3E"/>
    <w:rsid w:val="00207F9C"/>
    <w:rsid w:val="00213729"/>
    <w:rsid w:val="0023398D"/>
    <w:rsid w:val="002406FA"/>
    <w:rsid w:val="00247F4D"/>
    <w:rsid w:val="0029640F"/>
    <w:rsid w:val="002A2AF9"/>
    <w:rsid w:val="002B2E47"/>
    <w:rsid w:val="002B6A78"/>
    <w:rsid w:val="002D6A6C"/>
    <w:rsid w:val="002F186F"/>
    <w:rsid w:val="002F3B32"/>
    <w:rsid w:val="002F40A8"/>
    <w:rsid w:val="003040D4"/>
    <w:rsid w:val="00304D3A"/>
    <w:rsid w:val="00307E5A"/>
    <w:rsid w:val="003301A3"/>
    <w:rsid w:val="00345FF6"/>
    <w:rsid w:val="00347F6E"/>
    <w:rsid w:val="00360DDF"/>
    <w:rsid w:val="003663A6"/>
    <w:rsid w:val="0036777B"/>
    <w:rsid w:val="003705AC"/>
    <w:rsid w:val="00377C0C"/>
    <w:rsid w:val="0038282A"/>
    <w:rsid w:val="00395A8E"/>
    <w:rsid w:val="00397580"/>
    <w:rsid w:val="003A1794"/>
    <w:rsid w:val="003A45C8"/>
    <w:rsid w:val="003C2DCF"/>
    <w:rsid w:val="003C5E57"/>
    <w:rsid w:val="003C7FE7"/>
    <w:rsid w:val="003D0499"/>
    <w:rsid w:val="003E6AA9"/>
    <w:rsid w:val="003F3955"/>
    <w:rsid w:val="003F526A"/>
    <w:rsid w:val="00405244"/>
    <w:rsid w:val="0041418C"/>
    <w:rsid w:val="004225FE"/>
    <w:rsid w:val="0042573A"/>
    <w:rsid w:val="004436EE"/>
    <w:rsid w:val="004473CE"/>
    <w:rsid w:val="0045547F"/>
    <w:rsid w:val="00461AA0"/>
    <w:rsid w:val="00477C5E"/>
    <w:rsid w:val="004920AD"/>
    <w:rsid w:val="0049532D"/>
    <w:rsid w:val="004963AE"/>
    <w:rsid w:val="004A0147"/>
    <w:rsid w:val="004A3304"/>
    <w:rsid w:val="004A6452"/>
    <w:rsid w:val="004D05B3"/>
    <w:rsid w:val="004D6A81"/>
    <w:rsid w:val="004D7092"/>
    <w:rsid w:val="004E26E3"/>
    <w:rsid w:val="004E479E"/>
    <w:rsid w:val="004F78E6"/>
    <w:rsid w:val="00512D99"/>
    <w:rsid w:val="00531DBB"/>
    <w:rsid w:val="005320B3"/>
    <w:rsid w:val="00544B6D"/>
    <w:rsid w:val="00551579"/>
    <w:rsid w:val="00553DAA"/>
    <w:rsid w:val="005646B3"/>
    <w:rsid w:val="00576430"/>
    <w:rsid w:val="00580D4E"/>
    <w:rsid w:val="00583145"/>
    <w:rsid w:val="005D4B51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4BB3"/>
    <w:rsid w:val="0069538B"/>
    <w:rsid w:val="006B0E4D"/>
    <w:rsid w:val="006C09DD"/>
    <w:rsid w:val="006D1AF2"/>
    <w:rsid w:val="006E024F"/>
    <w:rsid w:val="006E4E81"/>
    <w:rsid w:val="00707F7D"/>
    <w:rsid w:val="00717EC5"/>
    <w:rsid w:val="00737B80"/>
    <w:rsid w:val="00765AF8"/>
    <w:rsid w:val="00771F02"/>
    <w:rsid w:val="00780921"/>
    <w:rsid w:val="00792240"/>
    <w:rsid w:val="00795FB6"/>
    <w:rsid w:val="007A57F2"/>
    <w:rsid w:val="007B1333"/>
    <w:rsid w:val="007D196E"/>
    <w:rsid w:val="007E0F69"/>
    <w:rsid w:val="007E23A3"/>
    <w:rsid w:val="007F4AEB"/>
    <w:rsid w:val="007F75B2"/>
    <w:rsid w:val="008043C4"/>
    <w:rsid w:val="008063D2"/>
    <w:rsid w:val="00815588"/>
    <w:rsid w:val="00827739"/>
    <w:rsid w:val="00830309"/>
    <w:rsid w:val="00831B1B"/>
    <w:rsid w:val="00860187"/>
    <w:rsid w:val="0086111E"/>
    <w:rsid w:val="00861D0E"/>
    <w:rsid w:val="00867569"/>
    <w:rsid w:val="00873294"/>
    <w:rsid w:val="00880E79"/>
    <w:rsid w:val="008A18A9"/>
    <w:rsid w:val="008A750A"/>
    <w:rsid w:val="008A7770"/>
    <w:rsid w:val="008B0329"/>
    <w:rsid w:val="008B2CAB"/>
    <w:rsid w:val="008C384C"/>
    <w:rsid w:val="008D0F11"/>
    <w:rsid w:val="008D7AFD"/>
    <w:rsid w:val="008F3E5C"/>
    <w:rsid w:val="008F73B4"/>
    <w:rsid w:val="0090741A"/>
    <w:rsid w:val="00926036"/>
    <w:rsid w:val="00931A52"/>
    <w:rsid w:val="0093560C"/>
    <w:rsid w:val="00937037"/>
    <w:rsid w:val="00940646"/>
    <w:rsid w:val="00947BD9"/>
    <w:rsid w:val="00967B3C"/>
    <w:rsid w:val="00973FDF"/>
    <w:rsid w:val="009A3FC8"/>
    <w:rsid w:val="009A441A"/>
    <w:rsid w:val="009A5252"/>
    <w:rsid w:val="009B2906"/>
    <w:rsid w:val="009B55B1"/>
    <w:rsid w:val="009C08FF"/>
    <w:rsid w:val="009C5841"/>
    <w:rsid w:val="009E7311"/>
    <w:rsid w:val="00A020B4"/>
    <w:rsid w:val="00A4343D"/>
    <w:rsid w:val="00A502F1"/>
    <w:rsid w:val="00A52E39"/>
    <w:rsid w:val="00A56C80"/>
    <w:rsid w:val="00A573A9"/>
    <w:rsid w:val="00A67704"/>
    <w:rsid w:val="00A70A83"/>
    <w:rsid w:val="00A76D56"/>
    <w:rsid w:val="00A81EB3"/>
    <w:rsid w:val="00AA5413"/>
    <w:rsid w:val="00AA5BC0"/>
    <w:rsid w:val="00AB1BF4"/>
    <w:rsid w:val="00AC7740"/>
    <w:rsid w:val="00AC7B91"/>
    <w:rsid w:val="00AC7DA3"/>
    <w:rsid w:val="00AD035A"/>
    <w:rsid w:val="00AD3CB2"/>
    <w:rsid w:val="00AD42A8"/>
    <w:rsid w:val="00AE49BE"/>
    <w:rsid w:val="00AE5685"/>
    <w:rsid w:val="00B00C1D"/>
    <w:rsid w:val="00B06227"/>
    <w:rsid w:val="00B12FA8"/>
    <w:rsid w:val="00B20672"/>
    <w:rsid w:val="00B33194"/>
    <w:rsid w:val="00B368A1"/>
    <w:rsid w:val="00B65CB3"/>
    <w:rsid w:val="00B72045"/>
    <w:rsid w:val="00B91FC3"/>
    <w:rsid w:val="00B97A07"/>
    <w:rsid w:val="00BA091C"/>
    <w:rsid w:val="00BA439F"/>
    <w:rsid w:val="00BA6370"/>
    <w:rsid w:val="00BC748B"/>
    <w:rsid w:val="00C2637D"/>
    <w:rsid w:val="00C269D4"/>
    <w:rsid w:val="00C4160D"/>
    <w:rsid w:val="00C6216E"/>
    <w:rsid w:val="00C8406E"/>
    <w:rsid w:val="00CA13A4"/>
    <w:rsid w:val="00CA7AFA"/>
    <w:rsid w:val="00CB2709"/>
    <w:rsid w:val="00CB6F89"/>
    <w:rsid w:val="00CC25B3"/>
    <w:rsid w:val="00CC5290"/>
    <w:rsid w:val="00CD32F0"/>
    <w:rsid w:val="00CE228C"/>
    <w:rsid w:val="00CF34C3"/>
    <w:rsid w:val="00CF545B"/>
    <w:rsid w:val="00D129DC"/>
    <w:rsid w:val="00D27D69"/>
    <w:rsid w:val="00D344EA"/>
    <w:rsid w:val="00D35D05"/>
    <w:rsid w:val="00D4318A"/>
    <w:rsid w:val="00D448C2"/>
    <w:rsid w:val="00D666C3"/>
    <w:rsid w:val="00D846ED"/>
    <w:rsid w:val="00D928C8"/>
    <w:rsid w:val="00D93317"/>
    <w:rsid w:val="00D9386B"/>
    <w:rsid w:val="00D97E1D"/>
    <w:rsid w:val="00DA0FA5"/>
    <w:rsid w:val="00DB392C"/>
    <w:rsid w:val="00DD1EAE"/>
    <w:rsid w:val="00DD53F7"/>
    <w:rsid w:val="00DF47FE"/>
    <w:rsid w:val="00E26704"/>
    <w:rsid w:val="00E31980"/>
    <w:rsid w:val="00E322F1"/>
    <w:rsid w:val="00E40459"/>
    <w:rsid w:val="00E42E00"/>
    <w:rsid w:val="00E45A95"/>
    <w:rsid w:val="00E50016"/>
    <w:rsid w:val="00E502E2"/>
    <w:rsid w:val="00E5337C"/>
    <w:rsid w:val="00E6423C"/>
    <w:rsid w:val="00E65DD8"/>
    <w:rsid w:val="00E7603C"/>
    <w:rsid w:val="00E93830"/>
    <w:rsid w:val="00E93E0E"/>
    <w:rsid w:val="00EA7B94"/>
    <w:rsid w:val="00EB0C67"/>
    <w:rsid w:val="00EB1ED3"/>
    <w:rsid w:val="00EB4B5C"/>
    <w:rsid w:val="00EC2D51"/>
    <w:rsid w:val="00ED07B0"/>
    <w:rsid w:val="00ED7B69"/>
    <w:rsid w:val="00F058D7"/>
    <w:rsid w:val="00F13564"/>
    <w:rsid w:val="00F26395"/>
    <w:rsid w:val="00F32DA4"/>
    <w:rsid w:val="00F526EF"/>
    <w:rsid w:val="00FA18C0"/>
    <w:rsid w:val="00FA72A0"/>
    <w:rsid w:val="00FB687C"/>
    <w:rsid w:val="00FD268A"/>
    <w:rsid w:val="00FF385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71bc"/>
    </o:shapedefaults>
    <o:shapelayout v:ext="edit">
      <o:idmap v:ext="edit" data="1"/>
    </o:shapelayout>
  </w:shapeDefaults>
  <w:decimalSymbol w:val=","/>
  <w:listSeparator w:val=";"/>
  <w14:docId w14:val="1F29128F"/>
  <w15:docId w15:val="{3EB6FB75-99AC-49DE-BC88-1BBF2F3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77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77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A77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B2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1F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1F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1F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STOR~1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4_&#352;kolstv&#237;_Jitka\4_V&#221;STUPY\4_2%20WEB\VYU&#381;&#205;V&#193;N&#205;%20IT%20STUDENTY\2019\2019_grafy%20anal&#253;z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718740778704448E-2"/>
          <c:y val="9.6028127185622203E-2"/>
          <c:w val="0.88223179828297571"/>
          <c:h val="0.57076175694095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List1!$B$107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679A7"/>
            </a:solidFill>
            <a:ln>
              <a:noFill/>
            </a:ln>
            <a:effectLst/>
          </c:spPr>
          <c:invertIfNegative val="0"/>
          <c:dPt>
            <c:idx val="18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551-4818-AF7F-84E089A69737}"/>
              </c:ext>
            </c:extLst>
          </c:dPt>
          <c:dPt>
            <c:idx val="21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551-4818-AF7F-84E089A69737}"/>
              </c:ext>
            </c:extLst>
          </c:dPt>
          <c:cat>
            <c:strRef>
              <c:f>List1!$A$108:$A$136</c:f>
              <c:strCache>
                <c:ptCount val="29"/>
                <c:pt idx="0">
                  <c:v>Finsko</c:v>
                </c:pt>
                <c:pt idx="1">
                  <c:v>Kypr</c:v>
                </c:pt>
                <c:pt idx="2">
                  <c:v>Lotyšsko</c:v>
                </c:pt>
                <c:pt idx="3">
                  <c:v>Malta</c:v>
                </c:pt>
                <c:pt idx="4">
                  <c:v>Slovinsko</c:v>
                </c:pt>
                <c:pt idx="5">
                  <c:v>Švédsko</c:v>
                </c:pt>
                <c:pt idx="6">
                  <c:v>Velká Británie</c:v>
                </c:pt>
                <c:pt idx="7">
                  <c:v>Irsko</c:v>
                </c:pt>
                <c:pt idx="8">
                  <c:v>Polsko</c:v>
                </c:pt>
                <c:pt idx="9">
                  <c:v>Portugalsko</c:v>
                </c:pt>
                <c:pt idx="10">
                  <c:v>Španělsko</c:v>
                </c:pt>
                <c:pt idx="11">
                  <c:v>Slovensko</c:v>
                </c:pt>
                <c:pt idx="12">
                  <c:v>Litva</c:v>
                </c:pt>
                <c:pt idx="13">
                  <c:v>Německo</c:v>
                </c:pt>
                <c:pt idx="14">
                  <c:v>Estonsko</c:v>
                </c:pt>
                <c:pt idx="15">
                  <c:v>Řecko</c:v>
                </c:pt>
                <c:pt idx="16">
                  <c:v>Maďarsko</c:v>
                </c:pt>
                <c:pt idx="17">
                  <c:v>Rakousko</c:v>
                </c:pt>
                <c:pt idx="18">
                  <c:v>Česko</c:v>
                </c:pt>
                <c:pt idx="19">
                  <c:v>Dánsko</c:v>
                </c:pt>
                <c:pt idx="20">
                  <c:v>Lucembursko</c:v>
                </c:pt>
                <c:pt idx="21">
                  <c:v>EU28</c:v>
                </c:pt>
                <c:pt idx="22">
                  <c:v>Chorvatsko</c:v>
                </c:pt>
                <c:pt idx="23">
                  <c:v>Nizozemsko</c:v>
                </c:pt>
                <c:pt idx="24">
                  <c:v>Rumunsko</c:v>
                </c:pt>
                <c:pt idx="25">
                  <c:v>Bulharsko</c:v>
                </c:pt>
                <c:pt idx="26">
                  <c:v>Francie</c:v>
                </c:pt>
                <c:pt idx="27">
                  <c:v>Belgie</c:v>
                </c:pt>
                <c:pt idx="28">
                  <c:v>Itálie</c:v>
                </c:pt>
              </c:strCache>
            </c:strRef>
          </c:cat>
          <c:val>
            <c:numRef>
              <c:f>List1!$B$108:$B$136</c:f>
              <c:numCache>
                <c:formatCode>0.0</c:formatCode>
                <c:ptCount val="2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99.853915000000001</c:v>
                </c:pt>
                <c:pt idx="8">
                  <c:v>99.627560000000003</c:v>
                </c:pt>
                <c:pt idx="9">
                  <c:v>99.592230000000001</c:v>
                </c:pt>
                <c:pt idx="10">
                  <c:v>99.582760000000007</c:v>
                </c:pt>
                <c:pt idx="11">
                  <c:v>99.554949999999991</c:v>
                </c:pt>
                <c:pt idx="12">
                  <c:v>99.502015</c:v>
                </c:pt>
                <c:pt idx="13">
                  <c:v>99.462090000000003</c:v>
                </c:pt>
                <c:pt idx="14">
                  <c:v>99.443939999999998</c:v>
                </c:pt>
                <c:pt idx="15">
                  <c:v>99.401049999999998</c:v>
                </c:pt>
                <c:pt idx="16">
                  <c:v>99.319699999999997</c:v>
                </c:pt>
                <c:pt idx="17">
                  <c:v>99.073695999999998</c:v>
                </c:pt>
                <c:pt idx="18">
                  <c:v>98.999137000000005</c:v>
                </c:pt>
                <c:pt idx="19">
                  <c:v>98.950599999999994</c:v>
                </c:pt>
                <c:pt idx="20">
                  <c:v>98.615030000000004</c:v>
                </c:pt>
                <c:pt idx="21">
                  <c:v>98.445403999999996</c:v>
                </c:pt>
                <c:pt idx="22">
                  <c:v>98.16538700000001</c:v>
                </c:pt>
                <c:pt idx="23">
                  <c:v>98.086673000000005</c:v>
                </c:pt>
                <c:pt idx="24">
                  <c:v>97.990619999999993</c:v>
                </c:pt>
                <c:pt idx="25">
                  <c:v>97.822059999999993</c:v>
                </c:pt>
                <c:pt idx="26">
                  <c:v>97.649830000000009</c:v>
                </c:pt>
                <c:pt idx="27">
                  <c:v>97.048736000000005</c:v>
                </c:pt>
                <c:pt idx="28">
                  <c:v>94.367045000000005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51-4818-AF7F-84E089A69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3046528"/>
        <c:axId val="143048064"/>
      </c:barChart>
      <c:scatterChart>
        <c:scatterStyle val="lineMarker"/>
        <c:varyColors val="0"/>
        <c:ser>
          <c:idx val="1"/>
          <c:order val="1"/>
          <c:tx>
            <c:strRef>
              <c:f>List1!$C$107</c:f>
              <c:strCache>
                <c:ptCount val="1"/>
                <c:pt idx="0">
                  <c:v> na mobilním telefonu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C00000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xVal>
            <c:strRef>
              <c:f>List1!$A$108:$A$136</c:f>
              <c:strCache>
                <c:ptCount val="29"/>
                <c:pt idx="0">
                  <c:v>Finsko</c:v>
                </c:pt>
                <c:pt idx="1">
                  <c:v>Kypr</c:v>
                </c:pt>
                <c:pt idx="2">
                  <c:v>Lotyšsko</c:v>
                </c:pt>
                <c:pt idx="3">
                  <c:v>Malta</c:v>
                </c:pt>
                <c:pt idx="4">
                  <c:v>Slovinsko</c:v>
                </c:pt>
                <c:pt idx="5">
                  <c:v>Švédsko</c:v>
                </c:pt>
                <c:pt idx="6">
                  <c:v>Velká Británie</c:v>
                </c:pt>
                <c:pt idx="7">
                  <c:v>Irsko</c:v>
                </c:pt>
                <c:pt idx="8">
                  <c:v>Polsko</c:v>
                </c:pt>
                <c:pt idx="9">
                  <c:v>Portugalsko</c:v>
                </c:pt>
                <c:pt idx="10">
                  <c:v>Španělsko</c:v>
                </c:pt>
                <c:pt idx="11">
                  <c:v>Slovensko</c:v>
                </c:pt>
                <c:pt idx="12">
                  <c:v>Litva</c:v>
                </c:pt>
                <c:pt idx="13">
                  <c:v>Německo</c:v>
                </c:pt>
                <c:pt idx="14">
                  <c:v>Estonsko</c:v>
                </c:pt>
                <c:pt idx="15">
                  <c:v>Řecko</c:v>
                </c:pt>
                <c:pt idx="16">
                  <c:v>Maďarsko</c:v>
                </c:pt>
                <c:pt idx="17">
                  <c:v>Rakousko</c:v>
                </c:pt>
                <c:pt idx="18">
                  <c:v>Česko</c:v>
                </c:pt>
                <c:pt idx="19">
                  <c:v>Dánsko</c:v>
                </c:pt>
                <c:pt idx="20">
                  <c:v>Lucembursko</c:v>
                </c:pt>
                <c:pt idx="21">
                  <c:v>EU28</c:v>
                </c:pt>
                <c:pt idx="22">
                  <c:v>Chorvatsko</c:v>
                </c:pt>
                <c:pt idx="23">
                  <c:v>Nizozemsko</c:v>
                </c:pt>
                <c:pt idx="24">
                  <c:v>Rumunsko</c:v>
                </c:pt>
                <c:pt idx="25">
                  <c:v>Bulharsko</c:v>
                </c:pt>
                <c:pt idx="26">
                  <c:v>Francie</c:v>
                </c:pt>
                <c:pt idx="27">
                  <c:v>Belgie</c:v>
                </c:pt>
                <c:pt idx="28">
                  <c:v>Itálie</c:v>
                </c:pt>
              </c:strCache>
            </c:strRef>
          </c:xVal>
          <c:yVal>
            <c:numRef>
              <c:f>List1!$C$108:$C$136</c:f>
              <c:numCache>
                <c:formatCode>0.0</c:formatCode>
                <c:ptCount val="29"/>
                <c:pt idx="1">
                  <c:v>98.890420000000006</c:v>
                </c:pt>
                <c:pt idx="2">
                  <c:v>96.860873999999995</c:v>
                </c:pt>
                <c:pt idx="3">
                  <c:v>96.383499999999998</c:v>
                </c:pt>
                <c:pt idx="4">
                  <c:v>95.734966</c:v>
                </c:pt>
                <c:pt idx="5">
                  <c:v>100</c:v>
                </c:pt>
                <c:pt idx="6">
                  <c:v>100</c:v>
                </c:pt>
                <c:pt idx="7">
                  <c:v>95.056339999999992</c:v>
                </c:pt>
                <c:pt idx="8">
                  <c:v>94.721806000000001</c:v>
                </c:pt>
                <c:pt idx="9">
                  <c:v>93.146545000000003</c:v>
                </c:pt>
                <c:pt idx="10">
                  <c:v>98.586739999999992</c:v>
                </c:pt>
                <c:pt idx="11">
                  <c:v>96.11206</c:v>
                </c:pt>
                <c:pt idx="12">
                  <c:v>95.852459999999994</c:v>
                </c:pt>
                <c:pt idx="13">
                  <c:v>93.754379999999998</c:v>
                </c:pt>
                <c:pt idx="14">
                  <c:v>98.525726999999989</c:v>
                </c:pt>
                <c:pt idx="15">
                  <c:v>93.738120000000009</c:v>
                </c:pt>
                <c:pt idx="16">
                  <c:v>93.868030000000005</c:v>
                </c:pt>
                <c:pt idx="17">
                  <c:v>97.918729999999996</c:v>
                </c:pt>
                <c:pt idx="18">
                  <c:v>98.198735999999997</c:v>
                </c:pt>
                <c:pt idx="19">
                  <c:v>97.012704999999997</c:v>
                </c:pt>
                <c:pt idx="20">
                  <c:v>90.967613</c:v>
                </c:pt>
                <c:pt idx="21">
                  <c:v>94.688389999999998</c:v>
                </c:pt>
                <c:pt idx="22">
                  <c:v>98.16538700000001</c:v>
                </c:pt>
                <c:pt idx="23">
                  <c:v>96.767630000000011</c:v>
                </c:pt>
                <c:pt idx="24">
                  <c:v>95.278114000000002</c:v>
                </c:pt>
                <c:pt idx="25">
                  <c:v>96.866669999999999</c:v>
                </c:pt>
                <c:pt idx="26">
                  <c:v>94.369399999999999</c:v>
                </c:pt>
                <c:pt idx="27">
                  <c:v>92.568030000000007</c:v>
                </c:pt>
                <c:pt idx="28">
                  <c:v>86.004823000000002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551-4818-AF7F-84E089A69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186848"/>
        <c:axId val="530558672"/>
      </c:scatterChart>
      <c:catAx>
        <c:axId val="14304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8064"/>
        <c:crosses val="autoZero"/>
        <c:auto val="1"/>
        <c:lblAlgn val="ctr"/>
        <c:lblOffset val="100"/>
        <c:noMultiLvlLbl val="0"/>
      </c:catAx>
      <c:valAx>
        <c:axId val="143048064"/>
        <c:scaling>
          <c:orientation val="minMax"/>
          <c:max val="100"/>
          <c:min val="8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ysClr val="windowText" lastClr="000000"/>
                    </a:solidFill>
                  </a:rPr>
                  <a:t>v %</a:t>
                </a:r>
              </a:p>
            </c:rich>
          </c:tx>
          <c:layout>
            <c:manualLayout>
              <c:xMode val="edge"/>
              <c:yMode val="edge"/>
              <c:x val="9.1753249778689008E-3"/>
              <c:y val="0.34543796074512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6528"/>
        <c:crosses val="autoZero"/>
        <c:crossBetween val="between"/>
        <c:majorUnit val="3"/>
      </c:valAx>
      <c:valAx>
        <c:axId val="530558672"/>
        <c:scaling>
          <c:orientation val="minMax"/>
          <c:max val="100"/>
          <c:min val="85"/>
        </c:scaling>
        <c:delete val="1"/>
        <c:axPos val="r"/>
        <c:numFmt formatCode="0.0" sourceLinked="1"/>
        <c:majorTickMark val="out"/>
        <c:minorTickMark val="none"/>
        <c:tickLblPos val="nextTo"/>
        <c:crossAx val="645186848"/>
        <c:crosses val="max"/>
        <c:crossBetween val="midCat"/>
        <c:majorUnit val="3"/>
      </c:valAx>
      <c:valAx>
        <c:axId val="645186848"/>
        <c:scaling>
          <c:orientation val="minMax"/>
        </c:scaling>
        <c:delete val="1"/>
        <c:axPos val="t"/>
        <c:majorTickMark val="out"/>
        <c:minorTickMark val="none"/>
        <c:tickLblPos val="nextTo"/>
        <c:crossAx val="530558672"/>
        <c:crosses val="max"/>
        <c:crossBetween val="midCat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3046062621758357"/>
          <c:y val="0"/>
          <c:w val="0.38137995274109082"/>
          <c:h val="8.5086836804775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730323914189098E-2"/>
          <c:y val="5.1821302057522521E-2"/>
          <c:w val="0.93963111336229166"/>
          <c:h val="0.65079859772773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List1!$D$67</c:f>
              <c:strCache>
                <c:ptCount val="1"/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4679A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C04-4405-8919-CBBBF52E87F5}"/>
              </c:ext>
            </c:extLst>
          </c:dPt>
          <c:dPt>
            <c:idx val="1"/>
            <c:invertIfNegative val="0"/>
            <c:bubble3D val="0"/>
            <c:spPr>
              <a:solidFill>
                <a:srgbClr val="4679A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C04-4405-8919-CBBBF52E87F5}"/>
              </c:ext>
            </c:extLst>
          </c:dPt>
          <c:dPt>
            <c:idx val="2"/>
            <c:invertIfNegative val="0"/>
            <c:bubble3D val="0"/>
            <c:spPr>
              <a:solidFill>
                <a:srgbClr val="4679A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C04-4405-8919-CBBBF52E87F5}"/>
              </c:ext>
            </c:extLst>
          </c:dPt>
          <c:dPt>
            <c:idx val="3"/>
            <c:invertIfNegative val="0"/>
            <c:bubble3D val="0"/>
            <c:spPr>
              <a:solidFill>
                <a:srgbClr val="84AED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C04-4405-8919-CBBBF52E87F5}"/>
              </c:ext>
            </c:extLst>
          </c:dPt>
          <c:dPt>
            <c:idx val="4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C04-4405-8919-CBBBF52E87F5}"/>
              </c:ext>
            </c:extLst>
          </c:dPt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C04-4405-8919-CBBBF52E87F5}"/>
                </c:ext>
              </c:extLst>
            </c:dLbl>
            <c:dLbl>
              <c:idx val="1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C04-4405-8919-CBBBF52E87F5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C04-4405-8919-CBBBF52E87F5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40404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List1!$B$68:$C$72</c:f>
              <c:multiLvlStrCache>
                <c:ptCount val="5"/>
                <c:lvl>
                  <c:pt idx="0">
                    <c:v>celkem</c:v>
                  </c:pt>
                  <c:pt idx="1">
                    <c:v>přes mobilní sítě</c:v>
                  </c:pt>
                  <c:pt idx="2">
                    <c:v>přes WiFi</c:v>
                  </c:pt>
                </c:lvl>
                <c:lvl>
                  <c:pt idx="0">
                    <c:v>
z mobilního telefonu</c:v>
                  </c:pt>
                  <c:pt idx="3">
                    <c:v>
z notebooku</c:v>
                  </c:pt>
                  <c:pt idx="4">
                    <c:v>
z tabletu</c:v>
                  </c:pt>
                </c:lvl>
              </c:multiLvlStrCache>
            </c:multiLvlStrRef>
          </c:cat>
          <c:val>
            <c:numRef>
              <c:f>List1!$D$68:$D$72</c:f>
              <c:numCache>
                <c:formatCode>0%</c:formatCode>
                <c:ptCount val="5"/>
                <c:pt idx="0">
                  <c:v>0.98052160766377949</c:v>
                </c:pt>
                <c:pt idx="1">
                  <c:v>0.84476631937373281</c:v>
                </c:pt>
                <c:pt idx="2">
                  <c:v>0.9688128077225292</c:v>
                </c:pt>
                <c:pt idx="3">
                  <c:v>0.90293143454839997</c:v>
                </c:pt>
                <c:pt idx="4">
                  <c:v>0.48362390794659726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04-4405-8919-CBBBF52E8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43164544"/>
        <c:axId val="143166080"/>
      </c:barChart>
      <c:catAx>
        <c:axId val="14316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166080"/>
        <c:crosses val="autoZero"/>
        <c:auto val="1"/>
        <c:lblAlgn val="ctr"/>
        <c:lblOffset val="100"/>
        <c:noMultiLvlLbl val="0"/>
      </c:catAx>
      <c:valAx>
        <c:axId val="143166080"/>
        <c:scaling>
          <c:orientation val="minMax"/>
          <c:max val="1.2"/>
        </c:scaling>
        <c:delete val="1"/>
        <c:axPos val="l"/>
        <c:numFmt formatCode="0%" sourceLinked="0"/>
        <c:majorTickMark val="out"/>
        <c:minorTickMark val="none"/>
        <c:tickLblPos val="nextTo"/>
        <c:crossAx val="143164544"/>
        <c:crosses val="autoZero"/>
        <c:crossBetween val="between"/>
        <c:majorUnit val="0.1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933052959023393E-2"/>
          <c:y val="3.5264080362047756E-2"/>
          <c:w val="0.95522565527262304"/>
          <c:h val="0.69348470976011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List1!$B$26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List1!$A$27:$A$29</c:f>
              <c:strCache>
                <c:ptCount val="3"/>
                <c:pt idx="0">
                  <c:v>účast v online kurzu</c:v>
                </c:pt>
                <c:pt idx="1">
                  <c:v>použití online 
výukových materiálů</c:v>
                </c:pt>
                <c:pt idx="2">
                  <c:v>komunikace s lektorem 
přes webový portál</c:v>
                </c:pt>
              </c:strCache>
            </c:strRef>
          </c:cat>
          <c:val>
            <c:numRef>
              <c:f>List1!$B$27:$B$29</c:f>
              <c:numCache>
                <c:formatCode>0%</c:formatCode>
                <c:ptCount val="3"/>
                <c:pt idx="0">
                  <c:v>0.16477559632176128</c:v>
                </c:pt>
                <c:pt idx="1">
                  <c:v>0.377019469335728</c:v>
                </c:pt>
                <c:pt idx="2">
                  <c:v>0.45425662581543252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C1-45E1-B12C-F4830B9FECBD}"/>
            </c:ext>
          </c:extLst>
        </c:ser>
        <c:ser>
          <c:idx val="1"/>
          <c:order val="1"/>
          <c:tx>
            <c:strRef>
              <c:f>List1!$C$26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List1!$A$27:$A$29</c:f>
              <c:strCache>
                <c:ptCount val="3"/>
                <c:pt idx="0">
                  <c:v>účast v online kurzu</c:v>
                </c:pt>
                <c:pt idx="1">
                  <c:v>použití online 
výukových materiálů</c:v>
                </c:pt>
                <c:pt idx="2">
                  <c:v>komunikace s lektorem 
přes webový portál</c:v>
                </c:pt>
              </c:strCache>
            </c:strRef>
          </c:cat>
          <c:val>
            <c:numRef>
              <c:f>List1!$C$27:$C$29</c:f>
              <c:numCache>
                <c:formatCode>0%</c:formatCode>
                <c:ptCount val="3"/>
                <c:pt idx="0">
                  <c:v>0.14783458368365865</c:v>
                </c:pt>
                <c:pt idx="1">
                  <c:v>0.44805500459345488</c:v>
                </c:pt>
                <c:pt idx="2">
                  <c:v>0.4644064055160414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C1-45E1-B12C-F4830B9FE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133122304"/>
        <c:axId val="133140480"/>
      </c:barChart>
      <c:catAx>
        <c:axId val="1331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33140480"/>
        <c:crosses val="autoZero"/>
        <c:auto val="1"/>
        <c:lblAlgn val="ctr"/>
        <c:lblOffset val="100"/>
        <c:noMultiLvlLbl val="0"/>
      </c:catAx>
      <c:valAx>
        <c:axId val="133140480"/>
        <c:scaling>
          <c:orientation val="minMax"/>
          <c:max val="0.60000000000000009"/>
          <c:min val="0"/>
        </c:scaling>
        <c:delete val="1"/>
        <c:axPos val="l"/>
        <c:numFmt formatCode="0%" sourceLinked="0"/>
        <c:majorTickMark val="none"/>
        <c:minorTickMark val="none"/>
        <c:tickLblPos val="nextTo"/>
        <c:crossAx val="133122304"/>
        <c:crosses val="autoZero"/>
        <c:crossBetween val="between"/>
        <c:majorUnit val="0.1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7028605342460848"/>
          <c:y val="0.87960516563336555"/>
          <c:w val="0.60483164312632165"/>
          <c:h val="8.6097351354246371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131233595800531E-2"/>
          <c:y val="2.4498488321871157E-2"/>
          <c:w val="0.9500274746358458"/>
          <c:h val="0.67726568989002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List1!$B$47</c:f>
              <c:strCache>
                <c:ptCount val="1"/>
                <c:pt idx="0">
                  <c:v> studenti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List1!$A$48:$A$50</c:f>
              <c:strCache>
                <c:ptCount val="3"/>
                <c:pt idx="0">
                  <c:v>textový editor
(např. Word)</c:v>
                </c:pt>
                <c:pt idx="1">
                  <c:v>tabulkový editor
(např. Excel)</c:v>
                </c:pt>
                <c:pt idx="2">
                  <c:v>prezentační software
(např. PowerPoint)</c:v>
                </c:pt>
              </c:strCache>
            </c:strRef>
          </c:cat>
          <c:val>
            <c:numRef>
              <c:f>List1!$B$48:$B$50</c:f>
              <c:numCache>
                <c:formatCode>0%</c:formatCode>
                <c:ptCount val="3"/>
                <c:pt idx="0">
                  <c:v>0.94182392683841232</c:v>
                </c:pt>
                <c:pt idx="1">
                  <c:v>0.9007866415845267</c:v>
                </c:pt>
                <c:pt idx="2">
                  <c:v>0.68648557215390593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4-4DF2-9BC3-E1D6A57CE2CE}"/>
            </c:ext>
          </c:extLst>
        </c:ser>
        <c:ser>
          <c:idx val="1"/>
          <c:order val="1"/>
          <c:tx>
            <c:strRef>
              <c:f>List1!$C$47</c:f>
              <c:strCache>
                <c:ptCount val="1"/>
                <c:pt idx="0">
                  <c:v> osoby celkem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List1!$A$48:$A$50</c:f>
              <c:strCache>
                <c:ptCount val="3"/>
                <c:pt idx="0">
                  <c:v>textový editor
(např. Word)</c:v>
                </c:pt>
                <c:pt idx="1">
                  <c:v>tabulkový editor
(např. Excel)</c:v>
                </c:pt>
                <c:pt idx="2">
                  <c:v>prezentační software
(např. PowerPoint)</c:v>
                </c:pt>
              </c:strCache>
            </c:strRef>
          </c:cat>
          <c:val>
            <c:numRef>
              <c:f>List1!$C$48:$C$50</c:f>
              <c:numCache>
                <c:formatCode>0%</c:formatCode>
                <c:ptCount val="3"/>
                <c:pt idx="0">
                  <c:v>0.53658460332721014</c:v>
                </c:pt>
                <c:pt idx="1">
                  <c:v>0.44865713270322888</c:v>
                </c:pt>
                <c:pt idx="2">
                  <c:v>0.18042632473108727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94-4DF2-9BC3-E1D6A57CE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143219712"/>
        <c:axId val="143229696"/>
      </c:barChart>
      <c:catAx>
        <c:axId val="14321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229696"/>
        <c:crosses val="autoZero"/>
        <c:auto val="1"/>
        <c:lblAlgn val="ctr"/>
        <c:lblOffset val="100"/>
        <c:noMultiLvlLbl val="0"/>
      </c:catAx>
      <c:valAx>
        <c:axId val="143229696"/>
        <c:scaling>
          <c:orientation val="minMax"/>
          <c:max val="1"/>
        </c:scaling>
        <c:delete val="1"/>
        <c:axPos val="l"/>
        <c:numFmt formatCode="0%" sourceLinked="0"/>
        <c:majorTickMark val="none"/>
        <c:minorTickMark val="none"/>
        <c:tickLblPos val="nextTo"/>
        <c:crossAx val="143219712"/>
        <c:crosses val="autoZero"/>
        <c:crossBetween val="between"/>
        <c:majorUnit val="0.2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8328150501655133"/>
          <c:y val="0.87877836472972526"/>
          <c:w val="0.60483164312632165"/>
          <c:h val="8.609735135424644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061456603638834"/>
          <c:y val="5.7193330815982296E-2"/>
          <c:w val="0.62875622690020894"/>
          <c:h val="0.7653366827148205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679A7"/>
            </a:solidFill>
            <a:ln>
              <a:noFill/>
            </a:ln>
            <a:effectLst/>
          </c:spPr>
          <c:invertIfNegative val="0"/>
          <c:cat>
            <c:strRef>
              <c:f>List1!$A$4:$A$15</c:f>
              <c:strCache>
                <c:ptCount val="12"/>
                <c:pt idx="0">
                  <c:v>sledování placených videí</c:v>
                </c:pt>
                <c:pt idx="1">
                  <c:v>hledání informací o zdraví</c:v>
                </c:pt>
                <c:pt idx="2">
                  <c:v>internetové bankovnictví</c:v>
                </c:pt>
                <c:pt idx="3">
                  <c:v>nakupování on-line</c:v>
                </c:pt>
                <c:pt idx="4">
                  <c:v>telefonování přes internet</c:v>
                </c:pt>
                <c:pt idx="5">
                  <c:v>nahrávání fotek, videí, hudby </c:v>
                </c:pt>
                <c:pt idx="6">
                  <c:v>čtení on-line zpráv</c:v>
                </c:pt>
                <c:pt idx="7">
                  <c:v>informace o zboží a službách</c:v>
                </c:pt>
                <c:pt idx="8">
                  <c:v>poslech hudby</c:v>
                </c:pt>
                <c:pt idx="9">
                  <c:v>chatování</c:v>
                </c:pt>
                <c:pt idx="10">
                  <c:v>používání sociálních sítí</c:v>
                </c:pt>
                <c:pt idx="11">
                  <c:v>posílání / přijímání e-mailů</c:v>
                </c:pt>
              </c:strCache>
            </c:strRef>
          </c:cat>
          <c:val>
            <c:numRef>
              <c:f>List1!$B$4:$B$15</c:f>
              <c:numCache>
                <c:formatCode>0.0</c:formatCode>
                <c:ptCount val="12"/>
                <c:pt idx="0" formatCode="General">
                  <c:v>3.1</c:v>
                </c:pt>
                <c:pt idx="1">
                  <c:v>44.423853999999999</c:v>
                </c:pt>
                <c:pt idx="2">
                  <c:v>58.973309999999998</c:v>
                </c:pt>
                <c:pt idx="3">
                  <c:v>59.284749999999995</c:v>
                </c:pt>
                <c:pt idx="4">
                  <c:v>77.309346000000005</c:v>
                </c:pt>
                <c:pt idx="5">
                  <c:v>87.949794999999995</c:v>
                </c:pt>
                <c:pt idx="6">
                  <c:v>89.02319</c:v>
                </c:pt>
                <c:pt idx="7">
                  <c:v>89.124376000000012</c:v>
                </c:pt>
                <c:pt idx="8">
                  <c:v>92.083830000000006</c:v>
                </c:pt>
                <c:pt idx="9">
                  <c:v>94.134129999999999</c:v>
                </c:pt>
                <c:pt idx="10">
                  <c:v>98.046279999999996</c:v>
                </c:pt>
                <c:pt idx="11">
                  <c:v>98.308850000000007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C4-4E3E-98D7-2DC7FB9AE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2"/>
        <c:axId val="117332992"/>
        <c:axId val="117351168"/>
      </c:barChart>
      <c:catAx>
        <c:axId val="117332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351168"/>
        <c:crosses val="autoZero"/>
        <c:auto val="1"/>
        <c:lblAlgn val="ctr"/>
        <c:lblOffset val="100"/>
        <c:noMultiLvlLbl val="0"/>
      </c:catAx>
      <c:valAx>
        <c:axId val="117351168"/>
        <c:scaling>
          <c:orientation val="minMax"/>
          <c:max val="100"/>
          <c:min val="0"/>
        </c:scaling>
        <c:delete val="0"/>
        <c:axPos val="b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>
                    <a:solidFill>
                      <a:sysClr val="windowText" lastClr="000000"/>
                    </a:solidFill>
                  </a:rPr>
                  <a:t>v %</a:t>
                </a:r>
              </a:p>
            </c:rich>
          </c:tx>
          <c:layout>
            <c:manualLayout>
              <c:xMode val="edge"/>
              <c:yMode val="edge"/>
              <c:x val="0.62100380309604153"/>
              <c:y val="0.92022425467165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332992"/>
        <c:crosses val="autoZero"/>
        <c:crossBetween val="between"/>
        <c:majorUnit val="10"/>
      </c:valAx>
      <c:spPr>
        <a:noFill/>
        <a:ln>
          <a:solidFill>
            <a:schemeClr val="tx1">
              <a:lumMod val="50000"/>
              <a:lumOff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718740778704448E-2"/>
          <c:y val="0.10136288312053818"/>
          <c:w val="0.87987996385211964"/>
          <c:h val="0.57078864075039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List1!$B$174</c:f>
              <c:strCache>
                <c:ptCount val="1"/>
                <c:pt idx="0">
                  <c:v> studenti</c:v>
                </c:pt>
              </c:strCache>
            </c:strRef>
          </c:tx>
          <c:spPr>
            <a:solidFill>
              <a:srgbClr val="4679A7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31B-4DFF-983F-AC17C1779900}"/>
              </c:ext>
            </c:extLst>
          </c:dPt>
          <c:dPt>
            <c:idx val="22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31B-4DFF-983F-AC17C1779900}"/>
              </c:ext>
            </c:extLst>
          </c:dPt>
          <c:cat>
            <c:strRef>
              <c:f>List1!$A$175:$A$203</c:f>
              <c:strCache>
                <c:ptCount val="29"/>
                <c:pt idx="0">
                  <c:v>Malta</c:v>
                </c:pt>
                <c:pt idx="1">
                  <c:v>Kypr</c:v>
                </c:pt>
                <c:pt idx="2">
                  <c:v>Česko</c:v>
                </c:pt>
                <c:pt idx="3">
                  <c:v>Chorvatsko</c:v>
                </c:pt>
                <c:pt idx="4">
                  <c:v>Dánsko</c:v>
                </c:pt>
                <c:pt idx="5">
                  <c:v>Lotyšsko</c:v>
                </c:pt>
                <c:pt idx="6">
                  <c:v>Velká Británie</c:v>
                </c:pt>
                <c:pt idx="7">
                  <c:v>Litva</c:v>
                </c:pt>
                <c:pt idx="8">
                  <c:v>Maďarsko</c:v>
                </c:pt>
                <c:pt idx="9">
                  <c:v>Estonsko</c:v>
                </c:pt>
                <c:pt idx="10">
                  <c:v>Portugalsko</c:v>
                </c:pt>
                <c:pt idx="11">
                  <c:v>Řecko</c:v>
                </c:pt>
                <c:pt idx="12">
                  <c:v>Belgie</c:v>
                </c:pt>
                <c:pt idx="13">
                  <c:v>Polsko</c:v>
                </c:pt>
                <c:pt idx="14">
                  <c:v>Švédsko</c:v>
                </c:pt>
                <c:pt idx="15">
                  <c:v>Rakousko</c:v>
                </c:pt>
                <c:pt idx="16">
                  <c:v>Bulharsko</c:v>
                </c:pt>
                <c:pt idx="17">
                  <c:v>Slovinsko</c:v>
                </c:pt>
                <c:pt idx="18">
                  <c:v>Španělsko</c:v>
                </c:pt>
                <c:pt idx="19">
                  <c:v>Finsko</c:v>
                </c:pt>
                <c:pt idx="20">
                  <c:v>Slovensko</c:v>
                </c:pt>
                <c:pt idx="21">
                  <c:v>Rumunsko</c:v>
                </c:pt>
                <c:pt idx="22">
                  <c:v>EU28</c:v>
                </c:pt>
                <c:pt idx="23">
                  <c:v>Německo</c:v>
                </c:pt>
                <c:pt idx="24">
                  <c:v>Irsko</c:v>
                </c:pt>
                <c:pt idx="25">
                  <c:v>Nizozemí</c:v>
                </c:pt>
                <c:pt idx="26">
                  <c:v>Lucembursko</c:v>
                </c:pt>
                <c:pt idx="27">
                  <c:v>Francie</c:v>
                </c:pt>
                <c:pt idx="28">
                  <c:v>Itálie</c:v>
                </c:pt>
              </c:strCache>
            </c:strRef>
          </c:cat>
          <c:val>
            <c:numRef>
              <c:f>List1!$B$175:$B$203</c:f>
              <c:numCache>
                <c:formatCode>0.0</c:formatCode>
                <c:ptCount val="29"/>
                <c:pt idx="0">
                  <c:v>98.497950000000003</c:v>
                </c:pt>
                <c:pt idx="1">
                  <c:v>98.283330000000007</c:v>
                </c:pt>
                <c:pt idx="2">
                  <c:v>98.046279999999996</c:v>
                </c:pt>
                <c:pt idx="3">
                  <c:v>96.680750000000003</c:v>
                </c:pt>
                <c:pt idx="4">
                  <c:v>96.311455999999993</c:v>
                </c:pt>
                <c:pt idx="5">
                  <c:v>95.642227000000005</c:v>
                </c:pt>
                <c:pt idx="6">
                  <c:v>95.520119999999991</c:v>
                </c:pt>
                <c:pt idx="7">
                  <c:v>95.461430000000007</c:v>
                </c:pt>
                <c:pt idx="8">
                  <c:v>94.818899999999999</c:v>
                </c:pt>
                <c:pt idx="9">
                  <c:v>94.183724999999995</c:v>
                </c:pt>
                <c:pt idx="10">
                  <c:v>94.157769999999999</c:v>
                </c:pt>
                <c:pt idx="11">
                  <c:v>93.710774000000001</c:v>
                </c:pt>
                <c:pt idx="12">
                  <c:v>93.540809999999993</c:v>
                </c:pt>
                <c:pt idx="13">
                  <c:v>93.336200000000005</c:v>
                </c:pt>
                <c:pt idx="14">
                  <c:v>92.752529999999993</c:v>
                </c:pt>
                <c:pt idx="15">
                  <c:v>91.633330000000001</c:v>
                </c:pt>
                <c:pt idx="16">
                  <c:v>91.543329999999997</c:v>
                </c:pt>
                <c:pt idx="17">
                  <c:v>91.13861</c:v>
                </c:pt>
                <c:pt idx="18">
                  <c:v>90.711444999999998</c:v>
                </c:pt>
                <c:pt idx="19">
                  <c:v>90.591800000000006</c:v>
                </c:pt>
                <c:pt idx="20">
                  <c:v>89.353674999999996</c:v>
                </c:pt>
                <c:pt idx="21">
                  <c:v>87.962806</c:v>
                </c:pt>
                <c:pt idx="22">
                  <c:v>87.644005000000007</c:v>
                </c:pt>
                <c:pt idx="23">
                  <c:v>87.374949999999998</c:v>
                </c:pt>
                <c:pt idx="24">
                  <c:v>86.046516999999994</c:v>
                </c:pt>
                <c:pt idx="25">
                  <c:v>84.646239999999992</c:v>
                </c:pt>
                <c:pt idx="26">
                  <c:v>84.254074000000003</c:v>
                </c:pt>
                <c:pt idx="27">
                  <c:v>76.443519999999992</c:v>
                </c:pt>
                <c:pt idx="28">
                  <c:v>76.199560000000005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1B-4DFF-983F-AC17C1779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3046528"/>
        <c:axId val="143048064"/>
      </c:barChart>
      <c:scatterChart>
        <c:scatterStyle val="lineMarker"/>
        <c:varyColors val="0"/>
        <c:ser>
          <c:idx val="1"/>
          <c:order val="1"/>
          <c:tx>
            <c:strRef>
              <c:f>List1!$C$174</c:f>
              <c:strCache>
                <c:ptCount val="1"/>
                <c:pt idx="0">
                  <c:v> osoby celkem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C00000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xVal>
            <c:strRef>
              <c:f>List1!$A$175:$A$203</c:f>
              <c:strCache>
                <c:ptCount val="29"/>
                <c:pt idx="0">
                  <c:v>Malta</c:v>
                </c:pt>
                <c:pt idx="1">
                  <c:v>Kypr</c:v>
                </c:pt>
                <c:pt idx="2">
                  <c:v>Česko</c:v>
                </c:pt>
                <c:pt idx="3">
                  <c:v>Chorvatsko</c:v>
                </c:pt>
                <c:pt idx="4">
                  <c:v>Dánsko</c:v>
                </c:pt>
                <c:pt idx="5">
                  <c:v>Lotyšsko</c:v>
                </c:pt>
                <c:pt idx="6">
                  <c:v>Velká Británie</c:v>
                </c:pt>
                <c:pt idx="7">
                  <c:v>Litva</c:v>
                </c:pt>
                <c:pt idx="8">
                  <c:v>Maďarsko</c:v>
                </c:pt>
                <c:pt idx="9">
                  <c:v>Estonsko</c:v>
                </c:pt>
                <c:pt idx="10">
                  <c:v>Portugalsko</c:v>
                </c:pt>
                <c:pt idx="11">
                  <c:v>Řecko</c:v>
                </c:pt>
                <c:pt idx="12">
                  <c:v>Belgie</c:v>
                </c:pt>
                <c:pt idx="13">
                  <c:v>Polsko</c:v>
                </c:pt>
                <c:pt idx="14">
                  <c:v>Švédsko</c:v>
                </c:pt>
                <c:pt idx="15">
                  <c:v>Rakousko</c:v>
                </c:pt>
                <c:pt idx="16">
                  <c:v>Bulharsko</c:v>
                </c:pt>
                <c:pt idx="17">
                  <c:v>Slovinsko</c:v>
                </c:pt>
                <c:pt idx="18">
                  <c:v>Španělsko</c:v>
                </c:pt>
                <c:pt idx="19">
                  <c:v>Finsko</c:v>
                </c:pt>
                <c:pt idx="20">
                  <c:v>Slovensko</c:v>
                </c:pt>
                <c:pt idx="21">
                  <c:v>Rumunsko</c:v>
                </c:pt>
                <c:pt idx="22">
                  <c:v>EU28</c:v>
                </c:pt>
                <c:pt idx="23">
                  <c:v>Německo</c:v>
                </c:pt>
                <c:pt idx="24">
                  <c:v>Irsko</c:v>
                </c:pt>
                <c:pt idx="25">
                  <c:v>Nizozemí</c:v>
                </c:pt>
                <c:pt idx="26">
                  <c:v>Lucembursko</c:v>
                </c:pt>
                <c:pt idx="27">
                  <c:v>Francie</c:v>
                </c:pt>
                <c:pt idx="28">
                  <c:v>Itálie</c:v>
                </c:pt>
              </c:strCache>
            </c:strRef>
          </c:xVal>
          <c:yVal>
            <c:numRef>
              <c:f>List1!$C$175:$C$203</c:f>
              <c:numCache>
                <c:formatCode>0.0</c:formatCode>
                <c:ptCount val="29"/>
                <c:pt idx="0">
                  <c:v>70.660924999999992</c:v>
                </c:pt>
                <c:pt idx="1">
                  <c:v>71.716380000000001</c:v>
                </c:pt>
                <c:pt idx="2">
                  <c:v>58.949845999999994</c:v>
                </c:pt>
                <c:pt idx="3">
                  <c:v>57.879203999999994</c:v>
                </c:pt>
                <c:pt idx="4">
                  <c:v>80.762844999999999</c:v>
                </c:pt>
                <c:pt idx="5">
                  <c:v>64.662050000000008</c:v>
                </c:pt>
                <c:pt idx="6">
                  <c:v>73.125934999999998</c:v>
                </c:pt>
                <c:pt idx="7">
                  <c:v>60.571249999999999</c:v>
                </c:pt>
                <c:pt idx="8">
                  <c:v>68.857010000000002</c:v>
                </c:pt>
                <c:pt idx="9">
                  <c:v>65.137690000000006</c:v>
                </c:pt>
                <c:pt idx="10">
                  <c:v>60.401046000000001</c:v>
                </c:pt>
                <c:pt idx="11">
                  <c:v>56.693106999999998</c:v>
                </c:pt>
                <c:pt idx="12">
                  <c:v>75.525540000000007</c:v>
                </c:pt>
                <c:pt idx="13">
                  <c:v>53.038704000000003</c:v>
                </c:pt>
                <c:pt idx="14">
                  <c:v>72.221106000000006</c:v>
                </c:pt>
                <c:pt idx="15">
                  <c:v>55.554663999999995</c:v>
                </c:pt>
                <c:pt idx="16">
                  <c:v>52.852980000000002</c:v>
                </c:pt>
                <c:pt idx="17">
                  <c:v>52.085349999999998</c:v>
                </c:pt>
                <c:pt idx="18">
                  <c:v>58.608179999999997</c:v>
                </c:pt>
                <c:pt idx="19">
                  <c:v>66.680795000000003</c:v>
                </c:pt>
                <c:pt idx="20">
                  <c:v>59.244709999999998</c:v>
                </c:pt>
                <c:pt idx="21">
                  <c:v>60.175632999999998</c:v>
                </c:pt>
                <c:pt idx="22">
                  <c:v>56.567029999999995</c:v>
                </c:pt>
                <c:pt idx="23">
                  <c:v>52.502879999999998</c:v>
                </c:pt>
                <c:pt idx="24">
                  <c:v>63.577384000000002</c:v>
                </c:pt>
                <c:pt idx="25">
                  <c:v>66.90509999999999</c:v>
                </c:pt>
                <c:pt idx="26">
                  <c:v>62.511044999999996</c:v>
                </c:pt>
                <c:pt idx="27">
                  <c:v>42.324070000000006</c:v>
                </c:pt>
                <c:pt idx="28">
                  <c:v>42.295405000000002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31B-4DFF-983F-AC17C1779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186848"/>
        <c:axId val="530558672"/>
      </c:scatterChart>
      <c:catAx>
        <c:axId val="14304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8064"/>
        <c:crosses val="autoZero"/>
        <c:auto val="1"/>
        <c:lblAlgn val="ctr"/>
        <c:lblOffset val="100"/>
        <c:noMultiLvlLbl val="0"/>
      </c:catAx>
      <c:valAx>
        <c:axId val="1430480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ysClr val="windowText" lastClr="000000"/>
                    </a:solidFill>
                  </a:rPr>
                  <a:t>v %</a:t>
                </a:r>
              </a:p>
            </c:rich>
          </c:tx>
          <c:layout>
            <c:manualLayout>
              <c:xMode val="edge"/>
              <c:yMode val="edge"/>
              <c:x val="9.1753249778689008E-3"/>
              <c:y val="0.34543796074512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6528"/>
        <c:crosses val="autoZero"/>
        <c:crossBetween val="between"/>
      </c:valAx>
      <c:valAx>
        <c:axId val="530558672"/>
        <c:scaling>
          <c:orientation val="minMax"/>
          <c:max val="100"/>
        </c:scaling>
        <c:delete val="1"/>
        <c:axPos val="r"/>
        <c:numFmt formatCode="0.0" sourceLinked="1"/>
        <c:majorTickMark val="out"/>
        <c:minorTickMark val="none"/>
        <c:tickLblPos val="nextTo"/>
        <c:crossAx val="645186848"/>
        <c:crosses val="max"/>
        <c:crossBetween val="midCat"/>
      </c:valAx>
      <c:valAx>
        <c:axId val="645186848"/>
        <c:scaling>
          <c:orientation val="minMax"/>
        </c:scaling>
        <c:delete val="1"/>
        <c:axPos val="t"/>
        <c:majorTickMark val="out"/>
        <c:minorTickMark val="none"/>
        <c:tickLblPos val="nextTo"/>
        <c:crossAx val="530558672"/>
        <c:crosses val="max"/>
        <c:crossBetween val="midCat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34059673632047172"/>
          <c:y val="0"/>
          <c:w val="0.30939918963563234"/>
          <c:h val="8.5086836804775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718740778704448E-2"/>
          <c:y val="9.7060963662453897E-2"/>
          <c:w val="0.88223179828297571"/>
          <c:h val="0.57534380221057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List1!$B$212</c:f>
              <c:strCache>
                <c:ptCount val="1"/>
                <c:pt idx="0">
                  <c:v> studenti</c:v>
                </c:pt>
              </c:strCache>
            </c:strRef>
          </c:tx>
          <c:spPr>
            <a:solidFill>
              <a:srgbClr val="4679A7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A13-41DB-A489-B92F77F99FD5}"/>
              </c:ext>
            </c:extLst>
          </c:dPt>
          <c:dPt>
            <c:idx val="4"/>
            <c:invertIfNegative val="0"/>
            <c:bubble3D val="0"/>
            <c:spPr>
              <a:solidFill>
                <a:srgbClr val="4679A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A13-41DB-A489-B92F77F99FD5}"/>
              </c:ext>
            </c:extLst>
          </c:dPt>
          <c:dPt>
            <c:idx val="14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A13-41DB-A489-B92F77F99FD5}"/>
              </c:ext>
            </c:extLst>
          </c:dPt>
          <c:dPt>
            <c:idx val="16"/>
            <c:invertIfNegative val="0"/>
            <c:bubble3D val="0"/>
            <c:spPr>
              <a:solidFill>
                <a:srgbClr val="4679A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A13-41DB-A489-B92F77F99FD5}"/>
              </c:ext>
            </c:extLst>
          </c:dPt>
          <c:cat>
            <c:strRef>
              <c:f>List1!$A$213:$A$241</c:f>
              <c:strCache>
                <c:ptCount val="29"/>
                <c:pt idx="0">
                  <c:v>Česko</c:v>
                </c:pt>
                <c:pt idx="1">
                  <c:v>Kypr</c:v>
                </c:pt>
                <c:pt idx="2">
                  <c:v>Řecko</c:v>
                </c:pt>
                <c:pt idx="3">
                  <c:v>Portugalsko</c:v>
                </c:pt>
                <c:pt idx="4">
                  <c:v>Litva</c:v>
                </c:pt>
                <c:pt idx="5">
                  <c:v>Chorvatsko</c:v>
                </c:pt>
                <c:pt idx="6">
                  <c:v>Dánsko</c:v>
                </c:pt>
                <c:pt idx="7">
                  <c:v>Estonsko</c:v>
                </c:pt>
                <c:pt idx="8">
                  <c:v>Nizozemí</c:v>
                </c:pt>
                <c:pt idx="9">
                  <c:v>Španělsko</c:v>
                </c:pt>
                <c:pt idx="10">
                  <c:v>Slovinsko</c:v>
                </c:pt>
                <c:pt idx="11">
                  <c:v>Německo</c:v>
                </c:pt>
                <c:pt idx="12">
                  <c:v>Irsko</c:v>
                </c:pt>
                <c:pt idx="13">
                  <c:v>Rakousko</c:v>
                </c:pt>
                <c:pt idx="14">
                  <c:v>EU28</c:v>
                </c:pt>
                <c:pt idx="15">
                  <c:v>Polsko</c:v>
                </c:pt>
                <c:pt idx="16">
                  <c:v>Slovensko</c:v>
                </c:pt>
                <c:pt idx="17">
                  <c:v>Lucembursko</c:v>
                </c:pt>
                <c:pt idx="18">
                  <c:v>Bulharsko</c:v>
                </c:pt>
                <c:pt idx="19">
                  <c:v>Malta</c:v>
                </c:pt>
                <c:pt idx="20">
                  <c:v>Maďarsko</c:v>
                </c:pt>
                <c:pt idx="21">
                  <c:v>Francie</c:v>
                </c:pt>
                <c:pt idx="22">
                  <c:v>Lotyšsko</c:v>
                </c:pt>
                <c:pt idx="23">
                  <c:v>Švédsko</c:v>
                </c:pt>
                <c:pt idx="24">
                  <c:v>Itálie</c:v>
                </c:pt>
                <c:pt idx="25">
                  <c:v>Velká Británie</c:v>
                </c:pt>
                <c:pt idx="26">
                  <c:v>Finsko</c:v>
                </c:pt>
                <c:pt idx="27">
                  <c:v>Rumunsko</c:v>
                </c:pt>
                <c:pt idx="28">
                  <c:v>Belgie</c:v>
                </c:pt>
              </c:strCache>
            </c:strRef>
          </c:cat>
          <c:val>
            <c:numRef>
              <c:f>List1!$B$213:$B$241</c:f>
              <c:numCache>
                <c:formatCode>0.0</c:formatCode>
                <c:ptCount val="29"/>
                <c:pt idx="0">
                  <c:v>87.949794999999995</c:v>
                </c:pt>
                <c:pt idx="1">
                  <c:v>79.796319999999994</c:v>
                </c:pt>
                <c:pt idx="2">
                  <c:v>75.399286000000004</c:v>
                </c:pt>
                <c:pt idx="3">
                  <c:v>67.765010000000004</c:v>
                </c:pt>
                <c:pt idx="4">
                  <c:v>67.365139999999997</c:v>
                </c:pt>
                <c:pt idx="5">
                  <c:v>66.592585999999997</c:v>
                </c:pt>
                <c:pt idx="6">
                  <c:v>65.933719999999994</c:v>
                </c:pt>
                <c:pt idx="7">
                  <c:v>61.382942999999997</c:v>
                </c:pt>
                <c:pt idx="8">
                  <c:v>60.070840000000004</c:v>
                </c:pt>
                <c:pt idx="9">
                  <c:v>58.457129999999999</c:v>
                </c:pt>
                <c:pt idx="10">
                  <c:v>58.413166000000004</c:v>
                </c:pt>
                <c:pt idx="11">
                  <c:v>56.680565999999999</c:v>
                </c:pt>
                <c:pt idx="12">
                  <c:v>55.306374999999996</c:v>
                </c:pt>
                <c:pt idx="13">
                  <c:v>53.177850000000007</c:v>
                </c:pt>
                <c:pt idx="14">
                  <c:v>51.362149999999993</c:v>
                </c:pt>
                <c:pt idx="15">
                  <c:v>50.627786</c:v>
                </c:pt>
                <c:pt idx="16">
                  <c:v>48.788437000000002</c:v>
                </c:pt>
                <c:pt idx="17">
                  <c:v>48.331069999999997</c:v>
                </c:pt>
                <c:pt idx="18">
                  <c:v>48.038808000000003</c:v>
                </c:pt>
                <c:pt idx="19">
                  <c:v>46.832456999999998</c:v>
                </c:pt>
                <c:pt idx="20">
                  <c:v>46.481439999999999</c:v>
                </c:pt>
                <c:pt idx="21">
                  <c:v>45.653289999999998</c:v>
                </c:pt>
                <c:pt idx="22">
                  <c:v>44.532539999999997</c:v>
                </c:pt>
                <c:pt idx="23">
                  <c:v>44.490802000000002</c:v>
                </c:pt>
                <c:pt idx="24">
                  <c:v>44.004905000000001</c:v>
                </c:pt>
                <c:pt idx="25">
                  <c:v>42.24653</c:v>
                </c:pt>
                <c:pt idx="26">
                  <c:v>40.440655</c:v>
                </c:pt>
                <c:pt idx="27">
                  <c:v>36.519103999999999</c:v>
                </c:pt>
                <c:pt idx="28">
                  <c:v>34.538180000000004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13-41DB-A489-B92F77F99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3046528"/>
        <c:axId val="143048064"/>
      </c:barChart>
      <c:scatterChart>
        <c:scatterStyle val="lineMarker"/>
        <c:varyColors val="0"/>
        <c:ser>
          <c:idx val="1"/>
          <c:order val="1"/>
          <c:tx>
            <c:strRef>
              <c:f>List1!$C$212</c:f>
              <c:strCache>
                <c:ptCount val="1"/>
                <c:pt idx="0">
                  <c:v> osoby celkem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C00000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xVal>
            <c:strRef>
              <c:f>List1!$A$213:$A$241</c:f>
              <c:strCache>
                <c:ptCount val="29"/>
                <c:pt idx="0">
                  <c:v>Česko</c:v>
                </c:pt>
                <c:pt idx="1">
                  <c:v>Kypr</c:v>
                </c:pt>
                <c:pt idx="2">
                  <c:v>Řecko</c:v>
                </c:pt>
                <c:pt idx="3">
                  <c:v>Portugalsko</c:v>
                </c:pt>
                <c:pt idx="4">
                  <c:v>Litva</c:v>
                </c:pt>
                <c:pt idx="5">
                  <c:v>Chorvatsko</c:v>
                </c:pt>
                <c:pt idx="6">
                  <c:v>Dánsko</c:v>
                </c:pt>
                <c:pt idx="7">
                  <c:v>Estonsko</c:v>
                </c:pt>
                <c:pt idx="8">
                  <c:v>Nizozemí</c:v>
                </c:pt>
                <c:pt idx="9">
                  <c:v>Španělsko</c:v>
                </c:pt>
                <c:pt idx="10">
                  <c:v>Slovinsko</c:v>
                </c:pt>
                <c:pt idx="11">
                  <c:v>Německo</c:v>
                </c:pt>
                <c:pt idx="12">
                  <c:v>Irsko</c:v>
                </c:pt>
                <c:pt idx="13">
                  <c:v>Rakousko</c:v>
                </c:pt>
                <c:pt idx="14">
                  <c:v>EU28</c:v>
                </c:pt>
                <c:pt idx="15">
                  <c:v>Polsko</c:v>
                </c:pt>
                <c:pt idx="16">
                  <c:v>Slovensko</c:v>
                </c:pt>
                <c:pt idx="17">
                  <c:v>Lucembursko</c:v>
                </c:pt>
                <c:pt idx="18">
                  <c:v>Bulharsko</c:v>
                </c:pt>
                <c:pt idx="19">
                  <c:v>Malta</c:v>
                </c:pt>
                <c:pt idx="20">
                  <c:v>Maďarsko</c:v>
                </c:pt>
                <c:pt idx="21">
                  <c:v>Francie</c:v>
                </c:pt>
                <c:pt idx="22">
                  <c:v>Lotyšsko</c:v>
                </c:pt>
                <c:pt idx="23">
                  <c:v>Švédsko</c:v>
                </c:pt>
                <c:pt idx="24">
                  <c:v>Itálie</c:v>
                </c:pt>
                <c:pt idx="25">
                  <c:v>Velká Británie</c:v>
                </c:pt>
                <c:pt idx="26">
                  <c:v>Finsko</c:v>
                </c:pt>
                <c:pt idx="27">
                  <c:v>Rumunsko</c:v>
                </c:pt>
                <c:pt idx="28">
                  <c:v>Belgie</c:v>
                </c:pt>
              </c:strCache>
            </c:strRef>
          </c:xVal>
          <c:yVal>
            <c:numRef>
              <c:f>List1!$C$213:$C$241</c:f>
              <c:numCache>
                <c:formatCode>0.0</c:formatCode>
                <c:ptCount val="29"/>
                <c:pt idx="0">
                  <c:v>41.385660000000001</c:v>
                </c:pt>
                <c:pt idx="1">
                  <c:v>38.931736000000001</c:v>
                </c:pt>
                <c:pt idx="2">
                  <c:v>34.944223999999998</c:v>
                </c:pt>
                <c:pt idx="3">
                  <c:v>39.426932000000001</c:v>
                </c:pt>
                <c:pt idx="4">
                  <c:v>34.122208000000001</c:v>
                </c:pt>
                <c:pt idx="5">
                  <c:v>30.662987000000001</c:v>
                </c:pt>
                <c:pt idx="6">
                  <c:v>52.200490000000002</c:v>
                </c:pt>
                <c:pt idx="7">
                  <c:v>36.123463999999998</c:v>
                </c:pt>
                <c:pt idx="8">
                  <c:v>52.912930000000003</c:v>
                </c:pt>
                <c:pt idx="9">
                  <c:v>31.341675000000002</c:v>
                </c:pt>
                <c:pt idx="10">
                  <c:v>30.043206000000001</c:v>
                </c:pt>
                <c:pt idx="11">
                  <c:v>35.409559999999999</c:v>
                </c:pt>
                <c:pt idx="12">
                  <c:v>37.253246000000004</c:v>
                </c:pt>
                <c:pt idx="13">
                  <c:v>21.306336999999999</c:v>
                </c:pt>
                <c:pt idx="14">
                  <c:v>30.135549999999999</c:v>
                </c:pt>
                <c:pt idx="15">
                  <c:v>21.069693999999998</c:v>
                </c:pt>
                <c:pt idx="16">
                  <c:v>20.297946</c:v>
                </c:pt>
                <c:pt idx="17">
                  <c:v>32.817343000000001</c:v>
                </c:pt>
                <c:pt idx="18">
                  <c:v>19.599712999999998</c:v>
                </c:pt>
                <c:pt idx="19">
                  <c:v>32.696416999999997</c:v>
                </c:pt>
                <c:pt idx="20">
                  <c:v>28.097250000000003</c:v>
                </c:pt>
                <c:pt idx="21">
                  <c:v>22.989665000000002</c:v>
                </c:pt>
                <c:pt idx="22">
                  <c:v>24.413107</c:v>
                </c:pt>
                <c:pt idx="23">
                  <c:v>37.497613000000001</c:v>
                </c:pt>
                <c:pt idx="24">
                  <c:v>22.492122999999999</c:v>
                </c:pt>
                <c:pt idx="25">
                  <c:v>37.780525999999995</c:v>
                </c:pt>
                <c:pt idx="26">
                  <c:v>26.885369999999998</c:v>
                </c:pt>
                <c:pt idx="27">
                  <c:v>14.771355999999999</c:v>
                </c:pt>
                <c:pt idx="28">
                  <c:v>22.832628999999997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BA13-41DB-A489-B92F77F99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186848"/>
        <c:axId val="530558672"/>
      </c:scatterChart>
      <c:catAx>
        <c:axId val="14304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8064"/>
        <c:crosses val="autoZero"/>
        <c:auto val="1"/>
        <c:lblAlgn val="ctr"/>
        <c:lblOffset val="100"/>
        <c:noMultiLvlLbl val="0"/>
      </c:catAx>
      <c:valAx>
        <c:axId val="1430480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ysClr val="windowText" lastClr="000000"/>
                    </a:solidFill>
                  </a:rPr>
                  <a:t>v %</a:t>
                </a:r>
              </a:p>
            </c:rich>
          </c:tx>
          <c:layout>
            <c:manualLayout>
              <c:xMode val="edge"/>
              <c:yMode val="edge"/>
              <c:x val="9.1753249778689008E-3"/>
              <c:y val="0.34543796074512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6528"/>
        <c:crosses val="autoZero"/>
        <c:crossBetween val="between"/>
      </c:valAx>
      <c:valAx>
        <c:axId val="530558672"/>
        <c:scaling>
          <c:orientation val="minMax"/>
          <c:max val="100"/>
        </c:scaling>
        <c:delete val="1"/>
        <c:axPos val="r"/>
        <c:numFmt formatCode="0.0" sourceLinked="1"/>
        <c:majorTickMark val="out"/>
        <c:minorTickMark val="none"/>
        <c:tickLblPos val="nextTo"/>
        <c:crossAx val="645186848"/>
        <c:crosses val="max"/>
        <c:crossBetween val="midCat"/>
      </c:valAx>
      <c:valAx>
        <c:axId val="645186848"/>
        <c:scaling>
          <c:orientation val="minMax"/>
        </c:scaling>
        <c:delete val="1"/>
        <c:axPos val="t"/>
        <c:majorTickMark val="out"/>
        <c:minorTickMark val="none"/>
        <c:tickLblPos val="nextTo"/>
        <c:crossAx val="530558672"/>
        <c:crosses val="max"/>
        <c:crossBetween val="midCat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34530040518218386"/>
          <c:y val="0"/>
          <c:w val="0.30939918963563234"/>
          <c:h val="8.2341391631673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718740778704448E-2"/>
          <c:y val="9.6028127185622203E-2"/>
          <c:w val="0.88223179828297571"/>
          <c:h val="0.56011912888056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List1!$B$141</c:f>
              <c:strCache>
                <c:ptCount val="1"/>
                <c:pt idx="0">
                  <c:v> studenti</c:v>
                </c:pt>
              </c:strCache>
            </c:strRef>
          </c:tx>
          <c:spPr>
            <a:solidFill>
              <a:srgbClr val="4679A7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FF-4B2E-B6B9-CBCAB5B58058}"/>
              </c:ext>
            </c:extLst>
          </c:dPt>
          <c:dPt>
            <c:idx val="15"/>
            <c:invertIfNegative val="0"/>
            <c:bubble3D val="0"/>
            <c:spPr>
              <a:solidFill>
                <a:srgbClr val="B8CDE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BFF-4B2E-B6B9-CBCAB5B58058}"/>
              </c:ext>
            </c:extLst>
          </c:dPt>
          <c:cat>
            <c:strRef>
              <c:f>List1!$A$142:$A$170</c:f>
              <c:strCache>
                <c:ptCount val="29"/>
                <c:pt idx="0">
                  <c:v>Dánsko</c:v>
                </c:pt>
                <c:pt idx="1">
                  <c:v>Nizozemí</c:v>
                </c:pt>
                <c:pt idx="2">
                  <c:v>Estonsko</c:v>
                </c:pt>
                <c:pt idx="3">
                  <c:v>Velká Británie</c:v>
                </c:pt>
                <c:pt idx="4">
                  <c:v>Finsko</c:v>
                </c:pt>
                <c:pt idx="5">
                  <c:v>Rakousko</c:v>
                </c:pt>
                <c:pt idx="6">
                  <c:v>Lotyšsko</c:v>
                </c:pt>
                <c:pt idx="7">
                  <c:v>Švédsko</c:v>
                </c:pt>
                <c:pt idx="8">
                  <c:v>Irsko</c:v>
                </c:pt>
                <c:pt idx="9">
                  <c:v>Litva</c:v>
                </c:pt>
                <c:pt idx="10">
                  <c:v>Belgie</c:v>
                </c:pt>
                <c:pt idx="11">
                  <c:v>Česko</c:v>
                </c:pt>
                <c:pt idx="12">
                  <c:v>Francie</c:v>
                </c:pt>
                <c:pt idx="13">
                  <c:v>Slovensko</c:v>
                </c:pt>
                <c:pt idx="14">
                  <c:v>Lucembursko</c:v>
                </c:pt>
                <c:pt idx="15">
                  <c:v>EU28</c:v>
                </c:pt>
                <c:pt idx="16">
                  <c:v>Chorvatsko</c:v>
                </c:pt>
                <c:pt idx="17">
                  <c:v>Maďarsko</c:v>
                </c:pt>
                <c:pt idx="18">
                  <c:v>Německo</c:v>
                </c:pt>
                <c:pt idx="19">
                  <c:v>Malta</c:v>
                </c:pt>
                <c:pt idx="20">
                  <c:v>Španělsko</c:v>
                </c:pt>
                <c:pt idx="21">
                  <c:v>Portugalsko</c:v>
                </c:pt>
                <c:pt idx="22">
                  <c:v>Kypr</c:v>
                </c:pt>
                <c:pt idx="23">
                  <c:v>Slovinsko</c:v>
                </c:pt>
                <c:pt idx="24">
                  <c:v>Polsko</c:v>
                </c:pt>
                <c:pt idx="25">
                  <c:v>Itálie</c:v>
                </c:pt>
                <c:pt idx="26">
                  <c:v>Řecko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cat>
          <c:val>
            <c:numRef>
              <c:f>List1!$B$142:$B$170</c:f>
              <c:numCache>
                <c:formatCode>0.0</c:formatCode>
                <c:ptCount val="29"/>
                <c:pt idx="0">
                  <c:v>94.441705999999996</c:v>
                </c:pt>
                <c:pt idx="1">
                  <c:v>93.439525000000003</c:v>
                </c:pt>
                <c:pt idx="2">
                  <c:v>88.763190000000009</c:v>
                </c:pt>
                <c:pt idx="3">
                  <c:v>87.071043000000003</c:v>
                </c:pt>
                <c:pt idx="4">
                  <c:v>82.19568000000001</c:v>
                </c:pt>
                <c:pt idx="5">
                  <c:v>72.085243000000006</c:v>
                </c:pt>
                <c:pt idx="6">
                  <c:v>71.03819</c:v>
                </c:pt>
                <c:pt idx="7">
                  <c:v>70.693462999999994</c:v>
                </c:pt>
                <c:pt idx="8">
                  <c:v>66.755409999999998</c:v>
                </c:pt>
                <c:pt idx="9">
                  <c:v>66.31823</c:v>
                </c:pt>
                <c:pt idx="10">
                  <c:v>64.577950000000001</c:v>
                </c:pt>
                <c:pt idx="11">
                  <c:v>58.973309999999998</c:v>
                </c:pt>
                <c:pt idx="12">
                  <c:v>56.171702999999994</c:v>
                </c:pt>
                <c:pt idx="13">
                  <c:v>53.637549999999997</c:v>
                </c:pt>
                <c:pt idx="14">
                  <c:v>49.983212000000002</c:v>
                </c:pt>
                <c:pt idx="15">
                  <c:v>49.957057999999996</c:v>
                </c:pt>
                <c:pt idx="16">
                  <c:v>48.392203000000002</c:v>
                </c:pt>
                <c:pt idx="17">
                  <c:v>47.810893999999998</c:v>
                </c:pt>
                <c:pt idx="18">
                  <c:v>47.555115999999998</c:v>
                </c:pt>
                <c:pt idx="19">
                  <c:v>47.101419999999997</c:v>
                </c:pt>
                <c:pt idx="20">
                  <c:v>43.19061</c:v>
                </c:pt>
                <c:pt idx="21">
                  <c:v>43.006405000000001</c:v>
                </c:pt>
                <c:pt idx="22">
                  <c:v>37.976717999999998</c:v>
                </c:pt>
                <c:pt idx="23">
                  <c:v>35.810825000000001</c:v>
                </c:pt>
                <c:pt idx="24">
                  <c:v>33.374420000000001</c:v>
                </c:pt>
                <c:pt idx="25">
                  <c:v>28.822765</c:v>
                </c:pt>
                <c:pt idx="26">
                  <c:v>27.331634999999999</c:v>
                </c:pt>
                <c:pt idx="27">
                  <c:v>6.9626110000000008</c:v>
                </c:pt>
                <c:pt idx="28">
                  <c:v>5.3787920000000007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FF-4B2E-B6B9-CBCAB5B58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3046528"/>
        <c:axId val="143048064"/>
      </c:barChart>
      <c:scatterChart>
        <c:scatterStyle val="lineMarker"/>
        <c:varyColors val="0"/>
        <c:ser>
          <c:idx val="1"/>
          <c:order val="1"/>
          <c:tx>
            <c:strRef>
              <c:f>List1!$C$141</c:f>
              <c:strCache>
                <c:ptCount val="1"/>
                <c:pt idx="0">
                  <c:v> osoby celkem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C00000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xVal>
            <c:strRef>
              <c:f>List1!$A$142:$A$170</c:f>
              <c:strCache>
                <c:ptCount val="29"/>
                <c:pt idx="0">
                  <c:v>Dánsko</c:v>
                </c:pt>
                <c:pt idx="1">
                  <c:v>Nizozemí</c:v>
                </c:pt>
                <c:pt idx="2">
                  <c:v>Estonsko</c:v>
                </c:pt>
                <c:pt idx="3">
                  <c:v>Velká Británie</c:v>
                </c:pt>
                <c:pt idx="4">
                  <c:v>Finsko</c:v>
                </c:pt>
                <c:pt idx="5">
                  <c:v>Rakousko</c:v>
                </c:pt>
                <c:pt idx="6">
                  <c:v>Lotyšsko</c:v>
                </c:pt>
                <c:pt idx="7">
                  <c:v>Švédsko</c:v>
                </c:pt>
                <c:pt idx="8">
                  <c:v>Irsko</c:v>
                </c:pt>
                <c:pt idx="9">
                  <c:v>Litva</c:v>
                </c:pt>
                <c:pt idx="10">
                  <c:v>Belgie</c:v>
                </c:pt>
                <c:pt idx="11">
                  <c:v>Česko</c:v>
                </c:pt>
                <c:pt idx="12">
                  <c:v>Francie</c:v>
                </c:pt>
                <c:pt idx="13">
                  <c:v>Slovensko</c:v>
                </c:pt>
                <c:pt idx="14">
                  <c:v>Lucembursko</c:v>
                </c:pt>
                <c:pt idx="15">
                  <c:v>EU28</c:v>
                </c:pt>
                <c:pt idx="16">
                  <c:v>Chorvatsko</c:v>
                </c:pt>
                <c:pt idx="17">
                  <c:v>Maďarsko</c:v>
                </c:pt>
                <c:pt idx="18">
                  <c:v>Německo</c:v>
                </c:pt>
                <c:pt idx="19">
                  <c:v>Malta</c:v>
                </c:pt>
                <c:pt idx="20">
                  <c:v>Španělsko</c:v>
                </c:pt>
                <c:pt idx="21">
                  <c:v>Portugalsko</c:v>
                </c:pt>
                <c:pt idx="22">
                  <c:v>Kypr</c:v>
                </c:pt>
                <c:pt idx="23">
                  <c:v>Slovinsko</c:v>
                </c:pt>
                <c:pt idx="24">
                  <c:v>Polsko</c:v>
                </c:pt>
                <c:pt idx="25">
                  <c:v>Itálie</c:v>
                </c:pt>
                <c:pt idx="26">
                  <c:v>Řecko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xVal>
          <c:yVal>
            <c:numRef>
              <c:f>List1!$C$142:$C$170</c:f>
              <c:numCache>
                <c:formatCode>0.0</c:formatCode>
                <c:ptCount val="29"/>
                <c:pt idx="0">
                  <c:v>90.779005999999995</c:v>
                </c:pt>
                <c:pt idx="1">
                  <c:v>90.628349999999998</c:v>
                </c:pt>
                <c:pt idx="2">
                  <c:v>80.718975999999998</c:v>
                </c:pt>
                <c:pt idx="3">
                  <c:v>77.703990000000005</c:v>
                </c:pt>
                <c:pt idx="4">
                  <c:v>90.718059999999994</c:v>
                </c:pt>
                <c:pt idx="5">
                  <c:v>62.777830000000002</c:v>
                </c:pt>
                <c:pt idx="6">
                  <c:v>71.58108399999999</c:v>
                </c:pt>
                <c:pt idx="7">
                  <c:v>84.471713999999992</c:v>
                </c:pt>
                <c:pt idx="8">
                  <c:v>67.390232999999995</c:v>
                </c:pt>
                <c:pt idx="9">
                  <c:v>64.727526999999995</c:v>
                </c:pt>
                <c:pt idx="10">
                  <c:v>71.181965000000005</c:v>
                </c:pt>
                <c:pt idx="11">
                  <c:v>67.964523999999997</c:v>
                </c:pt>
                <c:pt idx="12">
                  <c:v>65.546495000000007</c:v>
                </c:pt>
                <c:pt idx="13">
                  <c:v>54.770774000000003</c:v>
                </c:pt>
                <c:pt idx="14">
                  <c:v>70.596460000000008</c:v>
                </c:pt>
                <c:pt idx="15">
                  <c:v>57.509</c:v>
                </c:pt>
                <c:pt idx="16">
                  <c:v>46.461827</c:v>
                </c:pt>
                <c:pt idx="17">
                  <c:v>46.700986999999998</c:v>
                </c:pt>
                <c:pt idx="18">
                  <c:v>61.102533000000001</c:v>
                </c:pt>
                <c:pt idx="19">
                  <c:v>53.876250000000006</c:v>
                </c:pt>
                <c:pt idx="20">
                  <c:v>54.881716000000004</c:v>
                </c:pt>
                <c:pt idx="21">
                  <c:v>41.946694000000001</c:v>
                </c:pt>
                <c:pt idx="22">
                  <c:v>40.536096999999998</c:v>
                </c:pt>
                <c:pt idx="23">
                  <c:v>47.130992999999997</c:v>
                </c:pt>
                <c:pt idx="24">
                  <c:v>47.268032999999996</c:v>
                </c:pt>
                <c:pt idx="25">
                  <c:v>36.309057000000003</c:v>
                </c:pt>
                <c:pt idx="26">
                  <c:v>30.514506000000001</c:v>
                </c:pt>
                <c:pt idx="27">
                  <c:v>8.5728550000000006</c:v>
                </c:pt>
                <c:pt idx="28">
                  <c:v>8.3587830000000007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BFF-4B2E-B6B9-CBCAB5B58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186848"/>
        <c:axId val="530558672"/>
      </c:scatterChart>
      <c:catAx>
        <c:axId val="14304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8064"/>
        <c:crosses val="autoZero"/>
        <c:auto val="1"/>
        <c:lblAlgn val="ctr"/>
        <c:lblOffset val="100"/>
        <c:noMultiLvlLbl val="0"/>
      </c:catAx>
      <c:valAx>
        <c:axId val="1430480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>
                    <a:solidFill>
                      <a:sysClr val="windowText" lastClr="000000"/>
                    </a:solidFill>
                  </a:rPr>
                  <a:t>v %</a:t>
                </a:r>
              </a:p>
            </c:rich>
          </c:tx>
          <c:layout>
            <c:manualLayout>
              <c:xMode val="edge"/>
              <c:yMode val="edge"/>
              <c:x val="9.1753249778689008E-3"/>
              <c:y val="0.34543796074512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3046528"/>
        <c:crosses val="autoZero"/>
        <c:crossBetween val="between"/>
      </c:valAx>
      <c:valAx>
        <c:axId val="530558672"/>
        <c:scaling>
          <c:orientation val="minMax"/>
          <c:max val="100"/>
        </c:scaling>
        <c:delete val="1"/>
        <c:axPos val="r"/>
        <c:numFmt formatCode="0.0" sourceLinked="1"/>
        <c:majorTickMark val="out"/>
        <c:minorTickMark val="none"/>
        <c:tickLblPos val="nextTo"/>
        <c:crossAx val="645186848"/>
        <c:crosses val="max"/>
        <c:crossBetween val="midCat"/>
      </c:valAx>
      <c:valAx>
        <c:axId val="645186848"/>
        <c:scaling>
          <c:orientation val="minMax"/>
        </c:scaling>
        <c:delete val="1"/>
        <c:axPos val="t"/>
        <c:majorTickMark val="out"/>
        <c:minorTickMark val="none"/>
        <c:tickLblPos val="nextTo"/>
        <c:crossAx val="530558672"/>
        <c:crosses val="max"/>
        <c:crossBetween val="midCat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34530040518218386"/>
          <c:y val="0"/>
          <c:w val="0.30939918963563234"/>
          <c:h val="8.5086836804775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0.14456</cdr:x>
      <cdr:y>0.69524</cdr:y>
    </cdr:from>
    <cdr:to>
      <cdr:x>0.84864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09624" y="2085976"/>
          <a:ext cx="39433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89B-D561-473A-920D-B0918A0D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1270</TotalTime>
  <Pages>6</Pages>
  <Words>1235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Pištorová, Mgr.</dc:creator>
  <cp:lastModifiedBy>Mgr. Jitka Wichová</cp:lastModifiedBy>
  <cp:revision>107</cp:revision>
  <dcterms:created xsi:type="dcterms:W3CDTF">2020-05-29T06:43:00Z</dcterms:created>
  <dcterms:modified xsi:type="dcterms:W3CDTF">2020-06-16T07:26:00Z</dcterms:modified>
</cp:coreProperties>
</file>