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95D" w:rsidRPr="00D94E51" w:rsidRDefault="006067DA" w:rsidP="006D795D">
      <w:pPr>
        <w:keepNext/>
        <w:keepLines/>
        <w:spacing w:after="200"/>
        <w:outlineLvl w:val="0"/>
        <w:rPr>
          <w:rFonts w:eastAsia="MS Gothic"/>
          <w:b/>
          <w:bCs/>
          <w:color w:val="BC091B"/>
          <w:sz w:val="32"/>
          <w:szCs w:val="28"/>
        </w:rPr>
      </w:pPr>
      <w:r w:rsidRPr="006D795D">
        <w:t xml:space="preserve"> </w:t>
      </w:r>
      <w:bookmarkStart w:id="0" w:name="_Toc127174559"/>
      <w:bookmarkStart w:id="1" w:name="_Toc127757331"/>
      <w:bookmarkStart w:id="2" w:name="_Toc127758621"/>
      <w:bookmarkStart w:id="3" w:name="_Toc130184766"/>
      <w:bookmarkStart w:id="4" w:name="_Toc256065142"/>
      <w:bookmarkStart w:id="5" w:name="_Toc481748792"/>
      <w:r w:rsidR="006D795D" w:rsidRPr="00D94E51">
        <w:rPr>
          <w:rFonts w:eastAsia="MS Gothic"/>
          <w:b/>
          <w:bCs/>
          <w:color w:val="BC091B"/>
          <w:sz w:val="32"/>
          <w:szCs w:val="28"/>
        </w:rPr>
        <w:t>3. Výdaje domácností na zdravotní péči</w:t>
      </w:r>
      <w:bookmarkEnd w:id="0"/>
      <w:bookmarkEnd w:id="1"/>
      <w:bookmarkEnd w:id="2"/>
      <w:bookmarkEnd w:id="3"/>
      <w:bookmarkEnd w:id="4"/>
      <w:bookmarkEnd w:id="5"/>
    </w:p>
    <w:p w:rsidR="006D795D" w:rsidRPr="00D94E51" w:rsidRDefault="006D795D" w:rsidP="006D795D">
      <w:pPr>
        <w:jc w:val="both"/>
      </w:pPr>
      <w:r w:rsidRPr="00D94E51">
        <w:t>Systém zdravotní péče v České republice je založen především na veřejném zdravotním pojištění a poskytuje všeobecné pokrytí a široký rozsah hrazených služeb. Náklady na zdravotní péči každoročně stoupají a výnosy z veřejného zdravotního pojištění nestačí tento nárůst pokrýt, proto se zvyšují přímé platby občanů za lékařskou péči.</w:t>
      </w:r>
    </w:p>
    <w:p w:rsidR="006D795D" w:rsidRPr="00D94E51" w:rsidRDefault="006D795D" w:rsidP="006D795D">
      <w:pPr>
        <w:keepNext/>
        <w:spacing w:before="120"/>
        <w:jc w:val="both"/>
        <w:rPr>
          <w:rFonts w:cs="Arial"/>
          <w:color w:val="000000"/>
          <w:szCs w:val="20"/>
        </w:rPr>
      </w:pPr>
      <w:r w:rsidRPr="00D94E51">
        <w:rPr>
          <w:rFonts w:cs="Arial"/>
          <w:color w:val="000000"/>
          <w:szCs w:val="20"/>
        </w:rPr>
        <w:t xml:space="preserve">Následující kapitola přináší přehled </w:t>
      </w:r>
      <w:r w:rsidRPr="00D94E51">
        <w:rPr>
          <w:rFonts w:cs="Arial"/>
          <w:b/>
          <w:color w:val="000000"/>
          <w:szCs w:val="20"/>
        </w:rPr>
        <w:t>základních údajů o celkových výdajích domácností na zdravotní péči</w:t>
      </w:r>
      <w:r w:rsidRPr="00D94E51">
        <w:rPr>
          <w:rFonts w:cs="Arial"/>
          <w:color w:val="000000"/>
          <w:szCs w:val="20"/>
        </w:rPr>
        <w:t xml:space="preserve">. Více pozornosti je věnováno výdajům </w:t>
      </w:r>
      <w:r w:rsidRPr="00D94E51">
        <w:rPr>
          <w:rFonts w:cs="Arial"/>
          <w:b/>
          <w:color w:val="000000"/>
          <w:szCs w:val="20"/>
        </w:rPr>
        <w:t>na léky</w:t>
      </w:r>
      <w:r w:rsidRPr="00D94E51">
        <w:rPr>
          <w:rFonts w:cs="Arial"/>
          <w:color w:val="000000"/>
          <w:szCs w:val="20"/>
        </w:rPr>
        <w:t xml:space="preserve">, které v oblasti zdraví patří k nejnákladnějším položkám českých domácností. Zaměříme se rovněž na informace o výdajích domácností </w:t>
      </w:r>
      <w:r w:rsidRPr="00D94E51">
        <w:rPr>
          <w:rFonts w:cs="Arial"/>
          <w:b/>
          <w:color w:val="000000"/>
          <w:szCs w:val="20"/>
        </w:rPr>
        <w:t xml:space="preserve">na jednotlivé druhy zdravotní péče, především na péči stomatologickou </w:t>
      </w:r>
      <w:r w:rsidRPr="00D94E51">
        <w:rPr>
          <w:rFonts w:cs="Arial"/>
          <w:color w:val="000000"/>
          <w:szCs w:val="20"/>
        </w:rPr>
        <w:t xml:space="preserve">a připomeneme si </w:t>
      </w:r>
      <w:r w:rsidRPr="00D94E51">
        <w:rPr>
          <w:rFonts w:cs="Arial"/>
          <w:b/>
          <w:color w:val="000000"/>
          <w:szCs w:val="20"/>
        </w:rPr>
        <w:t>vývoj regulačních poplatků</w:t>
      </w:r>
      <w:r w:rsidRPr="00D94E51">
        <w:rPr>
          <w:rFonts w:cs="Arial"/>
          <w:color w:val="000000"/>
          <w:szCs w:val="20"/>
        </w:rPr>
        <w:t xml:space="preserve"> od jejich počátku do současné doby.</w:t>
      </w:r>
    </w:p>
    <w:p w:rsidR="006D795D" w:rsidRPr="00D94E51" w:rsidRDefault="006D795D" w:rsidP="006D795D">
      <w:pPr>
        <w:keepNext/>
        <w:keepLines/>
        <w:spacing w:before="240" w:after="120"/>
        <w:outlineLvl w:val="2"/>
        <w:rPr>
          <w:rFonts w:eastAsia="MS Gothic"/>
          <w:b/>
          <w:bCs/>
          <w:color w:val="BC091B"/>
          <w:sz w:val="24"/>
        </w:rPr>
      </w:pPr>
      <w:bookmarkStart w:id="6" w:name="_Toc481748793"/>
      <w:r w:rsidRPr="00D94E51">
        <w:rPr>
          <w:rFonts w:eastAsia="MS Gothic"/>
          <w:b/>
          <w:bCs/>
          <w:color w:val="BC091B"/>
          <w:sz w:val="24"/>
        </w:rPr>
        <w:t xml:space="preserve">3.1. </w:t>
      </w:r>
      <w:bookmarkEnd w:id="6"/>
      <w:r w:rsidRPr="00D94E51">
        <w:rPr>
          <w:rFonts w:eastAsia="MS Gothic"/>
          <w:b/>
          <w:bCs/>
          <w:color w:val="BC091B"/>
          <w:sz w:val="24"/>
        </w:rPr>
        <w:t>Celkové výdaje domácností na zdravotní péči</w:t>
      </w:r>
    </w:p>
    <w:p w:rsidR="006D795D" w:rsidRPr="00D94E51" w:rsidRDefault="006D795D" w:rsidP="006D795D">
      <w:pPr>
        <w:jc w:val="both"/>
        <w:rPr>
          <w:szCs w:val="17"/>
        </w:rPr>
      </w:pPr>
      <w:r w:rsidRPr="00D94E51">
        <w:rPr>
          <w:szCs w:val="17"/>
        </w:rPr>
        <w:t xml:space="preserve">V roce 2018 dosáhly v Česku </w:t>
      </w:r>
      <w:r w:rsidRPr="00D94E51">
        <w:rPr>
          <w:b/>
          <w:szCs w:val="17"/>
        </w:rPr>
        <w:t>celkové výdaje domácností na zdravotní péči</w:t>
      </w:r>
      <w:r w:rsidRPr="00D94E51">
        <w:rPr>
          <w:szCs w:val="17"/>
        </w:rPr>
        <w:t xml:space="preserve"> 57,8 mld. Kč</w:t>
      </w:r>
      <w:r w:rsidRPr="00D94E51">
        <w:rPr>
          <w:rFonts w:cs="Arial"/>
          <w:color w:val="000000"/>
          <w:szCs w:val="20"/>
        </w:rPr>
        <w:t xml:space="preserve">, </w:t>
      </w:r>
      <w:r w:rsidRPr="00D94E51">
        <w:rPr>
          <w:rFonts w:cs="Arial"/>
          <w:szCs w:val="20"/>
        </w:rPr>
        <w:t xml:space="preserve">tedy 13,4 % </w:t>
      </w:r>
      <w:r w:rsidRPr="00D94E51">
        <w:rPr>
          <w:rFonts w:cs="Arial"/>
          <w:color w:val="000000"/>
          <w:szCs w:val="20"/>
        </w:rPr>
        <w:t>z celkových výdajů na zdravotní péči. Od roku 2010</w:t>
      </w:r>
      <w:r w:rsidRPr="00D94E51">
        <w:rPr>
          <w:szCs w:val="17"/>
        </w:rPr>
        <w:t xml:space="preserve"> pozorujeme nárůst výdajů domácností na zdravotní péči o více než jednu třetinu (35 %). Od roku 2016 se výdaje domácností na zdravotní péči pohybují nad hranicí 50 mld. Kč. Za celé sledované období let 2010 až 2018 pak zaplatily české domácnosti z vlastních prostředků za zdravotní péči nad rámec veřejného zdravotního pojištění celkem 433,4 mld. Kč s průměrným ročním tempem růstu 3,9 %. </w:t>
      </w:r>
      <w:r w:rsidRPr="00D94E51">
        <w:t xml:space="preserve">Podíl výdajů na zdravotní péči na celkových výdajích domácností se pohybuje od roku 2010 na průměrné hodnotě 2,3 %. </w:t>
      </w:r>
      <w:r w:rsidRPr="00D94E51">
        <w:rPr>
          <w:szCs w:val="17"/>
        </w:rPr>
        <w:t xml:space="preserve">Přímé výdaje domácností na zdravotní péči </w:t>
      </w:r>
      <w:r w:rsidRPr="00D94E51">
        <w:rPr>
          <w:b/>
          <w:szCs w:val="17"/>
        </w:rPr>
        <w:t>na jednoho obyvatele</w:t>
      </w:r>
      <w:r w:rsidRPr="00D94E51">
        <w:rPr>
          <w:szCs w:val="17"/>
        </w:rPr>
        <w:t>, vzrostly v roce 2018 na částku 5,4 tis. Kč oproti 4,1 tis. v roce 2010 s ročním nárůstem 3,7 %.</w:t>
      </w:r>
    </w:p>
    <w:p w:rsidR="006D795D" w:rsidRPr="00D94E51" w:rsidRDefault="006D795D" w:rsidP="006D795D">
      <w:pPr>
        <w:keepNext/>
        <w:spacing w:before="120"/>
        <w:jc w:val="both"/>
        <w:rPr>
          <w:rFonts w:cs="Arial"/>
          <w:b/>
          <w:sz w:val="18"/>
          <w:szCs w:val="18"/>
        </w:rPr>
      </w:pPr>
      <w:r w:rsidRPr="00D94E51">
        <w:rPr>
          <w:rFonts w:cs="Arial"/>
          <w:b/>
          <w:sz w:val="18"/>
          <w:szCs w:val="18"/>
        </w:rPr>
        <w:t>Graf č. 3.1. Přímé výdaje domácností v Česku na zdravotní péči, 2010-2018 (mld. Kč; %)</w:t>
      </w:r>
    </w:p>
    <w:p w:rsidR="006D795D" w:rsidRPr="00D94E51" w:rsidRDefault="006D795D" w:rsidP="006D795D">
      <w:pPr>
        <w:keepNext/>
        <w:jc w:val="both"/>
        <w:rPr>
          <w:rFonts w:cs="Arial"/>
          <w:b/>
          <w:color w:val="FFFFFF" w:themeColor="background1"/>
          <w:sz w:val="18"/>
          <w:szCs w:val="18"/>
        </w:rPr>
      </w:pPr>
      <w:r w:rsidRPr="00D94E51">
        <w:rPr>
          <w:noProof/>
        </w:rPr>
        <w:drawing>
          <wp:inline distT="0" distB="0" distL="0" distR="0" wp14:anchorId="094C5111" wp14:editId="4FCEAEC0">
            <wp:extent cx="6120713" cy="3311611"/>
            <wp:effectExtent l="0" t="0" r="13970" b="2222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D795D" w:rsidRPr="00D94E51" w:rsidRDefault="006D795D" w:rsidP="006D795D">
      <w:pPr>
        <w:spacing w:after="120" w:line="240" w:lineRule="auto"/>
        <w:jc w:val="both"/>
        <w:rPr>
          <w:i/>
          <w:sz w:val="16"/>
          <w:szCs w:val="16"/>
        </w:rPr>
      </w:pPr>
      <w:r w:rsidRPr="00D94E51">
        <w:rPr>
          <w:i/>
          <w:sz w:val="16"/>
          <w:szCs w:val="16"/>
        </w:rPr>
        <w:t xml:space="preserve">Poznámka: Výdaje domácností na zdravotní péči vychází z předběžných výsledků Národních účtů ČSÚ za rok 2018. Na základě revize dat Národních účtů ČSÚ budou v červenci 2020 případně aktualizována data za rok 2018 v této publikaci. </w:t>
      </w:r>
    </w:p>
    <w:p w:rsidR="006D795D" w:rsidRPr="00D94E51" w:rsidRDefault="006D795D" w:rsidP="006D795D">
      <w:pPr>
        <w:spacing w:before="120" w:after="120"/>
        <w:jc w:val="both"/>
        <w:rPr>
          <w:b/>
          <w:i/>
          <w:sz w:val="16"/>
          <w:szCs w:val="16"/>
        </w:rPr>
      </w:pPr>
      <w:r w:rsidRPr="00D94E51">
        <w:rPr>
          <w:i/>
          <w:sz w:val="16"/>
          <w:szCs w:val="16"/>
        </w:rPr>
        <w:t xml:space="preserve">                                                                                                                                 </w:t>
      </w:r>
      <w:r w:rsidRPr="00D94E51">
        <w:rPr>
          <w:b/>
          <w:i/>
          <w:sz w:val="16"/>
          <w:szCs w:val="16"/>
        </w:rPr>
        <w:t xml:space="preserve">Zdroj: ČSÚ 2020, Zdravotnické účty ČR 2010 - 2018 </w:t>
      </w:r>
    </w:p>
    <w:p w:rsidR="006D795D" w:rsidRPr="00D94E51" w:rsidRDefault="006D795D" w:rsidP="006D795D">
      <w:pPr>
        <w:widowControl w:val="0"/>
        <w:spacing w:before="120"/>
        <w:jc w:val="both"/>
        <w:rPr>
          <w:rFonts w:cs="Arial"/>
          <w:i/>
          <w:szCs w:val="20"/>
        </w:rPr>
      </w:pPr>
      <w:r w:rsidRPr="00D94E51">
        <w:rPr>
          <w:rFonts w:eastAsia="MS Gothic"/>
          <w:bCs/>
          <w:color w:val="000000" w:themeColor="text1"/>
          <w:szCs w:val="20"/>
        </w:rPr>
        <w:t xml:space="preserve">V roce 2017 mělo z hlediska </w:t>
      </w:r>
      <w:r w:rsidRPr="00D94E51">
        <w:rPr>
          <w:rFonts w:eastAsia="MS Gothic"/>
          <w:b/>
          <w:bCs/>
          <w:color w:val="000000" w:themeColor="text1"/>
          <w:szCs w:val="20"/>
        </w:rPr>
        <w:t>mezinárodního srovnání</w:t>
      </w:r>
      <w:r w:rsidRPr="00D94E51">
        <w:rPr>
          <w:rFonts w:eastAsia="MS Gothic"/>
          <w:bCs/>
          <w:color w:val="000000" w:themeColor="text1"/>
          <w:szCs w:val="20"/>
        </w:rPr>
        <w:t xml:space="preserve"> nejvýraznější zastoupení domácností ve financování zdravotní péče Lotyšsko a Mexiko (41%) oproti tomu nejmenší ve Francii (9 %). </w:t>
      </w:r>
      <w:r w:rsidRPr="00D94E51">
        <w:rPr>
          <w:rFonts w:eastAsia="MS Gothic"/>
          <w:b/>
          <w:bCs/>
          <w:color w:val="000000" w:themeColor="text1"/>
          <w:szCs w:val="20"/>
        </w:rPr>
        <w:t xml:space="preserve">Průměr zemí OECD </w:t>
      </w:r>
      <w:r w:rsidRPr="00D94E51">
        <w:rPr>
          <w:rFonts w:eastAsia="MS Gothic"/>
          <w:bCs/>
          <w:color w:val="000000" w:themeColor="text1"/>
          <w:szCs w:val="20"/>
        </w:rPr>
        <w:t>představoval 21 %. Výše přímých plateb domácností na zdravotní péči v České republice jsou srovnatelné se Švédskem, Kanadou či Německem. V Rakousku a na Slovensku tento podíl odpovídá 19 % a v Polsku dosáhl financování zdravotnictví prostřednictvím přímých výdajů pacientů 23 %.</w:t>
      </w:r>
      <w:r w:rsidRPr="00D94E51">
        <w:rPr>
          <w:rFonts w:cs="Arial"/>
          <w:szCs w:val="20"/>
        </w:rPr>
        <w:t xml:space="preserve"> </w:t>
      </w:r>
      <w:r w:rsidRPr="00D94E51">
        <w:rPr>
          <w:rFonts w:cs="Arial"/>
          <w:i/>
          <w:szCs w:val="20"/>
        </w:rPr>
        <w:t>Podrobněji viz kapitola č. 6 Mezinárodní srovnání.</w:t>
      </w:r>
    </w:p>
    <w:p w:rsidR="006D795D" w:rsidRPr="00D94E51" w:rsidRDefault="006D795D" w:rsidP="006D795D">
      <w:pPr>
        <w:keepNext/>
        <w:keepLines/>
        <w:spacing w:before="240" w:after="120"/>
        <w:outlineLvl w:val="2"/>
        <w:rPr>
          <w:rFonts w:eastAsia="MS Gothic"/>
          <w:b/>
          <w:bCs/>
          <w:color w:val="BC091B"/>
          <w:sz w:val="24"/>
        </w:rPr>
      </w:pPr>
      <w:r w:rsidRPr="00D94E51">
        <w:rPr>
          <w:rFonts w:eastAsia="MS Gothic"/>
          <w:b/>
          <w:bCs/>
          <w:color w:val="BC091B"/>
          <w:sz w:val="24"/>
        </w:rPr>
        <w:lastRenderedPageBreak/>
        <w:t>3.2. Výdaje domácností podle druhu zdravotní péče</w:t>
      </w:r>
    </w:p>
    <w:p w:rsidR="006D795D" w:rsidRPr="00D94E51" w:rsidRDefault="006D795D" w:rsidP="006D795D">
      <w:pPr>
        <w:keepNext/>
        <w:spacing w:before="120"/>
        <w:jc w:val="both"/>
        <w:rPr>
          <w:szCs w:val="17"/>
        </w:rPr>
      </w:pPr>
      <w:r w:rsidRPr="00D94E51">
        <w:rPr>
          <w:rFonts w:cs="Arial"/>
          <w:color w:val="000000"/>
          <w:szCs w:val="20"/>
        </w:rPr>
        <w:t xml:space="preserve">Uvedené výdaje zahrnují přímé náklady domácností na zdravotní péči, </w:t>
      </w:r>
      <w:r w:rsidRPr="00D94E51">
        <w:rPr>
          <w:rFonts w:cs="Arial"/>
          <w:b/>
          <w:color w:val="000000"/>
          <w:szCs w:val="20"/>
        </w:rPr>
        <w:t>nikoli platby, které jsou zpětně propláceny</w:t>
      </w:r>
      <w:r w:rsidRPr="00D94E51">
        <w:rPr>
          <w:rFonts w:cs="Arial"/>
          <w:color w:val="000000"/>
          <w:szCs w:val="20"/>
        </w:rPr>
        <w:t xml:space="preserve"> (např. refundace od zdravotních pojišťoven při úhradě naléhavé zdravotní péče v zahraničí). </w:t>
      </w:r>
      <w:r w:rsidRPr="00D94E51">
        <w:rPr>
          <w:rFonts w:cs="Arial"/>
          <w:szCs w:val="20"/>
        </w:rPr>
        <w:t>Lidé platí z vlastní kapsy především léky, ať už se jedná o doplatky za medikamenty na předpis nebo volně prodejné léky a ostatní léčiva. Z rodinného rozpočtu jsou hrazeny i příplatky u stomatologů, regulační poplatky za pohotovostní služby a poplatky za různá potvrzení nebo vstupní vyšetření do zaměstnání u praktického lékaře, platby za nadstandardní výkony, materiál a služby a v neposlední řadě kosmetické operace, služby dentálních hygienistek, nutričních terapeutů, fyzioterapeutů a další služby nehrazené z veřejného zdravotního pojištění.</w:t>
      </w:r>
    </w:p>
    <w:p w:rsidR="006D795D" w:rsidRPr="00D94E51" w:rsidRDefault="006D795D" w:rsidP="006D795D">
      <w:pPr>
        <w:keepNext/>
        <w:spacing w:before="120" w:after="60" w:line="240" w:lineRule="auto"/>
        <w:jc w:val="both"/>
        <w:rPr>
          <w:b/>
          <w:sz w:val="18"/>
          <w:szCs w:val="18"/>
        </w:rPr>
      </w:pPr>
      <w:r w:rsidRPr="00D94E51">
        <w:rPr>
          <w:b/>
          <w:sz w:val="18"/>
          <w:szCs w:val="18"/>
        </w:rPr>
        <w:t xml:space="preserve">Tabulka č. 3.1. Výdaje domácností v Česku podle druhu zdravotní péče v letech </w:t>
      </w:r>
      <w:r w:rsidRPr="00D94E51">
        <w:rPr>
          <w:b/>
          <w:bCs/>
          <w:sz w:val="18"/>
          <w:szCs w:val="18"/>
        </w:rPr>
        <w:t>2010 a 2014 až 2018 (mil. Kč)</w:t>
      </w:r>
    </w:p>
    <w:tbl>
      <w:tblPr>
        <w:tblW w:w="9550" w:type="dxa"/>
        <w:tblInd w:w="55" w:type="dxa"/>
        <w:tblLayout w:type="fixed"/>
        <w:tblCellMar>
          <w:left w:w="70" w:type="dxa"/>
          <w:right w:w="70" w:type="dxa"/>
        </w:tblCellMar>
        <w:tblLook w:val="04A0" w:firstRow="1" w:lastRow="0" w:firstColumn="1" w:lastColumn="0" w:noHBand="0" w:noVBand="1"/>
      </w:tblPr>
      <w:tblGrid>
        <w:gridCol w:w="3471"/>
        <w:gridCol w:w="852"/>
        <w:gridCol w:w="852"/>
        <w:gridCol w:w="852"/>
        <w:gridCol w:w="852"/>
        <w:gridCol w:w="852"/>
        <w:gridCol w:w="853"/>
        <w:gridCol w:w="900"/>
        <w:gridCol w:w="66"/>
      </w:tblGrid>
      <w:tr w:rsidR="006D795D" w:rsidRPr="00D94E51" w:rsidTr="005D0BAF">
        <w:trPr>
          <w:trHeight w:val="543"/>
        </w:trPr>
        <w:tc>
          <w:tcPr>
            <w:tcW w:w="3471" w:type="dxa"/>
            <w:tcBorders>
              <w:top w:val="single" w:sz="8" w:space="0" w:color="auto"/>
              <w:left w:val="nil"/>
              <w:bottom w:val="single" w:sz="8" w:space="0" w:color="auto"/>
              <w:right w:val="single" w:sz="4" w:space="0" w:color="auto"/>
            </w:tcBorders>
            <w:shd w:val="clear" w:color="auto" w:fill="auto"/>
            <w:noWrap/>
            <w:vAlign w:val="center"/>
            <w:hideMark/>
          </w:tcPr>
          <w:p w:rsidR="006D795D" w:rsidRPr="00D94E51" w:rsidRDefault="006D795D" w:rsidP="005D0BAF">
            <w:pPr>
              <w:spacing w:line="240" w:lineRule="auto"/>
              <w:jc w:val="center"/>
              <w:rPr>
                <w:rFonts w:cs="Arial"/>
                <w:sz w:val="16"/>
                <w:szCs w:val="16"/>
              </w:rPr>
            </w:pPr>
            <w:r w:rsidRPr="00D94E51">
              <w:rPr>
                <w:rFonts w:cs="Arial"/>
                <w:sz w:val="16"/>
                <w:szCs w:val="16"/>
              </w:rPr>
              <w:t>Druh zdravotní péče</w:t>
            </w:r>
          </w:p>
        </w:tc>
        <w:tc>
          <w:tcPr>
            <w:tcW w:w="852" w:type="dxa"/>
            <w:tcBorders>
              <w:top w:val="single" w:sz="8" w:space="0" w:color="auto"/>
              <w:left w:val="nil"/>
              <w:bottom w:val="single" w:sz="8" w:space="0" w:color="auto"/>
              <w:right w:val="single" w:sz="4" w:space="0" w:color="auto"/>
            </w:tcBorders>
            <w:shd w:val="clear" w:color="auto" w:fill="auto"/>
            <w:noWrap/>
            <w:vAlign w:val="center"/>
          </w:tcPr>
          <w:p w:rsidR="006D795D" w:rsidRPr="00D94E51" w:rsidRDefault="006D795D" w:rsidP="005D0BAF">
            <w:pPr>
              <w:spacing w:line="240" w:lineRule="auto"/>
              <w:jc w:val="center"/>
              <w:rPr>
                <w:rFonts w:cs="Arial"/>
                <w:b/>
                <w:bCs/>
                <w:sz w:val="16"/>
                <w:szCs w:val="16"/>
              </w:rPr>
            </w:pPr>
            <w:r w:rsidRPr="00D94E51">
              <w:rPr>
                <w:rFonts w:cs="Arial"/>
                <w:b/>
                <w:bCs/>
                <w:sz w:val="16"/>
                <w:szCs w:val="16"/>
              </w:rPr>
              <w:t>2010</w:t>
            </w:r>
          </w:p>
        </w:tc>
        <w:tc>
          <w:tcPr>
            <w:tcW w:w="852" w:type="dxa"/>
            <w:tcBorders>
              <w:top w:val="single" w:sz="8" w:space="0" w:color="auto"/>
              <w:left w:val="nil"/>
              <w:bottom w:val="single" w:sz="8" w:space="0" w:color="auto"/>
              <w:right w:val="single" w:sz="4" w:space="0" w:color="auto"/>
            </w:tcBorders>
            <w:shd w:val="clear" w:color="auto" w:fill="auto"/>
            <w:noWrap/>
            <w:vAlign w:val="center"/>
          </w:tcPr>
          <w:p w:rsidR="006D795D" w:rsidRPr="00D94E51" w:rsidRDefault="006D795D" w:rsidP="005D0BAF">
            <w:pPr>
              <w:spacing w:line="240" w:lineRule="auto"/>
              <w:jc w:val="center"/>
              <w:rPr>
                <w:rFonts w:cs="Arial"/>
                <w:b/>
                <w:bCs/>
                <w:sz w:val="16"/>
                <w:szCs w:val="16"/>
              </w:rPr>
            </w:pPr>
            <w:r w:rsidRPr="00D94E51">
              <w:rPr>
                <w:rFonts w:cs="Arial"/>
                <w:b/>
                <w:bCs/>
                <w:sz w:val="16"/>
                <w:szCs w:val="16"/>
              </w:rPr>
              <w:t>2014</w:t>
            </w:r>
          </w:p>
        </w:tc>
        <w:tc>
          <w:tcPr>
            <w:tcW w:w="852" w:type="dxa"/>
            <w:tcBorders>
              <w:top w:val="single" w:sz="8" w:space="0" w:color="auto"/>
              <w:left w:val="nil"/>
              <w:bottom w:val="single" w:sz="8" w:space="0" w:color="auto"/>
              <w:right w:val="single" w:sz="4" w:space="0" w:color="auto"/>
            </w:tcBorders>
            <w:shd w:val="clear" w:color="auto" w:fill="auto"/>
            <w:noWrap/>
            <w:vAlign w:val="center"/>
          </w:tcPr>
          <w:p w:rsidR="006D795D" w:rsidRPr="00D94E51" w:rsidRDefault="006D795D" w:rsidP="005D0BAF">
            <w:pPr>
              <w:spacing w:line="240" w:lineRule="auto"/>
              <w:jc w:val="center"/>
              <w:rPr>
                <w:rFonts w:cs="Arial"/>
                <w:b/>
                <w:bCs/>
                <w:sz w:val="16"/>
                <w:szCs w:val="16"/>
              </w:rPr>
            </w:pPr>
            <w:r w:rsidRPr="00D94E51">
              <w:rPr>
                <w:rFonts w:cs="Arial"/>
                <w:b/>
                <w:bCs/>
                <w:sz w:val="16"/>
                <w:szCs w:val="16"/>
              </w:rPr>
              <w:t>2015</w:t>
            </w:r>
          </w:p>
        </w:tc>
        <w:tc>
          <w:tcPr>
            <w:tcW w:w="852" w:type="dxa"/>
            <w:tcBorders>
              <w:top w:val="single" w:sz="8" w:space="0" w:color="auto"/>
              <w:left w:val="nil"/>
              <w:bottom w:val="single" w:sz="8" w:space="0" w:color="auto"/>
              <w:right w:val="single" w:sz="4" w:space="0" w:color="auto"/>
            </w:tcBorders>
            <w:shd w:val="clear" w:color="auto" w:fill="auto"/>
            <w:noWrap/>
            <w:vAlign w:val="center"/>
          </w:tcPr>
          <w:p w:rsidR="006D795D" w:rsidRPr="00D94E51" w:rsidRDefault="006D795D" w:rsidP="005D0BAF">
            <w:pPr>
              <w:spacing w:line="240" w:lineRule="auto"/>
              <w:jc w:val="center"/>
              <w:rPr>
                <w:rFonts w:cs="Arial"/>
                <w:b/>
                <w:bCs/>
                <w:sz w:val="16"/>
                <w:szCs w:val="16"/>
              </w:rPr>
            </w:pPr>
            <w:r w:rsidRPr="00D94E51">
              <w:rPr>
                <w:rFonts w:cs="Arial"/>
                <w:b/>
                <w:bCs/>
                <w:sz w:val="16"/>
                <w:szCs w:val="16"/>
              </w:rPr>
              <w:t>2016</w:t>
            </w:r>
          </w:p>
        </w:tc>
        <w:tc>
          <w:tcPr>
            <w:tcW w:w="852" w:type="dxa"/>
            <w:tcBorders>
              <w:top w:val="single" w:sz="8" w:space="0" w:color="auto"/>
              <w:left w:val="nil"/>
              <w:bottom w:val="single" w:sz="8" w:space="0" w:color="auto"/>
              <w:right w:val="single" w:sz="4" w:space="0" w:color="auto"/>
            </w:tcBorders>
            <w:shd w:val="clear" w:color="auto" w:fill="auto"/>
            <w:noWrap/>
            <w:vAlign w:val="center"/>
          </w:tcPr>
          <w:p w:rsidR="006D795D" w:rsidRPr="00D94E51" w:rsidRDefault="006D795D" w:rsidP="005D0BAF">
            <w:pPr>
              <w:spacing w:line="240" w:lineRule="auto"/>
              <w:jc w:val="center"/>
              <w:rPr>
                <w:rFonts w:cs="Arial"/>
                <w:b/>
                <w:bCs/>
                <w:sz w:val="16"/>
                <w:szCs w:val="16"/>
              </w:rPr>
            </w:pPr>
            <w:r w:rsidRPr="00D94E51">
              <w:rPr>
                <w:rFonts w:cs="Arial"/>
                <w:b/>
                <w:bCs/>
                <w:sz w:val="16"/>
                <w:szCs w:val="16"/>
              </w:rPr>
              <w:t>2017</w:t>
            </w:r>
          </w:p>
        </w:tc>
        <w:tc>
          <w:tcPr>
            <w:tcW w:w="853" w:type="dxa"/>
            <w:tcBorders>
              <w:top w:val="single" w:sz="8" w:space="0" w:color="auto"/>
              <w:left w:val="nil"/>
              <w:bottom w:val="single" w:sz="8" w:space="0" w:color="auto"/>
              <w:right w:val="single" w:sz="4" w:space="0" w:color="auto"/>
            </w:tcBorders>
            <w:shd w:val="clear" w:color="auto" w:fill="auto"/>
            <w:noWrap/>
            <w:vAlign w:val="center"/>
          </w:tcPr>
          <w:p w:rsidR="006D795D" w:rsidRPr="00D94E51" w:rsidRDefault="006D795D" w:rsidP="005D0BAF">
            <w:pPr>
              <w:spacing w:line="240" w:lineRule="auto"/>
              <w:jc w:val="center"/>
              <w:rPr>
                <w:rFonts w:cs="Arial"/>
                <w:b/>
                <w:bCs/>
                <w:sz w:val="16"/>
                <w:szCs w:val="16"/>
              </w:rPr>
            </w:pPr>
            <w:r w:rsidRPr="00D94E51">
              <w:rPr>
                <w:rFonts w:cs="Arial"/>
                <w:b/>
                <w:bCs/>
                <w:sz w:val="16"/>
                <w:szCs w:val="16"/>
              </w:rPr>
              <w:t>2018</w:t>
            </w:r>
          </w:p>
        </w:tc>
        <w:tc>
          <w:tcPr>
            <w:tcW w:w="966" w:type="dxa"/>
            <w:gridSpan w:val="2"/>
            <w:tcBorders>
              <w:top w:val="single" w:sz="8" w:space="0" w:color="auto"/>
              <w:left w:val="nil"/>
              <w:bottom w:val="single" w:sz="8" w:space="0" w:color="auto"/>
              <w:right w:val="nil"/>
            </w:tcBorders>
            <w:shd w:val="clear" w:color="auto" w:fill="auto"/>
            <w:vAlign w:val="center"/>
          </w:tcPr>
          <w:p w:rsidR="006D795D" w:rsidRPr="00D94E51" w:rsidRDefault="006D795D" w:rsidP="005D0BAF">
            <w:pPr>
              <w:jc w:val="center"/>
              <w:rPr>
                <w:rFonts w:cs="Arial"/>
                <w:b/>
                <w:bCs/>
                <w:i/>
                <w:color w:val="000000"/>
                <w:sz w:val="16"/>
                <w:szCs w:val="16"/>
              </w:rPr>
            </w:pPr>
            <w:r w:rsidRPr="00D94E51">
              <w:rPr>
                <w:rFonts w:cs="Arial"/>
                <w:b/>
                <w:bCs/>
                <w:i/>
                <w:color w:val="000000"/>
                <w:sz w:val="16"/>
                <w:szCs w:val="16"/>
              </w:rPr>
              <w:t>Index 2018/2017</w:t>
            </w:r>
          </w:p>
        </w:tc>
      </w:tr>
      <w:tr w:rsidR="006D795D" w:rsidRPr="00D94E51" w:rsidTr="005D0BAF">
        <w:trPr>
          <w:gridAfter w:val="1"/>
          <w:wAfter w:w="66" w:type="dxa"/>
          <w:trHeight w:val="251"/>
        </w:trPr>
        <w:tc>
          <w:tcPr>
            <w:tcW w:w="3471" w:type="dxa"/>
            <w:tcBorders>
              <w:top w:val="nil"/>
              <w:left w:val="nil"/>
              <w:bottom w:val="nil"/>
              <w:right w:val="single" w:sz="4" w:space="0" w:color="auto"/>
            </w:tcBorders>
            <w:shd w:val="clear" w:color="000000" w:fill="F2DCDB"/>
            <w:noWrap/>
            <w:vAlign w:val="bottom"/>
            <w:hideMark/>
          </w:tcPr>
          <w:p w:rsidR="006D795D" w:rsidRPr="00D94E51" w:rsidRDefault="006D795D" w:rsidP="005D0BAF">
            <w:pPr>
              <w:spacing w:line="240" w:lineRule="auto"/>
              <w:rPr>
                <w:rFonts w:cs="Arial"/>
                <w:b/>
                <w:bCs/>
                <w:sz w:val="16"/>
                <w:szCs w:val="16"/>
              </w:rPr>
            </w:pPr>
            <w:r w:rsidRPr="00D94E51">
              <w:rPr>
                <w:rFonts w:cs="Arial"/>
                <w:b/>
                <w:bCs/>
                <w:sz w:val="16"/>
                <w:szCs w:val="16"/>
              </w:rPr>
              <w:t>Léčebná péče</w:t>
            </w:r>
          </w:p>
        </w:tc>
        <w:tc>
          <w:tcPr>
            <w:tcW w:w="852"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13 315</w:t>
            </w:r>
          </w:p>
        </w:tc>
        <w:tc>
          <w:tcPr>
            <w:tcW w:w="852"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15 301</w:t>
            </w:r>
          </w:p>
        </w:tc>
        <w:tc>
          <w:tcPr>
            <w:tcW w:w="852"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16 279</w:t>
            </w:r>
          </w:p>
        </w:tc>
        <w:tc>
          <w:tcPr>
            <w:tcW w:w="852"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16 865</w:t>
            </w:r>
          </w:p>
        </w:tc>
        <w:tc>
          <w:tcPr>
            <w:tcW w:w="852"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17 801</w:t>
            </w:r>
          </w:p>
        </w:tc>
        <w:tc>
          <w:tcPr>
            <w:tcW w:w="853"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color w:val="000000"/>
                <w:sz w:val="16"/>
                <w:szCs w:val="16"/>
              </w:rPr>
            </w:pPr>
            <w:r w:rsidRPr="00D94E51">
              <w:rPr>
                <w:rFonts w:cs="Arial"/>
                <w:b/>
                <w:bCs/>
                <w:color w:val="000000"/>
                <w:sz w:val="16"/>
                <w:szCs w:val="16"/>
              </w:rPr>
              <w:t>18 927</w:t>
            </w:r>
          </w:p>
        </w:tc>
        <w:tc>
          <w:tcPr>
            <w:tcW w:w="900" w:type="dxa"/>
            <w:tcBorders>
              <w:top w:val="nil"/>
              <w:left w:val="nil"/>
              <w:bottom w:val="nil"/>
              <w:right w:val="nil"/>
            </w:tcBorders>
            <w:shd w:val="clear" w:color="000000" w:fill="F2DCDB"/>
            <w:noWrap/>
            <w:vAlign w:val="bottom"/>
          </w:tcPr>
          <w:p w:rsidR="006D795D" w:rsidRPr="00D94E51" w:rsidRDefault="006D795D" w:rsidP="005D0BAF">
            <w:pPr>
              <w:jc w:val="right"/>
              <w:rPr>
                <w:rFonts w:cs="Arial"/>
                <w:b/>
                <w:bCs/>
                <w:i/>
                <w:iCs/>
                <w:color w:val="000000"/>
                <w:sz w:val="16"/>
                <w:szCs w:val="16"/>
              </w:rPr>
            </w:pPr>
            <w:r w:rsidRPr="00D94E51">
              <w:rPr>
                <w:rFonts w:cs="Arial"/>
                <w:b/>
                <w:bCs/>
                <w:i/>
                <w:iCs/>
                <w:color w:val="000000"/>
                <w:sz w:val="16"/>
                <w:szCs w:val="16"/>
              </w:rPr>
              <w:t>106,3</w:t>
            </w:r>
          </w:p>
        </w:tc>
      </w:tr>
      <w:tr w:rsidR="006D795D" w:rsidRPr="00D94E51" w:rsidTr="005D0BAF">
        <w:trPr>
          <w:gridAfter w:val="1"/>
          <w:wAfter w:w="66" w:type="dxa"/>
          <w:trHeight w:val="251"/>
        </w:trPr>
        <w:tc>
          <w:tcPr>
            <w:tcW w:w="3471" w:type="dxa"/>
            <w:tcBorders>
              <w:top w:val="nil"/>
              <w:left w:val="nil"/>
              <w:bottom w:val="nil"/>
              <w:right w:val="single" w:sz="4" w:space="0" w:color="auto"/>
            </w:tcBorders>
            <w:shd w:val="clear" w:color="auto" w:fill="auto"/>
            <w:noWrap/>
            <w:vAlign w:val="bottom"/>
            <w:hideMark/>
          </w:tcPr>
          <w:p w:rsidR="006D795D" w:rsidRPr="00D94E51" w:rsidRDefault="006D795D" w:rsidP="005D0BAF">
            <w:pPr>
              <w:spacing w:line="240" w:lineRule="auto"/>
              <w:rPr>
                <w:rFonts w:cs="Arial"/>
                <w:sz w:val="16"/>
                <w:szCs w:val="16"/>
              </w:rPr>
            </w:pPr>
            <w:r w:rsidRPr="00D94E51">
              <w:rPr>
                <w:rFonts w:cs="Arial"/>
                <w:sz w:val="16"/>
                <w:szCs w:val="16"/>
              </w:rPr>
              <w:t xml:space="preserve">  Lůžková léčebná péče</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487</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755</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814</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818</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899</w:t>
            </w:r>
          </w:p>
        </w:tc>
        <w:tc>
          <w:tcPr>
            <w:tcW w:w="853"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color w:val="000000"/>
                <w:sz w:val="16"/>
                <w:szCs w:val="16"/>
              </w:rPr>
            </w:pPr>
            <w:r w:rsidRPr="00D94E51">
              <w:rPr>
                <w:rFonts w:cs="Arial"/>
                <w:color w:val="000000"/>
                <w:sz w:val="16"/>
                <w:szCs w:val="16"/>
              </w:rPr>
              <w:t>933</w:t>
            </w:r>
          </w:p>
        </w:tc>
        <w:tc>
          <w:tcPr>
            <w:tcW w:w="900" w:type="dxa"/>
            <w:tcBorders>
              <w:top w:val="nil"/>
              <w:left w:val="nil"/>
              <w:bottom w:val="nil"/>
              <w:right w:val="nil"/>
            </w:tcBorders>
            <w:shd w:val="clear" w:color="auto" w:fill="auto"/>
            <w:noWrap/>
            <w:vAlign w:val="bottom"/>
          </w:tcPr>
          <w:p w:rsidR="006D795D" w:rsidRPr="00D94E51" w:rsidRDefault="006D795D" w:rsidP="005D0BAF">
            <w:pPr>
              <w:jc w:val="right"/>
              <w:rPr>
                <w:rFonts w:cs="Arial"/>
                <w:i/>
                <w:iCs/>
                <w:color w:val="000000"/>
                <w:sz w:val="16"/>
                <w:szCs w:val="16"/>
              </w:rPr>
            </w:pPr>
            <w:r w:rsidRPr="00D94E51">
              <w:rPr>
                <w:rFonts w:cs="Arial"/>
                <w:i/>
                <w:iCs/>
                <w:color w:val="000000"/>
                <w:sz w:val="16"/>
                <w:szCs w:val="16"/>
              </w:rPr>
              <w:t>103,8</w:t>
            </w:r>
          </w:p>
        </w:tc>
      </w:tr>
      <w:tr w:rsidR="006D795D" w:rsidRPr="00D94E51" w:rsidTr="005D0BAF">
        <w:trPr>
          <w:gridAfter w:val="1"/>
          <w:wAfter w:w="66" w:type="dxa"/>
          <w:trHeight w:val="251"/>
        </w:trPr>
        <w:tc>
          <w:tcPr>
            <w:tcW w:w="3471" w:type="dxa"/>
            <w:tcBorders>
              <w:top w:val="nil"/>
              <w:left w:val="nil"/>
              <w:bottom w:val="nil"/>
              <w:right w:val="single" w:sz="4" w:space="0" w:color="auto"/>
            </w:tcBorders>
            <w:shd w:val="clear" w:color="auto" w:fill="auto"/>
            <w:noWrap/>
            <w:vAlign w:val="bottom"/>
            <w:hideMark/>
          </w:tcPr>
          <w:p w:rsidR="006D795D" w:rsidRPr="00D94E51" w:rsidRDefault="006D795D" w:rsidP="005D0BAF">
            <w:pPr>
              <w:spacing w:line="240" w:lineRule="auto"/>
              <w:rPr>
                <w:rFonts w:cs="Arial"/>
                <w:sz w:val="16"/>
                <w:szCs w:val="16"/>
              </w:rPr>
            </w:pPr>
            <w:r w:rsidRPr="00D94E51">
              <w:rPr>
                <w:rFonts w:cs="Arial"/>
                <w:sz w:val="16"/>
                <w:szCs w:val="16"/>
              </w:rPr>
              <w:t xml:space="preserve">  Ambulantní léčebná péče</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12 828</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14 546</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15 465</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16 047</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16 902</w:t>
            </w:r>
          </w:p>
        </w:tc>
        <w:tc>
          <w:tcPr>
            <w:tcW w:w="853"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color w:val="000000"/>
                <w:sz w:val="16"/>
                <w:szCs w:val="16"/>
              </w:rPr>
            </w:pPr>
            <w:r w:rsidRPr="00D94E51">
              <w:rPr>
                <w:rFonts w:cs="Arial"/>
                <w:color w:val="000000"/>
                <w:sz w:val="16"/>
                <w:szCs w:val="16"/>
              </w:rPr>
              <w:t>17 994</w:t>
            </w:r>
          </w:p>
        </w:tc>
        <w:tc>
          <w:tcPr>
            <w:tcW w:w="900" w:type="dxa"/>
            <w:tcBorders>
              <w:top w:val="nil"/>
              <w:left w:val="nil"/>
              <w:bottom w:val="nil"/>
              <w:right w:val="nil"/>
            </w:tcBorders>
            <w:shd w:val="clear" w:color="auto" w:fill="auto"/>
            <w:noWrap/>
            <w:vAlign w:val="bottom"/>
          </w:tcPr>
          <w:p w:rsidR="006D795D" w:rsidRPr="00D94E51" w:rsidRDefault="006D795D" w:rsidP="005D0BAF">
            <w:pPr>
              <w:jc w:val="right"/>
              <w:rPr>
                <w:rFonts w:cs="Arial"/>
                <w:i/>
                <w:iCs/>
                <w:color w:val="000000"/>
                <w:sz w:val="16"/>
                <w:szCs w:val="16"/>
              </w:rPr>
            </w:pPr>
            <w:r w:rsidRPr="00D94E51">
              <w:rPr>
                <w:rFonts w:cs="Arial"/>
                <w:i/>
                <w:iCs/>
                <w:color w:val="000000"/>
                <w:sz w:val="16"/>
                <w:szCs w:val="16"/>
              </w:rPr>
              <w:t>106,5</w:t>
            </w:r>
          </w:p>
        </w:tc>
      </w:tr>
      <w:tr w:rsidR="006D795D" w:rsidRPr="00D94E51" w:rsidTr="005D0BAF">
        <w:trPr>
          <w:gridAfter w:val="1"/>
          <w:wAfter w:w="66" w:type="dxa"/>
          <w:trHeight w:val="251"/>
        </w:trPr>
        <w:tc>
          <w:tcPr>
            <w:tcW w:w="3471" w:type="dxa"/>
            <w:tcBorders>
              <w:top w:val="nil"/>
              <w:left w:val="nil"/>
              <w:bottom w:val="nil"/>
              <w:right w:val="single" w:sz="4" w:space="0" w:color="auto"/>
            </w:tcBorders>
            <w:shd w:val="clear" w:color="auto" w:fill="auto"/>
            <w:noWrap/>
            <w:vAlign w:val="bottom"/>
            <w:hideMark/>
          </w:tcPr>
          <w:p w:rsidR="006D795D" w:rsidRPr="00D94E51" w:rsidRDefault="006D795D" w:rsidP="005D0BAF">
            <w:pPr>
              <w:spacing w:line="240" w:lineRule="auto"/>
              <w:rPr>
                <w:rFonts w:cs="Arial"/>
                <w:sz w:val="16"/>
                <w:szCs w:val="16"/>
              </w:rPr>
            </w:pPr>
            <w:r w:rsidRPr="00D94E51">
              <w:rPr>
                <w:rFonts w:cs="Arial"/>
                <w:sz w:val="16"/>
                <w:szCs w:val="16"/>
              </w:rPr>
              <w:t xml:space="preserve">     Všeobecná ambulantní léčebná péče </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2 382</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2 622</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2 758</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2 902</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2 966</w:t>
            </w:r>
          </w:p>
        </w:tc>
        <w:tc>
          <w:tcPr>
            <w:tcW w:w="853"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color w:val="000000"/>
                <w:sz w:val="16"/>
                <w:szCs w:val="16"/>
              </w:rPr>
            </w:pPr>
            <w:r w:rsidRPr="00D94E51">
              <w:rPr>
                <w:rFonts w:cs="Arial"/>
                <w:color w:val="000000"/>
                <w:sz w:val="16"/>
                <w:szCs w:val="16"/>
              </w:rPr>
              <w:t>3 067</w:t>
            </w:r>
          </w:p>
        </w:tc>
        <w:tc>
          <w:tcPr>
            <w:tcW w:w="900" w:type="dxa"/>
            <w:tcBorders>
              <w:top w:val="nil"/>
              <w:left w:val="nil"/>
              <w:bottom w:val="nil"/>
              <w:right w:val="nil"/>
            </w:tcBorders>
            <w:shd w:val="clear" w:color="auto" w:fill="auto"/>
            <w:noWrap/>
            <w:vAlign w:val="bottom"/>
          </w:tcPr>
          <w:p w:rsidR="006D795D" w:rsidRPr="00D94E51" w:rsidRDefault="006D795D" w:rsidP="005D0BAF">
            <w:pPr>
              <w:jc w:val="right"/>
              <w:rPr>
                <w:rFonts w:cs="Arial"/>
                <w:i/>
                <w:iCs/>
                <w:color w:val="000000"/>
                <w:sz w:val="16"/>
                <w:szCs w:val="16"/>
              </w:rPr>
            </w:pPr>
            <w:r w:rsidRPr="00D94E51">
              <w:rPr>
                <w:rFonts w:cs="Arial"/>
                <w:i/>
                <w:iCs/>
                <w:color w:val="000000"/>
                <w:sz w:val="16"/>
                <w:szCs w:val="16"/>
              </w:rPr>
              <w:t>103,4</w:t>
            </w:r>
          </w:p>
        </w:tc>
      </w:tr>
      <w:tr w:rsidR="006D795D" w:rsidRPr="00D94E51" w:rsidTr="005D0BAF">
        <w:trPr>
          <w:gridAfter w:val="1"/>
          <w:wAfter w:w="66" w:type="dxa"/>
          <w:trHeight w:val="251"/>
        </w:trPr>
        <w:tc>
          <w:tcPr>
            <w:tcW w:w="3471" w:type="dxa"/>
            <w:tcBorders>
              <w:top w:val="nil"/>
              <w:left w:val="nil"/>
              <w:bottom w:val="nil"/>
              <w:right w:val="single" w:sz="4" w:space="0" w:color="auto"/>
            </w:tcBorders>
            <w:shd w:val="clear" w:color="auto" w:fill="auto"/>
            <w:noWrap/>
            <w:vAlign w:val="bottom"/>
            <w:hideMark/>
          </w:tcPr>
          <w:p w:rsidR="006D795D" w:rsidRPr="00D94E51" w:rsidRDefault="006D795D" w:rsidP="005D0BAF">
            <w:pPr>
              <w:spacing w:line="240" w:lineRule="auto"/>
              <w:rPr>
                <w:rFonts w:cs="Arial"/>
                <w:sz w:val="16"/>
                <w:szCs w:val="16"/>
              </w:rPr>
            </w:pPr>
            <w:r w:rsidRPr="00D94E51">
              <w:rPr>
                <w:rFonts w:cs="Arial"/>
                <w:sz w:val="16"/>
                <w:szCs w:val="16"/>
              </w:rPr>
              <w:t xml:space="preserve">     Stomatologická ambulantní léčebná péče</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7 118</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8 436</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9 236</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9 637</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10 258</w:t>
            </w:r>
          </w:p>
        </w:tc>
        <w:tc>
          <w:tcPr>
            <w:tcW w:w="853"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color w:val="000000"/>
                <w:sz w:val="16"/>
                <w:szCs w:val="16"/>
              </w:rPr>
            </w:pPr>
            <w:r w:rsidRPr="00D94E51">
              <w:rPr>
                <w:rFonts w:cs="Arial"/>
                <w:color w:val="000000"/>
                <w:sz w:val="16"/>
                <w:szCs w:val="16"/>
              </w:rPr>
              <w:t>11 148</w:t>
            </w:r>
          </w:p>
        </w:tc>
        <w:tc>
          <w:tcPr>
            <w:tcW w:w="900" w:type="dxa"/>
            <w:tcBorders>
              <w:top w:val="nil"/>
              <w:left w:val="nil"/>
              <w:bottom w:val="nil"/>
              <w:right w:val="nil"/>
            </w:tcBorders>
            <w:shd w:val="clear" w:color="auto" w:fill="auto"/>
            <w:noWrap/>
            <w:vAlign w:val="bottom"/>
          </w:tcPr>
          <w:p w:rsidR="006D795D" w:rsidRPr="00D94E51" w:rsidRDefault="006D795D" w:rsidP="005D0BAF">
            <w:pPr>
              <w:jc w:val="right"/>
              <w:rPr>
                <w:rFonts w:cs="Arial"/>
                <w:i/>
                <w:iCs/>
                <w:color w:val="000000"/>
                <w:sz w:val="16"/>
                <w:szCs w:val="16"/>
              </w:rPr>
            </w:pPr>
            <w:r w:rsidRPr="00D94E51">
              <w:rPr>
                <w:rFonts w:cs="Arial"/>
                <w:i/>
                <w:iCs/>
                <w:color w:val="000000"/>
                <w:sz w:val="16"/>
                <w:szCs w:val="16"/>
              </w:rPr>
              <w:t>108,7</w:t>
            </w:r>
          </w:p>
        </w:tc>
      </w:tr>
      <w:tr w:rsidR="006D795D" w:rsidRPr="00D94E51" w:rsidTr="005D0BAF">
        <w:trPr>
          <w:gridAfter w:val="1"/>
          <w:wAfter w:w="66" w:type="dxa"/>
          <w:trHeight w:val="251"/>
        </w:trPr>
        <w:tc>
          <w:tcPr>
            <w:tcW w:w="3471" w:type="dxa"/>
            <w:tcBorders>
              <w:top w:val="nil"/>
              <w:left w:val="nil"/>
              <w:bottom w:val="nil"/>
              <w:right w:val="single" w:sz="4" w:space="0" w:color="auto"/>
            </w:tcBorders>
            <w:shd w:val="clear" w:color="auto" w:fill="auto"/>
            <w:noWrap/>
            <w:vAlign w:val="bottom"/>
            <w:hideMark/>
          </w:tcPr>
          <w:p w:rsidR="006D795D" w:rsidRPr="00D94E51" w:rsidRDefault="006D795D" w:rsidP="005D0BAF">
            <w:pPr>
              <w:spacing w:line="240" w:lineRule="auto"/>
              <w:rPr>
                <w:rFonts w:cs="Arial"/>
                <w:sz w:val="16"/>
                <w:szCs w:val="16"/>
              </w:rPr>
            </w:pPr>
            <w:r w:rsidRPr="00D94E51">
              <w:rPr>
                <w:rFonts w:cs="Arial"/>
                <w:sz w:val="16"/>
                <w:szCs w:val="16"/>
              </w:rPr>
              <w:t xml:space="preserve">     Specializovaná ambulantní léčebná péče </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3 328</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3 488</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3 471</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3 508</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3 678</w:t>
            </w:r>
          </w:p>
        </w:tc>
        <w:tc>
          <w:tcPr>
            <w:tcW w:w="853"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color w:val="000000"/>
                <w:sz w:val="16"/>
                <w:szCs w:val="16"/>
              </w:rPr>
            </w:pPr>
            <w:r w:rsidRPr="00D94E51">
              <w:rPr>
                <w:rFonts w:cs="Arial"/>
                <w:color w:val="000000"/>
                <w:sz w:val="16"/>
                <w:szCs w:val="16"/>
              </w:rPr>
              <w:t>3 779</w:t>
            </w:r>
          </w:p>
        </w:tc>
        <w:tc>
          <w:tcPr>
            <w:tcW w:w="900" w:type="dxa"/>
            <w:tcBorders>
              <w:top w:val="nil"/>
              <w:left w:val="nil"/>
              <w:bottom w:val="nil"/>
              <w:right w:val="nil"/>
            </w:tcBorders>
            <w:shd w:val="clear" w:color="auto" w:fill="auto"/>
            <w:noWrap/>
            <w:vAlign w:val="bottom"/>
          </w:tcPr>
          <w:p w:rsidR="006D795D" w:rsidRPr="00D94E51" w:rsidRDefault="006D795D" w:rsidP="005D0BAF">
            <w:pPr>
              <w:jc w:val="right"/>
              <w:rPr>
                <w:rFonts w:cs="Arial"/>
                <w:i/>
                <w:iCs/>
                <w:color w:val="000000"/>
                <w:sz w:val="16"/>
                <w:szCs w:val="16"/>
              </w:rPr>
            </w:pPr>
            <w:r w:rsidRPr="00D94E51">
              <w:rPr>
                <w:rFonts w:cs="Arial"/>
                <w:i/>
                <w:iCs/>
                <w:color w:val="000000"/>
                <w:sz w:val="16"/>
                <w:szCs w:val="16"/>
              </w:rPr>
              <w:t>102,7</w:t>
            </w:r>
          </w:p>
        </w:tc>
      </w:tr>
      <w:tr w:rsidR="006D795D" w:rsidRPr="00D94E51" w:rsidTr="005D0BAF">
        <w:trPr>
          <w:gridAfter w:val="1"/>
          <w:wAfter w:w="66" w:type="dxa"/>
          <w:trHeight w:val="251"/>
        </w:trPr>
        <w:tc>
          <w:tcPr>
            <w:tcW w:w="3471" w:type="dxa"/>
            <w:tcBorders>
              <w:top w:val="nil"/>
              <w:left w:val="nil"/>
              <w:bottom w:val="nil"/>
              <w:right w:val="single" w:sz="4" w:space="0" w:color="auto"/>
            </w:tcBorders>
            <w:shd w:val="clear" w:color="000000" w:fill="F2DCDB"/>
            <w:noWrap/>
            <w:vAlign w:val="bottom"/>
            <w:hideMark/>
          </w:tcPr>
          <w:p w:rsidR="006D795D" w:rsidRPr="00D94E51" w:rsidRDefault="006D795D" w:rsidP="005D0BAF">
            <w:pPr>
              <w:spacing w:line="240" w:lineRule="auto"/>
              <w:rPr>
                <w:rFonts w:cs="Arial"/>
                <w:b/>
                <w:bCs/>
                <w:sz w:val="16"/>
                <w:szCs w:val="16"/>
              </w:rPr>
            </w:pPr>
            <w:r w:rsidRPr="00D94E51">
              <w:rPr>
                <w:rFonts w:cs="Arial"/>
                <w:b/>
                <w:bCs/>
                <w:sz w:val="16"/>
                <w:szCs w:val="16"/>
              </w:rPr>
              <w:t>Rehabilitační péče</w:t>
            </w:r>
          </w:p>
        </w:tc>
        <w:tc>
          <w:tcPr>
            <w:tcW w:w="852"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2 222</w:t>
            </w:r>
          </w:p>
        </w:tc>
        <w:tc>
          <w:tcPr>
            <w:tcW w:w="852"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3 240</w:t>
            </w:r>
          </w:p>
        </w:tc>
        <w:tc>
          <w:tcPr>
            <w:tcW w:w="852"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3 562</w:t>
            </w:r>
          </w:p>
        </w:tc>
        <w:tc>
          <w:tcPr>
            <w:tcW w:w="852"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3 687</w:t>
            </w:r>
          </w:p>
        </w:tc>
        <w:tc>
          <w:tcPr>
            <w:tcW w:w="852"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3 933</w:t>
            </w:r>
          </w:p>
        </w:tc>
        <w:tc>
          <w:tcPr>
            <w:tcW w:w="853"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color w:val="000000"/>
                <w:sz w:val="16"/>
                <w:szCs w:val="16"/>
              </w:rPr>
            </w:pPr>
            <w:r w:rsidRPr="00D94E51">
              <w:rPr>
                <w:rFonts w:cs="Arial"/>
                <w:b/>
                <w:bCs/>
                <w:color w:val="000000"/>
                <w:sz w:val="16"/>
                <w:szCs w:val="16"/>
              </w:rPr>
              <w:t>4 088</w:t>
            </w:r>
          </w:p>
        </w:tc>
        <w:tc>
          <w:tcPr>
            <w:tcW w:w="900" w:type="dxa"/>
            <w:tcBorders>
              <w:top w:val="nil"/>
              <w:left w:val="nil"/>
              <w:bottom w:val="nil"/>
              <w:right w:val="nil"/>
            </w:tcBorders>
            <w:shd w:val="clear" w:color="000000" w:fill="F2DCDB"/>
            <w:noWrap/>
            <w:vAlign w:val="bottom"/>
          </w:tcPr>
          <w:p w:rsidR="006D795D" w:rsidRPr="00D94E51" w:rsidRDefault="006D795D" w:rsidP="005D0BAF">
            <w:pPr>
              <w:jc w:val="right"/>
              <w:rPr>
                <w:rFonts w:cs="Arial"/>
                <w:b/>
                <w:bCs/>
                <w:i/>
                <w:iCs/>
                <w:color w:val="000000"/>
                <w:sz w:val="16"/>
                <w:szCs w:val="16"/>
              </w:rPr>
            </w:pPr>
            <w:r w:rsidRPr="00D94E51">
              <w:rPr>
                <w:rFonts w:cs="Arial"/>
                <w:b/>
                <w:bCs/>
                <w:i/>
                <w:iCs/>
                <w:color w:val="000000"/>
                <w:sz w:val="16"/>
                <w:szCs w:val="16"/>
              </w:rPr>
              <w:t>103,9</w:t>
            </w:r>
          </w:p>
        </w:tc>
      </w:tr>
      <w:tr w:rsidR="006D795D" w:rsidRPr="00D94E51" w:rsidTr="005D0BAF">
        <w:trPr>
          <w:gridAfter w:val="1"/>
          <w:wAfter w:w="66" w:type="dxa"/>
          <w:trHeight w:val="251"/>
        </w:trPr>
        <w:tc>
          <w:tcPr>
            <w:tcW w:w="3471" w:type="dxa"/>
            <w:tcBorders>
              <w:top w:val="nil"/>
              <w:left w:val="nil"/>
              <w:bottom w:val="nil"/>
              <w:right w:val="single" w:sz="4" w:space="0" w:color="auto"/>
            </w:tcBorders>
            <w:shd w:val="clear" w:color="auto" w:fill="auto"/>
            <w:noWrap/>
            <w:vAlign w:val="bottom"/>
            <w:hideMark/>
          </w:tcPr>
          <w:p w:rsidR="006D795D" w:rsidRPr="00D94E51" w:rsidRDefault="006D795D" w:rsidP="005D0BAF">
            <w:pPr>
              <w:spacing w:line="240" w:lineRule="auto"/>
              <w:rPr>
                <w:rFonts w:cs="Arial"/>
                <w:sz w:val="16"/>
                <w:szCs w:val="16"/>
              </w:rPr>
            </w:pPr>
            <w:r w:rsidRPr="00D94E51">
              <w:rPr>
                <w:rFonts w:cs="Arial"/>
                <w:sz w:val="16"/>
                <w:szCs w:val="16"/>
              </w:rPr>
              <w:t xml:space="preserve">  Lůžková rehabilitační (lázeňská) péče</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1 596</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2 473</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2 667</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2 681</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2 946</w:t>
            </w:r>
          </w:p>
        </w:tc>
        <w:tc>
          <w:tcPr>
            <w:tcW w:w="853"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color w:val="000000"/>
                <w:sz w:val="16"/>
                <w:szCs w:val="16"/>
              </w:rPr>
            </w:pPr>
            <w:r w:rsidRPr="00D94E51">
              <w:rPr>
                <w:rFonts w:cs="Arial"/>
                <w:color w:val="000000"/>
                <w:sz w:val="16"/>
                <w:szCs w:val="16"/>
              </w:rPr>
              <w:t>3 058</w:t>
            </w:r>
          </w:p>
        </w:tc>
        <w:tc>
          <w:tcPr>
            <w:tcW w:w="900" w:type="dxa"/>
            <w:tcBorders>
              <w:top w:val="nil"/>
              <w:left w:val="nil"/>
              <w:bottom w:val="nil"/>
              <w:right w:val="nil"/>
            </w:tcBorders>
            <w:shd w:val="clear" w:color="auto" w:fill="auto"/>
            <w:noWrap/>
            <w:vAlign w:val="bottom"/>
          </w:tcPr>
          <w:p w:rsidR="006D795D" w:rsidRPr="00D94E51" w:rsidRDefault="006D795D" w:rsidP="005D0BAF">
            <w:pPr>
              <w:jc w:val="right"/>
              <w:rPr>
                <w:rFonts w:cs="Arial"/>
                <w:i/>
                <w:iCs/>
                <w:color w:val="000000"/>
                <w:sz w:val="16"/>
                <w:szCs w:val="16"/>
              </w:rPr>
            </w:pPr>
            <w:r w:rsidRPr="00D94E51">
              <w:rPr>
                <w:rFonts w:cs="Arial"/>
                <w:i/>
                <w:iCs/>
                <w:color w:val="000000"/>
                <w:sz w:val="16"/>
                <w:szCs w:val="16"/>
              </w:rPr>
              <w:t>103,8</w:t>
            </w:r>
          </w:p>
        </w:tc>
      </w:tr>
      <w:tr w:rsidR="006D795D" w:rsidRPr="00D94E51" w:rsidTr="005D0BAF">
        <w:trPr>
          <w:gridAfter w:val="1"/>
          <w:wAfter w:w="66" w:type="dxa"/>
          <w:trHeight w:val="251"/>
        </w:trPr>
        <w:tc>
          <w:tcPr>
            <w:tcW w:w="3471" w:type="dxa"/>
            <w:tcBorders>
              <w:top w:val="nil"/>
              <w:left w:val="nil"/>
              <w:bottom w:val="nil"/>
              <w:right w:val="single" w:sz="4" w:space="0" w:color="auto"/>
            </w:tcBorders>
            <w:shd w:val="clear" w:color="auto" w:fill="auto"/>
            <w:noWrap/>
            <w:vAlign w:val="bottom"/>
            <w:hideMark/>
          </w:tcPr>
          <w:p w:rsidR="006D795D" w:rsidRPr="00D94E51" w:rsidRDefault="006D795D" w:rsidP="005D0BAF">
            <w:pPr>
              <w:spacing w:line="240" w:lineRule="auto"/>
              <w:rPr>
                <w:rFonts w:cs="Arial"/>
                <w:sz w:val="16"/>
                <w:szCs w:val="16"/>
              </w:rPr>
            </w:pPr>
            <w:r w:rsidRPr="00D94E51">
              <w:rPr>
                <w:rFonts w:cs="Arial"/>
                <w:sz w:val="16"/>
                <w:szCs w:val="16"/>
              </w:rPr>
              <w:t xml:space="preserve">  Ambulantní rehabilitační péče</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626</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767</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895</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1 006</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987</w:t>
            </w:r>
          </w:p>
        </w:tc>
        <w:tc>
          <w:tcPr>
            <w:tcW w:w="853"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color w:val="000000"/>
                <w:sz w:val="16"/>
                <w:szCs w:val="16"/>
              </w:rPr>
            </w:pPr>
            <w:r w:rsidRPr="00D94E51">
              <w:rPr>
                <w:rFonts w:cs="Arial"/>
                <w:color w:val="000000"/>
                <w:sz w:val="16"/>
                <w:szCs w:val="16"/>
              </w:rPr>
              <w:t>1 030</w:t>
            </w:r>
          </w:p>
        </w:tc>
        <w:tc>
          <w:tcPr>
            <w:tcW w:w="900" w:type="dxa"/>
            <w:tcBorders>
              <w:top w:val="nil"/>
              <w:left w:val="nil"/>
              <w:bottom w:val="nil"/>
              <w:right w:val="nil"/>
            </w:tcBorders>
            <w:shd w:val="clear" w:color="auto" w:fill="auto"/>
            <w:noWrap/>
            <w:vAlign w:val="bottom"/>
          </w:tcPr>
          <w:p w:rsidR="006D795D" w:rsidRPr="00D94E51" w:rsidRDefault="006D795D" w:rsidP="005D0BAF">
            <w:pPr>
              <w:jc w:val="right"/>
              <w:rPr>
                <w:rFonts w:cs="Arial"/>
                <w:i/>
                <w:iCs/>
                <w:color w:val="000000"/>
                <w:sz w:val="16"/>
                <w:szCs w:val="16"/>
              </w:rPr>
            </w:pPr>
            <w:r w:rsidRPr="00D94E51">
              <w:rPr>
                <w:rFonts w:cs="Arial"/>
                <w:i/>
                <w:iCs/>
                <w:color w:val="000000"/>
                <w:sz w:val="16"/>
                <w:szCs w:val="16"/>
              </w:rPr>
              <w:t>104,4</w:t>
            </w:r>
          </w:p>
        </w:tc>
      </w:tr>
      <w:tr w:rsidR="006D795D" w:rsidRPr="00D94E51" w:rsidTr="005D0BAF">
        <w:trPr>
          <w:gridAfter w:val="1"/>
          <w:wAfter w:w="66" w:type="dxa"/>
          <w:trHeight w:val="251"/>
        </w:trPr>
        <w:tc>
          <w:tcPr>
            <w:tcW w:w="3471" w:type="dxa"/>
            <w:tcBorders>
              <w:top w:val="nil"/>
              <w:left w:val="nil"/>
              <w:bottom w:val="nil"/>
              <w:right w:val="nil"/>
            </w:tcBorders>
            <w:shd w:val="clear" w:color="000000" w:fill="F2DCDB"/>
            <w:noWrap/>
            <w:vAlign w:val="bottom"/>
            <w:hideMark/>
          </w:tcPr>
          <w:p w:rsidR="006D795D" w:rsidRPr="00D94E51" w:rsidRDefault="006D795D" w:rsidP="005D0BAF">
            <w:pPr>
              <w:spacing w:line="240" w:lineRule="auto"/>
              <w:rPr>
                <w:rFonts w:cs="Arial"/>
                <w:b/>
                <w:color w:val="000000"/>
                <w:sz w:val="16"/>
                <w:szCs w:val="16"/>
              </w:rPr>
            </w:pPr>
            <w:r w:rsidRPr="00D94E51">
              <w:rPr>
                <w:rFonts w:cs="Arial"/>
                <w:b/>
                <w:color w:val="000000"/>
                <w:sz w:val="16"/>
                <w:szCs w:val="16"/>
              </w:rPr>
              <w:t>Dlouhodobá lůžková péče</w:t>
            </w:r>
          </w:p>
        </w:tc>
        <w:tc>
          <w:tcPr>
            <w:tcW w:w="852" w:type="dxa"/>
            <w:tcBorders>
              <w:top w:val="nil"/>
              <w:left w:val="single" w:sz="4" w:space="0" w:color="auto"/>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53</w:t>
            </w:r>
          </w:p>
        </w:tc>
        <w:tc>
          <w:tcPr>
            <w:tcW w:w="852" w:type="dxa"/>
            <w:tcBorders>
              <w:top w:val="nil"/>
              <w:left w:val="single" w:sz="4" w:space="0" w:color="auto"/>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82</w:t>
            </w:r>
          </w:p>
        </w:tc>
        <w:tc>
          <w:tcPr>
            <w:tcW w:w="852"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89</w:t>
            </w:r>
          </w:p>
        </w:tc>
        <w:tc>
          <w:tcPr>
            <w:tcW w:w="852"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89</w:t>
            </w:r>
          </w:p>
        </w:tc>
        <w:tc>
          <w:tcPr>
            <w:tcW w:w="852"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98</w:t>
            </w:r>
          </w:p>
        </w:tc>
        <w:tc>
          <w:tcPr>
            <w:tcW w:w="853"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color w:val="000000"/>
                <w:sz w:val="16"/>
                <w:szCs w:val="16"/>
              </w:rPr>
            </w:pPr>
            <w:r w:rsidRPr="00D94E51">
              <w:rPr>
                <w:rFonts w:cs="Arial"/>
                <w:b/>
                <w:bCs/>
                <w:color w:val="000000"/>
                <w:sz w:val="16"/>
                <w:szCs w:val="16"/>
              </w:rPr>
              <w:t>102</w:t>
            </w:r>
          </w:p>
        </w:tc>
        <w:tc>
          <w:tcPr>
            <w:tcW w:w="900" w:type="dxa"/>
            <w:tcBorders>
              <w:top w:val="nil"/>
              <w:left w:val="nil"/>
              <w:bottom w:val="nil"/>
              <w:right w:val="nil"/>
            </w:tcBorders>
            <w:shd w:val="clear" w:color="000000" w:fill="F2DCDB"/>
            <w:noWrap/>
            <w:vAlign w:val="bottom"/>
          </w:tcPr>
          <w:p w:rsidR="006D795D" w:rsidRPr="00D94E51" w:rsidRDefault="006D795D" w:rsidP="005D0BAF">
            <w:pPr>
              <w:jc w:val="right"/>
              <w:rPr>
                <w:rFonts w:cs="Arial"/>
                <w:b/>
                <w:bCs/>
                <w:i/>
                <w:iCs/>
                <w:color w:val="000000"/>
                <w:sz w:val="16"/>
                <w:szCs w:val="16"/>
              </w:rPr>
            </w:pPr>
            <w:r w:rsidRPr="00D94E51">
              <w:rPr>
                <w:rFonts w:cs="Arial"/>
                <w:b/>
                <w:bCs/>
                <w:i/>
                <w:iCs/>
                <w:color w:val="000000"/>
                <w:sz w:val="16"/>
                <w:szCs w:val="16"/>
              </w:rPr>
              <w:t>104,1</w:t>
            </w:r>
          </w:p>
        </w:tc>
      </w:tr>
      <w:tr w:rsidR="006D795D" w:rsidRPr="00D94E51" w:rsidTr="005D0BAF">
        <w:trPr>
          <w:gridAfter w:val="1"/>
          <w:wAfter w:w="66" w:type="dxa"/>
          <w:trHeight w:val="251"/>
        </w:trPr>
        <w:tc>
          <w:tcPr>
            <w:tcW w:w="3471" w:type="dxa"/>
            <w:tcBorders>
              <w:top w:val="nil"/>
              <w:left w:val="nil"/>
              <w:bottom w:val="nil"/>
              <w:right w:val="single" w:sz="4" w:space="0" w:color="auto"/>
            </w:tcBorders>
            <w:shd w:val="clear" w:color="000000" w:fill="F2DCDB"/>
            <w:noWrap/>
            <w:vAlign w:val="bottom"/>
            <w:hideMark/>
          </w:tcPr>
          <w:p w:rsidR="006D795D" w:rsidRPr="00D94E51" w:rsidRDefault="006D795D" w:rsidP="005D0BAF">
            <w:pPr>
              <w:spacing w:line="240" w:lineRule="auto"/>
              <w:rPr>
                <w:rFonts w:cs="Arial"/>
                <w:b/>
                <w:bCs/>
                <w:sz w:val="16"/>
                <w:szCs w:val="16"/>
              </w:rPr>
            </w:pPr>
            <w:r w:rsidRPr="00D94E51">
              <w:rPr>
                <w:rFonts w:cs="Arial"/>
                <w:b/>
                <w:bCs/>
                <w:sz w:val="16"/>
                <w:szCs w:val="16"/>
              </w:rPr>
              <w:t xml:space="preserve">Léčiva a ostatní zdravotnické výrobky </w:t>
            </w:r>
          </w:p>
        </w:tc>
        <w:tc>
          <w:tcPr>
            <w:tcW w:w="852"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27 115</w:t>
            </w:r>
          </w:p>
        </w:tc>
        <w:tc>
          <w:tcPr>
            <w:tcW w:w="852"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27 867</w:t>
            </w:r>
          </w:p>
        </w:tc>
        <w:tc>
          <w:tcPr>
            <w:tcW w:w="852"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29 428</w:t>
            </w:r>
          </w:p>
        </w:tc>
        <w:tc>
          <w:tcPr>
            <w:tcW w:w="852"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30 574</w:t>
            </w:r>
          </w:p>
        </w:tc>
        <w:tc>
          <w:tcPr>
            <w:tcW w:w="852"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32 220</w:t>
            </w:r>
          </w:p>
        </w:tc>
        <w:tc>
          <w:tcPr>
            <w:tcW w:w="853" w:type="dxa"/>
            <w:tcBorders>
              <w:top w:val="nil"/>
              <w:left w:val="nil"/>
              <w:bottom w:val="nil"/>
              <w:right w:val="single" w:sz="4" w:space="0" w:color="auto"/>
            </w:tcBorders>
            <w:shd w:val="clear" w:color="000000" w:fill="F2DCDB"/>
            <w:noWrap/>
            <w:vAlign w:val="bottom"/>
          </w:tcPr>
          <w:p w:rsidR="006D795D" w:rsidRPr="00D94E51" w:rsidRDefault="006D795D" w:rsidP="005D0BAF">
            <w:pPr>
              <w:jc w:val="right"/>
              <w:rPr>
                <w:rFonts w:cs="Arial"/>
                <w:b/>
                <w:bCs/>
                <w:color w:val="000000"/>
                <w:sz w:val="16"/>
                <w:szCs w:val="16"/>
              </w:rPr>
            </w:pPr>
            <w:r w:rsidRPr="00D94E51">
              <w:rPr>
                <w:rFonts w:cs="Arial"/>
                <w:b/>
                <w:bCs/>
                <w:color w:val="000000"/>
                <w:sz w:val="16"/>
                <w:szCs w:val="16"/>
              </w:rPr>
              <w:t>34 648</w:t>
            </w:r>
          </w:p>
        </w:tc>
        <w:tc>
          <w:tcPr>
            <w:tcW w:w="900" w:type="dxa"/>
            <w:tcBorders>
              <w:top w:val="nil"/>
              <w:left w:val="nil"/>
              <w:bottom w:val="nil"/>
              <w:right w:val="nil"/>
            </w:tcBorders>
            <w:shd w:val="clear" w:color="000000" w:fill="F2DCDB"/>
            <w:noWrap/>
            <w:vAlign w:val="bottom"/>
          </w:tcPr>
          <w:p w:rsidR="006D795D" w:rsidRPr="00D94E51" w:rsidRDefault="006D795D" w:rsidP="005D0BAF">
            <w:pPr>
              <w:jc w:val="right"/>
              <w:rPr>
                <w:rFonts w:cs="Arial"/>
                <w:b/>
                <w:bCs/>
                <w:i/>
                <w:iCs/>
                <w:color w:val="000000"/>
                <w:sz w:val="16"/>
                <w:szCs w:val="16"/>
              </w:rPr>
            </w:pPr>
            <w:r w:rsidRPr="00D94E51">
              <w:rPr>
                <w:rFonts w:cs="Arial"/>
                <w:b/>
                <w:bCs/>
                <w:i/>
                <w:iCs/>
                <w:color w:val="000000"/>
                <w:sz w:val="16"/>
                <w:szCs w:val="16"/>
              </w:rPr>
              <w:t>107,5</w:t>
            </w:r>
          </w:p>
        </w:tc>
      </w:tr>
      <w:tr w:rsidR="006D795D" w:rsidRPr="00D94E51" w:rsidTr="005D0BAF">
        <w:trPr>
          <w:gridAfter w:val="1"/>
          <w:wAfter w:w="66" w:type="dxa"/>
          <w:trHeight w:val="251"/>
        </w:trPr>
        <w:tc>
          <w:tcPr>
            <w:tcW w:w="3471" w:type="dxa"/>
            <w:tcBorders>
              <w:top w:val="nil"/>
              <w:left w:val="nil"/>
              <w:bottom w:val="nil"/>
              <w:right w:val="single" w:sz="4" w:space="0" w:color="auto"/>
            </w:tcBorders>
            <w:shd w:val="clear" w:color="auto" w:fill="auto"/>
            <w:noWrap/>
            <w:vAlign w:val="bottom"/>
            <w:hideMark/>
          </w:tcPr>
          <w:p w:rsidR="006D795D" w:rsidRPr="00D94E51" w:rsidRDefault="006D795D" w:rsidP="005D0BAF">
            <w:pPr>
              <w:spacing w:line="240" w:lineRule="auto"/>
              <w:rPr>
                <w:rFonts w:cs="Arial"/>
                <w:sz w:val="16"/>
                <w:szCs w:val="16"/>
              </w:rPr>
            </w:pPr>
            <w:r w:rsidRPr="00D94E51">
              <w:rPr>
                <w:rFonts w:cs="Arial"/>
                <w:sz w:val="16"/>
                <w:szCs w:val="16"/>
              </w:rPr>
              <w:t xml:space="preserve">  Léčiva a zdravotnický materiál</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21 380</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22 264</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23 535</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24 428</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26 259</w:t>
            </w:r>
          </w:p>
        </w:tc>
        <w:tc>
          <w:tcPr>
            <w:tcW w:w="853"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color w:val="000000"/>
                <w:sz w:val="16"/>
                <w:szCs w:val="16"/>
              </w:rPr>
            </w:pPr>
            <w:r w:rsidRPr="00D94E51">
              <w:rPr>
                <w:rFonts w:cs="Arial"/>
                <w:color w:val="000000"/>
                <w:sz w:val="16"/>
                <w:szCs w:val="16"/>
              </w:rPr>
              <w:t>28 480</w:t>
            </w:r>
          </w:p>
        </w:tc>
        <w:tc>
          <w:tcPr>
            <w:tcW w:w="900" w:type="dxa"/>
            <w:tcBorders>
              <w:top w:val="nil"/>
              <w:left w:val="nil"/>
              <w:bottom w:val="nil"/>
              <w:right w:val="nil"/>
            </w:tcBorders>
            <w:shd w:val="clear" w:color="auto" w:fill="auto"/>
            <w:noWrap/>
            <w:vAlign w:val="bottom"/>
          </w:tcPr>
          <w:p w:rsidR="006D795D" w:rsidRPr="00D94E51" w:rsidRDefault="006D795D" w:rsidP="005D0BAF">
            <w:pPr>
              <w:jc w:val="right"/>
              <w:rPr>
                <w:rFonts w:cs="Arial"/>
                <w:i/>
                <w:iCs/>
                <w:color w:val="000000"/>
                <w:sz w:val="16"/>
                <w:szCs w:val="16"/>
              </w:rPr>
            </w:pPr>
            <w:r w:rsidRPr="00D94E51">
              <w:rPr>
                <w:rFonts w:cs="Arial"/>
                <w:i/>
                <w:iCs/>
                <w:color w:val="000000"/>
                <w:sz w:val="16"/>
                <w:szCs w:val="16"/>
              </w:rPr>
              <w:t>108,5</w:t>
            </w:r>
          </w:p>
        </w:tc>
      </w:tr>
      <w:tr w:rsidR="006D795D" w:rsidRPr="00D94E51" w:rsidTr="005D0BAF">
        <w:trPr>
          <w:gridAfter w:val="1"/>
          <w:wAfter w:w="66" w:type="dxa"/>
          <w:trHeight w:val="251"/>
        </w:trPr>
        <w:tc>
          <w:tcPr>
            <w:tcW w:w="3471" w:type="dxa"/>
            <w:tcBorders>
              <w:top w:val="nil"/>
              <w:left w:val="nil"/>
              <w:bottom w:val="nil"/>
              <w:right w:val="single" w:sz="4" w:space="0" w:color="auto"/>
            </w:tcBorders>
            <w:shd w:val="clear" w:color="auto" w:fill="auto"/>
            <w:noWrap/>
            <w:vAlign w:val="bottom"/>
            <w:hideMark/>
          </w:tcPr>
          <w:p w:rsidR="006D795D" w:rsidRPr="00D94E51" w:rsidRDefault="006D795D" w:rsidP="005D0BAF">
            <w:pPr>
              <w:spacing w:line="240" w:lineRule="auto"/>
              <w:rPr>
                <w:rFonts w:cs="Arial"/>
                <w:sz w:val="16"/>
                <w:szCs w:val="16"/>
              </w:rPr>
            </w:pPr>
            <w:r w:rsidRPr="00D94E51">
              <w:rPr>
                <w:rFonts w:cs="Arial"/>
                <w:sz w:val="16"/>
                <w:szCs w:val="16"/>
              </w:rPr>
              <w:t xml:space="preserve">     Léky na předpis</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8 932</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9 496</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10 121</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10 295</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11 058</w:t>
            </w:r>
          </w:p>
        </w:tc>
        <w:tc>
          <w:tcPr>
            <w:tcW w:w="853"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color w:val="000000"/>
                <w:sz w:val="16"/>
                <w:szCs w:val="16"/>
              </w:rPr>
            </w:pPr>
            <w:r w:rsidRPr="00D94E51">
              <w:rPr>
                <w:rFonts w:cs="Arial"/>
                <w:color w:val="000000"/>
                <w:sz w:val="16"/>
                <w:szCs w:val="16"/>
              </w:rPr>
              <w:t>12 101</w:t>
            </w:r>
          </w:p>
        </w:tc>
        <w:tc>
          <w:tcPr>
            <w:tcW w:w="900" w:type="dxa"/>
            <w:tcBorders>
              <w:top w:val="nil"/>
              <w:left w:val="nil"/>
              <w:bottom w:val="nil"/>
              <w:right w:val="nil"/>
            </w:tcBorders>
            <w:shd w:val="clear" w:color="auto" w:fill="auto"/>
            <w:noWrap/>
            <w:vAlign w:val="bottom"/>
          </w:tcPr>
          <w:p w:rsidR="006D795D" w:rsidRPr="00D94E51" w:rsidRDefault="006D795D" w:rsidP="005D0BAF">
            <w:pPr>
              <w:jc w:val="right"/>
              <w:rPr>
                <w:rFonts w:cs="Arial"/>
                <w:i/>
                <w:iCs/>
                <w:color w:val="000000"/>
                <w:sz w:val="16"/>
                <w:szCs w:val="16"/>
              </w:rPr>
            </w:pPr>
            <w:r w:rsidRPr="00D94E51">
              <w:rPr>
                <w:rFonts w:cs="Arial"/>
                <w:i/>
                <w:iCs/>
                <w:color w:val="000000"/>
                <w:sz w:val="16"/>
                <w:szCs w:val="16"/>
              </w:rPr>
              <w:t>109,4</w:t>
            </w:r>
          </w:p>
        </w:tc>
      </w:tr>
      <w:tr w:rsidR="006D795D" w:rsidRPr="00D94E51" w:rsidTr="005D0BAF">
        <w:trPr>
          <w:gridAfter w:val="1"/>
          <w:wAfter w:w="66" w:type="dxa"/>
          <w:trHeight w:val="251"/>
        </w:trPr>
        <w:tc>
          <w:tcPr>
            <w:tcW w:w="3471" w:type="dxa"/>
            <w:tcBorders>
              <w:top w:val="nil"/>
              <w:left w:val="nil"/>
              <w:bottom w:val="nil"/>
              <w:right w:val="single" w:sz="4" w:space="0" w:color="auto"/>
            </w:tcBorders>
            <w:shd w:val="clear" w:color="auto" w:fill="auto"/>
            <w:noWrap/>
            <w:vAlign w:val="bottom"/>
            <w:hideMark/>
          </w:tcPr>
          <w:p w:rsidR="006D795D" w:rsidRPr="00D94E51" w:rsidRDefault="006D795D" w:rsidP="005D0BAF">
            <w:pPr>
              <w:spacing w:line="240" w:lineRule="auto"/>
              <w:rPr>
                <w:rFonts w:cs="Arial"/>
                <w:sz w:val="16"/>
                <w:szCs w:val="16"/>
              </w:rPr>
            </w:pPr>
            <w:r w:rsidRPr="00D94E51">
              <w:rPr>
                <w:rFonts w:cs="Arial"/>
                <w:sz w:val="16"/>
                <w:szCs w:val="16"/>
              </w:rPr>
              <w:t xml:space="preserve">     Volně prodejné léky a léčiva</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11 843</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12 140</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12 744</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13 447</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14 525</w:t>
            </w:r>
          </w:p>
        </w:tc>
        <w:tc>
          <w:tcPr>
            <w:tcW w:w="853"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color w:val="000000"/>
                <w:sz w:val="16"/>
                <w:szCs w:val="16"/>
              </w:rPr>
            </w:pPr>
            <w:r w:rsidRPr="00D94E51">
              <w:rPr>
                <w:rFonts w:cs="Arial"/>
                <w:color w:val="000000"/>
                <w:sz w:val="16"/>
                <w:szCs w:val="16"/>
              </w:rPr>
              <w:t>15 643</w:t>
            </w:r>
          </w:p>
        </w:tc>
        <w:tc>
          <w:tcPr>
            <w:tcW w:w="900" w:type="dxa"/>
            <w:tcBorders>
              <w:top w:val="nil"/>
              <w:left w:val="nil"/>
              <w:bottom w:val="nil"/>
              <w:right w:val="nil"/>
            </w:tcBorders>
            <w:shd w:val="clear" w:color="auto" w:fill="auto"/>
            <w:noWrap/>
            <w:vAlign w:val="bottom"/>
          </w:tcPr>
          <w:p w:rsidR="006D795D" w:rsidRPr="00D94E51" w:rsidRDefault="006D795D" w:rsidP="005D0BAF">
            <w:pPr>
              <w:jc w:val="right"/>
              <w:rPr>
                <w:rFonts w:cs="Arial"/>
                <w:i/>
                <w:iCs/>
                <w:color w:val="000000"/>
                <w:sz w:val="16"/>
                <w:szCs w:val="16"/>
              </w:rPr>
            </w:pPr>
            <w:r w:rsidRPr="00D94E51">
              <w:rPr>
                <w:rFonts w:cs="Arial"/>
                <w:i/>
                <w:iCs/>
                <w:color w:val="000000"/>
                <w:sz w:val="16"/>
                <w:szCs w:val="16"/>
              </w:rPr>
              <w:t>107,7</w:t>
            </w:r>
          </w:p>
        </w:tc>
      </w:tr>
      <w:tr w:rsidR="006D795D" w:rsidRPr="00D94E51" w:rsidTr="005D0BAF">
        <w:trPr>
          <w:gridAfter w:val="1"/>
          <w:wAfter w:w="66" w:type="dxa"/>
          <w:trHeight w:val="251"/>
        </w:trPr>
        <w:tc>
          <w:tcPr>
            <w:tcW w:w="3471" w:type="dxa"/>
            <w:tcBorders>
              <w:top w:val="nil"/>
              <w:left w:val="nil"/>
              <w:bottom w:val="nil"/>
              <w:right w:val="single" w:sz="4" w:space="0" w:color="auto"/>
            </w:tcBorders>
            <w:shd w:val="clear" w:color="auto" w:fill="auto"/>
            <w:noWrap/>
            <w:vAlign w:val="bottom"/>
            <w:hideMark/>
          </w:tcPr>
          <w:p w:rsidR="006D795D" w:rsidRPr="00D94E51" w:rsidRDefault="006D795D" w:rsidP="005D0BAF">
            <w:pPr>
              <w:spacing w:line="240" w:lineRule="auto"/>
              <w:rPr>
                <w:rFonts w:cs="Arial"/>
                <w:sz w:val="16"/>
                <w:szCs w:val="16"/>
              </w:rPr>
            </w:pPr>
            <w:r w:rsidRPr="00D94E51">
              <w:rPr>
                <w:rFonts w:cs="Arial"/>
                <w:sz w:val="16"/>
                <w:szCs w:val="16"/>
              </w:rPr>
              <w:t xml:space="preserve">     Ostatní zdravotnický materiál a výrobky</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605</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628</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670</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686</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676</w:t>
            </w:r>
          </w:p>
        </w:tc>
        <w:tc>
          <w:tcPr>
            <w:tcW w:w="853"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color w:val="000000"/>
                <w:sz w:val="16"/>
                <w:szCs w:val="16"/>
              </w:rPr>
            </w:pPr>
            <w:r w:rsidRPr="00D94E51">
              <w:rPr>
                <w:rFonts w:cs="Arial"/>
                <w:color w:val="000000"/>
                <w:sz w:val="16"/>
                <w:szCs w:val="16"/>
              </w:rPr>
              <w:t>736</w:t>
            </w:r>
          </w:p>
        </w:tc>
        <w:tc>
          <w:tcPr>
            <w:tcW w:w="900" w:type="dxa"/>
            <w:tcBorders>
              <w:top w:val="nil"/>
              <w:left w:val="nil"/>
              <w:bottom w:val="nil"/>
              <w:right w:val="nil"/>
            </w:tcBorders>
            <w:shd w:val="clear" w:color="auto" w:fill="auto"/>
            <w:noWrap/>
            <w:vAlign w:val="bottom"/>
          </w:tcPr>
          <w:p w:rsidR="006D795D" w:rsidRPr="00D94E51" w:rsidRDefault="006D795D" w:rsidP="005D0BAF">
            <w:pPr>
              <w:jc w:val="right"/>
              <w:rPr>
                <w:rFonts w:cs="Arial"/>
                <w:i/>
                <w:iCs/>
                <w:color w:val="000000"/>
                <w:sz w:val="16"/>
                <w:szCs w:val="16"/>
              </w:rPr>
            </w:pPr>
            <w:r w:rsidRPr="00D94E51">
              <w:rPr>
                <w:rFonts w:cs="Arial"/>
                <w:i/>
                <w:iCs/>
                <w:color w:val="000000"/>
                <w:sz w:val="16"/>
                <w:szCs w:val="16"/>
              </w:rPr>
              <w:t>108,9</w:t>
            </w:r>
          </w:p>
        </w:tc>
      </w:tr>
      <w:tr w:rsidR="006D795D" w:rsidRPr="00D94E51" w:rsidTr="005D0BAF">
        <w:trPr>
          <w:gridAfter w:val="1"/>
          <w:wAfter w:w="66" w:type="dxa"/>
          <w:trHeight w:val="251"/>
        </w:trPr>
        <w:tc>
          <w:tcPr>
            <w:tcW w:w="3471" w:type="dxa"/>
            <w:tcBorders>
              <w:top w:val="nil"/>
              <w:left w:val="nil"/>
              <w:bottom w:val="nil"/>
              <w:right w:val="single" w:sz="4" w:space="0" w:color="auto"/>
            </w:tcBorders>
            <w:shd w:val="clear" w:color="auto" w:fill="auto"/>
            <w:noWrap/>
            <w:vAlign w:val="bottom"/>
            <w:hideMark/>
          </w:tcPr>
          <w:p w:rsidR="006D795D" w:rsidRPr="00D94E51" w:rsidRDefault="006D795D" w:rsidP="005D0BAF">
            <w:pPr>
              <w:spacing w:line="240" w:lineRule="auto"/>
              <w:rPr>
                <w:rFonts w:cs="Arial"/>
                <w:sz w:val="16"/>
                <w:szCs w:val="16"/>
              </w:rPr>
            </w:pPr>
            <w:r w:rsidRPr="00D94E51">
              <w:rPr>
                <w:rFonts w:cs="Arial"/>
                <w:sz w:val="16"/>
                <w:szCs w:val="16"/>
              </w:rPr>
              <w:t xml:space="preserve">  Terapeutické pomůcky </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5 735</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5 603</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5 893</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6 146</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5 961</w:t>
            </w:r>
          </w:p>
        </w:tc>
        <w:tc>
          <w:tcPr>
            <w:tcW w:w="853"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color w:val="000000"/>
                <w:sz w:val="16"/>
                <w:szCs w:val="16"/>
              </w:rPr>
            </w:pPr>
            <w:r w:rsidRPr="00D94E51">
              <w:rPr>
                <w:rFonts w:cs="Arial"/>
                <w:color w:val="000000"/>
                <w:sz w:val="16"/>
                <w:szCs w:val="16"/>
              </w:rPr>
              <w:t>6 168</w:t>
            </w:r>
          </w:p>
        </w:tc>
        <w:tc>
          <w:tcPr>
            <w:tcW w:w="900" w:type="dxa"/>
            <w:tcBorders>
              <w:top w:val="nil"/>
              <w:left w:val="nil"/>
              <w:bottom w:val="nil"/>
              <w:right w:val="nil"/>
            </w:tcBorders>
            <w:shd w:val="clear" w:color="auto" w:fill="auto"/>
            <w:noWrap/>
            <w:vAlign w:val="bottom"/>
          </w:tcPr>
          <w:p w:rsidR="006D795D" w:rsidRPr="00D94E51" w:rsidRDefault="006D795D" w:rsidP="005D0BAF">
            <w:pPr>
              <w:jc w:val="right"/>
              <w:rPr>
                <w:rFonts w:cs="Arial"/>
                <w:i/>
                <w:iCs/>
                <w:color w:val="000000"/>
                <w:sz w:val="16"/>
                <w:szCs w:val="16"/>
              </w:rPr>
            </w:pPr>
            <w:r w:rsidRPr="00D94E51">
              <w:rPr>
                <w:rFonts w:cs="Arial"/>
                <w:i/>
                <w:iCs/>
                <w:color w:val="000000"/>
                <w:sz w:val="16"/>
                <w:szCs w:val="16"/>
              </w:rPr>
              <w:t>103,5</w:t>
            </w:r>
          </w:p>
        </w:tc>
      </w:tr>
      <w:tr w:rsidR="006D795D" w:rsidRPr="00D94E51" w:rsidTr="005D0BAF">
        <w:trPr>
          <w:gridAfter w:val="1"/>
          <w:wAfter w:w="66" w:type="dxa"/>
          <w:trHeight w:val="251"/>
        </w:trPr>
        <w:tc>
          <w:tcPr>
            <w:tcW w:w="3471" w:type="dxa"/>
            <w:tcBorders>
              <w:top w:val="nil"/>
              <w:left w:val="nil"/>
              <w:bottom w:val="nil"/>
              <w:right w:val="single" w:sz="4" w:space="0" w:color="auto"/>
            </w:tcBorders>
            <w:shd w:val="clear" w:color="auto" w:fill="auto"/>
            <w:noWrap/>
            <w:vAlign w:val="bottom"/>
            <w:hideMark/>
          </w:tcPr>
          <w:p w:rsidR="006D795D" w:rsidRPr="00D94E51" w:rsidRDefault="006D795D" w:rsidP="005D0BAF">
            <w:pPr>
              <w:spacing w:line="240" w:lineRule="auto"/>
              <w:rPr>
                <w:rFonts w:cs="Arial"/>
                <w:sz w:val="16"/>
                <w:szCs w:val="16"/>
              </w:rPr>
            </w:pPr>
            <w:r w:rsidRPr="00D94E51">
              <w:rPr>
                <w:rFonts w:cs="Arial"/>
                <w:sz w:val="16"/>
                <w:szCs w:val="16"/>
              </w:rPr>
              <w:t xml:space="preserve">     Brýle a další produkty oční optiky</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3 740</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3 654</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3 843</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4 008</w:t>
            </w:r>
          </w:p>
        </w:tc>
        <w:tc>
          <w:tcPr>
            <w:tcW w:w="852"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3 887</w:t>
            </w:r>
          </w:p>
        </w:tc>
        <w:tc>
          <w:tcPr>
            <w:tcW w:w="853" w:type="dxa"/>
            <w:tcBorders>
              <w:top w:val="nil"/>
              <w:left w:val="nil"/>
              <w:bottom w:val="nil"/>
              <w:right w:val="single" w:sz="4" w:space="0" w:color="auto"/>
            </w:tcBorders>
            <w:shd w:val="clear" w:color="auto" w:fill="auto"/>
            <w:noWrap/>
            <w:vAlign w:val="bottom"/>
          </w:tcPr>
          <w:p w:rsidR="006D795D" w:rsidRPr="00D94E51" w:rsidRDefault="006D795D" w:rsidP="005D0BAF">
            <w:pPr>
              <w:jc w:val="right"/>
              <w:rPr>
                <w:rFonts w:cs="Arial"/>
                <w:color w:val="000000"/>
                <w:sz w:val="16"/>
                <w:szCs w:val="16"/>
              </w:rPr>
            </w:pPr>
            <w:r w:rsidRPr="00D94E51">
              <w:rPr>
                <w:rFonts w:cs="Arial"/>
                <w:color w:val="000000"/>
                <w:sz w:val="16"/>
                <w:szCs w:val="16"/>
              </w:rPr>
              <w:t>4 022</w:t>
            </w:r>
          </w:p>
        </w:tc>
        <w:tc>
          <w:tcPr>
            <w:tcW w:w="900" w:type="dxa"/>
            <w:tcBorders>
              <w:top w:val="nil"/>
              <w:left w:val="nil"/>
              <w:bottom w:val="nil"/>
              <w:right w:val="nil"/>
            </w:tcBorders>
            <w:shd w:val="clear" w:color="auto" w:fill="auto"/>
            <w:noWrap/>
            <w:vAlign w:val="bottom"/>
          </w:tcPr>
          <w:p w:rsidR="006D795D" w:rsidRPr="00D94E51" w:rsidRDefault="006D795D" w:rsidP="005D0BAF">
            <w:pPr>
              <w:jc w:val="right"/>
              <w:rPr>
                <w:rFonts w:cs="Arial"/>
                <w:i/>
                <w:iCs/>
                <w:color w:val="000000"/>
                <w:sz w:val="16"/>
                <w:szCs w:val="16"/>
              </w:rPr>
            </w:pPr>
            <w:r w:rsidRPr="00D94E51">
              <w:rPr>
                <w:rFonts w:cs="Arial"/>
                <w:i/>
                <w:iCs/>
                <w:color w:val="000000"/>
                <w:sz w:val="16"/>
                <w:szCs w:val="16"/>
              </w:rPr>
              <w:t>103,5</w:t>
            </w:r>
          </w:p>
        </w:tc>
      </w:tr>
      <w:tr w:rsidR="006D795D" w:rsidRPr="00D94E51" w:rsidTr="005D0BAF">
        <w:trPr>
          <w:gridAfter w:val="1"/>
          <w:wAfter w:w="66" w:type="dxa"/>
          <w:trHeight w:val="251"/>
        </w:trPr>
        <w:tc>
          <w:tcPr>
            <w:tcW w:w="3471" w:type="dxa"/>
            <w:tcBorders>
              <w:top w:val="nil"/>
              <w:left w:val="nil"/>
              <w:bottom w:val="nil"/>
              <w:right w:val="single" w:sz="4" w:space="0" w:color="auto"/>
            </w:tcBorders>
            <w:shd w:val="clear" w:color="000000" w:fill="FFFFFF"/>
            <w:noWrap/>
            <w:vAlign w:val="bottom"/>
            <w:hideMark/>
          </w:tcPr>
          <w:p w:rsidR="006D795D" w:rsidRPr="00D94E51" w:rsidRDefault="006D795D" w:rsidP="005D0BAF">
            <w:pPr>
              <w:spacing w:line="240" w:lineRule="auto"/>
              <w:rPr>
                <w:rFonts w:cs="Arial"/>
                <w:sz w:val="16"/>
                <w:szCs w:val="16"/>
              </w:rPr>
            </w:pPr>
            <w:r w:rsidRPr="00D94E51">
              <w:rPr>
                <w:rFonts w:cs="Arial"/>
                <w:sz w:val="16"/>
                <w:szCs w:val="16"/>
              </w:rPr>
              <w:t xml:space="preserve">     Ortopedické a protetické pomůcky</w:t>
            </w:r>
          </w:p>
        </w:tc>
        <w:tc>
          <w:tcPr>
            <w:tcW w:w="852" w:type="dxa"/>
            <w:tcBorders>
              <w:top w:val="nil"/>
              <w:left w:val="nil"/>
              <w:bottom w:val="nil"/>
              <w:right w:val="single" w:sz="4" w:space="0" w:color="auto"/>
            </w:tcBorders>
            <w:shd w:val="clear" w:color="000000" w:fill="FFFFFF"/>
            <w:noWrap/>
            <w:vAlign w:val="bottom"/>
          </w:tcPr>
          <w:p w:rsidR="006D795D" w:rsidRPr="00D94E51" w:rsidRDefault="006D795D" w:rsidP="005D0BAF">
            <w:pPr>
              <w:jc w:val="right"/>
              <w:rPr>
                <w:rFonts w:cs="Arial"/>
                <w:sz w:val="16"/>
                <w:szCs w:val="16"/>
              </w:rPr>
            </w:pPr>
            <w:r w:rsidRPr="00D94E51">
              <w:rPr>
                <w:rFonts w:cs="Arial"/>
                <w:sz w:val="16"/>
                <w:szCs w:val="16"/>
              </w:rPr>
              <w:t>296</w:t>
            </w:r>
          </w:p>
        </w:tc>
        <w:tc>
          <w:tcPr>
            <w:tcW w:w="852" w:type="dxa"/>
            <w:tcBorders>
              <w:top w:val="nil"/>
              <w:left w:val="nil"/>
              <w:bottom w:val="nil"/>
              <w:right w:val="single" w:sz="4" w:space="0" w:color="auto"/>
            </w:tcBorders>
            <w:shd w:val="clear" w:color="000000" w:fill="FFFFFF"/>
            <w:noWrap/>
            <w:vAlign w:val="bottom"/>
          </w:tcPr>
          <w:p w:rsidR="006D795D" w:rsidRPr="00D94E51" w:rsidRDefault="006D795D" w:rsidP="005D0BAF">
            <w:pPr>
              <w:jc w:val="right"/>
              <w:rPr>
                <w:rFonts w:cs="Arial"/>
                <w:sz w:val="16"/>
                <w:szCs w:val="16"/>
              </w:rPr>
            </w:pPr>
            <w:r w:rsidRPr="00D94E51">
              <w:rPr>
                <w:rFonts w:cs="Arial"/>
                <w:sz w:val="16"/>
                <w:szCs w:val="16"/>
              </w:rPr>
              <w:t>289</w:t>
            </w:r>
          </w:p>
        </w:tc>
        <w:tc>
          <w:tcPr>
            <w:tcW w:w="852" w:type="dxa"/>
            <w:tcBorders>
              <w:top w:val="nil"/>
              <w:left w:val="nil"/>
              <w:bottom w:val="nil"/>
              <w:right w:val="single" w:sz="4" w:space="0" w:color="auto"/>
            </w:tcBorders>
            <w:shd w:val="clear" w:color="000000" w:fill="FFFFFF"/>
            <w:noWrap/>
            <w:vAlign w:val="bottom"/>
          </w:tcPr>
          <w:p w:rsidR="006D795D" w:rsidRPr="00D94E51" w:rsidRDefault="006D795D" w:rsidP="005D0BAF">
            <w:pPr>
              <w:jc w:val="right"/>
              <w:rPr>
                <w:rFonts w:cs="Arial"/>
                <w:sz w:val="16"/>
                <w:szCs w:val="16"/>
              </w:rPr>
            </w:pPr>
            <w:r w:rsidRPr="00D94E51">
              <w:rPr>
                <w:rFonts w:cs="Arial"/>
                <w:sz w:val="16"/>
                <w:szCs w:val="16"/>
              </w:rPr>
              <w:t>304</w:t>
            </w:r>
          </w:p>
        </w:tc>
        <w:tc>
          <w:tcPr>
            <w:tcW w:w="852" w:type="dxa"/>
            <w:tcBorders>
              <w:top w:val="nil"/>
              <w:left w:val="nil"/>
              <w:bottom w:val="nil"/>
              <w:right w:val="single" w:sz="4" w:space="0" w:color="auto"/>
            </w:tcBorders>
            <w:shd w:val="clear" w:color="000000" w:fill="FFFFFF"/>
            <w:noWrap/>
            <w:vAlign w:val="bottom"/>
          </w:tcPr>
          <w:p w:rsidR="006D795D" w:rsidRPr="00D94E51" w:rsidRDefault="006D795D" w:rsidP="005D0BAF">
            <w:pPr>
              <w:jc w:val="right"/>
              <w:rPr>
                <w:rFonts w:cs="Arial"/>
                <w:sz w:val="16"/>
                <w:szCs w:val="16"/>
              </w:rPr>
            </w:pPr>
            <w:r w:rsidRPr="00D94E51">
              <w:rPr>
                <w:rFonts w:cs="Arial"/>
                <w:sz w:val="16"/>
                <w:szCs w:val="16"/>
              </w:rPr>
              <w:t>317</w:t>
            </w:r>
          </w:p>
        </w:tc>
        <w:tc>
          <w:tcPr>
            <w:tcW w:w="852" w:type="dxa"/>
            <w:tcBorders>
              <w:top w:val="nil"/>
              <w:left w:val="nil"/>
              <w:bottom w:val="nil"/>
              <w:right w:val="single" w:sz="4" w:space="0" w:color="auto"/>
            </w:tcBorders>
            <w:shd w:val="clear" w:color="000000" w:fill="FFFFFF"/>
            <w:noWrap/>
            <w:vAlign w:val="bottom"/>
          </w:tcPr>
          <w:p w:rsidR="006D795D" w:rsidRPr="00D94E51" w:rsidRDefault="006D795D" w:rsidP="005D0BAF">
            <w:pPr>
              <w:jc w:val="right"/>
              <w:rPr>
                <w:rFonts w:cs="Arial"/>
                <w:sz w:val="16"/>
                <w:szCs w:val="16"/>
              </w:rPr>
            </w:pPr>
            <w:r w:rsidRPr="00D94E51">
              <w:rPr>
                <w:rFonts w:cs="Arial"/>
                <w:sz w:val="16"/>
                <w:szCs w:val="16"/>
              </w:rPr>
              <w:t>308</w:t>
            </w:r>
          </w:p>
        </w:tc>
        <w:tc>
          <w:tcPr>
            <w:tcW w:w="853" w:type="dxa"/>
            <w:tcBorders>
              <w:top w:val="nil"/>
              <w:left w:val="nil"/>
              <w:bottom w:val="nil"/>
              <w:right w:val="single" w:sz="4" w:space="0" w:color="auto"/>
            </w:tcBorders>
            <w:shd w:val="clear" w:color="000000" w:fill="FFFFFF"/>
            <w:noWrap/>
            <w:vAlign w:val="bottom"/>
          </w:tcPr>
          <w:p w:rsidR="006D795D" w:rsidRPr="00D94E51" w:rsidRDefault="006D795D" w:rsidP="005D0BAF">
            <w:pPr>
              <w:jc w:val="right"/>
              <w:rPr>
                <w:rFonts w:cs="Arial"/>
                <w:color w:val="000000"/>
                <w:sz w:val="16"/>
                <w:szCs w:val="16"/>
              </w:rPr>
            </w:pPr>
            <w:r w:rsidRPr="00D94E51">
              <w:rPr>
                <w:rFonts w:cs="Arial"/>
                <w:color w:val="000000"/>
                <w:sz w:val="16"/>
                <w:szCs w:val="16"/>
              </w:rPr>
              <w:t>319</w:t>
            </w:r>
          </w:p>
        </w:tc>
        <w:tc>
          <w:tcPr>
            <w:tcW w:w="900" w:type="dxa"/>
            <w:tcBorders>
              <w:top w:val="nil"/>
              <w:left w:val="nil"/>
              <w:bottom w:val="nil"/>
              <w:right w:val="nil"/>
            </w:tcBorders>
            <w:shd w:val="clear" w:color="000000" w:fill="FFFFFF"/>
            <w:noWrap/>
            <w:vAlign w:val="bottom"/>
          </w:tcPr>
          <w:p w:rsidR="006D795D" w:rsidRPr="00D94E51" w:rsidRDefault="006D795D" w:rsidP="005D0BAF">
            <w:pPr>
              <w:jc w:val="right"/>
              <w:rPr>
                <w:rFonts w:cs="Arial"/>
                <w:i/>
                <w:iCs/>
                <w:color w:val="000000"/>
                <w:sz w:val="16"/>
                <w:szCs w:val="16"/>
              </w:rPr>
            </w:pPr>
            <w:r w:rsidRPr="00D94E51">
              <w:rPr>
                <w:rFonts w:cs="Arial"/>
                <w:i/>
                <w:iCs/>
                <w:color w:val="000000"/>
                <w:sz w:val="16"/>
                <w:szCs w:val="16"/>
              </w:rPr>
              <w:t>103,6</w:t>
            </w:r>
          </w:p>
        </w:tc>
      </w:tr>
      <w:tr w:rsidR="006D795D" w:rsidRPr="00D94E51" w:rsidTr="005D0BAF">
        <w:trPr>
          <w:gridAfter w:val="1"/>
          <w:wAfter w:w="66" w:type="dxa"/>
          <w:trHeight w:val="265"/>
        </w:trPr>
        <w:tc>
          <w:tcPr>
            <w:tcW w:w="3471" w:type="dxa"/>
            <w:tcBorders>
              <w:top w:val="nil"/>
              <w:left w:val="nil"/>
              <w:bottom w:val="single" w:sz="8" w:space="0" w:color="auto"/>
              <w:right w:val="single" w:sz="4" w:space="0" w:color="auto"/>
            </w:tcBorders>
            <w:shd w:val="clear" w:color="auto" w:fill="auto"/>
            <w:noWrap/>
            <w:vAlign w:val="bottom"/>
            <w:hideMark/>
          </w:tcPr>
          <w:p w:rsidR="006D795D" w:rsidRPr="00D94E51" w:rsidRDefault="006D795D" w:rsidP="005D0BAF">
            <w:pPr>
              <w:spacing w:line="240" w:lineRule="auto"/>
              <w:rPr>
                <w:rFonts w:cs="Arial"/>
                <w:sz w:val="16"/>
                <w:szCs w:val="16"/>
              </w:rPr>
            </w:pPr>
            <w:r w:rsidRPr="00D94E51">
              <w:rPr>
                <w:rFonts w:cs="Arial"/>
                <w:sz w:val="16"/>
                <w:szCs w:val="16"/>
              </w:rPr>
              <w:t xml:space="preserve">     Ostatní terapeutické pomůcky a vybavení</w:t>
            </w:r>
          </w:p>
        </w:tc>
        <w:tc>
          <w:tcPr>
            <w:tcW w:w="852" w:type="dxa"/>
            <w:tcBorders>
              <w:top w:val="nil"/>
              <w:left w:val="nil"/>
              <w:bottom w:val="single" w:sz="8" w:space="0" w:color="auto"/>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1 699</w:t>
            </w:r>
          </w:p>
        </w:tc>
        <w:tc>
          <w:tcPr>
            <w:tcW w:w="852" w:type="dxa"/>
            <w:tcBorders>
              <w:top w:val="nil"/>
              <w:left w:val="nil"/>
              <w:bottom w:val="single" w:sz="8" w:space="0" w:color="auto"/>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1 660</w:t>
            </w:r>
          </w:p>
        </w:tc>
        <w:tc>
          <w:tcPr>
            <w:tcW w:w="852" w:type="dxa"/>
            <w:tcBorders>
              <w:top w:val="nil"/>
              <w:left w:val="nil"/>
              <w:bottom w:val="single" w:sz="8" w:space="0" w:color="auto"/>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1 746</w:t>
            </w:r>
          </w:p>
        </w:tc>
        <w:tc>
          <w:tcPr>
            <w:tcW w:w="852" w:type="dxa"/>
            <w:tcBorders>
              <w:top w:val="nil"/>
              <w:left w:val="nil"/>
              <w:bottom w:val="single" w:sz="8" w:space="0" w:color="auto"/>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1 821</w:t>
            </w:r>
          </w:p>
        </w:tc>
        <w:tc>
          <w:tcPr>
            <w:tcW w:w="852" w:type="dxa"/>
            <w:tcBorders>
              <w:top w:val="nil"/>
              <w:left w:val="nil"/>
              <w:bottom w:val="single" w:sz="8" w:space="0" w:color="auto"/>
              <w:right w:val="single" w:sz="4" w:space="0" w:color="auto"/>
            </w:tcBorders>
            <w:shd w:val="clear" w:color="auto" w:fill="auto"/>
            <w:noWrap/>
            <w:vAlign w:val="bottom"/>
          </w:tcPr>
          <w:p w:rsidR="006D795D" w:rsidRPr="00D94E51" w:rsidRDefault="006D795D" w:rsidP="005D0BAF">
            <w:pPr>
              <w:jc w:val="right"/>
              <w:rPr>
                <w:rFonts w:cs="Arial"/>
                <w:sz w:val="16"/>
                <w:szCs w:val="16"/>
              </w:rPr>
            </w:pPr>
            <w:r w:rsidRPr="00D94E51">
              <w:rPr>
                <w:rFonts w:cs="Arial"/>
                <w:sz w:val="16"/>
                <w:szCs w:val="16"/>
              </w:rPr>
              <w:t>1 766</w:t>
            </w:r>
          </w:p>
        </w:tc>
        <w:tc>
          <w:tcPr>
            <w:tcW w:w="853" w:type="dxa"/>
            <w:tcBorders>
              <w:top w:val="nil"/>
              <w:left w:val="nil"/>
              <w:bottom w:val="single" w:sz="8" w:space="0" w:color="auto"/>
              <w:right w:val="single" w:sz="4" w:space="0" w:color="auto"/>
            </w:tcBorders>
            <w:shd w:val="clear" w:color="auto" w:fill="auto"/>
            <w:noWrap/>
            <w:vAlign w:val="bottom"/>
          </w:tcPr>
          <w:p w:rsidR="006D795D" w:rsidRPr="00D94E51" w:rsidRDefault="006D795D" w:rsidP="005D0BAF">
            <w:pPr>
              <w:jc w:val="right"/>
              <w:rPr>
                <w:rFonts w:cs="Arial"/>
                <w:color w:val="000000"/>
                <w:sz w:val="16"/>
                <w:szCs w:val="16"/>
              </w:rPr>
            </w:pPr>
            <w:r w:rsidRPr="00D94E51">
              <w:rPr>
                <w:rFonts w:cs="Arial"/>
                <w:color w:val="000000"/>
                <w:sz w:val="16"/>
                <w:szCs w:val="16"/>
              </w:rPr>
              <w:t>1 827</w:t>
            </w:r>
          </w:p>
        </w:tc>
        <w:tc>
          <w:tcPr>
            <w:tcW w:w="900" w:type="dxa"/>
            <w:tcBorders>
              <w:top w:val="nil"/>
              <w:left w:val="nil"/>
              <w:bottom w:val="single" w:sz="8" w:space="0" w:color="auto"/>
              <w:right w:val="nil"/>
            </w:tcBorders>
            <w:shd w:val="clear" w:color="auto" w:fill="auto"/>
            <w:noWrap/>
            <w:vAlign w:val="bottom"/>
          </w:tcPr>
          <w:p w:rsidR="006D795D" w:rsidRPr="00D94E51" w:rsidRDefault="006D795D" w:rsidP="005D0BAF">
            <w:pPr>
              <w:jc w:val="right"/>
              <w:rPr>
                <w:rFonts w:cs="Arial"/>
                <w:i/>
                <w:iCs/>
                <w:color w:val="000000"/>
                <w:sz w:val="16"/>
                <w:szCs w:val="16"/>
              </w:rPr>
            </w:pPr>
            <w:r w:rsidRPr="00D94E51">
              <w:rPr>
                <w:rFonts w:cs="Arial"/>
                <w:i/>
                <w:iCs/>
                <w:color w:val="000000"/>
                <w:sz w:val="16"/>
                <w:szCs w:val="16"/>
              </w:rPr>
              <w:t>103,5</w:t>
            </w:r>
          </w:p>
        </w:tc>
      </w:tr>
      <w:tr w:rsidR="006D795D" w:rsidRPr="00D94E51" w:rsidTr="005D0BAF">
        <w:trPr>
          <w:gridAfter w:val="1"/>
          <w:wAfter w:w="66" w:type="dxa"/>
          <w:trHeight w:val="265"/>
        </w:trPr>
        <w:tc>
          <w:tcPr>
            <w:tcW w:w="3471" w:type="dxa"/>
            <w:tcBorders>
              <w:top w:val="nil"/>
              <w:left w:val="nil"/>
              <w:bottom w:val="single" w:sz="8" w:space="0" w:color="auto"/>
              <w:right w:val="single" w:sz="4" w:space="0" w:color="auto"/>
            </w:tcBorders>
            <w:shd w:val="clear" w:color="000000" w:fill="F2DCDB"/>
            <w:noWrap/>
            <w:vAlign w:val="bottom"/>
            <w:hideMark/>
          </w:tcPr>
          <w:p w:rsidR="006D795D" w:rsidRPr="00D94E51" w:rsidRDefault="006D795D" w:rsidP="005D0BAF">
            <w:pPr>
              <w:spacing w:line="240" w:lineRule="auto"/>
              <w:rPr>
                <w:rFonts w:cs="Arial"/>
                <w:b/>
                <w:bCs/>
                <w:sz w:val="16"/>
                <w:szCs w:val="16"/>
              </w:rPr>
            </w:pPr>
            <w:r w:rsidRPr="00D94E51">
              <w:rPr>
                <w:rFonts w:cs="Arial"/>
                <w:b/>
                <w:bCs/>
                <w:sz w:val="16"/>
                <w:szCs w:val="16"/>
              </w:rPr>
              <w:t>Zdravotní péče celkem</w:t>
            </w:r>
          </w:p>
        </w:tc>
        <w:tc>
          <w:tcPr>
            <w:tcW w:w="852" w:type="dxa"/>
            <w:tcBorders>
              <w:top w:val="nil"/>
              <w:left w:val="nil"/>
              <w:bottom w:val="single" w:sz="8" w:space="0" w:color="auto"/>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42 705</w:t>
            </w:r>
          </w:p>
        </w:tc>
        <w:tc>
          <w:tcPr>
            <w:tcW w:w="852" w:type="dxa"/>
            <w:tcBorders>
              <w:top w:val="nil"/>
              <w:left w:val="nil"/>
              <w:bottom w:val="single" w:sz="8" w:space="0" w:color="auto"/>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46 490</w:t>
            </w:r>
          </w:p>
        </w:tc>
        <w:tc>
          <w:tcPr>
            <w:tcW w:w="852" w:type="dxa"/>
            <w:tcBorders>
              <w:top w:val="nil"/>
              <w:left w:val="nil"/>
              <w:bottom w:val="single" w:sz="8" w:space="0" w:color="auto"/>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49 358</w:t>
            </w:r>
          </w:p>
        </w:tc>
        <w:tc>
          <w:tcPr>
            <w:tcW w:w="852" w:type="dxa"/>
            <w:tcBorders>
              <w:top w:val="nil"/>
              <w:left w:val="nil"/>
              <w:bottom w:val="single" w:sz="8" w:space="0" w:color="auto"/>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51 215</w:t>
            </w:r>
          </w:p>
        </w:tc>
        <w:tc>
          <w:tcPr>
            <w:tcW w:w="852" w:type="dxa"/>
            <w:tcBorders>
              <w:top w:val="nil"/>
              <w:left w:val="nil"/>
              <w:bottom w:val="single" w:sz="8" w:space="0" w:color="auto"/>
              <w:right w:val="single" w:sz="4" w:space="0" w:color="auto"/>
            </w:tcBorders>
            <w:shd w:val="clear" w:color="000000" w:fill="F2DCDB"/>
            <w:noWrap/>
            <w:vAlign w:val="bottom"/>
          </w:tcPr>
          <w:p w:rsidR="006D795D" w:rsidRPr="00D94E51" w:rsidRDefault="006D795D" w:rsidP="005D0BAF">
            <w:pPr>
              <w:jc w:val="right"/>
              <w:rPr>
                <w:rFonts w:cs="Arial"/>
                <w:b/>
                <w:bCs/>
                <w:sz w:val="16"/>
                <w:szCs w:val="16"/>
              </w:rPr>
            </w:pPr>
            <w:r w:rsidRPr="00D94E51">
              <w:rPr>
                <w:rFonts w:cs="Arial"/>
                <w:b/>
                <w:bCs/>
                <w:sz w:val="16"/>
                <w:szCs w:val="16"/>
              </w:rPr>
              <w:t>54 051</w:t>
            </w:r>
          </w:p>
        </w:tc>
        <w:tc>
          <w:tcPr>
            <w:tcW w:w="853" w:type="dxa"/>
            <w:tcBorders>
              <w:top w:val="nil"/>
              <w:left w:val="nil"/>
              <w:bottom w:val="single" w:sz="8" w:space="0" w:color="auto"/>
              <w:right w:val="single" w:sz="4" w:space="0" w:color="auto"/>
            </w:tcBorders>
            <w:shd w:val="clear" w:color="000000" w:fill="F2DCDB"/>
            <w:noWrap/>
            <w:vAlign w:val="bottom"/>
          </w:tcPr>
          <w:p w:rsidR="006D795D" w:rsidRPr="00D94E51" w:rsidRDefault="006D795D" w:rsidP="005D0BAF">
            <w:pPr>
              <w:jc w:val="right"/>
              <w:rPr>
                <w:rFonts w:cs="Arial"/>
                <w:b/>
                <w:bCs/>
                <w:color w:val="000000"/>
                <w:sz w:val="16"/>
                <w:szCs w:val="16"/>
              </w:rPr>
            </w:pPr>
            <w:r w:rsidRPr="00D94E51">
              <w:rPr>
                <w:rFonts w:cs="Arial"/>
                <w:b/>
                <w:bCs/>
                <w:color w:val="000000"/>
                <w:sz w:val="16"/>
                <w:szCs w:val="16"/>
              </w:rPr>
              <w:t>57 765</w:t>
            </w:r>
          </w:p>
        </w:tc>
        <w:tc>
          <w:tcPr>
            <w:tcW w:w="900" w:type="dxa"/>
            <w:tcBorders>
              <w:top w:val="nil"/>
              <w:left w:val="nil"/>
              <w:bottom w:val="single" w:sz="8" w:space="0" w:color="auto"/>
              <w:right w:val="nil"/>
            </w:tcBorders>
            <w:shd w:val="clear" w:color="000000" w:fill="F2DCDB"/>
            <w:noWrap/>
            <w:vAlign w:val="bottom"/>
          </w:tcPr>
          <w:p w:rsidR="006D795D" w:rsidRPr="00D94E51" w:rsidRDefault="006D795D" w:rsidP="005D0BAF">
            <w:pPr>
              <w:jc w:val="right"/>
              <w:rPr>
                <w:rFonts w:cs="Arial"/>
                <w:i/>
                <w:iCs/>
                <w:color w:val="000000"/>
                <w:sz w:val="16"/>
                <w:szCs w:val="16"/>
              </w:rPr>
            </w:pPr>
            <w:r w:rsidRPr="00D94E51">
              <w:rPr>
                <w:rFonts w:cs="Arial"/>
                <w:i/>
                <w:iCs/>
                <w:color w:val="000000"/>
                <w:sz w:val="16"/>
                <w:szCs w:val="16"/>
              </w:rPr>
              <w:t>106,9</w:t>
            </w:r>
          </w:p>
        </w:tc>
      </w:tr>
    </w:tbl>
    <w:p w:rsidR="006D795D" w:rsidRPr="00D94E51" w:rsidRDefault="006D795D" w:rsidP="006D795D">
      <w:pPr>
        <w:spacing w:before="120" w:line="240" w:lineRule="auto"/>
        <w:ind w:firstLine="708"/>
        <w:rPr>
          <w:b/>
          <w:bCs/>
          <w:i/>
          <w:sz w:val="16"/>
          <w:szCs w:val="16"/>
        </w:rPr>
      </w:pPr>
      <w:r w:rsidRPr="00D94E51">
        <w:rPr>
          <w:b/>
          <w:bCs/>
          <w:i/>
          <w:sz w:val="16"/>
          <w:szCs w:val="16"/>
        </w:rPr>
        <w:t xml:space="preserve">                                                                                                              Zdroj: ČSÚ 2020, Zdravotnické účty ČR 2010</w:t>
      </w:r>
      <w:r w:rsidRPr="00D94E51">
        <w:rPr>
          <w:sz w:val="16"/>
          <w:szCs w:val="16"/>
        </w:rPr>
        <w:t>–</w:t>
      </w:r>
      <w:r w:rsidRPr="00D94E51">
        <w:rPr>
          <w:b/>
          <w:bCs/>
          <w:i/>
          <w:sz w:val="16"/>
          <w:szCs w:val="16"/>
        </w:rPr>
        <w:t xml:space="preserve">2018 </w:t>
      </w:r>
    </w:p>
    <w:p w:rsidR="006D795D" w:rsidRPr="00D94E51" w:rsidRDefault="006D795D" w:rsidP="006D795D">
      <w:pPr>
        <w:spacing w:before="240" w:after="120"/>
        <w:jc w:val="both"/>
        <w:rPr>
          <w:rFonts w:eastAsia="MS Gothic"/>
        </w:rPr>
      </w:pPr>
    </w:p>
    <w:p w:rsidR="006D795D" w:rsidRPr="00D94E51" w:rsidRDefault="006D795D" w:rsidP="006D795D">
      <w:pPr>
        <w:spacing w:before="240" w:after="120"/>
        <w:jc w:val="both"/>
        <w:rPr>
          <w:rFonts w:eastAsia="MS Gothic"/>
        </w:rPr>
      </w:pPr>
    </w:p>
    <w:p w:rsidR="006D795D" w:rsidRPr="00D94E51" w:rsidRDefault="006D795D" w:rsidP="006D795D">
      <w:pPr>
        <w:spacing w:before="240" w:after="120"/>
        <w:jc w:val="both"/>
        <w:rPr>
          <w:rFonts w:eastAsia="MS Gothic"/>
        </w:rPr>
      </w:pPr>
    </w:p>
    <w:p w:rsidR="006D795D" w:rsidRPr="00D94E51" w:rsidRDefault="006D795D" w:rsidP="006D795D">
      <w:pPr>
        <w:spacing w:before="240" w:after="120"/>
        <w:jc w:val="both"/>
        <w:rPr>
          <w:rFonts w:eastAsia="MS Gothic"/>
        </w:rPr>
      </w:pPr>
    </w:p>
    <w:p w:rsidR="006D795D" w:rsidRPr="00D94E51" w:rsidRDefault="006D795D" w:rsidP="006D795D">
      <w:pPr>
        <w:keepNext/>
        <w:spacing w:before="240"/>
        <w:jc w:val="both"/>
        <w:rPr>
          <w:rFonts w:cs="Arial"/>
          <w:sz w:val="18"/>
          <w:szCs w:val="18"/>
        </w:rPr>
      </w:pPr>
      <w:r w:rsidRPr="00D94E51">
        <w:rPr>
          <w:rFonts w:cs="Arial"/>
          <w:sz w:val="18"/>
          <w:szCs w:val="18"/>
        </w:rPr>
        <w:lastRenderedPageBreak/>
        <w:t>Přehlednější strukturu výdajů domácností podle druhů zdravotní péče v roce 2018 dokládá následující graf.</w:t>
      </w:r>
    </w:p>
    <w:p w:rsidR="006D795D" w:rsidRPr="00D94E51" w:rsidRDefault="006D795D" w:rsidP="006D795D">
      <w:pPr>
        <w:keepNext/>
        <w:spacing w:before="240"/>
        <w:jc w:val="both"/>
        <w:rPr>
          <w:rFonts w:cs="Arial"/>
          <w:b/>
          <w:sz w:val="18"/>
          <w:szCs w:val="18"/>
        </w:rPr>
      </w:pPr>
      <w:r w:rsidRPr="00D94E51">
        <w:rPr>
          <w:rFonts w:cs="Arial"/>
          <w:b/>
          <w:sz w:val="18"/>
          <w:szCs w:val="18"/>
        </w:rPr>
        <w:t>Graf č. 3.2. Výdaje domácností v Česku na zdravotní péči, 2018 (mil. Kč; %)</w:t>
      </w:r>
    </w:p>
    <w:p w:rsidR="006D795D" w:rsidRPr="00D94E51" w:rsidRDefault="006D795D" w:rsidP="006D795D">
      <w:pPr>
        <w:spacing w:before="120" w:line="240" w:lineRule="auto"/>
        <w:jc w:val="right"/>
        <w:rPr>
          <w:b/>
          <w:bCs/>
          <w:i/>
          <w:sz w:val="16"/>
          <w:szCs w:val="16"/>
        </w:rPr>
      </w:pPr>
      <w:r w:rsidRPr="00D94E51">
        <w:rPr>
          <w:noProof/>
        </w:rPr>
        <w:drawing>
          <wp:inline distT="0" distB="0" distL="0" distR="0" wp14:anchorId="134638EC" wp14:editId="080261DF">
            <wp:extent cx="6048000" cy="2829600"/>
            <wp:effectExtent l="0" t="0" r="10160" b="2794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D795D" w:rsidRPr="00D94E51" w:rsidRDefault="006D795D" w:rsidP="006D795D">
      <w:pPr>
        <w:spacing w:before="120" w:after="120" w:line="240" w:lineRule="auto"/>
        <w:jc w:val="right"/>
        <w:rPr>
          <w:b/>
          <w:bCs/>
          <w:i/>
          <w:sz w:val="16"/>
          <w:szCs w:val="16"/>
        </w:rPr>
      </w:pPr>
      <w:r w:rsidRPr="00D94E51">
        <w:rPr>
          <w:b/>
          <w:bCs/>
          <w:i/>
          <w:sz w:val="16"/>
          <w:szCs w:val="16"/>
        </w:rPr>
        <w:t>Zdroj: ČSÚ 2020, Zdravotnické účty ČR 2010</w:t>
      </w:r>
      <w:r w:rsidRPr="00D94E51">
        <w:rPr>
          <w:sz w:val="16"/>
          <w:szCs w:val="16"/>
        </w:rPr>
        <w:t>–</w:t>
      </w:r>
      <w:r w:rsidRPr="00D94E51">
        <w:rPr>
          <w:b/>
          <w:bCs/>
          <w:i/>
          <w:sz w:val="16"/>
          <w:szCs w:val="16"/>
        </w:rPr>
        <w:t xml:space="preserve">2018 </w:t>
      </w:r>
    </w:p>
    <w:p w:rsidR="006D795D" w:rsidRPr="00D94E51" w:rsidRDefault="006D795D" w:rsidP="006D795D">
      <w:pPr>
        <w:spacing w:before="240" w:after="120"/>
        <w:rPr>
          <w:rFonts w:eastAsia="MS Gothic"/>
          <w:b/>
          <w:i/>
        </w:rPr>
      </w:pPr>
      <w:r w:rsidRPr="00D94E51">
        <w:rPr>
          <w:rFonts w:eastAsia="MS Gothic"/>
          <w:b/>
          <w:i/>
        </w:rPr>
        <w:t>Téměř pětinu z celkových  výdajů na zdravotní péči zaplatí domácnosti za stomatologická ošetření  </w:t>
      </w:r>
    </w:p>
    <w:p w:rsidR="006D795D" w:rsidRPr="00D94E51" w:rsidRDefault="006D795D" w:rsidP="006D795D">
      <w:pPr>
        <w:spacing w:before="120"/>
        <w:jc w:val="both"/>
        <w:rPr>
          <w:szCs w:val="20"/>
        </w:rPr>
      </w:pPr>
      <w:r w:rsidRPr="00D94E51">
        <w:rPr>
          <w:szCs w:val="20"/>
        </w:rPr>
        <w:t xml:space="preserve">Výdaje domácností na </w:t>
      </w:r>
      <w:r w:rsidRPr="00D94E51">
        <w:rPr>
          <w:b/>
          <w:szCs w:val="20"/>
        </w:rPr>
        <w:t xml:space="preserve">stomatologickou ambulantní péči </w:t>
      </w:r>
      <w:r w:rsidRPr="00D94E51">
        <w:rPr>
          <w:szCs w:val="20"/>
        </w:rPr>
        <w:t xml:space="preserve">v roce 2018 dosáhly částky 11,1 mld. Kč a v porovnání s předchozím rokem vzrostly o 9 %. Oproti roku 2010, kdy lidé zaplatili za stomatologická ošetření z vlastních zdrojů 7,1 mld. Kč, se v posledním sledovaném roce zvýšila uvedená částka o více než polovinu na stávajících 11,1 mld. Kč. Hodnota průměrného tempa růstu je 5,8 %. Celkově lidé vydali v období </w:t>
      </w:r>
      <w:r w:rsidRPr="00D94E51">
        <w:rPr>
          <w:szCs w:val="17"/>
        </w:rPr>
        <w:t>2010</w:t>
      </w:r>
      <w:r w:rsidRPr="00D94E51">
        <w:rPr>
          <w:rFonts w:eastAsia="Calibri" w:cs="Arial"/>
          <w:szCs w:val="20"/>
          <w:lang w:eastAsia="en-US"/>
        </w:rPr>
        <w:t>–2</w:t>
      </w:r>
      <w:r w:rsidRPr="00D94E51">
        <w:rPr>
          <w:szCs w:val="17"/>
        </w:rPr>
        <w:t xml:space="preserve">018 </w:t>
      </w:r>
      <w:r w:rsidRPr="00D94E51">
        <w:rPr>
          <w:szCs w:val="20"/>
        </w:rPr>
        <w:t xml:space="preserve">na stomatologická ošetření nad rámec veřejného zdravotního pojištění téměř 78 mld. Kč. U stomatologů, kteří spolupracují se zdravotními pojišťovnami, si často pacienti připlácí za nestandardní lékařské úkony a materiály. Pokud zubař nemá uzavřenou smlouvu se zdravotními pojišťovnami, jsou veškerá ošetření hrazena pacientem dle ceníku příslušného pracoviště. V roce 2018 doplatil v průměru </w:t>
      </w:r>
      <w:r w:rsidRPr="00D94E51">
        <w:rPr>
          <w:b/>
          <w:szCs w:val="20"/>
        </w:rPr>
        <w:t>jeden obyvatel</w:t>
      </w:r>
      <w:r w:rsidRPr="00D94E51">
        <w:rPr>
          <w:szCs w:val="20"/>
        </w:rPr>
        <w:t xml:space="preserve"> České republiky z vlastní kapsy na stomatologický zákrok </w:t>
      </w:r>
      <w:r w:rsidRPr="00D94E51">
        <w:rPr>
          <w:b/>
          <w:szCs w:val="20"/>
        </w:rPr>
        <w:t>1 049 Kč</w:t>
      </w:r>
      <w:r w:rsidRPr="00D94E51">
        <w:rPr>
          <w:szCs w:val="20"/>
        </w:rPr>
        <w:t xml:space="preserve"> (v roce 2010 to bylo 677 Kč).</w:t>
      </w:r>
    </w:p>
    <w:p w:rsidR="006D795D" w:rsidRPr="00D94E51" w:rsidRDefault="006D795D" w:rsidP="006D795D">
      <w:pPr>
        <w:spacing w:line="240" w:lineRule="auto"/>
        <w:rPr>
          <w:rFonts w:cs="Arial"/>
          <w:b/>
          <w:bCs/>
          <w:color w:val="000000"/>
          <w:sz w:val="18"/>
          <w:szCs w:val="18"/>
        </w:rPr>
      </w:pPr>
    </w:p>
    <w:p w:rsidR="006D795D" w:rsidRPr="00D94E51" w:rsidRDefault="006D795D" w:rsidP="006D795D">
      <w:pPr>
        <w:spacing w:line="240" w:lineRule="auto"/>
        <w:rPr>
          <w:rFonts w:cs="Arial"/>
          <w:b/>
          <w:bCs/>
          <w:color w:val="000000"/>
          <w:sz w:val="18"/>
          <w:szCs w:val="18"/>
        </w:rPr>
      </w:pPr>
      <w:r w:rsidRPr="00D94E51">
        <w:rPr>
          <w:rFonts w:cs="Arial"/>
          <w:b/>
          <w:bCs/>
          <w:color w:val="000000"/>
          <w:sz w:val="18"/>
          <w:szCs w:val="18"/>
        </w:rPr>
        <w:t>Graf č. 3.3. Výdaje domácností na ambulantní péči v Česku, 2010 - 2018 (mil. Kč)</w:t>
      </w:r>
    </w:p>
    <w:p w:rsidR="006D795D" w:rsidRPr="00D94E51" w:rsidRDefault="006D795D" w:rsidP="006D795D">
      <w:pPr>
        <w:spacing w:before="120" w:after="120" w:line="240" w:lineRule="auto"/>
        <w:jc w:val="right"/>
        <w:rPr>
          <w:b/>
          <w:bCs/>
          <w:i/>
          <w:sz w:val="16"/>
          <w:szCs w:val="16"/>
        </w:rPr>
      </w:pPr>
      <w:r w:rsidRPr="00D94E51">
        <w:rPr>
          <w:noProof/>
        </w:rPr>
        <w:drawing>
          <wp:inline distT="0" distB="0" distL="0" distR="0" wp14:anchorId="5E715AF6" wp14:editId="3DBB7CFD">
            <wp:extent cx="6127200" cy="2584800"/>
            <wp:effectExtent l="0" t="0" r="26035" b="2540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D94E51">
        <w:rPr>
          <w:rFonts w:eastAsia="MS Gothic"/>
          <w:b/>
          <w:i/>
          <w:sz w:val="16"/>
          <w:szCs w:val="16"/>
        </w:rPr>
        <w:t>Zd</w:t>
      </w:r>
      <w:r w:rsidRPr="00D94E51">
        <w:rPr>
          <w:b/>
          <w:bCs/>
          <w:i/>
          <w:sz w:val="16"/>
          <w:szCs w:val="16"/>
        </w:rPr>
        <w:t>roj: ČSÚ 2020, Zdravotnické účty ČR 2010</w:t>
      </w:r>
      <w:r w:rsidRPr="00D94E51">
        <w:rPr>
          <w:sz w:val="16"/>
          <w:szCs w:val="16"/>
        </w:rPr>
        <w:t>–</w:t>
      </w:r>
      <w:r w:rsidRPr="00D94E51">
        <w:rPr>
          <w:b/>
          <w:bCs/>
          <w:i/>
          <w:sz w:val="16"/>
          <w:szCs w:val="16"/>
        </w:rPr>
        <w:t xml:space="preserve">2018 </w:t>
      </w:r>
    </w:p>
    <w:p w:rsidR="006D795D" w:rsidRPr="00D94E51" w:rsidRDefault="006D795D" w:rsidP="006D795D">
      <w:pPr>
        <w:spacing w:before="240" w:after="120"/>
        <w:jc w:val="both"/>
        <w:rPr>
          <w:rFonts w:eastAsia="MS Gothic"/>
        </w:rPr>
      </w:pPr>
      <w:r w:rsidRPr="00D94E51">
        <w:rPr>
          <w:rFonts w:eastAsia="MS Gothic"/>
        </w:rPr>
        <w:lastRenderedPageBreak/>
        <w:t xml:space="preserve">Za </w:t>
      </w:r>
      <w:r w:rsidRPr="00D94E51">
        <w:rPr>
          <w:rFonts w:eastAsia="MS Gothic"/>
          <w:b/>
        </w:rPr>
        <w:t>ambulantní zdravotní péči</w:t>
      </w:r>
      <w:r w:rsidRPr="00D94E51">
        <w:rPr>
          <w:rFonts w:eastAsia="MS Gothic"/>
        </w:rPr>
        <w:t xml:space="preserve">, včetně stomatologické a rehabilitační, utratily domácnosti v roce 2018 celkovou částku 19 miliard Kč, což je třetina celkových výdajů domácností na zdravotní péči. V porovnání s rokem 2010 vzrostly výdaje téměř o dvě pětiny a průměrné tempo růstu činilo 4,4 %. Graf </w:t>
      </w:r>
      <w:proofErr w:type="gramStart"/>
      <w:r w:rsidRPr="00D94E51">
        <w:rPr>
          <w:rFonts w:eastAsia="MS Gothic"/>
        </w:rPr>
        <w:t>č.3.3</w:t>
      </w:r>
      <w:proofErr w:type="gramEnd"/>
      <w:r w:rsidRPr="00D94E51">
        <w:rPr>
          <w:rFonts w:eastAsia="MS Gothic"/>
        </w:rPr>
        <w:t xml:space="preserve">. naznačuje poměrně stabilní vývoj výdajů domácností na všechny typy ambulantní péče, s výjimkou výše zmíněné péče stomatologické. Z údajů v tabulce č. </w:t>
      </w:r>
      <w:proofErr w:type="gramStart"/>
      <w:r w:rsidRPr="00D94E51">
        <w:rPr>
          <w:rFonts w:eastAsia="MS Gothic"/>
        </w:rPr>
        <w:t>3.1. je</w:t>
      </w:r>
      <w:proofErr w:type="gramEnd"/>
      <w:r w:rsidRPr="00D94E51">
        <w:rPr>
          <w:rFonts w:eastAsia="MS Gothic"/>
        </w:rPr>
        <w:t xml:space="preserve"> patrné, že výdaje domácností na stomatologickou ambulantní péči jsou dlouhodobě vyšší než výdaje za ambulantní péči všeobecnou, specializovanou a rehabilitační dohromady. </w:t>
      </w:r>
    </w:p>
    <w:p w:rsidR="006D795D" w:rsidRPr="00D94E51" w:rsidRDefault="006D795D" w:rsidP="006D795D">
      <w:pPr>
        <w:spacing w:before="200"/>
        <w:jc w:val="both"/>
        <w:rPr>
          <w:szCs w:val="20"/>
        </w:rPr>
      </w:pPr>
      <w:r w:rsidRPr="00D94E51">
        <w:rPr>
          <w:szCs w:val="17"/>
        </w:rPr>
        <w:t xml:space="preserve">Výdaje domácností </w:t>
      </w:r>
      <w:r w:rsidRPr="00D94E51">
        <w:rPr>
          <w:b/>
          <w:szCs w:val="17"/>
        </w:rPr>
        <w:t xml:space="preserve">na specializovanou ambulantní péči ve výši 3,8 mld. Kč, </w:t>
      </w:r>
      <w:r w:rsidRPr="00D94E51">
        <w:rPr>
          <w:szCs w:val="17"/>
        </w:rPr>
        <w:t xml:space="preserve">které zahrnují širokou škálu nejrůznějších úhrad například za služby nutričních terapeutů, center léčby obezity, center asistované reprodukce, dermatologické zákroky nehrazené ze zdravotního pojištění, kosmetické operace, zůstaly v porovnání s rokem 2017 stabilní. Také do výdajů na </w:t>
      </w:r>
      <w:r w:rsidRPr="00D94E51">
        <w:rPr>
          <w:b/>
          <w:szCs w:val="17"/>
        </w:rPr>
        <w:t>všeobecnou ambulantní léčebnou péči</w:t>
      </w:r>
      <w:r w:rsidRPr="00D94E51">
        <w:rPr>
          <w:szCs w:val="17"/>
        </w:rPr>
        <w:t xml:space="preserve"> (zejména péče </w:t>
      </w:r>
      <w:r w:rsidRPr="00D94E51">
        <w:rPr>
          <w:szCs w:val="20"/>
        </w:rPr>
        <w:t xml:space="preserve">praktických lékařů pro dospělé a pro děti a dorost) se meziročně nepromítly žádné výrazné změny a jejich úroveň zůstává na hranici </w:t>
      </w:r>
      <w:r w:rsidRPr="00D94E51">
        <w:rPr>
          <w:b/>
          <w:szCs w:val="20"/>
        </w:rPr>
        <w:t>3 mld. Kč</w:t>
      </w:r>
      <w:r w:rsidRPr="00D94E51">
        <w:rPr>
          <w:szCs w:val="20"/>
        </w:rPr>
        <w:t xml:space="preserve">. U všeobecné ambulantní péče se jedná, mimo jiné, o výdaje na různá očkování, vyšetření a potvrzení o zdravotním stavu k úrazovému pojištění, k řidičskému, zbrojnímu či zdravotnímu průkazu a v neposlední řadě preventivní vyšetření nehrazená z veřejného zdravotního pojištění. </w:t>
      </w:r>
    </w:p>
    <w:p w:rsidR="006D795D" w:rsidRPr="00D94E51" w:rsidRDefault="006D795D" w:rsidP="006D795D">
      <w:pPr>
        <w:spacing w:before="120"/>
        <w:jc w:val="both"/>
        <w:rPr>
          <w:b/>
          <w:i/>
          <w:szCs w:val="20"/>
        </w:rPr>
      </w:pPr>
      <w:r w:rsidRPr="00D94E51">
        <w:rPr>
          <w:b/>
          <w:i/>
          <w:szCs w:val="20"/>
        </w:rPr>
        <w:t>Na lůžkovou rehabilitační péči, včetně lázeňské, si lidé v roce 2018 připlatili 3 miliardy korun</w:t>
      </w:r>
    </w:p>
    <w:p w:rsidR="006D795D" w:rsidRPr="00D94E51" w:rsidRDefault="006D795D" w:rsidP="006D795D">
      <w:pPr>
        <w:spacing w:before="120"/>
        <w:jc w:val="both"/>
        <w:rPr>
          <w:szCs w:val="20"/>
        </w:rPr>
      </w:pPr>
      <w:r w:rsidRPr="00D94E51">
        <w:rPr>
          <w:szCs w:val="20"/>
        </w:rPr>
        <w:t xml:space="preserve">V roce 2018 zaplatily české domácnosti kompletně za </w:t>
      </w:r>
      <w:r w:rsidRPr="00D94E51">
        <w:rPr>
          <w:b/>
          <w:szCs w:val="20"/>
        </w:rPr>
        <w:t>rehabilitační péči</w:t>
      </w:r>
      <w:r w:rsidRPr="00D94E51">
        <w:rPr>
          <w:szCs w:val="20"/>
        </w:rPr>
        <w:t xml:space="preserve"> čtyři miliardy (4,1 mld. Kč). Tyto výdaje se tak podílely 7,1 % na celkových přímých výdajích domácností na zdravotnictví. V období </w:t>
      </w:r>
      <w:r w:rsidRPr="00D94E51">
        <w:rPr>
          <w:szCs w:val="17"/>
        </w:rPr>
        <w:t>2010</w:t>
      </w:r>
      <w:r w:rsidRPr="00D94E51">
        <w:rPr>
          <w:rFonts w:eastAsia="Calibri" w:cs="Arial"/>
          <w:szCs w:val="20"/>
          <w:lang w:eastAsia="en-US"/>
        </w:rPr>
        <w:t>–2</w:t>
      </w:r>
      <w:r w:rsidRPr="00D94E51">
        <w:rPr>
          <w:szCs w:val="17"/>
        </w:rPr>
        <w:t xml:space="preserve">018 </w:t>
      </w:r>
      <w:r w:rsidRPr="00D94E51">
        <w:rPr>
          <w:szCs w:val="20"/>
        </w:rPr>
        <w:t xml:space="preserve">zaplatily české domácnosti za </w:t>
      </w:r>
      <w:r w:rsidRPr="00D94E51">
        <w:rPr>
          <w:b/>
          <w:szCs w:val="20"/>
        </w:rPr>
        <w:t>lůžkovou rehabilitační (lázeňskou) péči</w:t>
      </w:r>
      <w:r w:rsidRPr="00D94E51">
        <w:rPr>
          <w:szCs w:val="20"/>
        </w:rPr>
        <w:t xml:space="preserve"> celkem více než dvacet miliard (22,3 mld. Kč). Výdaje za uvedený druh péče v roce 2018 jsou o 92 % vyšší než v roce 2010, kdy dosáhly 1,6 mld. Kč.</w:t>
      </w:r>
      <w:r w:rsidRPr="00D94E51">
        <w:rPr>
          <w:i/>
          <w:szCs w:val="20"/>
        </w:rPr>
        <w:t xml:space="preserve"> </w:t>
      </w:r>
      <w:r w:rsidRPr="00D94E51">
        <w:rPr>
          <w:szCs w:val="20"/>
        </w:rPr>
        <w:t xml:space="preserve">Výdaje za </w:t>
      </w:r>
      <w:r w:rsidRPr="00D94E51">
        <w:rPr>
          <w:b/>
          <w:szCs w:val="20"/>
        </w:rPr>
        <w:t>ambulantní rehabilitační péči</w:t>
      </w:r>
      <w:r w:rsidRPr="00D94E51">
        <w:rPr>
          <w:szCs w:val="20"/>
        </w:rPr>
        <w:t xml:space="preserve"> od roku 2010 postupně rostly a v posledních třech letech se pohybují na úrovni 1 mld. Kč. </w:t>
      </w:r>
    </w:p>
    <w:p w:rsidR="006D795D" w:rsidRPr="00D94E51" w:rsidRDefault="006D795D" w:rsidP="006D795D">
      <w:pPr>
        <w:spacing w:before="120"/>
        <w:jc w:val="both"/>
        <w:rPr>
          <w:i/>
          <w:color w:val="FF0000"/>
          <w:szCs w:val="20"/>
        </w:rPr>
      </w:pPr>
      <w:r w:rsidRPr="00D94E51">
        <w:rPr>
          <w:i/>
          <w:szCs w:val="20"/>
        </w:rPr>
        <w:t>Domácnosti se finančně podílejí především na příspěvkové lázeňské péči, která byla v roce 2013 na základě novely vyhlášky tzv. Indikačního programu o týden zkrácena (ze tří na dva týdny), což se projevilo snížením těchto výdajů v daném roce. V dubnu 2014 bylo toto omezení zrušeno a výdaje na lůžkovou rehabilitační péči opět pozvolna vzrostly, což se potvrdilo i v následujících třech letech. Příspěvková lázeňská péče je poskytována především pacientům s chronickým onemocněním většinou jednou za dva roky</w:t>
      </w:r>
      <w:r w:rsidRPr="00D94E51">
        <w:rPr>
          <w:i/>
        </w:rPr>
        <w:t xml:space="preserve"> a </w:t>
      </w:r>
      <w:r w:rsidRPr="00D94E51">
        <w:rPr>
          <w:i/>
          <w:szCs w:val="20"/>
        </w:rPr>
        <w:t>z veřejného zdravotního pojištění jsou jim hrazeny pouze léčebné procedury. V</w:t>
      </w:r>
      <w:r w:rsidRPr="00D94E51">
        <w:rPr>
          <w:i/>
        </w:rPr>
        <w:t> roce 2018 využilo tento druh lázeňské rehabilitační péče 7 662 tuzemských pacientů (pro zajímavost v roce 2010 jich bylo 14 989).</w:t>
      </w:r>
      <w:r w:rsidRPr="00D94E51">
        <w:rPr>
          <w:i/>
          <w:szCs w:val="20"/>
        </w:rPr>
        <w:t xml:space="preserve"> Samoplátci, kteří si hradí všechny náklady spojené s pobytem a léčbou z vlastní kapsy, činili v roce 2018 téměř polovinu z celkového počtu 208 436 tuzemských lázeňských pacientů. V tomto případě nemusí mít klient lékařské doporučení a doba pobytu není nijak omezena. Až 89 % tuzemských samoplátců navštěvuje lázně z důvodu onemocnění pohybového ústrojí a 5 % kvůli nemocem dýchacího systému. Zdravotní pojišťovny uhradily komplexní léčbu 101 509 pacientům. Nejvíce dospělých pacientů (59 %) se takto léčí s nemocemi pohybového ústrojí a 49 % dětí s onemocněními dýchacích cest. </w:t>
      </w:r>
    </w:p>
    <w:p w:rsidR="006D795D" w:rsidRPr="00D94E51" w:rsidRDefault="006D795D" w:rsidP="006D795D">
      <w:pPr>
        <w:spacing w:before="120"/>
        <w:jc w:val="both"/>
        <w:rPr>
          <w:rFonts w:cs="Arial"/>
          <w:szCs w:val="20"/>
        </w:rPr>
      </w:pPr>
      <w:r w:rsidRPr="00D94E51">
        <w:rPr>
          <w:rFonts w:cs="Arial"/>
          <w:szCs w:val="20"/>
        </w:rPr>
        <w:t xml:space="preserve">Pro úplnost přidáváme ještě informaci, která se týká výdajů na </w:t>
      </w:r>
      <w:r w:rsidRPr="00D94E51">
        <w:rPr>
          <w:rFonts w:cs="Arial"/>
          <w:b/>
          <w:szCs w:val="20"/>
        </w:rPr>
        <w:t>lůžkovou léčebnou péči</w:t>
      </w:r>
      <w:r w:rsidRPr="00D94E51">
        <w:rPr>
          <w:rFonts w:cs="Arial"/>
          <w:szCs w:val="20"/>
        </w:rPr>
        <w:t xml:space="preserve">. V roce 2018 byl v porovnání s předchozím rokem zaznamenán jejich 4% nárůst. Celková výše výdajů domácností na tento druh zdravotní péče je velmi nízká a pohybuje se okolo 0,9 mld. Kč. </w:t>
      </w:r>
    </w:p>
    <w:p w:rsidR="006D795D" w:rsidRPr="00D94E51" w:rsidRDefault="006D795D" w:rsidP="006D795D">
      <w:pPr>
        <w:spacing w:before="240" w:after="120"/>
        <w:rPr>
          <w:rFonts w:eastAsia="MS Gothic"/>
          <w:b/>
          <w:i/>
        </w:rPr>
      </w:pPr>
      <w:r w:rsidRPr="00D94E51">
        <w:rPr>
          <w:rFonts w:eastAsia="MS Gothic"/>
          <w:b/>
          <w:i/>
        </w:rPr>
        <w:t>Léky tvoří dlouhodobě největší část výdajů domácností na zdravotní péči</w:t>
      </w:r>
    </w:p>
    <w:p w:rsidR="006D795D" w:rsidRPr="00D94E51" w:rsidRDefault="006D795D" w:rsidP="006D795D">
      <w:pPr>
        <w:spacing w:before="200"/>
        <w:jc w:val="both"/>
        <w:rPr>
          <w:rFonts w:eastAsia="MS Gothic"/>
        </w:rPr>
      </w:pPr>
      <w:r w:rsidRPr="00D94E51">
        <w:rPr>
          <w:rFonts w:eastAsia="MS Gothic"/>
        </w:rPr>
        <w:t xml:space="preserve">Největší část finančních prostředků na zdravotní péči vydávají domácnosti každoročně </w:t>
      </w:r>
      <w:r w:rsidRPr="00D94E51">
        <w:rPr>
          <w:rFonts w:eastAsia="MS Gothic"/>
          <w:b/>
        </w:rPr>
        <w:t>na léčiva a ostatní zdravotnické výrobky</w:t>
      </w:r>
      <w:r w:rsidRPr="00D94E51">
        <w:rPr>
          <w:rFonts w:eastAsia="MS Gothic"/>
        </w:rPr>
        <w:t xml:space="preserve"> (34,7 mld. Kč v roce 2018). Čtyři pětiny z této kategorie tvoří náklady na léky na předpis i volně prodejné léky. Zbývající podíl výdajů z této kategorie směřuje na terapeutické pomůcky a vybavení (brýle, naslouchadla, ortopedické pomůcky, berle, invalidní vozíky, pomůcky pro diabetiky apod.). V porovnání s rokem 2017 se výdaje domácností na terapeutické pomůcky zvýšily pouze mírně (cca o 3 %) což bylo ovlivněno i skutečností, že zdravotní pojišťovny začaly hradit více výrobků z této kategorie. Částka ve výši 34,7 mld. Kč (viz tabulka č. 5), kterou zaplatily domácnosti v roce 2018 za léčiva a zdravotnické výrobky, tvořila </w:t>
      </w:r>
      <w:r w:rsidRPr="00D94E51">
        <w:rPr>
          <w:rFonts w:eastAsia="MS Gothic"/>
          <w:b/>
        </w:rPr>
        <w:t>8 % z celkových výdajů na zdravotní péči</w:t>
      </w:r>
      <w:r w:rsidRPr="00D94E51">
        <w:rPr>
          <w:rFonts w:eastAsia="MS Gothic"/>
        </w:rPr>
        <w:t>.</w:t>
      </w:r>
    </w:p>
    <w:p w:rsidR="006D795D" w:rsidRPr="00D94E51" w:rsidRDefault="006D795D" w:rsidP="006D795D">
      <w:pPr>
        <w:spacing w:line="240" w:lineRule="auto"/>
        <w:jc w:val="both"/>
        <w:rPr>
          <w:rFonts w:cs="Arial"/>
          <w:b/>
          <w:bCs/>
          <w:color w:val="000000"/>
          <w:sz w:val="18"/>
          <w:szCs w:val="18"/>
        </w:rPr>
      </w:pPr>
      <w:r w:rsidRPr="00D94E51">
        <w:rPr>
          <w:rFonts w:cs="Arial"/>
          <w:b/>
          <w:bCs/>
          <w:color w:val="000000"/>
          <w:sz w:val="18"/>
          <w:szCs w:val="18"/>
        </w:rPr>
        <w:lastRenderedPageBreak/>
        <w:t>Graf č. 3.4. Výdaje domácností na léky a ostatní zdravotnické výrobky, 2010</w:t>
      </w:r>
      <w:r w:rsidRPr="00D94E51">
        <w:rPr>
          <w:b/>
          <w:sz w:val="16"/>
          <w:szCs w:val="16"/>
        </w:rPr>
        <w:t>–</w:t>
      </w:r>
      <w:r w:rsidRPr="00D94E51">
        <w:rPr>
          <w:rFonts w:cs="Arial"/>
          <w:b/>
          <w:bCs/>
          <w:color w:val="000000"/>
          <w:sz w:val="18"/>
          <w:szCs w:val="18"/>
        </w:rPr>
        <w:t>2018 (mil. Kč)</w:t>
      </w:r>
    </w:p>
    <w:p w:rsidR="006D795D" w:rsidRPr="00D94E51" w:rsidRDefault="006D795D" w:rsidP="006D795D">
      <w:pPr>
        <w:spacing w:before="120"/>
        <w:jc w:val="both"/>
        <w:rPr>
          <w:szCs w:val="20"/>
        </w:rPr>
      </w:pPr>
      <w:r w:rsidRPr="00D94E51">
        <w:rPr>
          <w:noProof/>
        </w:rPr>
        <w:drawing>
          <wp:inline distT="0" distB="0" distL="0" distR="0" wp14:anchorId="5CB6C5C8" wp14:editId="6ACE7B9F">
            <wp:extent cx="6124575" cy="2609850"/>
            <wp:effectExtent l="0" t="0" r="9525" b="1905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D795D" w:rsidRPr="00D94E51" w:rsidRDefault="006D795D" w:rsidP="006D795D">
      <w:pPr>
        <w:spacing w:before="120"/>
        <w:jc w:val="right"/>
        <w:rPr>
          <w:b/>
          <w:bCs/>
          <w:i/>
          <w:sz w:val="16"/>
          <w:szCs w:val="16"/>
        </w:rPr>
      </w:pPr>
      <w:r w:rsidRPr="00D94E51">
        <w:rPr>
          <w:rFonts w:eastAsia="MS Gothic"/>
          <w:b/>
          <w:i/>
          <w:sz w:val="16"/>
          <w:szCs w:val="16"/>
        </w:rPr>
        <w:t>Zd</w:t>
      </w:r>
      <w:r w:rsidRPr="00D94E51">
        <w:rPr>
          <w:b/>
          <w:bCs/>
          <w:i/>
          <w:sz w:val="16"/>
          <w:szCs w:val="16"/>
        </w:rPr>
        <w:t>roj: ČSÚ 2020, Zdravotnické účty ČR 2010</w:t>
      </w:r>
      <w:r w:rsidRPr="00D94E51">
        <w:rPr>
          <w:sz w:val="16"/>
          <w:szCs w:val="16"/>
        </w:rPr>
        <w:t>–</w:t>
      </w:r>
      <w:r w:rsidRPr="00D94E51">
        <w:rPr>
          <w:b/>
          <w:bCs/>
          <w:i/>
          <w:sz w:val="16"/>
          <w:szCs w:val="16"/>
        </w:rPr>
        <w:t xml:space="preserve">2018 </w:t>
      </w:r>
    </w:p>
    <w:p w:rsidR="006D795D" w:rsidRPr="00D94E51" w:rsidRDefault="006D795D" w:rsidP="006D795D">
      <w:pPr>
        <w:spacing w:before="120"/>
        <w:jc w:val="both"/>
        <w:rPr>
          <w:szCs w:val="17"/>
        </w:rPr>
      </w:pPr>
      <w:r w:rsidRPr="00D94E51">
        <w:rPr>
          <w:szCs w:val="17"/>
        </w:rPr>
        <w:t xml:space="preserve">Výdaje domácností </w:t>
      </w:r>
      <w:r w:rsidRPr="00D94E51">
        <w:rPr>
          <w:b/>
          <w:szCs w:val="17"/>
        </w:rPr>
        <w:t>na volně prodejné léky</w:t>
      </w:r>
      <w:r w:rsidRPr="00D94E51">
        <w:rPr>
          <w:szCs w:val="17"/>
        </w:rPr>
        <w:t xml:space="preserve"> od roku 2013 každoročně pozvolna rostou průměrným tempem růstu 7 %. V meziročním srovnání 2013 a 2018 byl zaznamenán nárůst výdajů domácností </w:t>
      </w:r>
      <w:r w:rsidRPr="00D94E51">
        <w:rPr>
          <w:b/>
          <w:szCs w:val="17"/>
        </w:rPr>
        <w:t xml:space="preserve">na volně prodejné léky </w:t>
      </w:r>
      <w:r w:rsidRPr="00D94E51">
        <w:rPr>
          <w:szCs w:val="17"/>
        </w:rPr>
        <w:t>o 4,5 mld. Kč (o 40 %) a jejich celková hodnota dosáhla 15,6 mld. Kč. Uvedená částka za nákup léků bez předpisu tvoří více než čtvrtinu celkových výdajů českých domácnosti na zdravotní péči.</w:t>
      </w:r>
    </w:p>
    <w:p w:rsidR="006D795D" w:rsidRPr="00D94E51" w:rsidRDefault="006D795D" w:rsidP="006D795D">
      <w:pPr>
        <w:spacing w:before="120"/>
        <w:jc w:val="both"/>
        <w:rPr>
          <w:szCs w:val="17"/>
        </w:rPr>
      </w:pPr>
      <w:r w:rsidRPr="00D94E51">
        <w:rPr>
          <w:szCs w:val="17"/>
        </w:rPr>
        <w:t xml:space="preserve">Obdobný vývoj výdajů domácností byl zaznamenán i u </w:t>
      </w:r>
      <w:r w:rsidRPr="00D94E51">
        <w:rPr>
          <w:b/>
          <w:szCs w:val="17"/>
        </w:rPr>
        <w:t xml:space="preserve">léků na předpis. </w:t>
      </w:r>
      <w:r w:rsidRPr="00D94E51">
        <w:rPr>
          <w:szCs w:val="17"/>
        </w:rPr>
        <w:t>V roce 2018 na ně doplatily české domácnosti o 2,8 mld. Kč více než v roce 2013 a jejich finanční hodnota se pohybovala na úrovni 12,1 mld. Kč, což je nejvíce ve sledovaném období. Za uplynulých šest let vydali lidé z vlastních kapes na doplatky za léky na předpis celkem 62,4 mld. Kč a průměrné tempo růstu činilo 5,4 %.</w:t>
      </w:r>
    </w:p>
    <w:p w:rsidR="006D795D" w:rsidRPr="00D94E51" w:rsidRDefault="006D795D" w:rsidP="006D795D">
      <w:pPr>
        <w:spacing w:before="120"/>
        <w:jc w:val="both"/>
      </w:pPr>
      <w:r w:rsidRPr="00D94E51">
        <w:rPr>
          <w:b/>
        </w:rPr>
        <w:t>Průměrný Čech</w:t>
      </w:r>
      <w:r w:rsidRPr="00D94E51">
        <w:t xml:space="preserve"> utratil za rok 2018 za zdravotní péči 5 436 Kč, z toho za léky na předpis 1 139 Kč, 1 472 Kč za volně prodejné medikamenty a 580 Kč za zdravotnické pomůcky.</w:t>
      </w:r>
    </w:p>
    <w:p w:rsidR="006D795D" w:rsidRPr="00D94E51" w:rsidRDefault="006D795D" w:rsidP="006D795D">
      <w:pPr>
        <w:spacing w:before="120"/>
        <w:jc w:val="both"/>
        <w:rPr>
          <w:rFonts w:cs="Arial"/>
          <w:i/>
          <w:szCs w:val="20"/>
        </w:rPr>
      </w:pPr>
      <w:r w:rsidRPr="00D94E51">
        <w:rPr>
          <w:rFonts w:cs="Arial"/>
          <w:i/>
          <w:szCs w:val="20"/>
        </w:rPr>
        <w:t>Zdravotní pojišťovny vrací pojištěnci nebo jeho zákonnému zástupci přeplatky doplatků za léky do 60 kalendářních dnů po uplynutí čtvrtletí, ve kterém byl limit překročen. Od 1. ledna 2018 jsou tyto roční ochranné limity stanoveny, na 1000,- Kč u dětí mladších 18 let a u pojištěnců ve věku nad 65 let, na 500,- Kč u pojištěnců nad 70 let, u ostatních pojištěnců zůstává nastavený limit 5000,- Kč. Za rok 2018 vrátily zdravotní pojišťovny za nadlimitní doplatky na léky svým pojištěncům celkem 654,4 mil. Kč. O rok dříve to bylo 5,6 krát méně, tedy 116,6 mil. Kč. Výraznou většinu přeplatků vrací pojišťovny svým pojištěncům v nejstarší věkové skupině nad 70 let.</w:t>
      </w:r>
    </w:p>
    <w:p w:rsidR="006D795D" w:rsidRPr="00D94E51" w:rsidRDefault="006D795D" w:rsidP="006D795D">
      <w:pPr>
        <w:spacing w:before="120" w:after="120"/>
        <w:rPr>
          <w:rFonts w:eastAsia="MS Gothic"/>
          <w:b/>
          <w:i/>
        </w:rPr>
      </w:pPr>
      <w:r w:rsidRPr="00D94E51">
        <w:rPr>
          <w:rFonts w:eastAsia="MS Gothic"/>
          <w:b/>
          <w:i/>
        </w:rPr>
        <w:t>Domácnosti uhradí každoročně zhruba 200 miliónů Kč za regulační poplatek za návštěvu pohotovosti</w:t>
      </w:r>
    </w:p>
    <w:p w:rsidR="006D795D" w:rsidRPr="00D94E51" w:rsidRDefault="006D795D" w:rsidP="006D795D">
      <w:pPr>
        <w:spacing w:before="120"/>
        <w:jc w:val="both"/>
        <w:rPr>
          <w:rFonts w:cs="Arial"/>
          <w:szCs w:val="20"/>
        </w:rPr>
      </w:pPr>
      <w:r w:rsidRPr="00D94E51">
        <w:rPr>
          <w:rFonts w:cs="Arial"/>
          <w:szCs w:val="20"/>
        </w:rPr>
        <w:t xml:space="preserve">V souladu se zákonem č.261/2007 Sb., o stabilizaci veřejných rozpočtů, kterým byl mimo jiné změněn zákon č.48/1997 Sb., o veřejném zdravotním pojištění, začali pacienti od počátku roku 2008 hradit zdravotnickým zařízením </w:t>
      </w:r>
      <w:r w:rsidRPr="00D94E51">
        <w:rPr>
          <w:rFonts w:cs="Arial"/>
          <w:b/>
          <w:szCs w:val="20"/>
        </w:rPr>
        <w:t>čtyři druhy regulačních poplatků – za návštěvu lékaře v běžných ambulancích i na pohotovosti, za hospitalizaci</w:t>
      </w:r>
      <w:r w:rsidRPr="00D94E51">
        <w:rPr>
          <w:rFonts w:cs="Arial"/>
          <w:szCs w:val="20"/>
        </w:rPr>
        <w:t xml:space="preserve"> </w:t>
      </w:r>
      <w:r w:rsidRPr="00D94E51">
        <w:rPr>
          <w:rFonts w:cs="Arial"/>
          <w:b/>
          <w:szCs w:val="20"/>
        </w:rPr>
        <w:t>v nemocnici, ústavním či lázeňském zařízení a za recept</w:t>
      </w:r>
      <w:r w:rsidRPr="00D94E51">
        <w:rPr>
          <w:rFonts w:cs="Arial"/>
          <w:szCs w:val="20"/>
        </w:rPr>
        <w:t xml:space="preserve">. Cílem regulačních poplatků bylo především lepší využití prostředků veřejného zdravotního pojištění, omezení zbytečných návštěv u lékařů, neúčelné předepisování a ušetření výdajů za levné léky a přesunutí finančních prostředků na péči pro těžce nemocné pacienty.  </w:t>
      </w:r>
    </w:p>
    <w:p w:rsidR="006D795D" w:rsidRPr="00D94E51" w:rsidRDefault="006D795D" w:rsidP="006D795D">
      <w:pPr>
        <w:spacing w:before="120"/>
        <w:jc w:val="both"/>
        <w:rPr>
          <w:szCs w:val="20"/>
        </w:rPr>
      </w:pPr>
      <w:r w:rsidRPr="00D94E51">
        <w:rPr>
          <w:rFonts w:cs="Arial"/>
          <w:szCs w:val="20"/>
        </w:rPr>
        <w:t>V průběhu uplynulých let došlo u jednotlivých regulačních poplatků k legislativním změnám nebo byly postupně úplně zrušeny. V platnosti nadále zůstává pouze devadesátikorunový regulační poplatek za využití lékařské a zubní pohotovosti.</w:t>
      </w:r>
    </w:p>
    <w:p w:rsidR="006D795D" w:rsidRPr="00D94E51" w:rsidRDefault="006D795D" w:rsidP="006D795D">
      <w:pPr>
        <w:keepNext/>
        <w:spacing w:before="240"/>
        <w:jc w:val="both"/>
        <w:rPr>
          <w:rFonts w:cs="Arial"/>
          <w:b/>
          <w:sz w:val="18"/>
          <w:szCs w:val="18"/>
        </w:rPr>
      </w:pPr>
      <w:r w:rsidRPr="00D94E51">
        <w:rPr>
          <w:rFonts w:cs="Arial"/>
          <w:b/>
          <w:sz w:val="18"/>
          <w:szCs w:val="18"/>
        </w:rPr>
        <w:lastRenderedPageBreak/>
        <w:t>Graf č. 3.5. Výdaje domácností v Česku na regulační poplatky, 2008</w:t>
      </w:r>
      <w:r w:rsidRPr="00D94E51">
        <w:rPr>
          <w:rFonts w:eastAsia="Calibri" w:cs="Arial"/>
          <w:b/>
          <w:sz w:val="18"/>
          <w:szCs w:val="18"/>
          <w:lang w:eastAsia="en-US"/>
        </w:rPr>
        <w:t>–2</w:t>
      </w:r>
      <w:r w:rsidRPr="00D94E51">
        <w:rPr>
          <w:b/>
          <w:sz w:val="18"/>
          <w:szCs w:val="18"/>
        </w:rPr>
        <w:t>018</w:t>
      </w:r>
      <w:r w:rsidRPr="00D94E51">
        <w:rPr>
          <w:rFonts w:cs="Arial"/>
          <w:b/>
          <w:sz w:val="18"/>
          <w:szCs w:val="18"/>
        </w:rPr>
        <w:t xml:space="preserve"> (mil. Kč)</w:t>
      </w:r>
    </w:p>
    <w:p w:rsidR="006D795D" w:rsidRPr="00D94E51" w:rsidRDefault="006D795D" w:rsidP="006D795D">
      <w:pPr>
        <w:keepNext/>
        <w:rPr>
          <w:rFonts w:cs="Arial"/>
          <w:b/>
          <w:sz w:val="18"/>
          <w:szCs w:val="18"/>
        </w:rPr>
      </w:pPr>
      <w:r w:rsidRPr="00D94E51">
        <w:rPr>
          <w:noProof/>
        </w:rPr>
        <w:drawing>
          <wp:inline distT="0" distB="0" distL="0" distR="0" wp14:anchorId="0E69672B" wp14:editId="7CA79F61">
            <wp:extent cx="6137189" cy="2891481"/>
            <wp:effectExtent l="0" t="0" r="16510" b="23495"/>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D795D" w:rsidRPr="00D94E51" w:rsidRDefault="006D795D" w:rsidP="006D795D">
      <w:pPr>
        <w:spacing w:before="120"/>
        <w:jc w:val="right"/>
        <w:rPr>
          <w:b/>
          <w:bCs/>
          <w:i/>
          <w:sz w:val="16"/>
          <w:szCs w:val="16"/>
        </w:rPr>
      </w:pPr>
      <w:r w:rsidRPr="00D94E51">
        <w:rPr>
          <w:rFonts w:eastAsia="MS Gothic"/>
          <w:b/>
          <w:i/>
          <w:sz w:val="16"/>
          <w:szCs w:val="16"/>
        </w:rPr>
        <w:t>Zd</w:t>
      </w:r>
      <w:r w:rsidRPr="00D94E51">
        <w:rPr>
          <w:b/>
          <w:bCs/>
          <w:i/>
          <w:sz w:val="16"/>
          <w:szCs w:val="16"/>
        </w:rPr>
        <w:t>roj: ČSÚ 2020, Zdravotnické účty ČR 2010</w:t>
      </w:r>
      <w:r w:rsidRPr="00D94E51">
        <w:rPr>
          <w:sz w:val="16"/>
          <w:szCs w:val="16"/>
        </w:rPr>
        <w:t>–</w:t>
      </w:r>
      <w:r w:rsidRPr="00D94E51">
        <w:rPr>
          <w:b/>
          <w:bCs/>
          <w:i/>
          <w:sz w:val="16"/>
          <w:szCs w:val="16"/>
        </w:rPr>
        <w:t xml:space="preserve">2018 </w:t>
      </w:r>
    </w:p>
    <w:p w:rsidR="006D795D" w:rsidRPr="00D94E51" w:rsidRDefault="006D795D" w:rsidP="006D795D">
      <w:pPr>
        <w:spacing w:before="120"/>
        <w:jc w:val="both"/>
        <w:rPr>
          <w:szCs w:val="17"/>
        </w:rPr>
      </w:pPr>
      <w:r w:rsidRPr="00D94E51">
        <w:t>Jak ukazuje výše uvedený graf, regulační poplatky přinášely do zdravotnického systému až do roku 2013 více než 5 mld. Kč ročně. Po zrušení povinnosti pacientů hradit regulační poplatek ve výši 100 Kč na den za pobyt v lůžkových zařízeních se tato částka snížila zhruba na 4 mld. Kč. V letech 2015</w:t>
      </w:r>
      <w:r w:rsidRPr="00D94E51">
        <w:rPr>
          <w:rFonts w:eastAsia="Calibri" w:cs="Arial"/>
          <w:szCs w:val="20"/>
          <w:lang w:eastAsia="en-US"/>
        </w:rPr>
        <w:t>–</w:t>
      </w:r>
      <w:r w:rsidRPr="00D94E51">
        <w:t>2018 zaplatili lidé za využití pohotovostních služeb zhruba 200 mil. Kč ročně.</w:t>
      </w:r>
      <w:r w:rsidRPr="00D94E51">
        <w:rPr>
          <w:szCs w:val="17"/>
        </w:rPr>
        <w:t xml:space="preserve"> </w:t>
      </w:r>
    </w:p>
    <w:p w:rsidR="006D795D" w:rsidRPr="00D94E51" w:rsidRDefault="006D795D" w:rsidP="006D795D">
      <w:pPr>
        <w:spacing w:before="120"/>
        <w:jc w:val="both"/>
        <w:rPr>
          <w:szCs w:val="17"/>
        </w:rPr>
      </w:pPr>
      <w:r w:rsidRPr="00D94E51">
        <w:rPr>
          <w:szCs w:val="17"/>
        </w:rPr>
        <w:t xml:space="preserve">Na základě výše výdajů za regulační poplatky za pohotovost v roce 2018 můžeme zjistit, jaké příčiny pacienty na pohotovost nejčastěji přivedly. Mezi nejčastější diagnózy, se kterými lidé pohotovostní službu vyhledávají, patří </w:t>
      </w:r>
      <w:r w:rsidRPr="00D94E51">
        <w:rPr>
          <w:b/>
          <w:szCs w:val="17"/>
        </w:rPr>
        <w:t>poranění, otravy a popáleniny</w:t>
      </w:r>
      <w:r w:rsidRPr="00D94E51">
        <w:rPr>
          <w:szCs w:val="17"/>
        </w:rPr>
        <w:t xml:space="preserve"> (28 %), nemoci</w:t>
      </w:r>
      <w:r w:rsidRPr="00D94E51">
        <w:rPr>
          <w:b/>
          <w:szCs w:val="17"/>
        </w:rPr>
        <w:t xml:space="preserve"> dýchacích cest</w:t>
      </w:r>
      <w:r w:rsidRPr="00D94E51">
        <w:rPr>
          <w:szCs w:val="17"/>
        </w:rPr>
        <w:t xml:space="preserve"> (13 %) a onemocnění </w:t>
      </w:r>
      <w:r w:rsidRPr="00D94E51">
        <w:rPr>
          <w:b/>
          <w:szCs w:val="17"/>
        </w:rPr>
        <w:t>trávicí soustavy</w:t>
      </w:r>
      <w:r w:rsidRPr="00D94E51">
        <w:rPr>
          <w:szCs w:val="17"/>
        </w:rPr>
        <w:t xml:space="preserve"> (11 %) z celkových 207 mil. Kč. </w:t>
      </w:r>
    </w:p>
    <w:p w:rsidR="006D795D" w:rsidRPr="00D94E51" w:rsidRDefault="006D795D" w:rsidP="006D795D">
      <w:pPr>
        <w:spacing w:before="240" w:after="120"/>
        <w:rPr>
          <w:b/>
          <w:i/>
        </w:rPr>
      </w:pPr>
      <w:r w:rsidRPr="00D94E51">
        <w:rPr>
          <w:b/>
          <w:i/>
        </w:rPr>
        <w:t>Kdo a kdy neplatí za pohotovost</w:t>
      </w:r>
    </w:p>
    <w:p w:rsidR="006D795D" w:rsidRPr="00D94E51" w:rsidRDefault="006D795D" w:rsidP="006D795D">
      <w:pPr>
        <w:spacing w:before="120" w:after="120"/>
        <w:jc w:val="both"/>
        <w:rPr>
          <w:rFonts w:cs="Arial"/>
          <w:szCs w:val="20"/>
        </w:rPr>
      </w:pPr>
      <w:r w:rsidRPr="00D94E51">
        <w:rPr>
          <w:rFonts w:cs="Arial"/>
          <w:szCs w:val="20"/>
        </w:rPr>
        <w:t xml:space="preserve">Pokud v rámci pohotovostní služby ošetřující lékař shledá, že stav pacienta vyžaduje hospitalizaci, regulační poplatek se neplatí. Regulační poplatek za pohotovost neplatí ani pojištěnci v dětských domovech pro děti do tří let, ve školských zařízeních pro výkon ústavní či ochranné výchovy a v domovech pro osoby se zdravotním postižením. Dále je neplatí také pojištěnci svěření rozhodnutím soudu do pěstounské péče, poručnické péče nebo do péče jiné osoby podle občanského zákoníku. </w:t>
      </w:r>
    </w:p>
    <w:p w:rsidR="006D795D" w:rsidRPr="00D94E51" w:rsidRDefault="006D795D" w:rsidP="006D795D">
      <w:pPr>
        <w:spacing w:before="120" w:after="120"/>
        <w:jc w:val="both"/>
        <w:rPr>
          <w:rFonts w:cs="Arial"/>
          <w:szCs w:val="20"/>
        </w:rPr>
      </w:pPr>
      <w:r w:rsidRPr="00D94E51">
        <w:rPr>
          <w:rFonts w:cs="Arial"/>
          <w:szCs w:val="20"/>
        </w:rPr>
        <w:t>Regulační poplatek nehradí ani pacienti z domovů pro seniory, domovů se zvláštním režimem nebo v lůžkových zdravotnických zařízeních, pokud jim po úhradě ubytování a stravy zbude méně než 800 korun měsíčně, případně žádný příjem nemají. Osvobozeni od poplatku jsou také ti, kdo se prokážou dokladem o dávce v hmotné nouzi, který není starší než 30 dnů. Na návštěvní službu, tedy přivolání lékaře do domácnosti, se regulační poplatek jako za pohotovost nevztahuje.</w:t>
      </w:r>
    </w:p>
    <w:p w:rsidR="006067DA" w:rsidRPr="006D795D" w:rsidRDefault="006067DA" w:rsidP="006D795D">
      <w:bookmarkStart w:id="7" w:name="_GoBack"/>
      <w:bookmarkEnd w:id="7"/>
    </w:p>
    <w:sectPr w:rsidR="006067DA" w:rsidRPr="006D795D" w:rsidSect="00201E4B">
      <w:headerReference w:type="even" r:id="rId14"/>
      <w:headerReference w:type="default" r:id="rId15"/>
      <w:footerReference w:type="even" r:id="rId16"/>
      <w:footerReference w:type="default" r:id="rId17"/>
      <w:pgSz w:w="11906" w:h="16838" w:code="9"/>
      <w:pgMar w:top="1134" w:right="1134" w:bottom="1418" w:left="1134" w:header="680" w:footer="68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4E3" w:rsidRDefault="00C044E3" w:rsidP="00E71A58">
      <w:r>
        <w:separator/>
      </w:r>
    </w:p>
  </w:endnote>
  <w:endnote w:type="continuationSeparator" w:id="0">
    <w:p w:rsidR="00C044E3" w:rsidRDefault="00C044E3"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D41" w:rsidRDefault="00831D41" w:rsidP="003A6B38">
    <w:pPr>
      <w:pStyle w:val="Zpat"/>
      <w:tabs>
        <w:tab w:val="clear" w:pos="4536"/>
        <w:tab w:val="clear" w:pos="9072"/>
        <w:tab w:val="center" w:pos="4820"/>
        <w:tab w:val="right" w:pos="9639"/>
      </w:tabs>
    </w:pPr>
    <w:r>
      <w:rPr>
        <w:noProof/>
        <w:lang w:eastAsia="cs-CZ"/>
      </w:rPr>
      <w:drawing>
        <wp:anchor distT="0" distB="0" distL="114300" distR="114300" simplePos="0" relativeHeight="251658240" behindDoc="0" locked="0" layoutInCell="1" allowOverlap="1" wp14:anchorId="47CD3820" wp14:editId="26EEEBDC">
          <wp:simplePos x="0" y="0"/>
          <wp:positionH relativeFrom="column">
            <wp:posOffset>5660390</wp:posOffset>
          </wp:positionH>
          <wp:positionV relativeFrom="paragraph">
            <wp:posOffset>-52070</wp:posOffset>
          </wp:positionV>
          <wp:extent cx="466725" cy="219075"/>
          <wp:effectExtent l="0" t="0" r="9525" b="9525"/>
          <wp:wrapNone/>
          <wp:docPr id="2" name="obrázek 4"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pic:spPr>
              </pic:pic>
            </a:graphicData>
          </a:graphic>
        </wp:anchor>
      </w:drawing>
    </w:r>
    <w:r w:rsidRPr="005A21E0">
      <w:rPr>
        <w:rFonts w:ascii="Arial" w:hAnsi="Arial" w:cs="Arial"/>
        <w:sz w:val="16"/>
        <w:szCs w:val="16"/>
      </w:rPr>
      <w:fldChar w:fldCharType="begin"/>
    </w:r>
    <w:r w:rsidRPr="005A21E0">
      <w:rPr>
        <w:rFonts w:ascii="Arial" w:hAnsi="Arial" w:cs="Arial"/>
        <w:sz w:val="16"/>
        <w:szCs w:val="16"/>
      </w:rPr>
      <w:instrText>PAGE   \* MERGEFORMAT</w:instrText>
    </w:r>
    <w:r w:rsidRPr="005A21E0">
      <w:rPr>
        <w:rFonts w:ascii="Arial" w:hAnsi="Arial" w:cs="Arial"/>
        <w:sz w:val="16"/>
        <w:szCs w:val="16"/>
      </w:rPr>
      <w:fldChar w:fldCharType="separate"/>
    </w:r>
    <w:r w:rsidR="006D795D">
      <w:rPr>
        <w:rFonts w:ascii="Arial" w:hAnsi="Arial" w:cs="Arial"/>
        <w:noProof/>
        <w:sz w:val="16"/>
        <w:szCs w:val="16"/>
      </w:rPr>
      <w:t>2</w:t>
    </w:r>
    <w:r w:rsidRPr="005A21E0">
      <w:rPr>
        <w:rFonts w:ascii="Arial" w:hAnsi="Arial" w:cs="Arial"/>
        <w:sz w:val="16"/>
        <w:szCs w:val="16"/>
      </w:rPr>
      <w:fldChar w:fldCharType="end"/>
    </w:r>
    <w:r>
      <w:rPr>
        <w:rFonts w:ascii="Arial" w:hAnsi="Arial" w:cs="Arial"/>
        <w:sz w:val="16"/>
        <w:szCs w:val="16"/>
      </w:rPr>
      <w:tab/>
      <w:t>20</w:t>
    </w:r>
    <w:r w:rsidR="006D795D">
      <w:rPr>
        <w:rFonts w:ascii="Arial" w:hAnsi="Arial" w:cs="Arial"/>
        <w:sz w:val="16"/>
        <w:szCs w:val="16"/>
      </w:rPr>
      <w:t>20</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D41" w:rsidRDefault="00831D41" w:rsidP="003A6B38">
    <w:pPr>
      <w:pStyle w:val="Zpat"/>
      <w:tabs>
        <w:tab w:val="clear" w:pos="4536"/>
        <w:tab w:val="clear" w:pos="9072"/>
        <w:tab w:val="left" w:pos="1134"/>
        <w:tab w:val="left" w:pos="1920"/>
        <w:tab w:val="center" w:pos="4820"/>
        <w:tab w:val="right" w:pos="9639"/>
      </w:tabs>
    </w:pPr>
    <w:r>
      <w:rPr>
        <w:noProof/>
        <w:lang w:eastAsia="cs-CZ"/>
      </w:rPr>
      <w:drawing>
        <wp:anchor distT="0" distB="0" distL="114300" distR="114300" simplePos="0" relativeHeight="251657216" behindDoc="0" locked="0" layoutInCell="1" allowOverlap="1" wp14:anchorId="3A1FB7B2" wp14:editId="6DD6F01E">
          <wp:simplePos x="0" y="0"/>
          <wp:positionH relativeFrom="column">
            <wp:posOffset>3810</wp:posOffset>
          </wp:positionH>
          <wp:positionV relativeFrom="paragraph">
            <wp:posOffset>90170</wp:posOffset>
          </wp:positionV>
          <wp:extent cx="495300" cy="266700"/>
          <wp:effectExtent l="0" t="0" r="0" b="0"/>
          <wp:wrapNone/>
          <wp:docPr id="1" name="obrázek 3"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Descriptio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266700"/>
                  </a:xfrm>
                  <a:prstGeom prst="rect">
                    <a:avLst/>
                  </a:prstGeom>
                  <a:noFill/>
                </pic:spPr>
              </pic:pic>
            </a:graphicData>
          </a:graphic>
        </wp:anchor>
      </w:drawing>
    </w:r>
    <w:r>
      <w:tab/>
    </w:r>
    <w:r>
      <w:tab/>
    </w:r>
  </w:p>
  <w:p w:rsidR="00831D41" w:rsidRDefault="00831D41" w:rsidP="00EE3E78">
    <w:pPr>
      <w:pStyle w:val="Zpat"/>
      <w:tabs>
        <w:tab w:val="clear" w:pos="4536"/>
        <w:tab w:val="clear" w:pos="9072"/>
        <w:tab w:val="left" w:pos="1134"/>
        <w:tab w:val="left" w:pos="1920"/>
        <w:tab w:val="center" w:pos="4820"/>
        <w:tab w:val="left" w:pos="9495"/>
        <w:tab w:val="right" w:pos="9639"/>
      </w:tabs>
    </w:pPr>
    <w:r>
      <w:rPr>
        <w:rFonts w:ascii="Arial" w:hAnsi="Arial" w:cs="Arial"/>
        <w:sz w:val="16"/>
        <w:szCs w:val="16"/>
      </w:rPr>
      <w:tab/>
    </w:r>
    <w:r>
      <w:rPr>
        <w:rFonts w:ascii="Arial" w:hAnsi="Arial" w:cs="Arial"/>
        <w:sz w:val="16"/>
        <w:szCs w:val="16"/>
      </w:rPr>
      <w:tab/>
    </w:r>
    <w:r>
      <w:rPr>
        <w:rFonts w:ascii="Arial" w:hAnsi="Arial" w:cs="Arial"/>
        <w:sz w:val="16"/>
        <w:szCs w:val="16"/>
      </w:rPr>
      <w:tab/>
      <w:t>20</w:t>
    </w:r>
    <w:r w:rsidR="006D795D">
      <w:rPr>
        <w:rFonts w:ascii="Arial" w:hAnsi="Arial" w:cs="Arial"/>
        <w:sz w:val="16"/>
        <w:szCs w:val="16"/>
      </w:rPr>
      <w:t>20</w:t>
    </w:r>
    <w:r>
      <w:tab/>
    </w:r>
    <w:r>
      <w:tab/>
    </w:r>
    <w:r w:rsidRPr="00B6608F">
      <w:rPr>
        <w:rFonts w:ascii="Arial" w:hAnsi="Arial" w:cs="Arial"/>
        <w:sz w:val="16"/>
        <w:szCs w:val="16"/>
      </w:rPr>
      <w:fldChar w:fldCharType="begin"/>
    </w:r>
    <w:r w:rsidRPr="00B6608F">
      <w:rPr>
        <w:rFonts w:ascii="Arial" w:hAnsi="Arial" w:cs="Arial"/>
        <w:sz w:val="16"/>
        <w:szCs w:val="16"/>
      </w:rPr>
      <w:instrText>PAGE   \* MERGEFORMAT</w:instrText>
    </w:r>
    <w:r w:rsidRPr="00B6608F">
      <w:rPr>
        <w:rFonts w:ascii="Arial" w:hAnsi="Arial" w:cs="Arial"/>
        <w:sz w:val="16"/>
        <w:szCs w:val="16"/>
      </w:rPr>
      <w:fldChar w:fldCharType="separate"/>
    </w:r>
    <w:r w:rsidR="006D795D">
      <w:rPr>
        <w:rFonts w:ascii="Arial" w:hAnsi="Arial" w:cs="Arial"/>
        <w:noProof/>
        <w:sz w:val="16"/>
        <w:szCs w:val="16"/>
      </w:rPr>
      <w:t>1</w:t>
    </w:r>
    <w:r w:rsidRPr="00B6608F">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4E3" w:rsidRDefault="00C044E3" w:rsidP="00E71A58">
      <w:r>
        <w:separator/>
      </w:r>
    </w:p>
  </w:footnote>
  <w:footnote w:type="continuationSeparator" w:id="0">
    <w:p w:rsidR="00C044E3" w:rsidRDefault="00C044E3" w:rsidP="00E71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D41" w:rsidRPr="002175EE" w:rsidRDefault="00831D41" w:rsidP="00D67975">
    <w:pPr>
      <w:pStyle w:val="Nadpis1"/>
      <w:rPr>
        <w:b w:val="0"/>
        <w:color w:val="auto"/>
        <w:sz w:val="16"/>
        <w:szCs w:val="16"/>
      </w:rPr>
    </w:pPr>
    <w:r w:rsidRPr="002175EE">
      <w:rPr>
        <w:b w:val="0"/>
        <w:color w:val="auto"/>
        <w:sz w:val="16"/>
        <w:szCs w:val="16"/>
      </w:rPr>
      <w:t>Výs</w:t>
    </w:r>
    <w:r>
      <w:rPr>
        <w:b w:val="0"/>
        <w:color w:val="auto"/>
        <w:sz w:val="16"/>
        <w:szCs w:val="16"/>
      </w:rPr>
      <w:t>ledky zdravotnických účtů ČR 2010–201</w:t>
    </w:r>
    <w:r w:rsidR="006D795D">
      <w:rPr>
        <w:b w:val="0"/>
        <w:color w:val="auto"/>
        <w:sz w:val="16"/>
        <w:szCs w:val="16"/>
      </w:rPr>
      <w:t>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D41" w:rsidRPr="002175EE" w:rsidRDefault="00831D41" w:rsidP="002175EE">
    <w:pPr>
      <w:pStyle w:val="Nadpis1"/>
      <w:rPr>
        <w:b w:val="0"/>
        <w:color w:val="auto"/>
        <w:sz w:val="16"/>
        <w:szCs w:val="16"/>
      </w:rPr>
    </w:pPr>
    <w:r w:rsidRPr="002175EE">
      <w:rPr>
        <w:b w:val="0"/>
        <w:color w:val="auto"/>
        <w:sz w:val="16"/>
        <w:szCs w:val="16"/>
      </w:rPr>
      <w:t xml:space="preserve">Výsledky </w:t>
    </w:r>
    <w:r>
      <w:rPr>
        <w:b w:val="0"/>
        <w:color w:val="auto"/>
        <w:sz w:val="16"/>
        <w:szCs w:val="16"/>
      </w:rPr>
      <w:t>zdravotnických účtů ČR 2010–201</w:t>
    </w:r>
    <w:r w:rsidR="006D795D">
      <w:rPr>
        <w:b w:val="0"/>
        <w:color w:val="auto"/>
        <w:sz w:val="16"/>
        <w:szCs w:val="16"/>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81C21"/>
    <w:multiLevelType w:val="hybridMultilevel"/>
    <w:tmpl w:val="99D61F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48D550C"/>
    <w:multiLevelType w:val="hybridMultilevel"/>
    <w:tmpl w:val="86B43882"/>
    <w:lvl w:ilvl="0" w:tplc="46C2DFC0">
      <w:start w:val="1"/>
      <w:numFmt w:val="decimal"/>
      <w:lvlText w:val="(%1)"/>
      <w:lvlJc w:val="left"/>
      <w:pPr>
        <w:ind w:left="540" w:hanging="360"/>
      </w:pPr>
      <w:rPr>
        <w:rFonts w:hint="default"/>
      </w:rPr>
    </w:lvl>
    <w:lvl w:ilvl="1" w:tplc="04050019" w:tentative="1">
      <w:start w:val="1"/>
      <w:numFmt w:val="lowerLetter"/>
      <w:lvlText w:val="%2."/>
      <w:lvlJc w:val="left"/>
      <w:pPr>
        <w:ind w:left="1260" w:hanging="360"/>
      </w:pPr>
    </w:lvl>
    <w:lvl w:ilvl="2" w:tplc="0405001B" w:tentative="1">
      <w:start w:val="1"/>
      <w:numFmt w:val="lowerRoman"/>
      <w:lvlText w:val="%3."/>
      <w:lvlJc w:val="right"/>
      <w:pPr>
        <w:ind w:left="1980" w:hanging="180"/>
      </w:pPr>
    </w:lvl>
    <w:lvl w:ilvl="3" w:tplc="0405000F" w:tentative="1">
      <w:start w:val="1"/>
      <w:numFmt w:val="decimal"/>
      <w:lvlText w:val="%4."/>
      <w:lvlJc w:val="left"/>
      <w:pPr>
        <w:ind w:left="2700" w:hanging="360"/>
      </w:pPr>
    </w:lvl>
    <w:lvl w:ilvl="4" w:tplc="04050019" w:tentative="1">
      <w:start w:val="1"/>
      <w:numFmt w:val="lowerLetter"/>
      <w:lvlText w:val="%5."/>
      <w:lvlJc w:val="left"/>
      <w:pPr>
        <w:ind w:left="3420" w:hanging="360"/>
      </w:pPr>
    </w:lvl>
    <w:lvl w:ilvl="5" w:tplc="0405001B" w:tentative="1">
      <w:start w:val="1"/>
      <w:numFmt w:val="lowerRoman"/>
      <w:lvlText w:val="%6."/>
      <w:lvlJc w:val="right"/>
      <w:pPr>
        <w:ind w:left="4140" w:hanging="180"/>
      </w:pPr>
    </w:lvl>
    <w:lvl w:ilvl="6" w:tplc="0405000F" w:tentative="1">
      <w:start w:val="1"/>
      <w:numFmt w:val="decimal"/>
      <w:lvlText w:val="%7."/>
      <w:lvlJc w:val="left"/>
      <w:pPr>
        <w:ind w:left="4860" w:hanging="360"/>
      </w:pPr>
    </w:lvl>
    <w:lvl w:ilvl="7" w:tplc="04050019" w:tentative="1">
      <w:start w:val="1"/>
      <w:numFmt w:val="lowerLetter"/>
      <w:lvlText w:val="%8."/>
      <w:lvlJc w:val="left"/>
      <w:pPr>
        <w:ind w:left="5580" w:hanging="360"/>
      </w:pPr>
    </w:lvl>
    <w:lvl w:ilvl="8" w:tplc="0405001B" w:tentative="1">
      <w:start w:val="1"/>
      <w:numFmt w:val="lowerRoman"/>
      <w:lvlText w:val="%9."/>
      <w:lvlJc w:val="right"/>
      <w:pPr>
        <w:ind w:left="6300" w:hanging="180"/>
      </w:pPr>
    </w:lvl>
  </w:abstractNum>
  <w:abstractNum w:abstractNumId="2">
    <w:nsid w:val="07A27793"/>
    <w:multiLevelType w:val="hybridMultilevel"/>
    <w:tmpl w:val="D486A0E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8AF5F6D"/>
    <w:multiLevelType w:val="hybridMultilevel"/>
    <w:tmpl w:val="5824D116"/>
    <w:lvl w:ilvl="0" w:tplc="F9388996">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8D16AC4"/>
    <w:multiLevelType w:val="hybridMultilevel"/>
    <w:tmpl w:val="371460E6"/>
    <w:lvl w:ilvl="0" w:tplc="4DA05DE2">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nsid w:val="0BA26586"/>
    <w:multiLevelType w:val="hybridMultilevel"/>
    <w:tmpl w:val="5F2EFD9C"/>
    <w:lvl w:ilvl="0" w:tplc="04050001">
      <w:start w:val="5"/>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2087D8F"/>
    <w:multiLevelType w:val="hybridMultilevel"/>
    <w:tmpl w:val="5DE801E0"/>
    <w:lvl w:ilvl="0" w:tplc="267E35CE">
      <w:start w:val="1"/>
      <w:numFmt w:val="decimal"/>
      <w:lvlText w:val="(%1)"/>
      <w:lvlJc w:val="left"/>
      <w:pPr>
        <w:ind w:left="720" w:hanging="360"/>
      </w:pPr>
      <w:rPr>
        <w:rFonts w:hint="default"/>
        <w:b/>
        <w: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4DB521B"/>
    <w:multiLevelType w:val="hybridMultilevel"/>
    <w:tmpl w:val="2DC43A6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6D80405"/>
    <w:multiLevelType w:val="multilevel"/>
    <w:tmpl w:val="B944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421244"/>
    <w:multiLevelType w:val="hybridMultilevel"/>
    <w:tmpl w:val="939657B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D9632BB"/>
    <w:multiLevelType w:val="hybridMultilevel"/>
    <w:tmpl w:val="29F85DA0"/>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1">
    <w:nsid w:val="1FFD6DEF"/>
    <w:multiLevelType w:val="multilevel"/>
    <w:tmpl w:val="58CE67C4"/>
    <w:lvl w:ilvl="0">
      <w:start w:val="1"/>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06C0299"/>
    <w:multiLevelType w:val="hybridMultilevel"/>
    <w:tmpl w:val="B5E0FF56"/>
    <w:lvl w:ilvl="0" w:tplc="C02A922C">
      <w:start w:val="1"/>
      <w:numFmt w:val="bullet"/>
      <w:pStyle w:val="normalnsodrkami"/>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25666454"/>
    <w:multiLevelType w:val="hybridMultilevel"/>
    <w:tmpl w:val="936055BA"/>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25AC752F"/>
    <w:multiLevelType w:val="hybridMultilevel"/>
    <w:tmpl w:val="F1DE7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8504B67"/>
    <w:multiLevelType w:val="hybridMultilevel"/>
    <w:tmpl w:val="141024E0"/>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nsid w:val="2C8760B6"/>
    <w:multiLevelType w:val="hybridMultilevel"/>
    <w:tmpl w:val="2EF6101A"/>
    <w:lvl w:ilvl="0" w:tplc="04050017">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7">
    <w:nsid w:val="2E814446"/>
    <w:multiLevelType w:val="hybridMultilevel"/>
    <w:tmpl w:val="12C803C8"/>
    <w:lvl w:ilvl="0" w:tplc="CD9C6B54">
      <w:start w:val="2"/>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F952F38"/>
    <w:multiLevelType w:val="multilevel"/>
    <w:tmpl w:val="7BD287E4"/>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3F919ED"/>
    <w:multiLevelType w:val="multilevel"/>
    <w:tmpl w:val="B0E2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D815B2"/>
    <w:multiLevelType w:val="hybridMultilevel"/>
    <w:tmpl w:val="132CDB4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nsid w:val="3CB35327"/>
    <w:multiLevelType w:val="hybridMultilevel"/>
    <w:tmpl w:val="0CBCD77C"/>
    <w:lvl w:ilvl="0" w:tplc="C80617D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D0A6F9C"/>
    <w:multiLevelType w:val="hybridMultilevel"/>
    <w:tmpl w:val="5C0CA8E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F6F4090"/>
    <w:multiLevelType w:val="hybridMultilevel"/>
    <w:tmpl w:val="1794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A737E1"/>
    <w:multiLevelType w:val="hybridMultilevel"/>
    <w:tmpl w:val="89AAB47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322D3E"/>
    <w:multiLevelType w:val="hybridMultilevel"/>
    <w:tmpl w:val="2DA69084"/>
    <w:lvl w:ilvl="0" w:tplc="F9388996">
      <w:start w:val="1"/>
      <w:numFmt w:val="bullet"/>
      <w:lvlText w:val="-"/>
      <w:lvlJc w:val="left"/>
      <w:pPr>
        <w:tabs>
          <w:tab w:val="num" w:pos="765"/>
        </w:tabs>
        <w:ind w:left="765" w:hanging="405"/>
      </w:pPr>
      <w:rPr>
        <w:rFonts w:ascii="Times New Roman" w:eastAsia="Times New Roman" w:hAnsi="Times New Roman" w:cs="Times New Roman" w:hint="default"/>
      </w:rPr>
    </w:lvl>
    <w:lvl w:ilvl="1" w:tplc="F9388996">
      <w:start w:val="1"/>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4251525A"/>
    <w:multiLevelType w:val="multilevel"/>
    <w:tmpl w:val="1B6E9F1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37647E6"/>
    <w:multiLevelType w:val="hybridMultilevel"/>
    <w:tmpl w:val="7D3E41A0"/>
    <w:lvl w:ilvl="0" w:tplc="F9388996">
      <w:start w:val="1"/>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nsid w:val="45645A0C"/>
    <w:multiLevelType w:val="hybridMultilevel"/>
    <w:tmpl w:val="D004DAF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496F7E70"/>
    <w:multiLevelType w:val="hybridMultilevel"/>
    <w:tmpl w:val="0128A08A"/>
    <w:lvl w:ilvl="0" w:tplc="49A0ED0E">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497844F8"/>
    <w:multiLevelType w:val="hybridMultilevel"/>
    <w:tmpl w:val="1C3A2F2C"/>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
    <w:nsid w:val="4AFF5011"/>
    <w:multiLevelType w:val="hybridMultilevel"/>
    <w:tmpl w:val="AAAE5906"/>
    <w:lvl w:ilvl="0" w:tplc="BB2899F4">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4CC32522"/>
    <w:multiLevelType w:val="hybridMultilevel"/>
    <w:tmpl w:val="7F9C2826"/>
    <w:lvl w:ilvl="0" w:tplc="F938899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256672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3854D3E"/>
    <w:multiLevelType w:val="multilevel"/>
    <w:tmpl w:val="C57A87AC"/>
    <w:lvl w:ilvl="0">
      <w:start w:val="2"/>
      <w:numFmt w:val="decimal"/>
      <w:lvlText w:val="%1."/>
      <w:lvlJc w:val="left"/>
      <w:pPr>
        <w:ind w:left="36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432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35">
    <w:nsid w:val="58544EA5"/>
    <w:multiLevelType w:val="hybridMultilevel"/>
    <w:tmpl w:val="E0D623B2"/>
    <w:lvl w:ilvl="0" w:tplc="E0F4A91A">
      <w:numFmt w:val="bullet"/>
      <w:lvlText w:val="•"/>
      <w:lvlJc w:val="left"/>
      <w:pPr>
        <w:ind w:left="1065" w:hanging="70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952ED8"/>
    <w:multiLevelType w:val="multilevel"/>
    <w:tmpl w:val="83DAB85A"/>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3050CCD"/>
    <w:multiLevelType w:val="multilevel"/>
    <w:tmpl w:val="61B826CE"/>
    <w:lvl w:ilvl="0">
      <w:start w:val="2"/>
      <w:numFmt w:val="decimal"/>
      <w:lvlText w:val="%1."/>
      <w:lvlJc w:val="left"/>
      <w:pPr>
        <w:ind w:left="360" w:hanging="360"/>
      </w:pPr>
      <w:rPr>
        <w:rFonts w:hint="default"/>
      </w:rPr>
    </w:lvl>
    <w:lvl w:ilvl="1">
      <w:start w:val="2"/>
      <w:numFmt w:val="decimal"/>
      <w:isLgl/>
      <w:lvlText w:val="%1.%2"/>
      <w:lvlJc w:val="left"/>
      <w:pPr>
        <w:ind w:left="480" w:hanging="360"/>
      </w:pPr>
      <w:rPr>
        <w:rFonts w:hint="default"/>
      </w:rPr>
    </w:lvl>
    <w:lvl w:ilvl="2">
      <w:start w:val="1"/>
      <w:numFmt w:val="decimal"/>
      <w:isLgl/>
      <w:lvlText w:val="%1.%2.%3"/>
      <w:lvlJc w:val="left"/>
      <w:pPr>
        <w:ind w:left="60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200" w:hanging="72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920" w:hanging="1080"/>
      </w:pPr>
      <w:rPr>
        <w:rFonts w:hint="default"/>
      </w:rPr>
    </w:lvl>
    <w:lvl w:ilvl="8">
      <w:start w:val="1"/>
      <w:numFmt w:val="decimal"/>
      <w:isLgl/>
      <w:lvlText w:val="%1.%2.%3.%4.%5.%6.%7.%8.%9"/>
      <w:lvlJc w:val="left"/>
      <w:pPr>
        <w:ind w:left="2400" w:hanging="1440"/>
      </w:pPr>
      <w:rPr>
        <w:rFonts w:hint="default"/>
      </w:rPr>
    </w:lvl>
  </w:abstractNum>
  <w:abstractNum w:abstractNumId="38">
    <w:nsid w:val="6F893287"/>
    <w:multiLevelType w:val="multilevel"/>
    <w:tmpl w:val="418C03A2"/>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3FE39F3"/>
    <w:multiLevelType w:val="hybridMultilevel"/>
    <w:tmpl w:val="405C553E"/>
    <w:lvl w:ilvl="0" w:tplc="04050001">
      <w:start w:val="7"/>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6415C6D"/>
    <w:multiLevelType w:val="hybridMultilevel"/>
    <w:tmpl w:val="A598291C"/>
    <w:lvl w:ilvl="0" w:tplc="5F1AC2C0">
      <w:start w:val="1"/>
      <w:numFmt w:val="lowerLetter"/>
      <w:lvlText w:val="%1)"/>
      <w:lvlJc w:val="left"/>
      <w:pPr>
        <w:ind w:left="360" w:hanging="360"/>
      </w:pPr>
      <w:rPr>
        <w:rFonts w:hint="default"/>
        <w:i w:val="0"/>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1">
    <w:nsid w:val="79B90EB4"/>
    <w:multiLevelType w:val="hybridMultilevel"/>
    <w:tmpl w:val="98F67A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020001"/>
    <w:multiLevelType w:val="multilevel"/>
    <w:tmpl w:val="4A3A04D4"/>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B762E6D"/>
    <w:multiLevelType w:val="hybridMultilevel"/>
    <w:tmpl w:val="586A2F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E571231"/>
    <w:multiLevelType w:val="hybridMultilevel"/>
    <w:tmpl w:val="EF7631D6"/>
    <w:lvl w:ilvl="0" w:tplc="D4C2B7B4">
      <w:start w:val="1"/>
      <w:numFmt w:val="lowerLetter"/>
      <w:lvlText w:val="%1)"/>
      <w:lvlJc w:val="left"/>
      <w:pPr>
        <w:ind w:left="705" w:hanging="705"/>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5">
    <w:nsid w:val="7F9F4163"/>
    <w:multiLevelType w:val="hybridMultilevel"/>
    <w:tmpl w:val="A78ADFC6"/>
    <w:lvl w:ilvl="0" w:tplc="242AA788">
      <w:numFmt w:val="bullet"/>
      <w:lvlText w:val="-"/>
      <w:lvlJc w:val="left"/>
      <w:pPr>
        <w:ind w:left="306" w:hanging="360"/>
      </w:pPr>
      <w:rPr>
        <w:rFonts w:ascii="Arial" w:eastAsia="Times New Roman" w:hAnsi="Arial" w:cs="Arial" w:hint="default"/>
      </w:rPr>
    </w:lvl>
    <w:lvl w:ilvl="1" w:tplc="04050003" w:tentative="1">
      <w:start w:val="1"/>
      <w:numFmt w:val="bullet"/>
      <w:lvlText w:val="o"/>
      <w:lvlJc w:val="left"/>
      <w:pPr>
        <w:ind w:left="1026" w:hanging="360"/>
      </w:pPr>
      <w:rPr>
        <w:rFonts w:ascii="Courier New" w:hAnsi="Courier New" w:cs="Courier New" w:hint="default"/>
      </w:rPr>
    </w:lvl>
    <w:lvl w:ilvl="2" w:tplc="04050005" w:tentative="1">
      <w:start w:val="1"/>
      <w:numFmt w:val="bullet"/>
      <w:lvlText w:val=""/>
      <w:lvlJc w:val="left"/>
      <w:pPr>
        <w:ind w:left="1746" w:hanging="360"/>
      </w:pPr>
      <w:rPr>
        <w:rFonts w:ascii="Wingdings" w:hAnsi="Wingdings" w:hint="default"/>
      </w:rPr>
    </w:lvl>
    <w:lvl w:ilvl="3" w:tplc="04050001" w:tentative="1">
      <w:start w:val="1"/>
      <w:numFmt w:val="bullet"/>
      <w:lvlText w:val=""/>
      <w:lvlJc w:val="left"/>
      <w:pPr>
        <w:ind w:left="2466" w:hanging="360"/>
      </w:pPr>
      <w:rPr>
        <w:rFonts w:ascii="Symbol" w:hAnsi="Symbol" w:hint="default"/>
      </w:rPr>
    </w:lvl>
    <w:lvl w:ilvl="4" w:tplc="04050003" w:tentative="1">
      <w:start w:val="1"/>
      <w:numFmt w:val="bullet"/>
      <w:lvlText w:val="o"/>
      <w:lvlJc w:val="left"/>
      <w:pPr>
        <w:ind w:left="3186" w:hanging="360"/>
      </w:pPr>
      <w:rPr>
        <w:rFonts w:ascii="Courier New" w:hAnsi="Courier New" w:cs="Courier New" w:hint="default"/>
      </w:rPr>
    </w:lvl>
    <w:lvl w:ilvl="5" w:tplc="04050005" w:tentative="1">
      <w:start w:val="1"/>
      <w:numFmt w:val="bullet"/>
      <w:lvlText w:val=""/>
      <w:lvlJc w:val="left"/>
      <w:pPr>
        <w:ind w:left="3906" w:hanging="360"/>
      </w:pPr>
      <w:rPr>
        <w:rFonts w:ascii="Wingdings" w:hAnsi="Wingdings" w:hint="default"/>
      </w:rPr>
    </w:lvl>
    <w:lvl w:ilvl="6" w:tplc="04050001" w:tentative="1">
      <w:start w:val="1"/>
      <w:numFmt w:val="bullet"/>
      <w:lvlText w:val=""/>
      <w:lvlJc w:val="left"/>
      <w:pPr>
        <w:ind w:left="4626" w:hanging="360"/>
      </w:pPr>
      <w:rPr>
        <w:rFonts w:ascii="Symbol" w:hAnsi="Symbol" w:hint="default"/>
      </w:rPr>
    </w:lvl>
    <w:lvl w:ilvl="7" w:tplc="04050003" w:tentative="1">
      <w:start w:val="1"/>
      <w:numFmt w:val="bullet"/>
      <w:lvlText w:val="o"/>
      <w:lvlJc w:val="left"/>
      <w:pPr>
        <w:ind w:left="5346" w:hanging="360"/>
      </w:pPr>
      <w:rPr>
        <w:rFonts w:ascii="Courier New" w:hAnsi="Courier New" w:cs="Courier New" w:hint="default"/>
      </w:rPr>
    </w:lvl>
    <w:lvl w:ilvl="8" w:tplc="04050005" w:tentative="1">
      <w:start w:val="1"/>
      <w:numFmt w:val="bullet"/>
      <w:lvlText w:val=""/>
      <w:lvlJc w:val="left"/>
      <w:pPr>
        <w:ind w:left="6066" w:hanging="360"/>
      </w:pPr>
      <w:rPr>
        <w:rFonts w:ascii="Wingdings" w:hAnsi="Wingdings" w:hint="default"/>
      </w:rPr>
    </w:lvl>
  </w:abstractNum>
  <w:num w:numId="1">
    <w:abstractNumId w:val="25"/>
  </w:num>
  <w:num w:numId="2">
    <w:abstractNumId w:val="32"/>
  </w:num>
  <w:num w:numId="3">
    <w:abstractNumId w:val="6"/>
  </w:num>
  <w:num w:numId="4">
    <w:abstractNumId w:val="33"/>
  </w:num>
  <w:num w:numId="5">
    <w:abstractNumId w:val="3"/>
  </w:num>
  <w:num w:numId="6">
    <w:abstractNumId w:val="12"/>
  </w:num>
  <w:num w:numId="7">
    <w:abstractNumId w:val="27"/>
  </w:num>
  <w:num w:numId="8">
    <w:abstractNumId w:val="38"/>
  </w:num>
  <w:num w:numId="9">
    <w:abstractNumId w:val="26"/>
  </w:num>
  <w:num w:numId="10">
    <w:abstractNumId w:val="36"/>
  </w:num>
  <w:num w:numId="11">
    <w:abstractNumId w:val="11"/>
  </w:num>
  <w:num w:numId="12">
    <w:abstractNumId w:val="42"/>
  </w:num>
  <w:num w:numId="13">
    <w:abstractNumId w:val="31"/>
  </w:num>
  <w:num w:numId="14">
    <w:abstractNumId w:val="34"/>
  </w:num>
  <w:num w:numId="15">
    <w:abstractNumId w:val="37"/>
  </w:num>
  <w:num w:numId="16">
    <w:abstractNumId w:val="5"/>
  </w:num>
  <w:num w:numId="17">
    <w:abstractNumId w:val="17"/>
  </w:num>
  <w:num w:numId="18">
    <w:abstractNumId w:val="39"/>
  </w:num>
  <w:num w:numId="19">
    <w:abstractNumId w:val="0"/>
  </w:num>
  <w:num w:numId="20">
    <w:abstractNumId w:val="45"/>
  </w:num>
  <w:num w:numId="21">
    <w:abstractNumId w:val="7"/>
  </w:num>
  <w:num w:numId="22">
    <w:abstractNumId w:val="30"/>
  </w:num>
  <w:num w:numId="23">
    <w:abstractNumId w:val="18"/>
  </w:num>
  <w:num w:numId="24">
    <w:abstractNumId w:val="15"/>
  </w:num>
  <w:num w:numId="25">
    <w:abstractNumId w:val="44"/>
  </w:num>
  <w:num w:numId="26">
    <w:abstractNumId w:val="20"/>
  </w:num>
  <w:num w:numId="27">
    <w:abstractNumId w:val="13"/>
  </w:num>
  <w:num w:numId="28">
    <w:abstractNumId w:val="40"/>
  </w:num>
  <w:num w:numId="29">
    <w:abstractNumId w:val="16"/>
  </w:num>
  <w:num w:numId="30">
    <w:abstractNumId w:val="22"/>
  </w:num>
  <w:num w:numId="31">
    <w:abstractNumId w:val="10"/>
  </w:num>
  <w:num w:numId="32">
    <w:abstractNumId w:val="43"/>
  </w:num>
  <w:num w:numId="33">
    <w:abstractNumId w:val="28"/>
  </w:num>
  <w:num w:numId="34">
    <w:abstractNumId w:val="8"/>
  </w:num>
  <w:num w:numId="35">
    <w:abstractNumId w:val="19"/>
  </w:num>
  <w:num w:numId="36">
    <w:abstractNumId w:val="21"/>
  </w:num>
  <w:num w:numId="37">
    <w:abstractNumId w:val="14"/>
  </w:num>
  <w:num w:numId="38">
    <w:abstractNumId w:val="1"/>
  </w:num>
  <w:num w:numId="39">
    <w:abstractNumId w:val="9"/>
  </w:num>
  <w:num w:numId="40">
    <w:abstractNumId w:val="29"/>
  </w:num>
  <w:num w:numId="41">
    <w:abstractNumId w:val="2"/>
  </w:num>
  <w:num w:numId="42">
    <w:abstractNumId w:val="41"/>
  </w:num>
  <w:num w:numId="43">
    <w:abstractNumId w:val="24"/>
  </w:num>
  <w:num w:numId="44">
    <w:abstractNumId w:val="4"/>
  </w:num>
  <w:num w:numId="45">
    <w:abstractNumId w:val="35"/>
  </w:num>
  <w:num w:numId="46">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attachedTemplate r:id="rId1"/>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641"/>
    <w:rsid w:val="00002F19"/>
    <w:rsid w:val="00005515"/>
    <w:rsid w:val="00005868"/>
    <w:rsid w:val="0000767A"/>
    <w:rsid w:val="00007BF6"/>
    <w:rsid w:val="00010702"/>
    <w:rsid w:val="0002040C"/>
    <w:rsid w:val="00025165"/>
    <w:rsid w:val="000307D2"/>
    <w:rsid w:val="000353CA"/>
    <w:rsid w:val="0004694F"/>
    <w:rsid w:val="00052153"/>
    <w:rsid w:val="00052D0B"/>
    <w:rsid w:val="00060D56"/>
    <w:rsid w:val="00062320"/>
    <w:rsid w:val="00062EC5"/>
    <w:rsid w:val="0006345C"/>
    <w:rsid w:val="00065BAE"/>
    <w:rsid w:val="00074403"/>
    <w:rsid w:val="0007543A"/>
    <w:rsid w:val="00083528"/>
    <w:rsid w:val="00087634"/>
    <w:rsid w:val="000915F5"/>
    <w:rsid w:val="00096004"/>
    <w:rsid w:val="000A1183"/>
    <w:rsid w:val="000A2D10"/>
    <w:rsid w:val="000C3408"/>
    <w:rsid w:val="000C547E"/>
    <w:rsid w:val="000D0933"/>
    <w:rsid w:val="000D1765"/>
    <w:rsid w:val="000D21E1"/>
    <w:rsid w:val="000D2433"/>
    <w:rsid w:val="000D3D85"/>
    <w:rsid w:val="000D3E6C"/>
    <w:rsid w:val="000D5E39"/>
    <w:rsid w:val="000E5DE5"/>
    <w:rsid w:val="000F2D17"/>
    <w:rsid w:val="000F6E14"/>
    <w:rsid w:val="0010041E"/>
    <w:rsid w:val="00101535"/>
    <w:rsid w:val="00110E3B"/>
    <w:rsid w:val="001149A1"/>
    <w:rsid w:val="0011701D"/>
    <w:rsid w:val="00121C92"/>
    <w:rsid w:val="00123EF0"/>
    <w:rsid w:val="001319EB"/>
    <w:rsid w:val="00133BA8"/>
    <w:rsid w:val="001351C9"/>
    <w:rsid w:val="001405FA"/>
    <w:rsid w:val="001425C3"/>
    <w:rsid w:val="001466BB"/>
    <w:rsid w:val="00146973"/>
    <w:rsid w:val="00154ED5"/>
    <w:rsid w:val="00157587"/>
    <w:rsid w:val="00162BF0"/>
    <w:rsid w:val="00162D56"/>
    <w:rsid w:val="00163793"/>
    <w:rsid w:val="00164260"/>
    <w:rsid w:val="0016731E"/>
    <w:rsid w:val="001714F2"/>
    <w:rsid w:val="00172311"/>
    <w:rsid w:val="00175160"/>
    <w:rsid w:val="0017745B"/>
    <w:rsid w:val="0017751B"/>
    <w:rsid w:val="00185010"/>
    <w:rsid w:val="0018680D"/>
    <w:rsid w:val="00190B38"/>
    <w:rsid w:val="00193560"/>
    <w:rsid w:val="001A177C"/>
    <w:rsid w:val="001A3B66"/>
    <w:rsid w:val="001A4ACA"/>
    <w:rsid w:val="001A552F"/>
    <w:rsid w:val="001B176A"/>
    <w:rsid w:val="001B3110"/>
    <w:rsid w:val="001B61BC"/>
    <w:rsid w:val="001C1996"/>
    <w:rsid w:val="001C1D52"/>
    <w:rsid w:val="001D189A"/>
    <w:rsid w:val="001E1749"/>
    <w:rsid w:val="001E3731"/>
    <w:rsid w:val="001F4597"/>
    <w:rsid w:val="00200B56"/>
    <w:rsid w:val="00201D3A"/>
    <w:rsid w:val="00201E4B"/>
    <w:rsid w:val="002075A8"/>
    <w:rsid w:val="00207936"/>
    <w:rsid w:val="00210AA5"/>
    <w:rsid w:val="00213704"/>
    <w:rsid w:val="00213C72"/>
    <w:rsid w:val="00214E6F"/>
    <w:rsid w:val="00216072"/>
    <w:rsid w:val="002175EE"/>
    <w:rsid w:val="0022139E"/>
    <w:rsid w:val="00222564"/>
    <w:rsid w:val="00223026"/>
    <w:rsid w:val="00223335"/>
    <w:rsid w:val="002237C6"/>
    <w:rsid w:val="002252E0"/>
    <w:rsid w:val="002255F6"/>
    <w:rsid w:val="00226272"/>
    <w:rsid w:val="00227AA9"/>
    <w:rsid w:val="002339D2"/>
    <w:rsid w:val="00236443"/>
    <w:rsid w:val="0024085E"/>
    <w:rsid w:val="00240B6D"/>
    <w:rsid w:val="002436BA"/>
    <w:rsid w:val="00244A15"/>
    <w:rsid w:val="0024799E"/>
    <w:rsid w:val="00247A40"/>
    <w:rsid w:val="00254100"/>
    <w:rsid w:val="0026319A"/>
    <w:rsid w:val="00264C1E"/>
    <w:rsid w:val="00270041"/>
    <w:rsid w:val="00271AC3"/>
    <w:rsid w:val="00277062"/>
    <w:rsid w:val="00277DC6"/>
    <w:rsid w:val="00281EE4"/>
    <w:rsid w:val="00282A20"/>
    <w:rsid w:val="0028438F"/>
    <w:rsid w:val="00290B98"/>
    <w:rsid w:val="00290F1C"/>
    <w:rsid w:val="002A310D"/>
    <w:rsid w:val="002A795D"/>
    <w:rsid w:val="002B4648"/>
    <w:rsid w:val="002B6C95"/>
    <w:rsid w:val="002B7526"/>
    <w:rsid w:val="002C1EDC"/>
    <w:rsid w:val="002C43BD"/>
    <w:rsid w:val="002D036A"/>
    <w:rsid w:val="002D1024"/>
    <w:rsid w:val="002D246F"/>
    <w:rsid w:val="002D700F"/>
    <w:rsid w:val="002E02A1"/>
    <w:rsid w:val="002E7C59"/>
    <w:rsid w:val="002F59C4"/>
    <w:rsid w:val="00304771"/>
    <w:rsid w:val="00306C5B"/>
    <w:rsid w:val="00313FC3"/>
    <w:rsid w:val="003209D6"/>
    <w:rsid w:val="00320E92"/>
    <w:rsid w:val="00323231"/>
    <w:rsid w:val="00330C8E"/>
    <w:rsid w:val="0034055C"/>
    <w:rsid w:val="00341C9C"/>
    <w:rsid w:val="00341E61"/>
    <w:rsid w:val="00344398"/>
    <w:rsid w:val="003446FE"/>
    <w:rsid w:val="00344A9F"/>
    <w:rsid w:val="003452B6"/>
    <w:rsid w:val="00345347"/>
    <w:rsid w:val="0035195A"/>
    <w:rsid w:val="00352ACB"/>
    <w:rsid w:val="00356E1F"/>
    <w:rsid w:val="003657F3"/>
    <w:rsid w:val="00370B28"/>
    <w:rsid w:val="00375B3D"/>
    <w:rsid w:val="00380B0F"/>
    <w:rsid w:val="00381C1A"/>
    <w:rsid w:val="0038205A"/>
    <w:rsid w:val="00385D98"/>
    <w:rsid w:val="00394B23"/>
    <w:rsid w:val="00396A34"/>
    <w:rsid w:val="00397972"/>
    <w:rsid w:val="003A2B4D"/>
    <w:rsid w:val="003A478C"/>
    <w:rsid w:val="003A5525"/>
    <w:rsid w:val="003A6B38"/>
    <w:rsid w:val="003A7223"/>
    <w:rsid w:val="003B0B06"/>
    <w:rsid w:val="003B34FF"/>
    <w:rsid w:val="003B4169"/>
    <w:rsid w:val="003B5A32"/>
    <w:rsid w:val="003B5B99"/>
    <w:rsid w:val="003C1109"/>
    <w:rsid w:val="003C627D"/>
    <w:rsid w:val="003C6CC2"/>
    <w:rsid w:val="003D5919"/>
    <w:rsid w:val="003E037E"/>
    <w:rsid w:val="003E0671"/>
    <w:rsid w:val="003E76A0"/>
    <w:rsid w:val="003F144E"/>
    <w:rsid w:val="003F174C"/>
    <w:rsid w:val="003F313C"/>
    <w:rsid w:val="004004F4"/>
    <w:rsid w:val="0040155D"/>
    <w:rsid w:val="00403034"/>
    <w:rsid w:val="00403484"/>
    <w:rsid w:val="00406353"/>
    <w:rsid w:val="004117C8"/>
    <w:rsid w:val="00416281"/>
    <w:rsid w:val="00416C0A"/>
    <w:rsid w:val="004236AB"/>
    <w:rsid w:val="004242B2"/>
    <w:rsid w:val="00426A61"/>
    <w:rsid w:val="00437926"/>
    <w:rsid w:val="00437DC6"/>
    <w:rsid w:val="00441783"/>
    <w:rsid w:val="0044625F"/>
    <w:rsid w:val="00452B8C"/>
    <w:rsid w:val="00452EBE"/>
    <w:rsid w:val="00467087"/>
    <w:rsid w:val="00470E57"/>
    <w:rsid w:val="00476265"/>
    <w:rsid w:val="004775D1"/>
    <w:rsid w:val="0048086F"/>
    <w:rsid w:val="00480E40"/>
    <w:rsid w:val="0048139F"/>
    <w:rsid w:val="004859A8"/>
    <w:rsid w:val="004868D6"/>
    <w:rsid w:val="004A081C"/>
    <w:rsid w:val="004A44A2"/>
    <w:rsid w:val="004A77DF"/>
    <w:rsid w:val="004B2C1E"/>
    <w:rsid w:val="004B55B7"/>
    <w:rsid w:val="004B7591"/>
    <w:rsid w:val="004C3867"/>
    <w:rsid w:val="004C4ABE"/>
    <w:rsid w:val="004C4CD0"/>
    <w:rsid w:val="004C70DC"/>
    <w:rsid w:val="004D0211"/>
    <w:rsid w:val="004D5E24"/>
    <w:rsid w:val="004E1007"/>
    <w:rsid w:val="004E3E1A"/>
    <w:rsid w:val="004F06F5"/>
    <w:rsid w:val="004F0E28"/>
    <w:rsid w:val="004F209C"/>
    <w:rsid w:val="004F78C3"/>
    <w:rsid w:val="00501EFA"/>
    <w:rsid w:val="005108C0"/>
    <w:rsid w:val="00511873"/>
    <w:rsid w:val="00513B7E"/>
    <w:rsid w:val="00514041"/>
    <w:rsid w:val="0051478D"/>
    <w:rsid w:val="005151FB"/>
    <w:rsid w:val="00520DCA"/>
    <w:rsid w:val="005221B3"/>
    <w:rsid w:val="0052495E"/>
    <w:rsid w:val="00525137"/>
    <w:rsid w:val="005251DD"/>
    <w:rsid w:val="00527720"/>
    <w:rsid w:val="00531985"/>
    <w:rsid w:val="00532D7D"/>
    <w:rsid w:val="005376AD"/>
    <w:rsid w:val="005376E3"/>
    <w:rsid w:val="00542E84"/>
    <w:rsid w:val="00544082"/>
    <w:rsid w:val="00550483"/>
    <w:rsid w:val="00550FE5"/>
    <w:rsid w:val="005513E1"/>
    <w:rsid w:val="00551573"/>
    <w:rsid w:val="00557A96"/>
    <w:rsid w:val="00561D72"/>
    <w:rsid w:val="00572C92"/>
    <w:rsid w:val="00583FFD"/>
    <w:rsid w:val="0058445D"/>
    <w:rsid w:val="00586971"/>
    <w:rsid w:val="00591143"/>
    <w:rsid w:val="00593152"/>
    <w:rsid w:val="00593E87"/>
    <w:rsid w:val="005956E7"/>
    <w:rsid w:val="005A21E0"/>
    <w:rsid w:val="005A54EB"/>
    <w:rsid w:val="005A7305"/>
    <w:rsid w:val="005A7316"/>
    <w:rsid w:val="005B20AA"/>
    <w:rsid w:val="005B2486"/>
    <w:rsid w:val="005C04E2"/>
    <w:rsid w:val="005C2045"/>
    <w:rsid w:val="005D1BF3"/>
    <w:rsid w:val="005D514D"/>
    <w:rsid w:val="005D5495"/>
    <w:rsid w:val="005D5802"/>
    <w:rsid w:val="005E0178"/>
    <w:rsid w:val="005E0676"/>
    <w:rsid w:val="005E1DD5"/>
    <w:rsid w:val="005E316C"/>
    <w:rsid w:val="005E5711"/>
    <w:rsid w:val="005E73F3"/>
    <w:rsid w:val="005F153A"/>
    <w:rsid w:val="005F2EE2"/>
    <w:rsid w:val="006016D1"/>
    <w:rsid w:val="00602EF3"/>
    <w:rsid w:val="00604307"/>
    <w:rsid w:val="0060487F"/>
    <w:rsid w:val="006067DA"/>
    <w:rsid w:val="00606B1B"/>
    <w:rsid w:val="0061689B"/>
    <w:rsid w:val="00624093"/>
    <w:rsid w:val="00625E0F"/>
    <w:rsid w:val="00633AEB"/>
    <w:rsid w:val="00633F6D"/>
    <w:rsid w:val="006352A8"/>
    <w:rsid w:val="00635866"/>
    <w:rsid w:val="00635B35"/>
    <w:rsid w:val="00635FC7"/>
    <w:rsid w:val="006366C8"/>
    <w:rsid w:val="006374C2"/>
    <w:rsid w:val="006404A7"/>
    <w:rsid w:val="00640637"/>
    <w:rsid w:val="006419F8"/>
    <w:rsid w:val="006451E4"/>
    <w:rsid w:val="00645EF8"/>
    <w:rsid w:val="006472BA"/>
    <w:rsid w:val="006523BB"/>
    <w:rsid w:val="00653860"/>
    <w:rsid w:val="00655906"/>
    <w:rsid w:val="0065667A"/>
    <w:rsid w:val="00657E87"/>
    <w:rsid w:val="006710C9"/>
    <w:rsid w:val="00674BA1"/>
    <w:rsid w:val="00675DD1"/>
    <w:rsid w:val="00675E37"/>
    <w:rsid w:val="00677696"/>
    <w:rsid w:val="0068260E"/>
    <w:rsid w:val="0069246C"/>
    <w:rsid w:val="006941CE"/>
    <w:rsid w:val="00695BEF"/>
    <w:rsid w:val="00696417"/>
    <w:rsid w:val="00697219"/>
    <w:rsid w:val="006977F6"/>
    <w:rsid w:val="00697A13"/>
    <w:rsid w:val="00697C9B"/>
    <w:rsid w:val="006A109C"/>
    <w:rsid w:val="006A31C8"/>
    <w:rsid w:val="006A420D"/>
    <w:rsid w:val="006A4247"/>
    <w:rsid w:val="006A429F"/>
    <w:rsid w:val="006B1874"/>
    <w:rsid w:val="006B7581"/>
    <w:rsid w:val="006B78D8"/>
    <w:rsid w:val="006C0C43"/>
    <w:rsid w:val="006C113F"/>
    <w:rsid w:val="006C47BD"/>
    <w:rsid w:val="006D211A"/>
    <w:rsid w:val="006D3ACC"/>
    <w:rsid w:val="006D61F6"/>
    <w:rsid w:val="006D640E"/>
    <w:rsid w:val="006D795D"/>
    <w:rsid w:val="006E09D5"/>
    <w:rsid w:val="006E1FDB"/>
    <w:rsid w:val="006E279A"/>
    <w:rsid w:val="006E313B"/>
    <w:rsid w:val="006E5DFC"/>
    <w:rsid w:val="006E71FE"/>
    <w:rsid w:val="007051F5"/>
    <w:rsid w:val="0070676A"/>
    <w:rsid w:val="00711D97"/>
    <w:rsid w:val="007211F5"/>
    <w:rsid w:val="007271FD"/>
    <w:rsid w:val="00730AE8"/>
    <w:rsid w:val="00736D17"/>
    <w:rsid w:val="0073795D"/>
    <w:rsid w:val="00741493"/>
    <w:rsid w:val="00746E1B"/>
    <w:rsid w:val="0074736D"/>
    <w:rsid w:val="00747BB9"/>
    <w:rsid w:val="00750951"/>
    <w:rsid w:val="00752180"/>
    <w:rsid w:val="00755D3A"/>
    <w:rsid w:val="007572C9"/>
    <w:rsid w:val="0075757C"/>
    <w:rsid w:val="007609C6"/>
    <w:rsid w:val="00760D36"/>
    <w:rsid w:val="00761C28"/>
    <w:rsid w:val="007632B9"/>
    <w:rsid w:val="0077264D"/>
    <w:rsid w:val="00774CA3"/>
    <w:rsid w:val="00776527"/>
    <w:rsid w:val="00777353"/>
    <w:rsid w:val="00784861"/>
    <w:rsid w:val="007949E3"/>
    <w:rsid w:val="007A01BD"/>
    <w:rsid w:val="007A4E4E"/>
    <w:rsid w:val="007A68E8"/>
    <w:rsid w:val="007A7B9B"/>
    <w:rsid w:val="007B47EE"/>
    <w:rsid w:val="007B60D9"/>
    <w:rsid w:val="007C01B3"/>
    <w:rsid w:val="007C740E"/>
    <w:rsid w:val="007D3A47"/>
    <w:rsid w:val="007D6E98"/>
    <w:rsid w:val="007E0D3A"/>
    <w:rsid w:val="007E12CE"/>
    <w:rsid w:val="007E7E61"/>
    <w:rsid w:val="007F3932"/>
    <w:rsid w:val="007F4A5E"/>
    <w:rsid w:val="007F6B36"/>
    <w:rsid w:val="00802A57"/>
    <w:rsid w:val="00814887"/>
    <w:rsid w:val="00814A8E"/>
    <w:rsid w:val="008207EF"/>
    <w:rsid w:val="00821FF6"/>
    <w:rsid w:val="00830E10"/>
    <w:rsid w:val="0083143E"/>
    <w:rsid w:val="00831D41"/>
    <w:rsid w:val="00834FAA"/>
    <w:rsid w:val="0083596D"/>
    <w:rsid w:val="00836086"/>
    <w:rsid w:val="00836B26"/>
    <w:rsid w:val="0084681E"/>
    <w:rsid w:val="00853E06"/>
    <w:rsid w:val="0085489F"/>
    <w:rsid w:val="00855FB6"/>
    <w:rsid w:val="00857578"/>
    <w:rsid w:val="0086041E"/>
    <w:rsid w:val="008605E5"/>
    <w:rsid w:val="00860953"/>
    <w:rsid w:val="008620CA"/>
    <w:rsid w:val="00863FDA"/>
    <w:rsid w:val="0087055B"/>
    <w:rsid w:val="00876086"/>
    <w:rsid w:val="0088462E"/>
    <w:rsid w:val="008877B0"/>
    <w:rsid w:val="008B0974"/>
    <w:rsid w:val="008B309A"/>
    <w:rsid w:val="008B5772"/>
    <w:rsid w:val="008B7C02"/>
    <w:rsid w:val="008C0E88"/>
    <w:rsid w:val="008C1793"/>
    <w:rsid w:val="008D1923"/>
    <w:rsid w:val="008D2A16"/>
    <w:rsid w:val="008D7DD3"/>
    <w:rsid w:val="008E31FF"/>
    <w:rsid w:val="008E401B"/>
    <w:rsid w:val="008E41B4"/>
    <w:rsid w:val="008E54ED"/>
    <w:rsid w:val="008F60FD"/>
    <w:rsid w:val="009003A8"/>
    <w:rsid w:val="00901E8E"/>
    <w:rsid w:val="009020FE"/>
    <w:rsid w:val="00902EFF"/>
    <w:rsid w:val="0090382A"/>
    <w:rsid w:val="00903ADB"/>
    <w:rsid w:val="00917F10"/>
    <w:rsid w:val="00921F14"/>
    <w:rsid w:val="009233F1"/>
    <w:rsid w:val="009248E3"/>
    <w:rsid w:val="00930D23"/>
    <w:rsid w:val="00930E84"/>
    <w:rsid w:val="00931794"/>
    <w:rsid w:val="0094427A"/>
    <w:rsid w:val="00944EA6"/>
    <w:rsid w:val="009552B1"/>
    <w:rsid w:val="00957CD1"/>
    <w:rsid w:val="0096414A"/>
    <w:rsid w:val="00972CA2"/>
    <w:rsid w:val="00973454"/>
    <w:rsid w:val="00974923"/>
    <w:rsid w:val="0098715D"/>
    <w:rsid w:val="00991A9E"/>
    <w:rsid w:val="0099411B"/>
    <w:rsid w:val="009A0CC8"/>
    <w:rsid w:val="009A23E5"/>
    <w:rsid w:val="009A76CB"/>
    <w:rsid w:val="009B35D8"/>
    <w:rsid w:val="009B6FD3"/>
    <w:rsid w:val="009C00F3"/>
    <w:rsid w:val="009C3912"/>
    <w:rsid w:val="009C7B08"/>
    <w:rsid w:val="009D15E0"/>
    <w:rsid w:val="009D2120"/>
    <w:rsid w:val="009D307C"/>
    <w:rsid w:val="009D7138"/>
    <w:rsid w:val="009E14B5"/>
    <w:rsid w:val="009E3131"/>
    <w:rsid w:val="009E3D07"/>
    <w:rsid w:val="009E5300"/>
    <w:rsid w:val="009E5C6B"/>
    <w:rsid w:val="009F30E4"/>
    <w:rsid w:val="009F4437"/>
    <w:rsid w:val="00A00BE4"/>
    <w:rsid w:val="00A0275E"/>
    <w:rsid w:val="00A074EF"/>
    <w:rsid w:val="00A077BC"/>
    <w:rsid w:val="00A10D66"/>
    <w:rsid w:val="00A11757"/>
    <w:rsid w:val="00A15646"/>
    <w:rsid w:val="00A1636E"/>
    <w:rsid w:val="00A202A7"/>
    <w:rsid w:val="00A204CF"/>
    <w:rsid w:val="00A219A9"/>
    <w:rsid w:val="00A2383F"/>
    <w:rsid w:val="00A23E43"/>
    <w:rsid w:val="00A33EFD"/>
    <w:rsid w:val="00A34DA0"/>
    <w:rsid w:val="00A35033"/>
    <w:rsid w:val="00A460B2"/>
    <w:rsid w:val="00A4618B"/>
    <w:rsid w:val="00A46DE0"/>
    <w:rsid w:val="00A475AC"/>
    <w:rsid w:val="00A5222D"/>
    <w:rsid w:val="00A52B44"/>
    <w:rsid w:val="00A52EC2"/>
    <w:rsid w:val="00A5555E"/>
    <w:rsid w:val="00A55FDE"/>
    <w:rsid w:val="00A57446"/>
    <w:rsid w:val="00A62CE1"/>
    <w:rsid w:val="00A75E40"/>
    <w:rsid w:val="00A84BAF"/>
    <w:rsid w:val="00A857C0"/>
    <w:rsid w:val="00A90201"/>
    <w:rsid w:val="00A902A5"/>
    <w:rsid w:val="00A91F5C"/>
    <w:rsid w:val="00A94AB5"/>
    <w:rsid w:val="00A953D4"/>
    <w:rsid w:val="00AA0168"/>
    <w:rsid w:val="00AA315F"/>
    <w:rsid w:val="00AA3BA1"/>
    <w:rsid w:val="00AA559A"/>
    <w:rsid w:val="00AB2AF1"/>
    <w:rsid w:val="00AB3CE2"/>
    <w:rsid w:val="00AB64E8"/>
    <w:rsid w:val="00AC1752"/>
    <w:rsid w:val="00AC4A24"/>
    <w:rsid w:val="00AD239A"/>
    <w:rsid w:val="00AD306C"/>
    <w:rsid w:val="00AD4FBF"/>
    <w:rsid w:val="00AD5913"/>
    <w:rsid w:val="00AE33C2"/>
    <w:rsid w:val="00AE6C8E"/>
    <w:rsid w:val="00AF25EE"/>
    <w:rsid w:val="00B01CAD"/>
    <w:rsid w:val="00B17C49"/>
    <w:rsid w:val="00B17E71"/>
    <w:rsid w:val="00B17FDE"/>
    <w:rsid w:val="00B2098B"/>
    <w:rsid w:val="00B32BCC"/>
    <w:rsid w:val="00B32DDB"/>
    <w:rsid w:val="00B36A65"/>
    <w:rsid w:val="00B372C8"/>
    <w:rsid w:val="00B40A03"/>
    <w:rsid w:val="00B40CFB"/>
    <w:rsid w:val="00B44676"/>
    <w:rsid w:val="00B448FC"/>
    <w:rsid w:val="00B46099"/>
    <w:rsid w:val="00B4643E"/>
    <w:rsid w:val="00B513EB"/>
    <w:rsid w:val="00B551E6"/>
    <w:rsid w:val="00B63AFC"/>
    <w:rsid w:val="00B63BD5"/>
    <w:rsid w:val="00B6608F"/>
    <w:rsid w:val="00B76CB5"/>
    <w:rsid w:val="00B76D1E"/>
    <w:rsid w:val="00B801AF"/>
    <w:rsid w:val="00B80EDA"/>
    <w:rsid w:val="00B81475"/>
    <w:rsid w:val="00B85CB1"/>
    <w:rsid w:val="00B90EFA"/>
    <w:rsid w:val="00B95940"/>
    <w:rsid w:val="00B97BEC"/>
    <w:rsid w:val="00BA0E5F"/>
    <w:rsid w:val="00BA493B"/>
    <w:rsid w:val="00BA4D62"/>
    <w:rsid w:val="00BB0015"/>
    <w:rsid w:val="00BB10A9"/>
    <w:rsid w:val="00BB5FF0"/>
    <w:rsid w:val="00BC2F06"/>
    <w:rsid w:val="00BC3543"/>
    <w:rsid w:val="00BC39BB"/>
    <w:rsid w:val="00BC5568"/>
    <w:rsid w:val="00BC66E8"/>
    <w:rsid w:val="00BD2BDC"/>
    <w:rsid w:val="00BD366B"/>
    <w:rsid w:val="00BD3FB1"/>
    <w:rsid w:val="00BD6D50"/>
    <w:rsid w:val="00BD7706"/>
    <w:rsid w:val="00BE23F8"/>
    <w:rsid w:val="00BF011D"/>
    <w:rsid w:val="00BF0BA2"/>
    <w:rsid w:val="00BF26C4"/>
    <w:rsid w:val="00C01506"/>
    <w:rsid w:val="00C044E3"/>
    <w:rsid w:val="00C107E7"/>
    <w:rsid w:val="00C148E2"/>
    <w:rsid w:val="00C21F94"/>
    <w:rsid w:val="00C22FC8"/>
    <w:rsid w:val="00C274E0"/>
    <w:rsid w:val="00C3177E"/>
    <w:rsid w:val="00C36AC9"/>
    <w:rsid w:val="00C41EFF"/>
    <w:rsid w:val="00C41FBD"/>
    <w:rsid w:val="00C45E27"/>
    <w:rsid w:val="00C47265"/>
    <w:rsid w:val="00C51E92"/>
    <w:rsid w:val="00C54836"/>
    <w:rsid w:val="00C556F4"/>
    <w:rsid w:val="00C64B75"/>
    <w:rsid w:val="00C6634F"/>
    <w:rsid w:val="00C728E0"/>
    <w:rsid w:val="00C8098B"/>
    <w:rsid w:val="00C80F44"/>
    <w:rsid w:val="00C85E96"/>
    <w:rsid w:val="00C901F9"/>
    <w:rsid w:val="00C90CF4"/>
    <w:rsid w:val="00C91D7C"/>
    <w:rsid w:val="00C92654"/>
    <w:rsid w:val="00C93389"/>
    <w:rsid w:val="00C93C0D"/>
    <w:rsid w:val="00C97E34"/>
    <w:rsid w:val="00CA0463"/>
    <w:rsid w:val="00CA24C7"/>
    <w:rsid w:val="00CA5A12"/>
    <w:rsid w:val="00CB7349"/>
    <w:rsid w:val="00CC14C1"/>
    <w:rsid w:val="00CC1931"/>
    <w:rsid w:val="00CC1CC4"/>
    <w:rsid w:val="00CC2E9C"/>
    <w:rsid w:val="00CC475C"/>
    <w:rsid w:val="00CC6A28"/>
    <w:rsid w:val="00CD288B"/>
    <w:rsid w:val="00CE26E9"/>
    <w:rsid w:val="00CE3173"/>
    <w:rsid w:val="00CE45A3"/>
    <w:rsid w:val="00CE6149"/>
    <w:rsid w:val="00CF26A8"/>
    <w:rsid w:val="00CF3148"/>
    <w:rsid w:val="00CF51EC"/>
    <w:rsid w:val="00D03353"/>
    <w:rsid w:val="00D03693"/>
    <w:rsid w:val="00D040DD"/>
    <w:rsid w:val="00D10241"/>
    <w:rsid w:val="00D10A68"/>
    <w:rsid w:val="00D15A3E"/>
    <w:rsid w:val="00D16F21"/>
    <w:rsid w:val="00D30233"/>
    <w:rsid w:val="00D31387"/>
    <w:rsid w:val="00D32AAF"/>
    <w:rsid w:val="00D347C8"/>
    <w:rsid w:val="00D3681A"/>
    <w:rsid w:val="00D41CE2"/>
    <w:rsid w:val="00D51522"/>
    <w:rsid w:val="00D516DE"/>
    <w:rsid w:val="00D51805"/>
    <w:rsid w:val="00D56ADA"/>
    <w:rsid w:val="00D602CE"/>
    <w:rsid w:val="00D60433"/>
    <w:rsid w:val="00D615CD"/>
    <w:rsid w:val="00D61A47"/>
    <w:rsid w:val="00D67975"/>
    <w:rsid w:val="00D709E7"/>
    <w:rsid w:val="00D719DF"/>
    <w:rsid w:val="00D7363A"/>
    <w:rsid w:val="00D76ECF"/>
    <w:rsid w:val="00D842D3"/>
    <w:rsid w:val="00D849E3"/>
    <w:rsid w:val="00D85D2F"/>
    <w:rsid w:val="00DA2A27"/>
    <w:rsid w:val="00DA3AAF"/>
    <w:rsid w:val="00DA45FF"/>
    <w:rsid w:val="00DA5852"/>
    <w:rsid w:val="00DA5900"/>
    <w:rsid w:val="00DB210A"/>
    <w:rsid w:val="00DB4F3B"/>
    <w:rsid w:val="00DB5AED"/>
    <w:rsid w:val="00DC2E00"/>
    <w:rsid w:val="00DC5B3B"/>
    <w:rsid w:val="00DD0AC7"/>
    <w:rsid w:val="00DD39C0"/>
    <w:rsid w:val="00DE2D8F"/>
    <w:rsid w:val="00DE3724"/>
    <w:rsid w:val="00DE6B5D"/>
    <w:rsid w:val="00DE6F11"/>
    <w:rsid w:val="00DF00E1"/>
    <w:rsid w:val="00DF1554"/>
    <w:rsid w:val="00DF1593"/>
    <w:rsid w:val="00DF4DBA"/>
    <w:rsid w:val="00DF5641"/>
    <w:rsid w:val="00E01C0E"/>
    <w:rsid w:val="00E03893"/>
    <w:rsid w:val="00E045F9"/>
    <w:rsid w:val="00E04694"/>
    <w:rsid w:val="00E069D1"/>
    <w:rsid w:val="00E17090"/>
    <w:rsid w:val="00E1763E"/>
    <w:rsid w:val="00E22935"/>
    <w:rsid w:val="00E23CFF"/>
    <w:rsid w:val="00E263D4"/>
    <w:rsid w:val="00E2712D"/>
    <w:rsid w:val="00E40102"/>
    <w:rsid w:val="00E42B4D"/>
    <w:rsid w:val="00E438DF"/>
    <w:rsid w:val="00E471F8"/>
    <w:rsid w:val="00E5040E"/>
    <w:rsid w:val="00E54EBD"/>
    <w:rsid w:val="00E55504"/>
    <w:rsid w:val="00E578A9"/>
    <w:rsid w:val="00E63EC2"/>
    <w:rsid w:val="00E644C5"/>
    <w:rsid w:val="00E65D1A"/>
    <w:rsid w:val="00E663CD"/>
    <w:rsid w:val="00E71A58"/>
    <w:rsid w:val="00E75DA1"/>
    <w:rsid w:val="00E81B7C"/>
    <w:rsid w:val="00E8493B"/>
    <w:rsid w:val="00E90C72"/>
    <w:rsid w:val="00E93764"/>
    <w:rsid w:val="00E97C6C"/>
    <w:rsid w:val="00EA0C68"/>
    <w:rsid w:val="00EA29F0"/>
    <w:rsid w:val="00EB3661"/>
    <w:rsid w:val="00EB7DA1"/>
    <w:rsid w:val="00EC6E8A"/>
    <w:rsid w:val="00ED286F"/>
    <w:rsid w:val="00EE1E7F"/>
    <w:rsid w:val="00EE39DC"/>
    <w:rsid w:val="00EE3E78"/>
    <w:rsid w:val="00EE5A6E"/>
    <w:rsid w:val="00EF1AEF"/>
    <w:rsid w:val="00EF1F5A"/>
    <w:rsid w:val="00EF3E4D"/>
    <w:rsid w:val="00EF4D97"/>
    <w:rsid w:val="00EF5416"/>
    <w:rsid w:val="00F014FF"/>
    <w:rsid w:val="00F02F8E"/>
    <w:rsid w:val="00F0328F"/>
    <w:rsid w:val="00F03967"/>
    <w:rsid w:val="00F04811"/>
    <w:rsid w:val="00F0488C"/>
    <w:rsid w:val="00F12246"/>
    <w:rsid w:val="00F127ED"/>
    <w:rsid w:val="00F15BEF"/>
    <w:rsid w:val="00F24FAA"/>
    <w:rsid w:val="00F3364D"/>
    <w:rsid w:val="00F41C6D"/>
    <w:rsid w:val="00F42351"/>
    <w:rsid w:val="00F45E8A"/>
    <w:rsid w:val="00F53404"/>
    <w:rsid w:val="00F5536C"/>
    <w:rsid w:val="00F6371C"/>
    <w:rsid w:val="00F63DDE"/>
    <w:rsid w:val="00F63FB7"/>
    <w:rsid w:val="00F6458A"/>
    <w:rsid w:val="00F67236"/>
    <w:rsid w:val="00F70B9D"/>
    <w:rsid w:val="00F71B42"/>
    <w:rsid w:val="00F725A0"/>
    <w:rsid w:val="00F73A0C"/>
    <w:rsid w:val="00F77FB0"/>
    <w:rsid w:val="00F85872"/>
    <w:rsid w:val="00F954C5"/>
    <w:rsid w:val="00F95636"/>
    <w:rsid w:val="00FA499A"/>
    <w:rsid w:val="00FB007E"/>
    <w:rsid w:val="00FB2302"/>
    <w:rsid w:val="00FC0B39"/>
    <w:rsid w:val="00FC0C8F"/>
    <w:rsid w:val="00FC0E5F"/>
    <w:rsid w:val="00FC12FB"/>
    <w:rsid w:val="00FC1CDE"/>
    <w:rsid w:val="00FC56DE"/>
    <w:rsid w:val="00FD0311"/>
    <w:rsid w:val="00FD0F42"/>
    <w:rsid w:val="00FD497D"/>
    <w:rsid w:val="00FD730E"/>
    <w:rsid w:val="00FD778F"/>
    <w:rsid w:val="00FE04DC"/>
    <w:rsid w:val="00FE2F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
    <w:name w:val="Normal"/>
    <w:qFormat/>
    <w:rsid w:val="007B47EE"/>
    <w:pPr>
      <w:spacing w:line="288" w:lineRule="auto"/>
    </w:pPr>
    <w:rPr>
      <w:rFonts w:ascii="Arial" w:eastAsia="Times New Roman" w:hAnsi="Arial"/>
      <w:szCs w:val="24"/>
    </w:rPr>
  </w:style>
  <w:style w:type="paragraph" w:styleId="Nadpis1">
    <w:name w:val="heading 1"/>
    <w:next w:val="Normln"/>
    <w:link w:val="Nadpis1Char"/>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qFormat/>
    <w:rsid w:val="00A1636E"/>
    <w:pPr>
      <w:keepNext/>
      <w:keepLines/>
      <w:spacing w:before="120" w:after="240" w:line="288" w:lineRule="auto"/>
      <w:outlineLvl w:val="1"/>
    </w:pPr>
    <w:rPr>
      <w:rFonts w:ascii="Arial" w:eastAsia="MS Gothic" w:hAnsi="Arial"/>
      <w:b/>
      <w:bCs/>
      <w:color w:val="BC091B"/>
      <w:sz w:val="28"/>
      <w:szCs w:val="26"/>
    </w:rPr>
  </w:style>
  <w:style w:type="paragraph" w:styleId="Nadpis3">
    <w:name w:val="heading 3"/>
    <w:next w:val="Normln"/>
    <w:link w:val="Nadpis3Char"/>
    <w:qFormat/>
    <w:rsid w:val="00EE39DC"/>
    <w:pPr>
      <w:keepNext/>
      <w:keepLines/>
      <w:spacing w:before="240" w:after="120" w:line="288" w:lineRule="auto"/>
      <w:outlineLvl w:val="2"/>
    </w:pPr>
    <w:rPr>
      <w:rFonts w:ascii="Arial" w:eastAsia="MS Gothic" w:hAnsi="Arial"/>
      <w:b/>
      <w:bCs/>
      <w:color w:val="BC091B"/>
      <w:sz w:val="24"/>
      <w:szCs w:val="24"/>
    </w:rPr>
  </w:style>
  <w:style w:type="paragraph" w:styleId="Nadpis4">
    <w:name w:val="heading 4"/>
    <w:next w:val="Normln"/>
    <w:link w:val="Nadpis4Char"/>
    <w:qFormat/>
    <w:rsid w:val="005108C0"/>
    <w:pPr>
      <w:keepNext/>
      <w:keepLines/>
      <w:spacing w:line="288" w:lineRule="auto"/>
      <w:outlineLvl w:val="3"/>
    </w:pPr>
    <w:rPr>
      <w:rFonts w:ascii="Arial" w:eastAsia="MS Gothic" w:hAnsi="Arial"/>
      <w:b/>
      <w:bCs/>
      <w:iCs/>
      <w:szCs w:val="24"/>
    </w:rPr>
  </w:style>
  <w:style w:type="paragraph" w:styleId="Nadpis5">
    <w:name w:val="heading 5"/>
    <w:basedOn w:val="Normln"/>
    <w:next w:val="Normln"/>
    <w:link w:val="Nadpis5Char"/>
    <w:qFormat/>
    <w:rsid w:val="00110E3B"/>
    <w:pPr>
      <w:keepNext/>
      <w:spacing w:before="120" w:after="120" w:line="240" w:lineRule="auto"/>
      <w:jc w:val="center"/>
      <w:outlineLvl w:val="4"/>
    </w:pPr>
    <w:rPr>
      <w:b/>
      <w:bCs/>
      <w:sz w:val="16"/>
      <w:szCs w:val="16"/>
    </w:rPr>
  </w:style>
  <w:style w:type="paragraph" w:styleId="Nadpis6">
    <w:name w:val="heading 6"/>
    <w:basedOn w:val="Normln"/>
    <w:next w:val="Normln"/>
    <w:link w:val="Nadpis6Char"/>
    <w:qFormat/>
    <w:rsid w:val="00110E3B"/>
    <w:pPr>
      <w:keepNext/>
      <w:spacing w:before="120" w:after="120" w:line="240" w:lineRule="auto"/>
      <w:jc w:val="both"/>
      <w:outlineLvl w:val="5"/>
    </w:pPr>
    <w:rPr>
      <w:b/>
      <w:bCs/>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paragraph" w:styleId="Nzev">
    <w:name w:val="Title"/>
    <w:next w:val="Normln"/>
    <w:link w:val="NzevChar"/>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rsid w:val="00BC3543"/>
    <w:rPr>
      <w:rFonts w:ascii="Arial" w:eastAsia="MS Gothic" w:hAnsi="Arial"/>
      <w:b/>
      <w:bCs/>
      <w:color w:val="BC091B"/>
      <w:sz w:val="32"/>
      <w:szCs w:val="28"/>
      <w:lang w:bidi="ar-SA"/>
    </w:rPr>
  </w:style>
  <w:style w:type="character" w:customStyle="1" w:styleId="Nadpis2Char">
    <w:name w:val="Nadpis 2 Char"/>
    <w:link w:val="Nadpis2"/>
    <w:rsid w:val="00A1636E"/>
    <w:rPr>
      <w:rFonts w:ascii="Arial" w:eastAsia="MS Gothic" w:hAnsi="Arial"/>
      <w:b/>
      <w:bCs/>
      <w:color w:val="BC091B"/>
      <w:sz w:val="28"/>
      <w:szCs w:val="26"/>
    </w:rPr>
  </w:style>
  <w:style w:type="character" w:customStyle="1" w:styleId="Nadpis3Char">
    <w:name w:val="Nadpis 3 Char"/>
    <w:link w:val="Nadpis3"/>
    <w:rsid w:val="00EE39DC"/>
    <w:rPr>
      <w:rFonts w:ascii="Arial" w:eastAsia="MS Gothic" w:hAnsi="Arial"/>
      <w:b/>
      <w:bCs/>
      <w:color w:val="BC091B"/>
      <w:sz w:val="24"/>
      <w:szCs w:val="24"/>
    </w:rPr>
  </w:style>
  <w:style w:type="character" w:customStyle="1" w:styleId="Nadpis4Char">
    <w:name w:val="Nadpis 4 Char"/>
    <w:link w:val="Nadpis4"/>
    <w:rsid w:val="005108C0"/>
    <w:rPr>
      <w:rFonts w:ascii="Arial" w:eastAsia="MS Gothic" w:hAnsi="Arial"/>
      <w:b/>
      <w:bCs/>
      <w:iCs/>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qFormat/>
    <w:rsid w:val="006C113F"/>
    <w:pPr>
      <w:spacing w:after="200"/>
    </w:pPr>
    <w:rPr>
      <w:sz w:val="24"/>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Textpoznpodarou">
    <w:name w:val="footnote text"/>
    <w:basedOn w:val="Normln"/>
    <w:link w:val="TextpoznpodarouChar"/>
    <w:semiHidden/>
    <w:rsid w:val="00542E84"/>
    <w:pPr>
      <w:spacing w:before="120" w:after="120" w:line="240" w:lineRule="auto"/>
      <w:jc w:val="both"/>
    </w:pPr>
    <w:rPr>
      <w:sz w:val="16"/>
      <w:szCs w:val="20"/>
    </w:rPr>
  </w:style>
  <w:style w:type="character" w:customStyle="1" w:styleId="TextpoznpodarouChar">
    <w:name w:val="Text pozn. pod čarou Char"/>
    <w:basedOn w:val="Standardnpsmoodstavce"/>
    <w:link w:val="Textpoznpodarou"/>
    <w:semiHidden/>
    <w:rsid w:val="00542E84"/>
    <w:rPr>
      <w:rFonts w:ascii="Arial" w:eastAsia="Times New Roman" w:hAnsi="Arial"/>
      <w:sz w:val="16"/>
    </w:rPr>
  </w:style>
  <w:style w:type="character" w:styleId="Znakapoznpodarou">
    <w:name w:val="footnote reference"/>
    <w:basedOn w:val="Standardnpsmoodstavce"/>
    <w:semiHidden/>
    <w:rsid w:val="00542E84"/>
    <w:rPr>
      <w:vertAlign w:val="superscript"/>
    </w:rPr>
  </w:style>
  <w:style w:type="paragraph" w:customStyle="1" w:styleId="Poznamkapodcarou">
    <w:name w:val="Poznamka pod carou"/>
    <w:basedOn w:val="Normln"/>
    <w:rsid w:val="00542E84"/>
    <w:pPr>
      <w:spacing w:before="120" w:after="120" w:line="240" w:lineRule="auto"/>
    </w:pPr>
    <w:rPr>
      <w:sz w:val="16"/>
      <w:szCs w:val="20"/>
    </w:rPr>
  </w:style>
  <w:style w:type="character" w:customStyle="1" w:styleId="Nadpis5Char">
    <w:name w:val="Nadpis 5 Char"/>
    <w:basedOn w:val="Standardnpsmoodstavce"/>
    <w:link w:val="Nadpis5"/>
    <w:rsid w:val="00110E3B"/>
    <w:rPr>
      <w:rFonts w:ascii="Arial" w:eastAsia="Times New Roman" w:hAnsi="Arial"/>
      <w:b/>
      <w:bCs/>
      <w:sz w:val="16"/>
      <w:szCs w:val="16"/>
    </w:rPr>
  </w:style>
  <w:style w:type="character" w:customStyle="1" w:styleId="Nadpis6Char">
    <w:name w:val="Nadpis 6 Char"/>
    <w:basedOn w:val="Standardnpsmoodstavce"/>
    <w:link w:val="Nadpis6"/>
    <w:rsid w:val="00110E3B"/>
    <w:rPr>
      <w:rFonts w:ascii="Arial" w:eastAsia="Times New Roman" w:hAnsi="Arial"/>
      <w:b/>
      <w:bCs/>
      <w:sz w:val="16"/>
      <w:szCs w:val="24"/>
    </w:rPr>
  </w:style>
  <w:style w:type="paragraph" w:customStyle="1" w:styleId="Nadpisvlastn1">
    <w:name w:val="Nadpis vlastní 1"/>
    <w:basedOn w:val="Normln"/>
    <w:rsid w:val="00110E3B"/>
    <w:pPr>
      <w:spacing w:before="120" w:after="360" w:line="240" w:lineRule="auto"/>
      <w:jc w:val="both"/>
    </w:pPr>
    <w:rPr>
      <w:b/>
      <w:bCs/>
      <w:sz w:val="36"/>
      <w:szCs w:val="20"/>
    </w:rPr>
  </w:style>
  <w:style w:type="paragraph" w:customStyle="1" w:styleId="Nadpisvlastn2">
    <w:name w:val="Nadpis vlastní 2"/>
    <w:basedOn w:val="Nadpisvlastn1"/>
    <w:rsid w:val="00110E3B"/>
    <w:rPr>
      <w14:shadow w14:blurRad="50800" w14:dist="38100" w14:dir="2700000" w14:sx="100000" w14:sy="100000" w14:kx="0" w14:ky="0" w14:algn="tl">
        <w14:srgbClr w14:val="000000">
          <w14:alpha w14:val="60000"/>
        </w14:srgbClr>
      </w14:shadow>
    </w:rPr>
  </w:style>
  <w:style w:type="paragraph" w:styleId="Zkladntextodsazen">
    <w:name w:val="Body Text Indent"/>
    <w:basedOn w:val="Normln"/>
    <w:link w:val="ZkladntextodsazenChar"/>
    <w:semiHidden/>
    <w:rsid w:val="00110E3B"/>
    <w:pPr>
      <w:spacing w:before="120" w:after="120" w:line="240" w:lineRule="auto"/>
      <w:ind w:firstLine="720"/>
      <w:jc w:val="both"/>
    </w:pPr>
  </w:style>
  <w:style w:type="character" w:customStyle="1" w:styleId="ZkladntextodsazenChar">
    <w:name w:val="Základní text odsazený Char"/>
    <w:basedOn w:val="Standardnpsmoodstavce"/>
    <w:link w:val="Zkladntextodsazen"/>
    <w:semiHidden/>
    <w:rsid w:val="00110E3B"/>
    <w:rPr>
      <w:rFonts w:ascii="Arial" w:eastAsia="Times New Roman" w:hAnsi="Arial"/>
      <w:szCs w:val="24"/>
    </w:rPr>
  </w:style>
  <w:style w:type="paragraph" w:customStyle="1" w:styleId="xl25">
    <w:name w:val="xl2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cs="Arial"/>
      <w:sz w:val="16"/>
      <w:szCs w:val="16"/>
    </w:rPr>
  </w:style>
  <w:style w:type="paragraph" w:customStyle="1" w:styleId="xl26">
    <w:name w:val="xl2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rPr>
  </w:style>
  <w:style w:type="paragraph" w:customStyle="1" w:styleId="xl27">
    <w:name w:val="xl2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cs="Arial"/>
      <w:sz w:val="16"/>
      <w:szCs w:val="16"/>
    </w:rPr>
  </w:style>
  <w:style w:type="paragraph" w:customStyle="1" w:styleId="xl28">
    <w:name w:val="xl28"/>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6"/>
      <w:szCs w:val="16"/>
    </w:rPr>
  </w:style>
  <w:style w:type="paragraph" w:customStyle="1" w:styleId="xl29">
    <w:name w:val="xl29"/>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0">
    <w:name w:val="xl30"/>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1">
    <w:name w:val="xl31"/>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2">
    <w:name w:val="xl32"/>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3">
    <w:name w:val="xl33"/>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4">
    <w:name w:val="xl34"/>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5">
    <w:name w:val="xl35"/>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cs="Arial"/>
      <w:b/>
      <w:bCs/>
      <w:sz w:val="16"/>
      <w:szCs w:val="16"/>
    </w:rPr>
  </w:style>
  <w:style w:type="paragraph" w:customStyle="1" w:styleId="xl24">
    <w:name w:val="xl24"/>
    <w:basedOn w:val="Normln"/>
    <w:rsid w:val="00110E3B"/>
    <w:pPr>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6">
    <w:name w:val="xl36"/>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7">
    <w:name w:val="xl37"/>
    <w:basedOn w:val="Normln"/>
    <w:rsid w:val="00110E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8">
    <w:name w:val="xl38"/>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39">
    <w:name w:val="xl39"/>
    <w:basedOn w:val="Normln"/>
    <w:rsid w:val="00110E3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0">
    <w:name w:val="xl40"/>
    <w:basedOn w:val="Normln"/>
    <w:rsid w:val="00110E3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1">
    <w:name w:val="xl41"/>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6"/>
      <w:szCs w:val="16"/>
    </w:rPr>
  </w:style>
  <w:style w:type="paragraph" w:customStyle="1" w:styleId="xl42">
    <w:name w:val="xl42"/>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3">
    <w:name w:val="xl43"/>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4">
    <w:name w:val="xl44"/>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5">
    <w:name w:val="xl4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6">
    <w:name w:val="xl4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7">
    <w:name w:val="xl47"/>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48">
    <w:name w:val="xl48"/>
    <w:basedOn w:val="Normln"/>
    <w:rsid w:val="00110E3B"/>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both"/>
    </w:pPr>
    <w:rPr>
      <w:rFonts w:eastAsia="Arial Unicode MS" w:cs="Arial"/>
      <w:b/>
      <w:bCs/>
      <w:color w:val="000000"/>
      <w:sz w:val="16"/>
      <w:szCs w:val="16"/>
    </w:rPr>
  </w:style>
  <w:style w:type="paragraph" w:customStyle="1" w:styleId="xl49">
    <w:name w:val="xl49"/>
    <w:basedOn w:val="Normln"/>
    <w:rsid w:val="00110E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Arial Unicode MS" w:cs="Arial Unicode MS"/>
      <w:sz w:val="16"/>
      <w:szCs w:val="16"/>
    </w:rPr>
  </w:style>
  <w:style w:type="paragraph" w:customStyle="1" w:styleId="xl50">
    <w:name w:val="xl50"/>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1">
    <w:name w:val="xl51"/>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2">
    <w:name w:val="xl52"/>
    <w:basedOn w:val="Normln"/>
    <w:rsid w:val="00110E3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3">
    <w:name w:val="xl53"/>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54">
    <w:name w:val="xl54"/>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Arial Unicode MS" w:cs="Arial Unicode MS"/>
      <w:sz w:val="16"/>
      <w:szCs w:val="16"/>
    </w:rPr>
  </w:style>
  <w:style w:type="paragraph" w:customStyle="1" w:styleId="xl55">
    <w:name w:val="xl55"/>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eastAsia="Arial Unicode MS" w:cs="Arial Unicode MS"/>
      <w:sz w:val="16"/>
      <w:szCs w:val="16"/>
    </w:rPr>
  </w:style>
  <w:style w:type="paragraph" w:customStyle="1" w:styleId="xl56">
    <w:name w:val="xl56"/>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57">
    <w:name w:val="xl5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b/>
      <w:bCs/>
      <w:sz w:val="16"/>
      <w:szCs w:val="16"/>
    </w:rPr>
  </w:style>
  <w:style w:type="paragraph" w:customStyle="1" w:styleId="xl58">
    <w:name w:val="xl58"/>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9">
    <w:name w:val="xl59"/>
    <w:basedOn w:val="Normln"/>
    <w:rsid w:val="00110E3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eastAsia="Arial Unicode MS" w:cs="Arial"/>
      <w:color w:val="000000"/>
    </w:rPr>
  </w:style>
  <w:style w:type="paragraph" w:customStyle="1" w:styleId="xl60">
    <w:name w:val="xl60"/>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1">
    <w:name w:val="xl61"/>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2">
    <w:name w:val="xl62"/>
    <w:basedOn w:val="Normln"/>
    <w:rsid w:val="00110E3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3">
    <w:name w:val="xl63"/>
    <w:basedOn w:val="Normln"/>
    <w:rsid w:val="00110E3B"/>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4">
    <w:name w:val="xl64"/>
    <w:basedOn w:val="Normln"/>
    <w:rsid w:val="00110E3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5">
    <w:name w:val="xl65"/>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6">
    <w:name w:val="xl66"/>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7">
    <w:name w:val="xl67"/>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8">
    <w:name w:val="xl68"/>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9">
    <w:name w:val="xl69"/>
    <w:basedOn w:val="Normln"/>
    <w:rsid w:val="00110E3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both"/>
    </w:pPr>
    <w:rPr>
      <w:rFonts w:eastAsia="Arial Unicode MS" w:cs="Arial"/>
      <w:sz w:val="16"/>
      <w:szCs w:val="16"/>
    </w:rPr>
  </w:style>
  <w:style w:type="paragraph" w:customStyle="1" w:styleId="xl70">
    <w:name w:val="xl70"/>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1">
    <w:name w:val="xl71"/>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2">
    <w:name w:val="xl72"/>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3">
    <w:name w:val="xl73"/>
    <w:basedOn w:val="Normln"/>
    <w:rsid w:val="00110E3B"/>
    <w:pPr>
      <w:pBdr>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4">
    <w:name w:val="xl74"/>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5">
    <w:name w:val="xl75"/>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76">
    <w:name w:val="xl76"/>
    <w:basedOn w:val="Normln"/>
    <w:rsid w:val="00110E3B"/>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7">
    <w:name w:val="xl77"/>
    <w:basedOn w:val="Normln"/>
    <w:rsid w:val="00110E3B"/>
    <w:pPr>
      <w:pBdr>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8">
    <w:name w:val="xl78"/>
    <w:basedOn w:val="Normln"/>
    <w:rsid w:val="00110E3B"/>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character" w:styleId="slostrnky">
    <w:name w:val="page number"/>
    <w:basedOn w:val="Standardnpsmoodstavce"/>
    <w:semiHidden/>
    <w:rsid w:val="00110E3B"/>
  </w:style>
  <w:style w:type="paragraph" w:styleId="Zkladntext">
    <w:name w:val="Body Text"/>
    <w:basedOn w:val="Normln"/>
    <w:link w:val="ZkladntextChar"/>
    <w:semiHidden/>
    <w:rsid w:val="00110E3B"/>
    <w:pPr>
      <w:spacing w:before="120" w:after="120" w:line="240" w:lineRule="auto"/>
      <w:jc w:val="both"/>
    </w:pPr>
  </w:style>
  <w:style w:type="character" w:customStyle="1" w:styleId="ZkladntextChar">
    <w:name w:val="Základní text Char"/>
    <w:basedOn w:val="Standardnpsmoodstavce"/>
    <w:link w:val="Zkladntext"/>
    <w:semiHidden/>
    <w:rsid w:val="00110E3B"/>
    <w:rPr>
      <w:rFonts w:ascii="Arial" w:eastAsia="Times New Roman" w:hAnsi="Arial"/>
      <w:szCs w:val="24"/>
    </w:rPr>
  </w:style>
  <w:style w:type="paragraph" w:styleId="Obsah1">
    <w:name w:val="toc 1"/>
    <w:basedOn w:val="Normln"/>
    <w:next w:val="Normln"/>
    <w:autoRedefine/>
    <w:uiPriority w:val="39"/>
    <w:rsid w:val="00110E3B"/>
    <w:pPr>
      <w:spacing w:before="120" w:after="120" w:line="240" w:lineRule="auto"/>
      <w:jc w:val="both"/>
    </w:pPr>
  </w:style>
  <w:style w:type="paragraph" w:styleId="Obsah2">
    <w:name w:val="toc 2"/>
    <w:basedOn w:val="Normln"/>
    <w:next w:val="Normln"/>
    <w:autoRedefine/>
    <w:uiPriority w:val="39"/>
    <w:rsid w:val="00110E3B"/>
    <w:pPr>
      <w:spacing w:before="120" w:after="120" w:line="240" w:lineRule="auto"/>
      <w:ind w:left="240"/>
      <w:jc w:val="both"/>
    </w:pPr>
  </w:style>
  <w:style w:type="paragraph" w:styleId="Obsah3">
    <w:name w:val="toc 3"/>
    <w:basedOn w:val="Normln"/>
    <w:next w:val="Normln"/>
    <w:autoRedefine/>
    <w:uiPriority w:val="39"/>
    <w:rsid w:val="00110E3B"/>
    <w:pPr>
      <w:spacing w:before="120" w:after="120" w:line="240" w:lineRule="auto"/>
      <w:ind w:left="480"/>
      <w:jc w:val="both"/>
    </w:pPr>
  </w:style>
  <w:style w:type="paragraph" w:styleId="Obsah4">
    <w:name w:val="toc 4"/>
    <w:basedOn w:val="Normln"/>
    <w:next w:val="Normln"/>
    <w:autoRedefine/>
    <w:semiHidden/>
    <w:rsid w:val="00110E3B"/>
    <w:pPr>
      <w:spacing w:before="120" w:after="120" w:line="240" w:lineRule="auto"/>
      <w:ind w:left="720"/>
      <w:jc w:val="both"/>
    </w:pPr>
  </w:style>
  <w:style w:type="paragraph" w:styleId="Obsah5">
    <w:name w:val="toc 5"/>
    <w:basedOn w:val="Normln"/>
    <w:next w:val="Normln"/>
    <w:autoRedefine/>
    <w:semiHidden/>
    <w:rsid w:val="00110E3B"/>
    <w:pPr>
      <w:spacing w:before="120" w:after="120" w:line="240" w:lineRule="auto"/>
      <w:ind w:left="960"/>
      <w:jc w:val="both"/>
    </w:pPr>
  </w:style>
  <w:style w:type="paragraph" w:styleId="Obsah6">
    <w:name w:val="toc 6"/>
    <w:basedOn w:val="Normln"/>
    <w:next w:val="Normln"/>
    <w:autoRedefine/>
    <w:semiHidden/>
    <w:rsid w:val="00110E3B"/>
    <w:pPr>
      <w:spacing w:before="120" w:after="120" w:line="240" w:lineRule="auto"/>
      <w:ind w:left="1200"/>
      <w:jc w:val="both"/>
    </w:pPr>
  </w:style>
  <w:style w:type="paragraph" w:styleId="Obsah7">
    <w:name w:val="toc 7"/>
    <w:basedOn w:val="Normln"/>
    <w:next w:val="Normln"/>
    <w:autoRedefine/>
    <w:semiHidden/>
    <w:rsid w:val="00110E3B"/>
    <w:pPr>
      <w:spacing w:before="120" w:after="120" w:line="240" w:lineRule="auto"/>
      <w:ind w:left="1440"/>
      <w:jc w:val="both"/>
    </w:pPr>
  </w:style>
  <w:style w:type="paragraph" w:styleId="Obsah8">
    <w:name w:val="toc 8"/>
    <w:basedOn w:val="Normln"/>
    <w:next w:val="Normln"/>
    <w:autoRedefine/>
    <w:semiHidden/>
    <w:rsid w:val="00110E3B"/>
    <w:pPr>
      <w:spacing w:before="120" w:after="120" w:line="240" w:lineRule="auto"/>
      <w:ind w:left="1680"/>
      <w:jc w:val="both"/>
    </w:pPr>
  </w:style>
  <w:style w:type="paragraph" w:styleId="Obsah9">
    <w:name w:val="toc 9"/>
    <w:basedOn w:val="Normln"/>
    <w:next w:val="Normln"/>
    <w:autoRedefine/>
    <w:semiHidden/>
    <w:rsid w:val="00110E3B"/>
    <w:pPr>
      <w:spacing w:before="120" w:after="120" w:line="240" w:lineRule="auto"/>
      <w:ind w:left="1920"/>
      <w:jc w:val="both"/>
    </w:pPr>
  </w:style>
  <w:style w:type="character" w:styleId="Sledovanodkaz">
    <w:name w:val="FollowedHyperlink"/>
    <w:basedOn w:val="Standardnpsmoodstavce"/>
    <w:semiHidden/>
    <w:rsid w:val="00110E3B"/>
    <w:rPr>
      <w:color w:val="800080"/>
      <w:u w:val="single"/>
    </w:rPr>
  </w:style>
  <w:style w:type="paragraph" w:customStyle="1" w:styleId="normalnsodrkami">
    <w:name w:val="normalní s odrážkami"/>
    <w:basedOn w:val="Normln"/>
    <w:rsid w:val="00110E3B"/>
    <w:pPr>
      <w:numPr>
        <w:numId w:val="6"/>
      </w:numPr>
      <w:spacing w:before="120" w:after="120" w:line="240" w:lineRule="auto"/>
      <w:jc w:val="both"/>
    </w:pPr>
  </w:style>
  <w:style w:type="paragraph" w:styleId="Zkladntext2">
    <w:name w:val="Body Text 2"/>
    <w:basedOn w:val="Normln"/>
    <w:link w:val="Zkladntext2Char"/>
    <w:semiHidden/>
    <w:rsid w:val="00110E3B"/>
    <w:pPr>
      <w:spacing w:before="120" w:after="120" w:line="240" w:lineRule="auto"/>
      <w:jc w:val="both"/>
    </w:pPr>
    <w:rPr>
      <w:rFonts w:cs="Arial"/>
    </w:rPr>
  </w:style>
  <w:style w:type="character" w:customStyle="1" w:styleId="Zkladntext2Char">
    <w:name w:val="Základní text 2 Char"/>
    <w:basedOn w:val="Standardnpsmoodstavce"/>
    <w:link w:val="Zkladntext2"/>
    <w:semiHidden/>
    <w:rsid w:val="00110E3B"/>
    <w:rPr>
      <w:rFonts w:ascii="Arial" w:eastAsia="Times New Roman" w:hAnsi="Arial" w:cs="Arial"/>
      <w:szCs w:val="24"/>
    </w:rPr>
  </w:style>
  <w:style w:type="paragraph" w:customStyle="1" w:styleId="Default">
    <w:name w:val="Default"/>
    <w:rsid w:val="00110E3B"/>
    <w:pPr>
      <w:autoSpaceDE w:val="0"/>
      <w:autoSpaceDN w:val="0"/>
      <w:adjustRightInd w:val="0"/>
    </w:pPr>
    <w:rPr>
      <w:rFonts w:ascii="Times New Roman" w:eastAsia="Times New Roman" w:hAnsi="Times New Roman"/>
      <w:color w:val="000000"/>
      <w:sz w:val="24"/>
      <w:szCs w:val="24"/>
    </w:rPr>
  </w:style>
  <w:style w:type="paragraph" w:styleId="Zkladntext3">
    <w:name w:val="Body Text 3"/>
    <w:basedOn w:val="Normln"/>
    <w:link w:val="Zkladntext3Char"/>
    <w:semiHidden/>
    <w:rsid w:val="00110E3B"/>
    <w:pPr>
      <w:spacing w:before="120" w:after="120" w:line="240" w:lineRule="auto"/>
      <w:jc w:val="both"/>
    </w:pPr>
    <w:rPr>
      <w:rFonts w:cs="Arial"/>
    </w:rPr>
  </w:style>
  <w:style w:type="character" w:customStyle="1" w:styleId="Zkladntext3Char">
    <w:name w:val="Základní text 3 Char"/>
    <w:basedOn w:val="Standardnpsmoodstavce"/>
    <w:link w:val="Zkladntext3"/>
    <w:semiHidden/>
    <w:rsid w:val="00110E3B"/>
    <w:rPr>
      <w:rFonts w:ascii="Arial" w:eastAsia="Times New Roman" w:hAnsi="Arial" w:cs="Arial"/>
      <w:szCs w:val="24"/>
    </w:rPr>
  </w:style>
  <w:style w:type="paragraph" w:styleId="Textvysvtlivek">
    <w:name w:val="endnote text"/>
    <w:basedOn w:val="Normln"/>
    <w:link w:val="TextvysvtlivekChar"/>
    <w:semiHidden/>
    <w:rsid w:val="00110E3B"/>
    <w:pPr>
      <w:spacing w:before="120" w:after="120" w:line="240" w:lineRule="auto"/>
      <w:jc w:val="both"/>
    </w:pPr>
    <w:rPr>
      <w:szCs w:val="20"/>
    </w:rPr>
  </w:style>
  <w:style w:type="character" w:customStyle="1" w:styleId="TextvysvtlivekChar">
    <w:name w:val="Text vysvětlivek Char"/>
    <w:basedOn w:val="Standardnpsmoodstavce"/>
    <w:link w:val="Textvysvtlivek"/>
    <w:semiHidden/>
    <w:rsid w:val="00110E3B"/>
    <w:rPr>
      <w:rFonts w:ascii="Arial" w:eastAsia="Times New Roman" w:hAnsi="Arial"/>
    </w:rPr>
  </w:style>
  <w:style w:type="character" w:styleId="Odkaznavysvtlivky">
    <w:name w:val="endnote reference"/>
    <w:basedOn w:val="Standardnpsmoodstavce"/>
    <w:semiHidden/>
    <w:rsid w:val="00110E3B"/>
    <w:rPr>
      <w:vertAlign w:val="superscript"/>
    </w:rPr>
  </w:style>
  <w:style w:type="character" w:styleId="Siln">
    <w:name w:val="Strong"/>
    <w:basedOn w:val="Standardnpsmoodstavce"/>
    <w:uiPriority w:val="22"/>
    <w:qFormat/>
    <w:rsid w:val="00110E3B"/>
    <w:rPr>
      <w:b/>
      <w:bCs/>
    </w:rPr>
  </w:style>
  <w:style w:type="character" w:customStyle="1" w:styleId="longtext1">
    <w:name w:val="long_text1"/>
    <w:basedOn w:val="Standardnpsmoodstavce"/>
    <w:rsid w:val="00110E3B"/>
    <w:rPr>
      <w:sz w:val="20"/>
      <w:szCs w:val="20"/>
    </w:rPr>
  </w:style>
  <w:style w:type="paragraph" w:styleId="Normlnweb">
    <w:name w:val="Normal (Web)"/>
    <w:basedOn w:val="Normln"/>
    <w:uiPriority w:val="99"/>
    <w:unhideWhenUsed/>
    <w:rsid w:val="00110E3B"/>
    <w:pPr>
      <w:spacing w:before="100" w:beforeAutospacing="1" w:after="100" w:afterAutospacing="1" w:line="240" w:lineRule="auto"/>
      <w:jc w:val="both"/>
    </w:pPr>
  </w:style>
  <w:style w:type="paragraph" w:customStyle="1" w:styleId="nazevtabulky">
    <w:name w:val="nazev tabulky"/>
    <w:basedOn w:val="Normln"/>
    <w:qFormat/>
    <w:rsid w:val="00110E3B"/>
    <w:pPr>
      <w:spacing w:before="240" w:after="240" w:line="240" w:lineRule="auto"/>
    </w:pPr>
    <w:rPr>
      <w:b/>
      <w:bCs/>
      <w:szCs w:val="17"/>
    </w:rPr>
  </w:style>
  <w:style w:type="paragraph" w:styleId="Odstavecseseznamem">
    <w:name w:val="List Paragraph"/>
    <w:basedOn w:val="Normln"/>
    <w:uiPriority w:val="34"/>
    <w:qFormat/>
    <w:rsid w:val="00110E3B"/>
    <w:pPr>
      <w:spacing w:before="120" w:after="120" w:line="240" w:lineRule="auto"/>
      <w:ind w:left="720"/>
      <w:contextualSpacing/>
      <w:jc w:val="both"/>
    </w:pPr>
  </w:style>
  <w:style w:type="numbering" w:customStyle="1" w:styleId="Bezseznamu1">
    <w:name w:val="Bez seznamu1"/>
    <w:next w:val="Bezseznamu"/>
    <w:uiPriority w:val="99"/>
    <w:semiHidden/>
    <w:unhideWhenUsed/>
    <w:rsid w:val="00DB4F3B"/>
  </w:style>
  <w:style w:type="table" w:styleId="Mkatabulky">
    <w:name w:val="Table Grid"/>
    <w:basedOn w:val="Normlntabulka"/>
    <w:uiPriority w:val="59"/>
    <w:rsid w:val="00DB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lastn">
    <w:name w:val="Text vlastní"/>
    <w:basedOn w:val="Normln"/>
    <w:rsid w:val="00DB4F3B"/>
    <w:pPr>
      <w:spacing w:before="120" w:line="240" w:lineRule="auto"/>
      <w:jc w:val="both"/>
    </w:pPr>
    <w:rPr>
      <w:sz w:val="18"/>
      <w:szCs w:val="20"/>
    </w:rPr>
  </w:style>
  <w:style w:type="character" w:styleId="Odkaznakoment">
    <w:name w:val="annotation reference"/>
    <w:basedOn w:val="Standardnpsmoodstavce"/>
    <w:uiPriority w:val="99"/>
    <w:semiHidden/>
    <w:unhideWhenUsed/>
    <w:rsid w:val="00DB4F3B"/>
    <w:rPr>
      <w:sz w:val="16"/>
      <w:szCs w:val="16"/>
    </w:rPr>
  </w:style>
  <w:style w:type="paragraph" w:styleId="Textkomente">
    <w:name w:val="annotation text"/>
    <w:basedOn w:val="Normln"/>
    <w:link w:val="TextkomenteChar"/>
    <w:uiPriority w:val="99"/>
    <w:semiHidden/>
    <w:unhideWhenUsed/>
    <w:rsid w:val="00DB4F3B"/>
    <w:pPr>
      <w:keepNext/>
      <w:spacing w:line="240" w:lineRule="auto"/>
      <w:jc w:val="both"/>
    </w:pPr>
    <w:rPr>
      <w:szCs w:val="20"/>
    </w:rPr>
  </w:style>
  <w:style w:type="character" w:customStyle="1" w:styleId="TextkomenteChar">
    <w:name w:val="Text komentáře Char"/>
    <w:basedOn w:val="Standardnpsmoodstavce"/>
    <w:link w:val="Textkomente"/>
    <w:uiPriority w:val="99"/>
    <w:semiHidden/>
    <w:rsid w:val="00DB4F3B"/>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DB4F3B"/>
    <w:rPr>
      <w:b/>
      <w:bCs/>
    </w:rPr>
  </w:style>
  <w:style w:type="character" w:customStyle="1" w:styleId="PedmtkomenteChar">
    <w:name w:val="Předmět komentáře Char"/>
    <w:basedOn w:val="TextkomenteChar"/>
    <w:link w:val="Pedmtkomente"/>
    <w:uiPriority w:val="99"/>
    <w:semiHidden/>
    <w:rsid w:val="00DB4F3B"/>
    <w:rPr>
      <w:rFonts w:ascii="Arial" w:eastAsia="Times New Roman" w:hAnsi="Arial"/>
      <w:b/>
      <w:bCs/>
    </w:rPr>
  </w:style>
  <w:style w:type="table" w:styleId="Stednmka3zvraznn2">
    <w:name w:val="Medium Grid 3 Accent 2"/>
    <w:basedOn w:val="Normlntabulka"/>
    <w:uiPriority w:val="60"/>
    <w:rsid w:val="003519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
    <w:name w:val="Bez seznamu2"/>
    <w:next w:val="Bezseznamu"/>
    <w:uiPriority w:val="99"/>
    <w:semiHidden/>
    <w:unhideWhenUsed/>
    <w:rsid w:val="00DE3724"/>
  </w:style>
  <w:style w:type="paragraph" w:styleId="Nadpisobsahu">
    <w:name w:val="TOC Heading"/>
    <w:basedOn w:val="Nadpis1"/>
    <w:next w:val="Normln"/>
    <w:uiPriority w:val="39"/>
    <w:semiHidden/>
    <w:unhideWhenUsed/>
    <w:qFormat/>
    <w:rsid w:val="00DE3724"/>
    <w:pPr>
      <w:spacing w:before="480" w:after="0" w:line="276" w:lineRule="auto"/>
      <w:outlineLvl w:val="9"/>
    </w:pPr>
    <w:rPr>
      <w:rFonts w:asciiTheme="majorHAnsi" w:eastAsiaTheme="majorEastAsia" w:hAnsiTheme="majorHAnsi" w:cstheme="majorBidi"/>
      <w:color w:val="365F91" w:themeColor="accent1" w:themeShade="BF"/>
      <w:sz w:val="28"/>
    </w:rPr>
  </w:style>
  <w:style w:type="numbering" w:customStyle="1" w:styleId="Bezseznamu3">
    <w:name w:val="Bez seznamu3"/>
    <w:next w:val="Bezseznamu"/>
    <w:uiPriority w:val="99"/>
    <w:semiHidden/>
    <w:unhideWhenUsed/>
    <w:rsid w:val="00F41C6D"/>
  </w:style>
  <w:style w:type="table" w:customStyle="1" w:styleId="Mkatabulky1">
    <w:name w:val="Mřížka tabulky1"/>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4670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4670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Standardnpsmoodstavce"/>
    <w:rsid w:val="00214E6F"/>
  </w:style>
  <w:style w:type="character" w:styleId="Zvraznn">
    <w:name w:val="Emphasis"/>
    <w:basedOn w:val="Standardnpsmoodstavce"/>
    <w:uiPriority w:val="20"/>
    <w:qFormat/>
    <w:rsid w:val="00214E6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lsdException w:name="Colorful Grid Accent 1" w:semiHidden="0" w:uiPriority="29" w:unhideWhenUsed="0"/>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ln">
    <w:name w:val="Normal"/>
    <w:qFormat/>
    <w:rsid w:val="007B47EE"/>
    <w:pPr>
      <w:spacing w:line="288" w:lineRule="auto"/>
    </w:pPr>
    <w:rPr>
      <w:rFonts w:ascii="Arial" w:eastAsia="Times New Roman" w:hAnsi="Arial"/>
      <w:szCs w:val="24"/>
    </w:rPr>
  </w:style>
  <w:style w:type="paragraph" w:styleId="Nadpis1">
    <w:name w:val="heading 1"/>
    <w:next w:val="Normln"/>
    <w:link w:val="Nadpis1Char"/>
    <w:qFormat/>
    <w:rsid w:val="00BC3543"/>
    <w:pPr>
      <w:keepNext/>
      <w:keepLines/>
      <w:spacing w:after="200" w:line="288" w:lineRule="auto"/>
      <w:outlineLvl w:val="0"/>
    </w:pPr>
    <w:rPr>
      <w:rFonts w:ascii="Arial" w:eastAsia="MS Gothic" w:hAnsi="Arial"/>
      <w:b/>
      <w:bCs/>
      <w:color w:val="BC091B"/>
      <w:sz w:val="32"/>
      <w:szCs w:val="28"/>
    </w:rPr>
  </w:style>
  <w:style w:type="paragraph" w:styleId="Nadpis2">
    <w:name w:val="heading 2"/>
    <w:next w:val="Normln"/>
    <w:link w:val="Nadpis2Char"/>
    <w:qFormat/>
    <w:rsid w:val="00A1636E"/>
    <w:pPr>
      <w:keepNext/>
      <w:keepLines/>
      <w:spacing w:before="120" w:after="240" w:line="288" w:lineRule="auto"/>
      <w:outlineLvl w:val="1"/>
    </w:pPr>
    <w:rPr>
      <w:rFonts w:ascii="Arial" w:eastAsia="MS Gothic" w:hAnsi="Arial"/>
      <w:b/>
      <w:bCs/>
      <w:color w:val="BC091B"/>
      <w:sz w:val="28"/>
      <w:szCs w:val="26"/>
    </w:rPr>
  </w:style>
  <w:style w:type="paragraph" w:styleId="Nadpis3">
    <w:name w:val="heading 3"/>
    <w:next w:val="Normln"/>
    <w:link w:val="Nadpis3Char"/>
    <w:qFormat/>
    <w:rsid w:val="00EE39DC"/>
    <w:pPr>
      <w:keepNext/>
      <w:keepLines/>
      <w:spacing w:before="240" w:after="120" w:line="288" w:lineRule="auto"/>
      <w:outlineLvl w:val="2"/>
    </w:pPr>
    <w:rPr>
      <w:rFonts w:ascii="Arial" w:eastAsia="MS Gothic" w:hAnsi="Arial"/>
      <w:b/>
      <w:bCs/>
      <w:color w:val="BC091B"/>
      <w:sz w:val="24"/>
      <w:szCs w:val="24"/>
    </w:rPr>
  </w:style>
  <w:style w:type="paragraph" w:styleId="Nadpis4">
    <w:name w:val="heading 4"/>
    <w:next w:val="Normln"/>
    <w:link w:val="Nadpis4Char"/>
    <w:qFormat/>
    <w:rsid w:val="005108C0"/>
    <w:pPr>
      <w:keepNext/>
      <w:keepLines/>
      <w:spacing w:line="288" w:lineRule="auto"/>
      <w:outlineLvl w:val="3"/>
    </w:pPr>
    <w:rPr>
      <w:rFonts w:ascii="Arial" w:eastAsia="MS Gothic" w:hAnsi="Arial"/>
      <w:b/>
      <w:bCs/>
      <w:iCs/>
      <w:szCs w:val="24"/>
    </w:rPr>
  </w:style>
  <w:style w:type="paragraph" w:styleId="Nadpis5">
    <w:name w:val="heading 5"/>
    <w:basedOn w:val="Normln"/>
    <w:next w:val="Normln"/>
    <w:link w:val="Nadpis5Char"/>
    <w:qFormat/>
    <w:rsid w:val="00110E3B"/>
    <w:pPr>
      <w:keepNext/>
      <w:spacing w:before="120" w:after="120" w:line="240" w:lineRule="auto"/>
      <w:jc w:val="center"/>
      <w:outlineLvl w:val="4"/>
    </w:pPr>
    <w:rPr>
      <w:b/>
      <w:bCs/>
      <w:sz w:val="16"/>
      <w:szCs w:val="16"/>
    </w:rPr>
  </w:style>
  <w:style w:type="paragraph" w:styleId="Nadpis6">
    <w:name w:val="heading 6"/>
    <w:basedOn w:val="Normln"/>
    <w:next w:val="Normln"/>
    <w:link w:val="Nadpis6Char"/>
    <w:qFormat/>
    <w:rsid w:val="00110E3B"/>
    <w:pPr>
      <w:keepNext/>
      <w:spacing w:before="120" w:after="120" w:line="240" w:lineRule="auto"/>
      <w:jc w:val="both"/>
      <w:outlineLvl w:val="5"/>
    </w:pPr>
    <w:rPr>
      <w:b/>
      <w:bCs/>
      <w:sz w:val="1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E71A58"/>
    <w:rPr>
      <w:color w:val="0000FF"/>
      <w:u w:val="single"/>
    </w:rPr>
  </w:style>
  <w:style w:type="paragraph" w:customStyle="1" w:styleId="Styl1">
    <w:name w:val="Styl1"/>
    <w:rsid w:val="00E71A58"/>
    <w:pPr>
      <w:suppressAutoHyphens/>
      <w:autoSpaceDE w:val="0"/>
    </w:pPr>
    <w:rPr>
      <w:rFonts w:ascii="Arial" w:eastAsia="Times New Roman" w:hAnsi="Arial"/>
      <w:sz w:val="24"/>
      <w:szCs w:val="24"/>
      <w:lang w:eastAsia="ar-SA"/>
    </w:rPr>
  </w:style>
  <w:style w:type="paragraph" w:styleId="Zhlav">
    <w:name w:val="header"/>
    <w:basedOn w:val="Normln"/>
    <w:link w:val="ZhlavChar"/>
    <w:unhideWhenUsed/>
    <w:rsid w:val="00E71A58"/>
    <w:pPr>
      <w:tabs>
        <w:tab w:val="center" w:pos="4536"/>
        <w:tab w:val="right" w:pos="9072"/>
      </w:tabs>
    </w:pPr>
    <w:rPr>
      <w:rFonts w:ascii="Calibri" w:eastAsia="Calibri" w:hAnsi="Calibri"/>
      <w:sz w:val="22"/>
      <w:szCs w:val="22"/>
      <w:lang w:eastAsia="en-US"/>
    </w:rPr>
  </w:style>
  <w:style w:type="character" w:customStyle="1" w:styleId="ZhlavChar">
    <w:name w:val="Záhlaví Char"/>
    <w:basedOn w:val="Standardnpsmoodstavce"/>
    <w:link w:val="Zhlav"/>
    <w:rsid w:val="00E71A58"/>
  </w:style>
  <w:style w:type="paragraph" w:styleId="Zpat">
    <w:name w:val="footer"/>
    <w:basedOn w:val="Normln"/>
    <w:link w:val="ZpatChar"/>
    <w:uiPriority w:val="99"/>
    <w:unhideWhenUsed/>
    <w:rsid w:val="00E71A58"/>
    <w:pPr>
      <w:tabs>
        <w:tab w:val="center" w:pos="4536"/>
        <w:tab w:val="right" w:pos="9072"/>
      </w:tabs>
    </w:pPr>
    <w:rPr>
      <w:rFonts w:ascii="Calibri" w:eastAsia="Calibri" w:hAnsi="Calibri"/>
      <w:sz w:val="22"/>
      <w:szCs w:val="22"/>
      <w:lang w:eastAsia="en-US"/>
    </w:rPr>
  </w:style>
  <w:style w:type="character" w:customStyle="1" w:styleId="ZpatChar">
    <w:name w:val="Zápatí Char"/>
    <w:basedOn w:val="Standardnpsmoodstavce"/>
    <w:link w:val="Zpat"/>
    <w:uiPriority w:val="99"/>
    <w:rsid w:val="00E71A58"/>
  </w:style>
  <w:style w:type="paragraph" w:styleId="Textbubliny">
    <w:name w:val="Balloon Text"/>
    <w:basedOn w:val="Normln"/>
    <w:link w:val="TextbublinyChar"/>
    <w:uiPriority w:val="99"/>
    <w:semiHidden/>
    <w:unhideWhenUsed/>
    <w:rsid w:val="00E71A58"/>
    <w:rPr>
      <w:rFonts w:ascii="Tahoma" w:eastAsia="Calibri" w:hAnsi="Tahoma"/>
      <w:sz w:val="16"/>
      <w:szCs w:val="16"/>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basedOn w:val="Normln"/>
    <w:link w:val="ZkladnodstavecChar"/>
    <w:uiPriority w:val="99"/>
    <w:rsid w:val="001714F2"/>
    <w:pPr>
      <w:autoSpaceDE w:val="0"/>
      <w:autoSpaceDN w:val="0"/>
      <w:adjustRightInd w:val="0"/>
      <w:textAlignment w:val="center"/>
    </w:pPr>
    <w:rPr>
      <w:rFonts w:ascii="Minion Pro" w:eastAsia="Calibri" w:hAnsi="Minion Pro"/>
      <w:color w:val="000000"/>
      <w:sz w:val="24"/>
    </w:rPr>
  </w:style>
  <w:style w:type="paragraph" w:styleId="Nzev">
    <w:name w:val="Title"/>
    <w:next w:val="Normln"/>
    <w:link w:val="NzevChar"/>
    <w:qFormat/>
    <w:rsid w:val="0048086F"/>
    <w:pPr>
      <w:spacing w:line="288" w:lineRule="auto"/>
      <w:contextualSpacing/>
      <w:outlineLvl w:val="0"/>
    </w:pPr>
    <w:rPr>
      <w:rFonts w:ascii="Arial" w:eastAsia="MS Gothic" w:hAnsi="Arial"/>
      <w:b/>
      <w:caps/>
      <w:color w:val="BC091B"/>
      <w:sz w:val="56"/>
      <w:szCs w:val="52"/>
    </w:rPr>
  </w:style>
  <w:style w:type="character" w:customStyle="1" w:styleId="NzevChar">
    <w:name w:val="Název Char"/>
    <w:link w:val="Nzev"/>
    <w:rsid w:val="0048086F"/>
    <w:rPr>
      <w:rFonts w:ascii="Arial" w:eastAsia="MS Gothic" w:hAnsi="Arial"/>
      <w:b/>
      <w:caps/>
      <w:color w:val="BC091B"/>
      <w:sz w:val="56"/>
      <w:szCs w:val="52"/>
      <w:lang w:bidi="ar-SA"/>
    </w:rPr>
  </w:style>
  <w:style w:type="paragraph" w:styleId="Podtitul">
    <w:name w:val="Subtitle"/>
    <w:next w:val="Normln"/>
    <w:link w:val="PodtitulChar"/>
    <w:uiPriority w:val="11"/>
    <w:qFormat/>
    <w:rsid w:val="00BC3543"/>
    <w:pPr>
      <w:numPr>
        <w:ilvl w:val="1"/>
      </w:numPr>
      <w:spacing w:line="288" w:lineRule="auto"/>
    </w:pPr>
    <w:rPr>
      <w:rFonts w:ascii="Arial" w:eastAsia="MS Gothic" w:hAnsi="Arial"/>
      <w:b/>
      <w:iCs/>
      <w:color w:val="BC091B"/>
      <w:sz w:val="28"/>
      <w:szCs w:val="24"/>
    </w:rPr>
  </w:style>
  <w:style w:type="character" w:customStyle="1" w:styleId="PodtitulChar">
    <w:name w:val="Podtitul Char"/>
    <w:link w:val="Podtitul"/>
    <w:uiPriority w:val="11"/>
    <w:rsid w:val="00BC3543"/>
    <w:rPr>
      <w:rFonts w:ascii="Arial" w:eastAsia="MS Gothic" w:hAnsi="Arial"/>
      <w:b/>
      <w:iCs/>
      <w:color w:val="BC091B"/>
      <w:sz w:val="28"/>
      <w:szCs w:val="24"/>
      <w:lang w:bidi="ar-SA"/>
    </w:rPr>
  </w:style>
  <w:style w:type="character" w:customStyle="1" w:styleId="Nadpis1Char">
    <w:name w:val="Nadpis 1 Char"/>
    <w:link w:val="Nadpis1"/>
    <w:rsid w:val="00BC3543"/>
    <w:rPr>
      <w:rFonts w:ascii="Arial" w:eastAsia="MS Gothic" w:hAnsi="Arial"/>
      <w:b/>
      <w:bCs/>
      <w:color w:val="BC091B"/>
      <w:sz w:val="32"/>
      <w:szCs w:val="28"/>
      <w:lang w:bidi="ar-SA"/>
    </w:rPr>
  </w:style>
  <w:style w:type="character" w:customStyle="1" w:styleId="Nadpis2Char">
    <w:name w:val="Nadpis 2 Char"/>
    <w:link w:val="Nadpis2"/>
    <w:rsid w:val="00A1636E"/>
    <w:rPr>
      <w:rFonts w:ascii="Arial" w:eastAsia="MS Gothic" w:hAnsi="Arial"/>
      <w:b/>
      <w:bCs/>
      <w:color w:val="BC091B"/>
      <w:sz w:val="28"/>
      <w:szCs w:val="26"/>
    </w:rPr>
  </w:style>
  <w:style w:type="character" w:customStyle="1" w:styleId="Nadpis3Char">
    <w:name w:val="Nadpis 3 Char"/>
    <w:link w:val="Nadpis3"/>
    <w:rsid w:val="00EE39DC"/>
    <w:rPr>
      <w:rFonts w:ascii="Arial" w:eastAsia="MS Gothic" w:hAnsi="Arial"/>
      <w:b/>
      <w:bCs/>
      <w:color w:val="BC091B"/>
      <w:sz w:val="24"/>
      <w:szCs w:val="24"/>
    </w:rPr>
  </w:style>
  <w:style w:type="character" w:customStyle="1" w:styleId="Nadpis4Char">
    <w:name w:val="Nadpis 4 Char"/>
    <w:link w:val="Nadpis4"/>
    <w:rsid w:val="005108C0"/>
    <w:rPr>
      <w:rFonts w:ascii="Arial" w:eastAsia="MS Gothic" w:hAnsi="Arial"/>
      <w:b/>
      <w:bCs/>
      <w:iCs/>
      <w:szCs w:val="24"/>
      <w:lang w:bidi="ar-SA"/>
    </w:rPr>
  </w:style>
  <w:style w:type="paragraph" w:customStyle="1" w:styleId="Stednmka21">
    <w:name w:val="Střední mřížka 21"/>
    <w:aliases w:val="Bez zarážky"/>
    <w:link w:val="Stednmka2Char"/>
    <w:uiPriority w:val="1"/>
    <w:qFormat/>
    <w:rsid w:val="008D2A16"/>
    <w:pPr>
      <w:spacing w:line="288" w:lineRule="auto"/>
    </w:pPr>
    <w:rPr>
      <w:rFonts w:ascii="Arial" w:eastAsia="Times New Roman" w:hAnsi="Arial"/>
      <w:szCs w:val="24"/>
    </w:rPr>
  </w:style>
  <w:style w:type="paragraph" w:customStyle="1" w:styleId="Box1">
    <w:name w:val="Box 1"/>
    <w:basedOn w:val="Zkladnodstavec"/>
    <w:next w:val="Normln"/>
    <w:qFormat/>
    <w:rsid w:val="00BC3543"/>
    <w:pPr>
      <w:ind w:left="1134"/>
    </w:pPr>
    <w:rPr>
      <w:rFonts w:ascii="Arial" w:hAnsi="Arial" w:cs="Arial"/>
      <w:color w:val="BC091B"/>
      <w:sz w:val="20"/>
      <w:szCs w:val="20"/>
    </w:rPr>
  </w:style>
  <w:style w:type="paragraph" w:customStyle="1" w:styleId="Box2">
    <w:name w:val="Box 2"/>
    <w:basedOn w:val="Zkladnodstavec"/>
    <w:link w:val="Box2Char"/>
    <w:rsid w:val="00010702"/>
    <w:pPr>
      <w:shd w:val="clear" w:color="auto" w:fill="CCC0D9"/>
      <w:tabs>
        <w:tab w:val="left" w:pos="9638"/>
      </w:tabs>
      <w:ind w:left="1134" w:right="-1"/>
      <w:jc w:val="both"/>
    </w:pPr>
    <w:rPr>
      <w:rFonts w:ascii="Arial" w:hAnsi="Arial"/>
      <w:b/>
    </w:rPr>
  </w:style>
  <w:style w:type="paragraph" w:customStyle="1" w:styleId="Box">
    <w:name w:val="Box"/>
    <w:next w:val="Normln"/>
    <w:link w:val="BoxChar"/>
    <w:qFormat/>
    <w:rsid w:val="00210AA5"/>
    <w:pPr>
      <w:shd w:val="clear" w:color="auto" w:fill="F5DADD"/>
      <w:spacing w:line="288" w:lineRule="auto"/>
      <w:ind w:left="1134"/>
    </w:pPr>
    <w:rPr>
      <w:rFonts w:ascii="Arial" w:hAnsi="Arial"/>
      <w:color w:val="000000"/>
      <w:sz w:val="24"/>
      <w:szCs w:val="24"/>
    </w:rPr>
  </w:style>
  <w:style w:type="paragraph" w:customStyle="1" w:styleId="TL-Kontakty">
    <w:name w:val="TL - Kontakty"/>
    <w:next w:val="Normln"/>
    <w:link w:val="TL-KontaktyChar"/>
    <w:qFormat/>
    <w:rsid w:val="004F06F5"/>
    <w:pPr>
      <w:spacing w:after="80"/>
    </w:pPr>
    <w:rPr>
      <w:rFonts w:ascii="Arial" w:eastAsia="Times New Roman" w:hAnsi="Arial"/>
      <w:b/>
      <w:caps/>
      <w:color w:val="BD1B21"/>
      <w:sz w:val="24"/>
      <w:szCs w:val="24"/>
    </w:rPr>
  </w:style>
  <w:style w:type="character" w:customStyle="1" w:styleId="ZkladnodstavecChar">
    <w:name w:val="[Základní odstavec] Char"/>
    <w:link w:val="Zkladnodstavec"/>
    <w:uiPriority w:val="99"/>
    <w:rsid w:val="006710C9"/>
    <w:rPr>
      <w:rFonts w:ascii="Minion Pro" w:hAnsi="Minion Pro" w:cs="Minion Pro"/>
      <w:color w:val="000000"/>
      <w:sz w:val="24"/>
      <w:szCs w:val="24"/>
    </w:rPr>
  </w:style>
  <w:style w:type="character" w:customStyle="1" w:styleId="Box2Char">
    <w:name w:val="Box 2 Char"/>
    <w:link w:val="Box2"/>
    <w:rsid w:val="006710C9"/>
    <w:rPr>
      <w:rFonts w:ascii="Arial" w:hAnsi="Arial" w:cs="Arial"/>
      <w:b/>
      <w:color w:val="000000"/>
      <w:sz w:val="24"/>
      <w:szCs w:val="24"/>
      <w:shd w:val="clear" w:color="auto" w:fill="CCC0D9"/>
    </w:rPr>
  </w:style>
  <w:style w:type="character" w:customStyle="1" w:styleId="BoxChar">
    <w:name w:val="Box Char"/>
    <w:link w:val="Box"/>
    <w:rsid w:val="00210AA5"/>
    <w:rPr>
      <w:rFonts w:ascii="Arial" w:hAnsi="Arial"/>
      <w:color w:val="000000"/>
      <w:sz w:val="24"/>
      <w:szCs w:val="24"/>
      <w:shd w:val="clear" w:color="auto" w:fill="F5DADD"/>
      <w:lang w:bidi="ar-SA"/>
    </w:rPr>
  </w:style>
  <w:style w:type="paragraph" w:customStyle="1" w:styleId="TL-Identifikace">
    <w:name w:val="TL - Identifikace"/>
    <w:next w:val="Normln"/>
    <w:link w:val="TL-IdentifikaceChar"/>
    <w:qFormat/>
    <w:rsid w:val="004F06F5"/>
    <w:pPr>
      <w:spacing w:after="200" w:line="288" w:lineRule="auto"/>
    </w:pPr>
    <w:rPr>
      <w:rFonts w:ascii="Arial" w:eastAsia="Times New Roman" w:hAnsi="Arial"/>
      <w:sz w:val="24"/>
      <w:szCs w:val="24"/>
    </w:rPr>
  </w:style>
  <w:style w:type="character" w:customStyle="1" w:styleId="TL-KontaktyChar">
    <w:name w:val="TL - Kontakty Char"/>
    <w:link w:val="TL-Kontakty"/>
    <w:rsid w:val="004F06F5"/>
    <w:rPr>
      <w:rFonts w:ascii="Arial" w:eastAsia="Times New Roman" w:hAnsi="Arial"/>
      <w:b/>
      <w:caps/>
      <w:color w:val="BD1B21"/>
      <w:sz w:val="24"/>
      <w:szCs w:val="24"/>
      <w:lang w:bidi="ar-SA"/>
    </w:rPr>
  </w:style>
  <w:style w:type="character" w:customStyle="1" w:styleId="TL-IdentifikaceChar">
    <w:name w:val="TL - Identifikace Char"/>
    <w:link w:val="TL-Identifikace"/>
    <w:rsid w:val="004F06F5"/>
    <w:rPr>
      <w:rFonts w:ascii="Arial" w:eastAsia="Times New Roman" w:hAnsi="Arial"/>
      <w:sz w:val="24"/>
      <w:szCs w:val="24"/>
      <w:lang w:bidi="ar-SA"/>
    </w:rPr>
  </w:style>
  <w:style w:type="paragraph" w:customStyle="1" w:styleId="3372873BB58A4DED866D2BE34882C06C">
    <w:name w:val="3372873BB58A4DED866D2BE34882C06C"/>
    <w:rsid w:val="00EE3E78"/>
    <w:pPr>
      <w:spacing w:after="200" w:line="276" w:lineRule="auto"/>
    </w:pPr>
    <w:rPr>
      <w:rFonts w:eastAsia="MS Mincho"/>
      <w:sz w:val="22"/>
      <w:szCs w:val="22"/>
    </w:rPr>
  </w:style>
  <w:style w:type="paragraph" w:customStyle="1" w:styleId="233E5CD5853943F4BD7E8C4B124C0E1D">
    <w:name w:val="233E5CD5853943F4BD7E8C4B124C0E1D"/>
    <w:rsid w:val="00EE3E78"/>
    <w:pPr>
      <w:spacing w:after="200" w:line="276" w:lineRule="auto"/>
    </w:pPr>
    <w:rPr>
      <w:rFonts w:eastAsia="MS Mincho"/>
      <w:sz w:val="22"/>
      <w:szCs w:val="22"/>
    </w:rPr>
  </w:style>
  <w:style w:type="paragraph" w:customStyle="1" w:styleId="D345FF3D873148C5AE3FBF3267827368">
    <w:name w:val="D345FF3D873148C5AE3FBF3267827368"/>
    <w:rsid w:val="00EE3E78"/>
    <w:pPr>
      <w:spacing w:after="200" w:line="276" w:lineRule="auto"/>
    </w:pPr>
    <w:rPr>
      <w:rFonts w:eastAsia="MS Mincho"/>
      <w:sz w:val="22"/>
      <w:szCs w:val="22"/>
    </w:rPr>
  </w:style>
  <w:style w:type="character" w:customStyle="1" w:styleId="Stednmka2Char">
    <w:name w:val="Střední mřížka 2 Char"/>
    <w:aliases w:val="Bez zarážky Char"/>
    <w:link w:val="Stednmka21"/>
    <w:uiPriority w:val="1"/>
    <w:rsid w:val="00EE3E78"/>
    <w:rPr>
      <w:rFonts w:ascii="Arial" w:eastAsia="Times New Roman" w:hAnsi="Arial"/>
      <w:szCs w:val="24"/>
      <w:lang w:bidi="ar-SA"/>
    </w:rPr>
  </w:style>
  <w:style w:type="paragraph" w:customStyle="1" w:styleId="TL-identifikace-sted">
    <w:name w:val="TL - identifikace - střed"/>
    <w:basedOn w:val="Normln"/>
    <w:link w:val="TL-identifikace-stedChar"/>
    <w:qFormat/>
    <w:rsid w:val="006C113F"/>
    <w:pPr>
      <w:spacing w:after="200"/>
    </w:pPr>
    <w:rPr>
      <w:sz w:val="24"/>
    </w:rPr>
  </w:style>
  <w:style w:type="paragraph" w:customStyle="1" w:styleId="TL-Identifikace-dole">
    <w:name w:val="TL - Identifikace - dole"/>
    <w:basedOn w:val="Normln"/>
    <w:link w:val="TL-Identifikace-doleChar"/>
    <w:qFormat/>
    <w:rsid w:val="006C113F"/>
    <w:pPr>
      <w:spacing w:after="200"/>
    </w:pPr>
    <w:rPr>
      <w:szCs w:val="20"/>
      <w:lang w:eastAsia="ar-SA"/>
    </w:rPr>
  </w:style>
  <w:style w:type="character" w:customStyle="1" w:styleId="TL-identifikace-stedChar">
    <w:name w:val="TL - identifikace - střed Char"/>
    <w:link w:val="TL-identifikace-sted"/>
    <w:rsid w:val="006C113F"/>
    <w:rPr>
      <w:rFonts w:ascii="Arial" w:eastAsia="Times New Roman" w:hAnsi="Arial"/>
      <w:sz w:val="24"/>
      <w:szCs w:val="24"/>
    </w:rPr>
  </w:style>
  <w:style w:type="character" w:customStyle="1" w:styleId="TL-Identifikace-doleChar">
    <w:name w:val="TL - Identifikace - dole Char"/>
    <w:link w:val="TL-Identifikace-dole"/>
    <w:rsid w:val="006C113F"/>
    <w:rPr>
      <w:rFonts w:ascii="Arial" w:eastAsia="Times New Roman" w:hAnsi="Arial" w:cs="Arial"/>
      <w:lang w:eastAsia="ar-SA"/>
    </w:rPr>
  </w:style>
  <w:style w:type="paragraph" w:customStyle="1" w:styleId="Box-Lideaspolecnost">
    <w:name w:val="Box - Lide a spolecnost"/>
    <w:next w:val="Normln"/>
    <w:link w:val="Box-LideaspolecnostChar"/>
    <w:rsid w:val="00BC3543"/>
    <w:pPr>
      <w:shd w:val="clear" w:color="auto" w:fill="F5DADD"/>
      <w:spacing w:line="288" w:lineRule="auto"/>
      <w:ind w:left="1134"/>
    </w:pPr>
    <w:rPr>
      <w:rFonts w:ascii="Arial" w:hAnsi="Arial" w:cs="Arial"/>
    </w:rPr>
  </w:style>
  <w:style w:type="character" w:customStyle="1" w:styleId="Box-LideaspolecnostChar">
    <w:name w:val="Box - Lide a spolecnost Char"/>
    <w:link w:val="Box-Lideaspolecnost"/>
    <w:rsid w:val="00BC3543"/>
    <w:rPr>
      <w:rFonts w:ascii="Arial" w:hAnsi="Arial" w:cs="Arial"/>
      <w:shd w:val="clear" w:color="auto" w:fill="F5DADD"/>
      <w:lang w:val="cs-CZ" w:eastAsia="cs-CZ" w:bidi="ar-SA"/>
    </w:rPr>
  </w:style>
  <w:style w:type="paragraph" w:customStyle="1" w:styleId="Obsah">
    <w:name w:val="Obsah"/>
    <w:next w:val="Normln"/>
    <w:link w:val="ObsahChar"/>
    <w:qFormat/>
    <w:rsid w:val="007B47EE"/>
    <w:pPr>
      <w:spacing w:after="200"/>
    </w:pPr>
    <w:rPr>
      <w:rFonts w:ascii="Arial" w:eastAsia="MS Gothic" w:hAnsi="Arial"/>
      <w:b/>
      <w:bCs/>
      <w:color w:val="BC091B"/>
      <w:sz w:val="32"/>
      <w:szCs w:val="28"/>
    </w:rPr>
  </w:style>
  <w:style w:type="character" w:customStyle="1" w:styleId="ObsahChar">
    <w:name w:val="Obsah Char"/>
    <w:link w:val="Obsah"/>
    <w:rsid w:val="007B47EE"/>
    <w:rPr>
      <w:rFonts w:ascii="Arial" w:eastAsia="MS Gothic" w:hAnsi="Arial"/>
      <w:b/>
      <w:bCs/>
      <w:color w:val="BC091B"/>
      <w:sz w:val="32"/>
      <w:szCs w:val="28"/>
      <w:lang w:bidi="ar-SA"/>
    </w:rPr>
  </w:style>
  <w:style w:type="paragraph" w:styleId="Textpoznpodarou">
    <w:name w:val="footnote text"/>
    <w:basedOn w:val="Normln"/>
    <w:link w:val="TextpoznpodarouChar"/>
    <w:semiHidden/>
    <w:rsid w:val="00542E84"/>
    <w:pPr>
      <w:spacing w:before="120" w:after="120" w:line="240" w:lineRule="auto"/>
      <w:jc w:val="both"/>
    </w:pPr>
    <w:rPr>
      <w:sz w:val="16"/>
      <w:szCs w:val="20"/>
    </w:rPr>
  </w:style>
  <w:style w:type="character" w:customStyle="1" w:styleId="TextpoznpodarouChar">
    <w:name w:val="Text pozn. pod čarou Char"/>
    <w:basedOn w:val="Standardnpsmoodstavce"/>
    <w:link w:val="Textpoznpodarou"/>
    <w:semiHidden/>
    <w:rsid w:val="00542E84"/>
    <w:rPr>
      <w:rFonts w:ascii="Arial" w:eastAsia="Times New Roman" w:hAnsi="Arial"/>
      <w:sz w:val="16"/>
    </w:rPr>
  </w:style>
  <w:style w:type="character" w:styleId="Znakapoznpodarou">
    <w:name w:val="footnote reference"/>
    <w:basedOn w:val="Standardnpsmoodstavce"/>
    <w:semiHidden/>
    <w:rsid w:val="00542E84"/>
    <w:rPr>
      <w:vertAlign w:val="superscript"/>
    </w:rPr>
  </w:style>
  <w:style w:type="paragraph" w:customStyle="1" w:styleId="Poznamkapodcarou">
    <w:name w:val="Poznamka pod carou"/>
    <w:basedOn w:val="Normln"/>
    <w:rsid w:val="00542E84"/>
    <w:pPr>
      <w:spacing w:before="120" w:after="120" w:line="240" w:lineRule="auto"/>
    </w:pPr>
    <w:rPr>
      <w:sz w:val="16"/>
      <w:szCs w:val="20"/>
    </w:rPr>
  </w:style>
  <w:style w:type="character" w:customStyle="1" w:styleId="Nadpis5Char">
    <w:name w:val="Nadpis 5 Char"/>
    <w:basedOn w:val="Standardnpsmoodstavce"/>
    <w:link w:val="Nadpis5"/>
    <w:rsid w:val="00110E3B"/>
    <w:rPr>
      <w:rFonts w:ascii="Arial" w:eastAsia="Times New Roman" w:hAnsi="Arial"/>
      <w:b/>
      <w:bCs/>
      <w:sz w:val="16"/>
      <w:szCs w:val="16"/>
    </w:rPr>
  </w:style>
  <w:style w:type="character" w:customStyle="1" w:styleId="Nadpis6Char">
    <w:name w:val="Nadpis 6 Char"/>
    <w:basedOn w:val="Standardnpsmoodstavce"/>
    <w:link w:val="Nadpis6"/>
    <w:rsid w:val="00110E3B"/>
    <w:rPr>
      <w:rFonts w:ascii="Arial" w:eastAsia="Times New Roman" w:hAnsi="Arial"/>
      <w:b/>
      <w:bCs/>
      <w:sz w:val="16"/>
      <w:szCs w:val="24"/>
    </w:rPr>
  </w:style>
  <w:style w:type="paragraph" w:customStyle="1" w:styleId="Nadpisvlastn1">
    <w:name w:val="Nadpis vlastní 1"/>
    <w:basedOn w:val="Normln"/>
    <w:rsid w:val="00110E3B"/>
    <w:pPr>
      <w:spacing w:before="120" w:after="360" w:line="240" w:lineRule="auto"/>
      <w:jc w:val="both"/>
    </w:pPr>
    <w:rPr>
      <w:b/>
      <w:bCs/>
      <w:sz w:val="36"/>
      <w:szCs w:val="20"/>
    </w:rPr>
  </w:style>
  <w:style w:type="paragraph" w:customStyle="1" w:styleId="Nadpisvlastn2">
    <w:name w:val="Nadpis vlastní 2"/>
    <w:basedOn w:val="Nadpisvlastn1"/>
    <w:rsid w:val="00110E3B"/>
    <w:rPr>
      <w14:shadow w14:blurRad="50800" w14:dist="38100" w14:dir="2700000" w14:sx="100000" w14:sy="100000" w14:kx="0" w14:ky="0" w14:algn="tl">
        <w14:srgbClr w14:val="000000">
          <w14:alpha w14:val="60000"/>
        </w14:srgbClr>
      </w14:shadow>
    </w:rPr>
  </w:style>
  <w:style w:type="paragraph" w:styleId="Zkladntextodsazen">
    <w:name w:val="Body Text Indent"/>
    <w:basedOn w:val="Normln"/>
    <w:link w:val="ZkladntextodsazenChar"/>
    <w:semiHidden/>
    <w:rsid w:val="00110E3B"/>
    <w:pPr>
      <w:spacing w:before="120" w:after="120" w:line="240" w:lineRule="auto"/>
      <w:ind w:firstLine="720"/>
      <w:jc w:val="both"/>
    </w:pPr>
  </w:style>
  <w:style w:type="character" w:customStyle="1" w:styleId="ZkladntextodsazenChar">
    <w:name w:val="Základní text odsazený Char"/>
    <w:basedOn w:val="Standardnpsmoodstavce"/>
    <w:link w:val="Zkladntextodsazen"/>
    <w:semiHidden/>
    <w:rsid w:val="00110E3B"/>
    <w:rPr>
      <w:rFonts w:ascii="Arial" w:eastAsia="Times New Roman" w:hAnsi="Arial"/>
      <w:szCs w:val="24"/>
    </w:rPr>
  </w:style>
  <w:style w:type="paragraph" w:customStyle="1" w:styleId="xl25">
    <w:name w:val="xl2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cs="Arial"/>
      <w:sz w:val="16"/>
      <w:szCs w:val="16"/>
    </w:rPr>
  </w:style>
  <w:style w:type="paragraph" w:customStyle="1" w:styleId="xl26">
    <w:name w:val="xl2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6"/>
      <w:szCs w:val="16"/>
    </w:rPr>
  </w:style>
  <w:style w:type="paragraph" w:customStyle="1" w:styleId="xl27">
    <w:name w:val="xl2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cs="Arial"/>
      <w:sz w:val="16"/>
      <w:szCs w:val="16"/>
    </w:rPr>
  </w:style>
  <w:style w:type="paragraph" w:customStyle="1" w:styleId="xl28">
    <w:name w:val="xl28"/>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cs="Arial"/>
      <w:sz w:val="16"/>
      <w:szCs w:val="16"/>
    </w:rPr>
  </w:style>
  <w:style w:type="paragraph" w:customStyle="1" w:styleId="xl29">
    <w:name w:val="xl29"/>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0">
    <w:name w:val="xl30"/>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1">
    <w:name w:val="xl31"/>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cs="Arial"/>
      <w:sz w:val="16"/>
      <w:szCs w:val="16"/>
    </w:rPr>
  </w:style>
  <w:style w:type="paragraph" w:customStyle="1" w:styleId="xl32">
    <w:name w:val="xl32"/>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both"/>
    </w:pPr>
    <w:rPr>
      <w:rFonts w:cs="Arial"/>
      <w:sz w:val="16"/>
      <w:szCs w:val="16"/>
    </w:rPr>
  </w:style>
  <w:style w:type="paragraph" w:customStyle="1" w:styleId="xl33">
    <w:name w:val="xl33"/>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4">
    <w:name w:val="xl34"/>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cs="Arial"/>
      <w:sz w:val="16"/>
      <w:szCs w:val="16"/>
    </w:rPr>
  </w:style>
  <w:style w:type="paragraph" w:customStyle="1" w:styleId="xl35">
    <w:name w:val="xl35"/>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cs="Arial"/>
      <w:b/>
      <w:bCs/>
      <w:sz w:val="16"/>
      <w:szCs w:val="16"/>
    </w:rPr>
  </w:style>
  <w:style w:type="paragraph" w:customStyle="1" w:styleId="xl24">
    <w:name w:val="xl24"/>
    <w:basedOn w:val="Normln"/>
    <w:rsid w:val="00110E3B"/>
    <w:pPr>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6">
    <w:name w:val="xl36"/>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7">
    <w:name w:val="xl37"/>
    <w:basedOn w:val="Normln"/>
    <w:rsid w:val="00110E3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38">
    <w:name w:val="xl38"/>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39">
    <w:name w:val="xl39"/>
    <w:basedOn w:val="Normln"/>
    <w:rsid w:val="00110E3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0">
    <w:name w:val="xl40"/>
    <w:basedOn w:val="Normln"/>
    <w:rsid w:val="00110E3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1">
    <w:name w:val="xl41"/>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w:sz w:val="16"/>
      <w:szCs w:val="16"/>
    </w:rPr>
  </w:style>
  <w:style w:type="paragraph" w:customStyle="1" w:styleId="xl42">
    <w:name w:val="xl42"/>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3">
    <w:name w:val="xl43"/>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sz w:val="16"/>
      <w:szCs w:val="16"/>
    </w:rPr>
  </w:style>
  <w:style w:type="paragraph" w:customStyle="1" w:styleId="xl44">
    <w:name w:val="xl44"/>
    <w:basedOn w:val="Normln"/>
    <w:rsid w:val="00110E3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45">
    <w:name w:val="xl45"/>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6">
    <w:name w:val="xl46"/>
    <w:basedOn w:val="Normln"/>
    <w:rsid w:val="00110E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Arial Unicode MS" w:cs="Arial Unicode MS"/>
      <w:sz w:val="16"/>
      <w:szCs w:val="16"/>
    </w:rPr>
  </w:style>
  <w:style w:type="paragraph" w:customStyle="1" w:styleId="xl47">
    <w:name w:val="xl47"/>
    <w:basedOn w:val="Normln"/>
    <w:rsid w:val="00110E3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48">
    <w:name w:val="xl48"/>
    <w:basedOn w:val="Normln"/>
    <w:rsid w:val="00110E3B"/>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both"/>
    </w:pPr>
    <w:rPr>
      <w:rFonts w:eastAsia="Arial Unicode MS" w:cs="Arial"/>
      <w:b/>
      <w:bCs/>
      <w:color w:val="000000"/>
      <w:sz w:val="16"/>
      <w:szCs w:val="16"/>
    </w:rPr>
  </w:style>
  <w:style w:type="paragraph" w:customStyle="1" w:styleId="xl49">
    <w:name w:val="xl49"/>
    <w:basedOn w:val="Normln"/>
    <w:rsid w:val="00110E3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eastAsia="Arial Unicode MS" w:cs="Arial Unicode MS"/>
      <w:sz w:val="16"/>
      <w:szCs w:val="16"/>
    </w:rPr>
  </w:style>
  <w:style w:type="paragraph" w:customStyle="1" w:styleId="xl50">
    <w:name w:val="xl50"/>
    <w:basedOn w:val="Normln"/>
    <w:rsid w:val="00110E3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1">
    <w:name w:val="xl51"/>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2">
    <w:name w:val="xl52"/>
    <w:basedOn w:val="Normln"/>
    <w:rsid w:val="00110E3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3">
    <w:name w:val="xl53"/>
    <w:basedOn w:val="Normln"/>
    <w:rsid w:val="00110E3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pPr>
    <w:rPr>
      <w:rFonts w:eastAsia="Arial Unicode MS" w:cs="Arial Unicode MS"/>
      <w:sz w:val="16"/>
      <w:szCs w:val="16"/>
    </w:rPr>
  </w:style>
  <w:style w:type="paragraph" w:customStyle="1" w:styleId="xl54">
    <w:name w:val="xl54"/>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Arial Unicode MS" w:cs="Arial Unicode MS"/>
      <w:sz w:val="16"/>
      <w:szCs w:val="16"/>
    </w:rPr>
  </w:style>
  <w:style w:type="paragraph" w:customStyle="1" w:styleId="xl55">
    <w:name w:val="xl55"/>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eastAsia="Arial Unicode MS" w:cs="Arial Unicode MS"/>
      <w:sz w:val="16"/>
      <w:szCs w:val="16"/>
    </w:rPr>
  </w:style>
  <w:style w:type="paragraph" w:customStyle="1" w:styleId="xl56">
    <w:name w:val="xl56"/>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sz w:val="16"/>
      <w:szCs w:val="16"/>
    </w:rPr>
  </w:style>
  <w:style w:type="paragraph" w:customStyle="1" w:styleId="xl57">
    <w:name w:val="xl57"/>
    <w:basedOn w:val="Normln"/>
    <w:rsid w:val="00110E3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Unicode MS" w:eastAsia="Arial Unicode MS" w:hAnsi="Arial Unicode MS" w:cs="Arial Unicode MS"/>
      <w:b/>
      <w:bCs/>
      <w:sz w:val="16"/>
      <w:szCs w:val="16"/>
    </w:rPr>
  </w:style>
  <w:style w:type="paragraph" w:customStyle="1" w:styleId="xl58">
    <w:name w:val="xl58"/>
    <w:basedOn w:val="Normln"/>
    <w:rsid w:val="00110E3B"/>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Arial Unicode MS" w:cs="Arial Unicode MS"/>
      <w:b/>
      <w:bCs/>
      <w:sz w:val="16"/>
      <w:szCs w:val="16"/>
    </w:rPr>
  </w:style>
  <w:style w:type="paragraph" w:customStyle="1" w:styleId="xl59">
    <w:name w:val="xl59"/>
    <w:basedOn w:val="Normln"/>
    <w:rsid w:val="00110E3B"/>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eastAsia="Arial Unicode MS" w:cs="Arial"/>
      <w:color w:val="000000"/>
    </w:rPr>
  </w:style>
  <w:style w:type="paragraph" w:customStyle="1" w:styleId="xl60">
    <w:name w:val="xl60"/>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1">
    <w:name w:val="xl61"/>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2">
    <w:name w:val="xl62"/>
    <w:basedOn w:val="Normln"/>
    <w:rsid w:val="00110E3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3">
    <w:name w:val="xl63"/>
    <w:basedOn w:val="Normln"/>
    <w:rsid w:val="00110E3B"/>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4">
    <w:name w:val="xl64"/>
    <w:basedOn w:val="Normln"/>
    <w:rsid w:val="00110E3B"/>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rPr>
  </w:style>
  <w:style w:type="paragraph" w:customStyle="1" w:styleId="xl65">
    <w:name w:val="xl65"/>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6">
    <w:name w:val="xl66"/>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7">
    <w:name w:val="xl67"/>
    <w:basedOn w:val="Normln"/>
    <w:rsid w:val="00110E3B"/>
    <w:pPr>
      <w:pBdr>
        <w:top w:val="single" w:sz="4" w:space="0" w:color="auto"/>
        <w:left w:val="single" w:sz="4" w:space="0" w:color="auto"/>
        <w:bottom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8">
    <w:name w:val="xl68"/>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eastAsia="Arial Unicode MS" w:cs="Arial"/>
      <w:sz w:val="16"/>
      <w:szCs w:val="16"/>
    </w:rPr>
  </w:style>
  <w:style w:type="paragraph" w:customStyle="1" w:styleId="xl69">
    <w:name w:val="xl69"/>
    <w:basedOn w:val="Normln"/>
    <w:rsid w:val="00110E3B"/>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both"/>
    </w:pPr>
    <w:rPr>
      <w:rFonts w:eastAsia="Arial Unicode MS" w:cs="Arial"/>
      <w:sz w:val="16"/>
      <w:szCs w:val="16"/>
    </w:rPr>
  </w:style>
  <w:style w:type="paragraph" w:customStyle="1" w:styleId="xl70">
    <w:name w:val="xl70"/>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1">
    <w:name w:val="xl71"/>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2">
    <w:name w:val="xl72"/>
    <w:basedOn w:val="Normln"/>
    <w:rsid w:val="00110E3B"/>
    <w:pPr>
      <w:pBdr>
        <w:top w:val="single" w:sz="4" w:space="0" w:color="auto"/>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3">
    <w:name w:val="xl73"/>
    <w:basedOn w:val="Normln"/>
    <w:rsid w:val="00110E3B"/>
    <w:pPr>
      <w:pBdr>
        <w:left w:val="single" w:sz="8"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4">
    <w:name w:val="xl74"/>
    <w:basedOn w:val="Normln"/>
    <w:rsid w:val="00110E3B"/>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5">
    <w:name w:val="xl75"/>
    <w:basedOn w:val="Normln"/>
    <w:rsid w:val="00110E3B"/>
    <w:pPr>
      <w:pBdr>
        <w:top w:val="single" w:sz="4" w:space="0" w:color="auto"/>
        <w:bottom w:val="single" w:sz="4" w:space="0" w:color="auto"/>
        <w:right w:val="single" w:sz="4" w:space="0" w:color="auto"/>
      </w:pBdr>
      <w:spacing w:before="100" w:beforeAutospacing="1" w:after="100" w:afterAutospacing="1" w:line="240" w:lineRule="auto"/>
      <w:jc w:val="both"/>
    </w:pPr>
    <w:rPr>
      <w:rFonts w:ascii="Arial Unicode MS" w:eastAsia="Arial Unicode MS" w:hAnsi="Arial Unicode MS" w:cs="Arial Unicode MS"/>
    </w:rPr>
  </w:style>
  <w:style w:type="paragraph" w:customStyle="1" w:styleId="xl76">
    <w:name w:val="xl76"/>
    <w:basedOn w:val="Normln"/>
    <w:rsid w:val="00110E3B"/>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7">
    <w:name w:val="xl77"/>
    <w:basedOn w:val="Normln"/>
    <w:rsid w:val="00110E3B"/>
    <w:pPr>
      <w:pBdr>
        <w:left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paragraph" w:customStyle="1" w:styleId="xl78">
    <w:name w:val="xl78"/>
    <w:basedOn w:val="Normln"/>
    <w:rsid w:val="00110E3B"/>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eastAsia="Arial Unicode MS" w:cs="Arial"/>
      <w:sz w:val="16"/>
      <w:szCs w:val="16"/>
    </w:rPr>
  </w:style>
  <w:style w:type="character" w:styleId="slostrnky">
    <w:name w:val="page number"/>
    <w:basedOn w:val="Standardnpsmoodstavce"/>
    <w:semiHidden/>
    <w:rsid w:val="00110E3B"/>
  </w:style>
  <w:style w:type="paragraph" w:styleId="Zkladntext">
    <w:name w:val="Body Text"/>
    <w:basedOn w:val="Normln"/>
    <w:link w:val="ZkladntextChar"/>
    <w:semiHidden/>
    <w:rsid w:val="00110E3B"/>
    <w:pPr>
      <w:spacing w:before="120" w:after="120" w:line="240" w:lineRule="auto"/>
      <w:jc w:val="both"/>
    </w:pPr>
  </w:style>
  <w:style w:type="character" w:customStyle="1" w:styleId="ZkladntextChar">
    <w:name w:val="Základní text Char"/>
    <w:basedOn w:val="Standardnpsmoodstavce"/>
    <w:link w:val="Zkladntext"/>
    <w:semiHidden/>
    <w:rsid w:val="00110E3B"/>
    <w:rPr>
      <w:rFonts w:ascii="Arial" w:eastAsia="Times New Roman" w:hAnsi="Arial"/>
      <w:szCs w:val="24"/>
    </w:rPr>
  </w:style>
  <w:style w:type="paragraph" w:styleId="Obsah1">
    <w:name w:val="toc 1"/>
    <w:basedOn w:val="Normln"/>
    <w:next w:val="Normln"/>
    <w:autoRedefine/>
    <w:uiPriority w:val="39"/>
    <w:rsid w:val="00110E3B"/>
    <w:pPr>
      <w:spacing w:before="120" w:after="120" w:line="240" w:lineRule="auto"/>
      <w:jc w:val="both"/>
    </w:pPr>
  </w:style>
  <w:style w:type="paragraph" w:styleId="Obsah2">
    <w:name w:val="toc 2"/>
    <w:basedOn w:val="Normln"/>
    <w:next w:val="Normln"/>
    <w:autoRedefine/>
    <w:uiPriority w:val="39"/>
    <w:rsid w:val="00110E3B"/>
    <w:pPr>
      <w:spacing w:before="120" w:after="120" w:line="240" w:lineRule="auto"/>
      <w:ind w:left="240"/>
      <w:jc w:val="both"/>
    </w:pPr>
  </w:style>
  <w:style w:type="paragraph" w:styleId="Obsah3">
    <w:name w:val="toc 3"/>
    <w:basedOn w:val="Normln"/>
    <w:next w:val="Normln"/>
    <w:autoRedefine/>
    <w:uiPriority w:val="39"/>
    <w:rsid w:val="00110E3B"/>
    <w:pPr>
      <w:spacing w:before="120" w:after="120" w:line="240" w:lineRule="auto"/>
      <w:ind w:left="480"/>
      <w:jc w:val="both"/>
    </w:pPr>
  </w:style>
  <w:style w:type="paragraph" w:styleId="Obsah4">
    <w:name w:val="toc 4"/>
    <w:basedOn w:val="Normln"/>
    <w:next w:val="Normln"/>
    <w:autoRedefine/>
    <w:semiHidden/>
    <w:rsid w:val="00110E3B"/>
    <w:pPr>
      <w:spacing w:before="120" w:after="120" w:line="240" w:lineRule="auto"/>
      <w:ind w:left="720"/>
      <w:jc w:val="both"/>
    </w:pPr>
  </w:style>
  <w:style w:type="paragraph" w:styleId="Obsah5">
    <w:name w:val="toc 5"/>
    <w:basedOn w:val="Normln"/>
    <w:next w:val="Normln"/>
    <w:autoRedefine/>
    <w:semiHidden/>
    <w:rsid w:val="00110E3B"/>
    <w:pPr>
      <w:spacing w:before="120" w:after="120" w:line="240" w:lineRule="auto"/>
      <w:ind w:left="960"/>
      <w:jc w:val="both"/>
    </w:pPr>
  </w:style>
  <w:style w:type="paragraph" w:styleId="Obsah6">
    <w:name w:val="toc 6"/>
    <w:basedOn w:val="Normln"/>
    <w:next w:val="Normln"/>
    <w:autoRedefine/>
    <w:semiHidden/>
    <w:rsid w:val="00110E3B"/>
    <w:pPr>
      <w:spacing w:before="120" w:after="120" w:line="240" w:lineRule="auto"/>
      <w:ind w:left="1200"/>
      <w:jc w:val="both"/>
    </w:pPr>
  </w:style>
  <w:style w:type="paragraph" w:styleId="Obsah7">
    <w:name w:val="toc 7"/>
    <w:basedOn w:val="Normln"/>
    <w:next w:val="Normln"/>
    <w:autoRedefine/>
    <w:semiHidden/>
    <w:rsid w:val="00110E3B"/>
    <w:pPr>
      <w:spacing w:before="120" w:after="120" w:line="240" w:lineRule="auto"/>
      <w:ind w:left="1440"/>
      <w:jc w:val="both"/>
    </w:pPr>
  </w:style>
  <w:style w:type="paragraph" w:styleId="Obsah8">
    <w:name w:val="toc 8"/>
    <w:basedOn w:val="Normln"/>
    <w:next w:val="Normln"/>
    <w:autoRedefine/>
    <w:semiHidden/>
    <w:rsid w:val="00110E3B"/>
    <w:pPr>
      <w:spacing w:before="120" w:after="120" w:line="240" w:lineRule="auto"/>
      <w:ind w:left="1680"/>
      <w:jc w:val="both"/>
    </w:pPr>
  </w:style>
  <w:style w:type="paragraph" w:styleId="Obsah9">
    <w:name w:val="toc 9"/>
    <w:basedOn w:val="Normln"/>
    <w:next w:val="Normln"/>
    <w:autoRedefine/>
    <w:semiHidden/>
    <w:rsid w:val="00110E3B"/>
    <w:pPr>
      <w:spacing w:before="120" w:after="120" w:line="240" w:lineRule="auto"/>
      <w:ind w:left="1920"/>
      <w:jc w:val="both"/>
    </w:pPr>
  </w:style>
  <w:style w:type="character" w:styleId="Sledovanodkaz">
    <w:name w:val="FollowedHyperlink"/>
    <w:basedOn w:val="Standardnpsmoodstavce"/>
    <w:semiHidden/>
    <w:rsid w:val="00110E3B"/>
    <w:rPr>
      <w:color w:val="800080"/>
      <w:u w:val="single"/>
    </w:rPr>
  </w:style>
  <w:style w:type="paragraph" w:customStyle="1" w:styleId="normalnsodrkami">
    <w:name w:val="normalní s odrážkami"/>
    <w:basedOn w:val="Normln"/>
    <w:rsid w:val="00110E3B"/>
    <w:pPr>
      <w:numPr>
        <w:numId w:val="6"/>
      </w:numPr>
      <w:spacing w:before="120" w:after="120" w:line="240" w:lineRule="auto"/>
      <w:jc w:val="both"/>
    </w:pPr>
  </w:style>
  <w:style w:type="paragraph" w:styleId="Zkladntext2">
    <w:name w:val="Body Text 2"/>
    <w:basedOn w:val="Normln"/>
    <w:link w:val="Zkladntext2Char"/>
    <w:semiHidden/>
    <w:rsid w:val="00110E3B"/>
    <w:pPr>
      <w:spacing w:before="120" w:after="120" w:line="240" w:lineRule="auto"/>
      <w:jc w:val="both"/>
    </w:pPr>
    <w:rPr>
      <w:rFonts w:cs="Arial"/>
    </w:rPr>
  </w:style>
  <w:style w:type="character" w:customStyle="1" w:styleId="Zkladntext2Char">
    <w:name w:val="Základní text 2 Char"/>
    <w:basedOn w:val="Standardnpsmoodstavce"/>
    <w:link w:val="Zkladntext2"/>
    <w:semiHidden/>
    <w:rsid w:val="00110E3B"/>
    <w:rPr>
      <w:rFonts w:ascii="Arial" w:eastAsia="Times New Roman" w:hAnsi="Arial" w:cs="Arial"/>
      <w:szCs w:val="24"/>
    </w:rPr>
  </w:style>
  <w:style w:type="paragraph" w:customStyle="1" w:styleId="Default">
    <w:name w:val="Default"/>
    <w:rsid w:val="00110E3B"/>
    <w:pPr>
      <w:autoSpaceDE w:val="0"/>
      <w:autoSpaceDN w:val="0"/>
      <w:adjustRightInd w:val="0"/>
    </w:pPr>
    <w:rPr>
      <w:rFonts w:ascii="Times New Roman" w:eastAsia="Times New Roman" w:hAnsi="Times New Roman"/>
      <w:color w:val="000000"/>
      <w:sz w:val="24"/>
      <w:szCs w:val="24"/>
    </w:rPr>
  </w:style>
  <w:style w:type="paragraph" w:styleId="Zkladntext3">
    <w:name w:val="Body Text 3"/>
    <w:basedOn w:val="Normln"/>
    <w:link w:val="Zkladntext3Char"/>
    <w:semiHidden/>
    <w:rsid w:val="00110E3B"/>
    <w:pPr>
      <w:spacing w:before="120" w:after="120" w:line="240" w:lineRule="auto"/>
      <w:jc w:val="both"/>
    </w:pPr>
    <w:rPr>
      <w:rFonts w:cs="Arial"/>
    </w:rPr>
  </w:style>
  <w:style w:type="character" w:customStyle="1" w:styleId="Zkladntext3Char">
    <w:name w:val="Základní text 3 Char"/>
    <w:basedOn w:val="Standardnpsmoodstavce"/>
    <w:link w:val="Zkladntext3"/>
    <w:semiHidden/>
    <w:rsid w:val="00110E3B"/>
    <w:rPr>
      <w:rFonts w:ascii="Arial" w:eastAsia="Times New Roman" w:hAnsi="Arial" w:cs="Arial"/>
      <w:szCs w:val="24"/>
    </w:rPr>
  </w:style>
  <w:style w:type="paragraph" w:styleId="Textvysvtlivek">
    <w:name w:val="endnote text"/>
    <w:basedOn w:val="Normln"/>
    <w:link w:val="TextvysvtlivekChar"/>
    <w:semiHidden/>
    <w:rsid w:val="00110E3B"/>
    <w:pPr>
      <w:spacing w:before="120" w:after="120" w:line="240" w:lineRule="auto"/>
      <w:jc w:val="both"/>
    </w:pPr>
    <w:rPr>
      <w:szCs w:val="20"/>
    </w:rPr>
  </w:style>
  <w:style w:type="character" w:customStyle="1" w:styleId="TextvysvtlivekChar">
    <w:name w:val="Text vysvětlivek Char"/>
    <w:basedOn w:val="Standardnpsmoodstavce"/>
    <w:link w:val="Textvysvtlivek"/>
    <w:semiHidden/>
    <w:rsid w:val="00110E3B"/>
    <w:rPr>
      <w:rFonts w:ascii="Arial" w:eastAsia="Times New Roman" w:hAnsi="Arial"/>
    </w:rPr>
  </w:style>
  <w:style w:type="character" w:styleId="Odkaznavysvtlivky">
    <w:name w:val="endnote reference"/>
    <w:basedOn w:val="Standardnpsmoodstavce"/>
    <w:semiHidden/>
    <w:rsid w:val="00110E3B"/>
    <w:rPr>
      <w:vertAlign w:val="superscript"/>
    </w:rPr>
  </w:style>
  <w:style w:type="character" w:styleId="Siln">
    <w:name w:val="Strong"/>
    <w:basedOn w:val="Standardnpsmoodstavce"/>
    <w:uiPriority w:val="22"/>
    <w:qFormat/>
    <w:rsid w:val="00110E3B"/>
    <w:rPr>
      <w:b/>
      <w:bCs/>
    </w:rPr>
  </w:style>
  <w:style w:type="character" w:customStyle="1" w:styleId="longtext1">
    <w:name w:val="long_text1"/>
    <w:basedOn w:val="Standardnpsmoodstavce"/>
    <w:rsid w:val="00110E3B"/>
    <w:rPr>
      <w:sz w:val="20"/>
      <w:szCs w:val="20"/>
    </w:rPr>
  </w:style>
  <w:style w:type="paragraph" w:styleId="Normlnweb">
    <w:name w:val="Normal (Web)"/>
    <w:basedOn w:val="Normln"/>
    <w:uiPriority w:val="99"/>
    <w:unhideWhenUsed/>
    <w:rsid w:val="00110E3B"/>
    <w:pPr>
      <w:spacing w:before="100" w:beforeAutospacing="1" w:after="100" w:afterAutospacing="1" w:line="240" w:lineRule="auto"/>
      <w:jc w:val="both"/>
    </w:pPr>
  </w:style>
  <w:style w:type="paragraph" w:customStyle="1" w:styleId="nazevtabulky">
    <w:name w:val="nazev tabulky"/>
    <w:basedOn w:val="Normln"/>
    <w:qFormat/>
    <w:rsid w:val="00110E3B"/>
    <w:pPr>
      <w:spacing w:before="240" w:after="240" w:line="240" w:lineRule="auto"/>
    </w:pPr>
    <w:rPr>
      <w:b/>
      <w:bCs/>
      <w:szCs w:val="17"/>
    </w:rPr>
  </w:style>
  <w:style w:type="paragraph" w:styleId="Odstavecseseznamem">
    <w:name w:val="List Paragraph"/>
    <w:basedOn w:val="Normln"/>
    <w:uiPriority w:val="34"/>
    <w:qFormat/>
    <w:rsid w:val="00110E3B"/>
    <w:pPr>
      <w:spacing w:before="120" w:after="120" w:line="240" w:lineRule="auto"/>
      <w:ind w:left="720"/>
      <w:contextualSpacing/>
      <w:jc w:val="both"/>
    </w:pPr>
  </w:style>
  <w:style w:type="numbering" w:customStyle="1" w:styleId="Bezseznamu1">
    <w:name w:val="Bez seznamu1"/>
    <w:next w:val="Bezseznamu"/>
    <w:uiPriority w:val="99"/>
    <w:semiHidden/>
    <w:unhideWhenUsed/>
    <w:rsid w:val="00DB4F3B"/>
  </w:style>
  <w:style w:type="table" w:styleId="Mkatabulky">
    <w:name w:val="Table Grid"/>
    <w:basedOn w:val="Normlntabulka"/>
    <w:uiPriority w:val="59"/>
    <w:rsid w:val="00DB4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vlastn">
    <w:name w:val="Text vlastní"/>
    <w:basedOn w:val="Normln"/>
    <w:rsid w:val="00DB4F3B"/>
    <w:pPr>
      <w:spacing w:before="120" w:line="240" w:lineRule="auto"/>
      <w:jc w:val="both"/>
    </w:pPr>
    <w:rPr>
      <w:sz w:val="18"/>
      <w:szCs w:val="20"/>
    </w:rPr>
  </w:style>
  <w:style w:type="character" w:styleId="Odkaznakoment">
    <w:name w:val="annotation reference"/>
    <w:basedOn w:val="Standardnpsmoodstavce"/>
    <w:uiPriority w:val="99"/>
    <w:semiHidden/>
    <w:unhideWhenUsed/>
    <w:rsid w:val="00DB4F3B"/>
    <w:rPr>
      <w:sz w:val="16"/>
      <w:szCs w:val="16"/>
    </w:rPr>
  </w:style>
  <w:style w:type="paragraph" w:styleId="Textkomente">
    <w:name w:val="annotation text"/>
    <w:basedOn w:val="Normln"/>
    <w:link w:val="TextkomenteChar"/>
    <w:uiPriority w:val="99"/>
    <w:semiHidden/>
    <w:unhideWhenUsed/>
    <w:rsid w:val="00DB4F3B"/>
    <w:pPr>
      <w:keepNext/>
      <w:spacing w:line="240" w:lineRule="auto"/>
      <w:jc w:val="both"/>
    </w:pPr>
    <w:rPr>
      <w:szCs w:val="20"/>
    </w:rPr>
  </w:style>
  <w:style w:type="character" w:customStyle="1" w:styleId="TextkomenteChar">
    <w:name w:val="Text komentáře Char"/>
    <w:basedOn w:val="Standardnpsmoodstavce"/>
    <w:link w:val="Textkomente"/>
    <w:uiPriority w:val="99"/>
    <w:semiHidden/>
    <w:rsid w:val="00DB4F3B"/>
    <w:rPr>
      <w:rFonts w:ascii="Arial" w:eastAsia="Times New Roman" w:hAnsi="Arial"/>
    </w:rPr>
  </w:style>
  <w:style w:type="paragraph" w:styleId="Pedmtkomente">
    <w:name w:val="annotation subject"/>
    <w:basedOn w:val="Textkomente"/>
    <w:next w:val="Textkomente"/>
    <w:link w:val="PedmtkomenteChar"/>
    <w:uiPriority w:val="99"/>
    <w:semiHidden/>
    <w:unhideWhenUsed/>
    <w:rsid w:val="00DB4F3B"/>
    <w:rPr>
      <w:b/>
      <w:bCs/>
    </w:rPr>
  </w:style>
  <w:style w:type="character" w:customStyle="1" w:styleId="PedmtkomenteChar">
    <w:name w:val="Předmět komentáře Char"/>
    <w:basedOn w:val="TextkomenteChar"/>
    <w:link w:val="Pedmtkomente"/>
    <w:uiPriority w:val="99"/>
    <w:semiHidden/>
    <w:rsid w:val="00DB4F3B"/>
    <w:rPr>
      <w:rFonts w:ascii="Arial" w:eastAsia="Times New Roman" w:hAnsi="Arial"/>
      <w:b/>
      <w:bCs/>
    </w:rPr>
  </w:style>
  <w:style w:type="table" w:styleId="Stednmka3zvraznn2">
    <w:name w:val="Medium Grid 3 Accent 2"/>
    <w:basedOn w:val="Normlntabulka"/>
    <w:uiPriority w:val="60"/>
    <w:rsid w:val="0035195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numbering" w:customStyle="1" w:styleId="Bezseznamu2">
    <w:name w:val="Bez seznamu2"/>
    <w:next w:val="Bezseznamu"/>
    <w:uiPriority w:val="99"/>
    <w:semiHidden/>
    <w:unhideWhenUsed/>
    <w:rsid w:val="00DE3724"/>
  </w:style>
  <w:style w:type="paragraph" w:styleId="Nadpisobsahu">
    <w:name w:val="TOC Heading"/>
    <w:basedOn w:val="Nadpis1"/>
    <w:next w:val="Normln"/>
    <w:uiPriority w:val="39"/>
    <w:semiHidden/>
    <w:unhideWhenUsed/>
    <w:qFormat/>
    <w:rsid w:val="00DE3724"/>
    <w:pPr>
      <w:spacing w:before="480" w:after="0" w:line="276" w:lineRule="auto"/>
      <w:outlineLvl w:val="9"/>
    </w:pPr>
    <w:rPr>
      <w:rFonts w:asciiTheme="majorHAnsi" w:eastAsiaTheme="majorEastAsia" w:hAnsiTheme="majorHAnsi" w:cstheme="majorBidi"/>
      <w:color w:val="365F91" w:themeColor="accent1" w:themeShade="BF"/>
      <w:sz w:val="28"/>
    </w:rPr>
  </w:style>
  <w:style w:type="numbering" w:customStyle="1" w:styleId="Bezseznamu3">
    <w:name w:val="Bez seznamu3"/>
    <w:next w:val="Bezseznamu"/>
    <w:uiPriority w:val="99"/>
    <w:semiHidden/>
    <w:unhideWhenUsed/>
    <w:rsid w:val="00F41C6D"/>
  </w:style>
  <w:style w:type="table" w:customStyle="1" w:styleId="Mkatabulky1">
    <w:name w:val="Mřížka tabulky1"/>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802A5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4670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46708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Standardnpsmoodstavce"/>
    <w:rsid w:val="00214E6F"/>
  </w:style>
  <w:style w:type="character" w:styleId="Zvraznn">
    <w:name w:val="Emphasis"/>
    <w:basedOn w:val="Standardnpsmoodstavce"/>
    <w:uiPriority w:val="20"/>
    <w:qFormat/>
    <w:rsid w:val="00214E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364866142">
      <w:bodyDiv w:val="1"/>
      <w:marLeft w:val="60"/>
      <w:marRight w:val="60"/>
      <w:marTop w:val="60"/>
      <w:marBottom w:val="15"/>
      <w:divBdr>
        <w:top w:val="none" w:sz="0" w:space="0" w:color="auto"/>
        <w:left w:val="none" w:sz="0" w:space="0" w:color="auto"/>
        <w:bottom w:val="none" w:sz="0" w:space="0" w:color="auto"/>
        <w:right w:val="none" w:sz="0" w:space="0" w:color="auto"/>
      </w:divBdr>
      <w:divsChild>
        <w:div w:id="1891261821">
          <w:marLeft w:val="0"/>
          <w:marRight w:val="0"/>
          <w:marTop w:val="0"/>
          <w:marBottom w:val="0"/>
          <w:divBdr>
            <w:top w:val="none" w:sz="0" w:space="0" w:color="auto"/>
            <w:left w:val="none" w:sz="0" w:space="0" w:color="auto"/>
            <w:bottom w:val="none" w:sz="0" w:space="0" w:color="auto"/>
            <w:right w:val="none" w:sz="0" w:space="0" w:color="auto"/>
          </w:divBdr>
          <w:divsChild>
            <w:div w:id="7945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698822910">
      <w:bodyDiv w:val="1"/>
      <w:marLeft w:val="0"/>
      <w:marRight w:val="0"/>
      <w:marTop w:val="0"/>
      <w:marBottom w:val="0"/>
      <w:divBdr>
        <w:top w:val="none" w:sz="0" w:space="0" w:color="auto"/>
        <w:left w:val="none" w:sz="0" w:space="0" w:color="auto"/>
        <w:bottom w:val="none" w:sz="0" w:space="0" w:color="auto"/>
        <w:right w:val="none" w:sz="0" w:space="0" w:color="auto"/>
      </w:divBdr>
    </w:div>
    <w:div w:id="889415061">
      <w:bodyDiv w:val="1"/>
      <w:marLeft w:val="0"/>
      <w:marRight w:val="0"/>
      <w:marTop w:val="0"/>
      <w:marBottom w:val="0"/>
      <w:divBdr>
        <w:top w:val="none" w:sz="0" w:space="0" w:color="auto"/>
        <w:left w:val="none" w:sz="0" w:space="0" w:color="auto"/>
        <w:bottom w:val="none" w:sz="0" w:space="0" w:color="auto"/>
        <w:right w:val="none" w:sz="0" w:space="0" w:color="auto"/>
      </w:divBdr>
    </w:div>
    <w:div w:id="915171869">
      <w:bodyDiv w:val="1"/>
      <w:marLeft w:val="0"/>
      <w:marRight w:val="0"/>
      <w:marTop w:val="0"/>
      <w:marBottom w:val="0"/>
      <w:divBdr>
        <w:top w:val="none" w:sz="0" w:space="0" w:color="auto"/>
        <w:left w:val="none" w:sz="0" w:space="0" w:color="auto"/>
        <w:bottom w:val="none" w:sz="0" w:space="0" w:color="auto"/>
        <w:right w:val="none" w:sz="0" w:space="0" w:color="auto"/>
      </w:divBdr>
    </w:div>
    <w:div w:id="1162425717">
      <w:bodyDiv w:val="1"/>
      <w:marLeft w:val="0"/>
      <w:marRight w:val="0"/>
      <w:marTop w:val="0"/>
      <w:marBottom w:val="0"/>
      <w:divBdr>
        <w:top w:val="none" w:sz="0" w:space="0" w:color="auto"/>
        <w:left w:val="none" w:sz="0" w:space="0" w:color="auto"/>
        <w:bottom w:val="none" w:sz="0" w:space="0" w:color="auto"/>
        <w:right w:val="none" w:sz="0" w:space="0" w:color="auto"/>
      </w:divBdr>
    </w:div>
    <w:div w:id="1280798522">
      <w:bodyDiv w:val="1"/>
      <w:marLeft w:val="0"/>
      <w:marRight w:val="0"/>
      <w:marTop w:val="0"/>
      <w:marBottom w:val="0"/>
      <w:divBdr>
        <w:top w:val="none" w:sz="0" w:space="0" w:color="auto"/>
        <w:left w:val="none" w:sz="0" w:space="0" w:color="auto"/>
        <w:bottom w:val="none" w:sz="0" w:space="0" w:color="auto"/>
        <w:right w:val="none" w:sz="0" w:space="0" w:color="auto"/>
      </w:divBdr>
    </w:div>
    <w:div w:id="1336567908">
      <w:bodyDiv w:val="1"/>
      <w:marLeft w:val="0"/>
      <w:marRight w:val="0"/>
      <w:marTop w:val="0"/>
      <w:marBottom w:val="0"/>
      <w:divBdr>
        <w:top w:val="none" w:sz="0" w:space="0" w:color="auto"/>
        <w:left w:val="none" w:sz="0" w:space="0" w:color="auto"/>
        <w:bottom w:val="none" w:sz="0" w:space="0" w:color="auto"/>
        <w:right w:val="none" w:sz="0" w:space="0" w:color="auto"/>
      </w:divBdr>
    </w:div>
    <w:div w:id="1367951400">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18301331">
      <w:bodyDiv w:val="1"/>
      <w:marLeft w:val="0"/>
      <w:marRight w:val="0"/>
      <w:marTop w:val="0"/>
      <w:marBottom w:val="0"/>
      <w:divBdr>
        <w:top w:val="none" w:sz="0" w:space="0" w:color="auto"/>
        <w:left w:val="none" w:sz="0" w:space="0" w:color="auto"/>
        <w:bottom w:val="none" w:sz="0" w:space="0" w:color="auto"/>
        <w:right w:val="none" w:sz="0" w:space="0" w:color="auto"/>
      </w:divBdr>
    </w:div>
    <w:div w:id="1855724239">
      <w:bodyDiv w:val="1"/>
      <w:marLeft w:val="0"/>
      <w:marRight w:val="0"/>
      <w:marTop w:val="0"/>
      <w:marBottom w:val="0"/>
      <w:divBdr>
        <w:top w:val="none" w:sz="0" w:space="0" w:color="auto"/>
        <w:left w:val="none" w:sz="0" w:space="0" w:color="auto"/>
        <w:bottom w:val="none" w:sz="0" w:space="0" w:color="auto"/>
        <w:right w:val="none" w:sz="0" w:space="0" w:color="auto"/>
      </w:divBdr>
    </w:div>
    <w:div w:id="2051029145">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LNIC~1\AppData\Local\Temp\publikace%20bar_lide%20a%20spolecnost.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2571212705761315E-2"/>
          <c:y val="6.8896732735994212E-2"/>
          <c:w val="0.86770447530864192"/>
          <c:h val="0.71642471415211029"/>
        </c:manualLayout>
      </c:layout>
      <c:barChart>
        <c:barDir val="col"/>
        <c:grouping val="clustered"/>
        <c:varyColors val="0"/>
        <c:ser>
          <c:idx val="0"/>
          <c:order val="0"/>
          <c:tx>
            <c:strRef>
              <c:f>'3_2_1'!$A$5</c:f>
              <c:strCache>
                <c:ptCount val="1"/>
                <c:pt idx="0">
                  <c:v>absolutně v mld. Kč</c:v>
                </c:pt>
              </c:strCache>
            </c:strRef>
          </c:tx>
          <c:spPr>
            <a:solidFill>
              <a:srgbClr val="D96D75"/>
            </a:solidFill>
            <a:ln>
              <a:solidFill>
                <a:srgbClr val="CD3F49"/>
              </a:solidFill>
            </a:ln>
          </c:spPr>
          <c:invertIfNegative val="0"/>
          <c:dPt>
            <c:idx val="0"/>
            <c:invertIfNegative val="0"/>
            <c:bubble3D val="0"/>
            <c:spPr>
              <a:solidFill>
                <a:srgbClr val="D96D75"/>
              </a:solidFill>
            </c:spPr>
            <c:extLst xmlns:c16r2="http://schemas.microsoft.com/office/drawing/2015/06/chart">
              <c:ext xmlns:c16="http://schemas.microsoft.com/office/drawing/2014/chart" uri="{C3380CC4-5D6E-409C-BE32-E72D297353CC}">
                <c16:uniqueId val="{00000001-A80D-40CA-9A19-F87A76C03994}"/>
              </c:ext>
            </c:extLst>
          </c:dPt>
          <c:dPt>
            <c:idx val="1"/>
            <c:invertIfNegative val="0"/>
            <c:bubble3D val="0"/>
            <c:spPr>
              <a:solidFill>
                <a:srgbClr val="D96D75"/>
              </a:solidFill>
            </c:spPr>
            <c:extLst xmlns:c16r2="http://schemas.microsoft.com/office/drawing/2015/06/chart">
              <c:ext xmlns:c16="http://schemas.microsoft.com/office/drawing/2014/chart" uri="{C3380CC4-5D6E-409C-BE32-E72D297353CC}">
                <c16:uniqueId val="{00000003-A80D-40CA-9A19-F87A76C03994}"/>
              </c:ext>
            </c:extLst>
          </c:dPt>
          <c:dPt>
            <c:idx val="2"/>
            <c:invertIfNegative val="0"/>
            <c:bubble3D val="0"/>
            <c:spPr>
              <a:solidFill>
                <a:srgbClr val="D96D75"/>
              </a:solidFill>
            </c:spPr>
            <c:extLst xmlns:c16r2="http://schemas.microsoft.com/office/drawing/2015/06/chart">
              <c:ext xmlns:c16="http://schemas.microsoft.com/office/drawing/2014/chart" uri="{C3380CC4-5D6E-409C-BE32-E72D297353CC}">
                <c16:uniqueId val="{00000005-A80D-40CA-9A19-F87A76C03994}"/>
              </c:ext>
            </c:extLst>
          </c:dPt>
          <c:dPt>
            <c:idx val="3"/>
            <c:invertIfNegative val="0"/>
            <c:bubble3D val="0"/>
            <c:spPr>
              <a:solidFill>
                <a:srgbClr val="D96D75"/>
              </a:solidFill>
            </c:spPr>
            <c:extLst xmlns:c16r2="http://schemas.microsoft.com/office/drawing/2015/06/chart">
              <c:ext xmlns:c16="http://schemas.microsoft.com/office/drawing/2014/chart" uri="{C3380CC4-5D6E-409C-BE32-E72D297353CC}">
                <c16:uniqueId val="{00000007-A80D-40CA-9A19-F87A76C03994}"/>
              </c:ext>
            </c:extLst>
          </c:dPt>
          <c:dPt>
            <c:idx val="4"/>
            <c:invertIfNegative val="0"/>
            <c:bubble3D val="0"/>
            <c:spPr>
              <a:solidFill>
                <a:srgbClr val="D96D75"/>
              </a:solidFill>
            </c:spPr>
            <c:extLst xmlns:c16r2="http://schemas.microsoft.com/office/drawing/2015/06/chart">
              <c:ext xmlns:c16="http://schemas.microsoft.com/office/drawing/2014/chart" uri="{C3380CC4-5D6E-409C-BE32-E72D297353CC}">
                <c16:uniqueId val="{00000009-A80D-40CA-9A19-F87A76C03994}"/>
              </c:ext>
            </c:extLst>
          </c:dPt>
          <c:dPt>
            <c:idx val="5"/>
            <c:invertIfNegative val="0"/>
            <c:bubble3D val="0"/>
            <c:spPr>
              <a:solidFill>
                <a:srgbClr val="D96D75"/>
              </a:solidFill>
            </c:spPr>
            <c:extLst xmlns:c16r2="http://schemas.microsoft.com/office/drawing/2015/06/chart">
              <c:ext xmlns:c16="http://schemas.microsoft.com/office/drawing/2014/chart" uri="{C3380CC4-5D6E-409C-BE32-E72D297353CC}">
                <c16:uniqueId val="{0000000B-A80D-40CA-9A19-F87A76C03994}"/>
              </c:ext>
            </c:extLst>
          </c:dPt>
          <c:dPt>
            <c:idx val="6"/>
            <c:invertIfNegative val="0"/>
            <c:bubble3D val="0"/>
            <c:spPr>
              <a:solidFill>
                <a:srgbClr val="D96D75"/>
              </a:solidFill>
            </c:spPr>
            <c:extLst xmlns:c16r2="http://schemas.microsoft.com/office/drawing/2015/06/chart">
              <c:ext xmlns:c16="http://schemas.microsoft.com/office/drawing/2014/chart" uri="{C3380CC4-5D6E-409C-BE32-E72D297353CC}">
                <c16:uniqueId val="{0000000D-A80D-40CA-9A19-F87A76C03994}"/>
              </c:ext>
            </c:extLst>
          </c:dPt>
          <c:dPt>
            <c:idx val="7"/>
            <c:invertIfNegative val="0"/>
            <c:bubble3D val="0"/>
            <c:spPr>
              <a:solidFill>
                <a:srgbClr val="D96D75"/>
              </a:solidFill>
            </c:spPr>
            <c:extLst xmlns:c16r2="http://schemas.microsoft.com/office/drawing/2015/06/chart">
              <c:ext xmlns:c16="http://schemas.microsoft.com/office/drawing/2014/chart" uri="{C3380CC4-5D6E-409C-BE32-E72D297353CC}">
                <c16:uniqueId val="{0000000F-A80D-40CA-9A19-F87A76C03994}"/>
              </c:ext>
            </c:extLst>
          </c:dPt>
          <c:dPt>
            <c:idx val="8"/>
            <c:invertIfNegative val="0"/>
            <c:bubble3D val="0"/>
            <c:spPr>
              <a:solidFill>
                <a:srgbClr val="D96D75"/>
              </a:solidFill>
            </c:spPr>
            <c:extLst xmlns:c16r2="http://schemas.microsoft.com/office/drawing/2015/06/chart">
              <c:ext xmlns:c16="http://schemas.microsoft.com/office/drawing/2014/chart" uri="{C3380CC4-5D6E-409C-BE32-E72D297353CC}">
                <c16:uniqueId val="{00000011-A80D-40CA-9A19-F87A76C03994}"/>
              </c:ext>
            </c:extLst>
          </c:dPt>
          <c:dLbls>
            <c:spPr>
              <a:noFill/>
              <a:ln>
                <a:noFill/>
              </a:ln>
              <a:effectLst/>
            </c:spPr>
            <c:txPr>
              <a:bodyPr/>
              <a:lstStyle/>
              <a:p>
                <a:pPr>
                  <a:defRPr b="1">
                    <a:solidFill>
                      <a:schemeClr val="bg1"/>
                    </a:solidFill>
                  </a:defRPr>
                </a:pPr>
                <a:endParaRPr lang="cs-CZ"/>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'3_2_1'!$B$4:$J$4</c:f>
              <c:strCache>
                <c:ptCount val="9"/>
                <c:pt idx="0">
                  <c:v>2010</c:v>
                </c:pt>
                <c:pt idx="1">
                  <c:v>2011</c:v>
                </c:pt>
                <c:pt idx="2">
                  <c:v>2012</c:v>
                </c:pt>
                <c:pt idx="3">
                  <c:v>2013</c:v>
                </c:pt>
                <c:pt idx="4">
                  <c:v>2014</c:v>
                </c:pt>
                <c:pt idx="5">
                  <c:v>2015</c:v>
                </c:pt>
                <c:pt idx="6">
                  <c:v>2016</c:v>
                </c:pt>
                <c:pt idx="7">
                  <c:v>2017</c:v>
                </c:pt>
                <c:pt idx="8">
                  <c:v>2018</c:v>
                </c:pt>
              </c:strCache>
            </c:strRef>
          </c:cat>
          <c:val>
            <c:numRef>
              <c:f>'3_2_1'!$B$5:$J$5</c:f>
              <c:numCache>
                <c:formatCode>0.0</c:formatCode>
                <c:ptCount val="9"/>
                <c:pt idx="0">
                  <c:v>42.7</c:v>
                </c:pt>
                <c:pt idx="1">
                  <c:v>44</c:v>
                </c:pt>
                <c:pt idx="2">
                  <c:v>44.2</c:v>
                </c:pt>
                <c:pt idx="3">
                  <c:v>43.5</c:v>
                </c:pt>
                <c:pt idx="4">
                  <c:v>46.5</c:v>
                </c:pt>
                <c:pt idx="5">
                  <c:v>49.4</c:v>
                </c:pt>
                <c:pt idx="6">
                  <c:v>51.2</c:v>
                </c:pt>
                <c:pt idx="7">
                  <c:v>54.1</c:v>
                </c:pt>
                <c:pt idx="8" formatCode="General">
                  <c:v>57.8</c:v>
                </c:pt>
              </c:numCache>
            </c:numRef>
          </c:val>
          <c:extLst xmlns:c16r2="http://schemas.microsoft.com/office/drawing/2015/06/chart">
            <c:ext xmlns:c16="http://schemas.microsoft.com/office/drawing/2014/chart" uri="{C3380CC4-5D6E-409C-BE32-E72D297353CC}">
              <c16:uniqueId val="{00000012-A80D-40CA-9A19-F87A76C03994}"/>
            </c:ext>
          </c:extLst>
        </c:ser>
        <c:dLbls>
          <c:showLegendKey val="0"/>
          <c:showVal val="0"/>
          <c:showCatName val="0"/>
          <c:showSerName val="0"/>
          <c:showPercent val="0"/>
          <c:showBubbleSize val="0"/>
        </c:dLbls>
        <c:gapWidth val="45"/>
        <c:overlap val="-5"/>
        <c:axId val="490617856"/>
        <c:axId val="364245504"/>
      </c:barChart>
      <c:lineChart>
        <c:grouping val="standard"/>
        <c:varyColors val="0"/>
        <c:ser>
          <c:idx val="2"/>
          <c:order val="1"/>
          <c:tx>
            <c:strRef>
              <c:f>'3_2_1'!$A$7</c:f>
              <c:strCache>
                <c:ptCount val="1"/>
                <c:pt idx="0">
                  <c:v>% z celkových výdajů domácností</c:v>
                </c:pt>
              </c:strCache>
            </c:strRef>
          </c:tx>
          <c:spPr>
            <a:ln>
              <a:solidFill>
                <a:srgbClr val="FFC000"/>
              </a:solidFill>
            </a:ln>
          </c:spPr>
          <c:marker>
            <c:symbol val="triangle"/>
            <c:size val="6"/>
            <c:spPr>
              <a:solidFill>
                <a:srgbClr val="FFC000"/>
              </a:solidFill>
              <a:ln w="19050">
                <a:solidFill>
                  <a:srgbClr val="FFC000"/>
                </a:solid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'3_2_1'!$B$4:$I$4</c:f>
              <c:strCache>
                <c:ptCount val="8"/>
                <c:pt idx="0">
                  <c:v>2010</c:v>
                </c:pt>
                <c:pt idx="1">
                  <c:v>2011</c:v>
                </c:pt>
                <c:pt idx="2">
                  <c:v>2012</c:v>
                </c:pt>
                <c:pt idx="3">
                  <c:v>2013</c:v>
                </c:pt>
                <c:pt idx="4">
                  <c:v>2014</c:v>
                </c:pt>
                <c:pt idx="5">
                  <c:v>2015</c:v>
                </c:pt>
                <c:pt idx="6">
                  <c:v>2016</c:v>
                </c:pt>
                <c:pt idx="7">
                  <c:v>2017</c:v>
                </c:pt>
              </c:strCache>
            </c:strRef>
          </c:cat>
          <c:val>
            <c:numRef>
              <c:f>'G1'!#REF!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13-A80D-40CA-9A19-F87A76C03994}"/>
            </c:ext>
          </c:extLst>
        </c:ser>
        <c:ser>
          <c:idx val="1"/>
          <c:order val="2"/>
          <c:tx>
            <c:strRef>
              <c:f>'3_2_1'!$A$6</c:f>
              <c:strCache>
                <c:ptCount val="1"/>
                <c:pt idx="0">
                  <c:v>% z běžných výdajů na zdravotní péči</c:v>
                </c:pt>
              </c:strCache>
            </c:strRef>
          </c:tx>
          <c:spPr>
            <a:ln>
              <a:solidFill>
                <a:srgbClr val="187BB8"/>
              </a:solidFill>
              <a:prstDash val="solid"/>
            </a:ln>
          </c:spPr>
          <c:marker>
            <c:symbol val="diamond"/>
            <c:size val="6"/>
            <c:spPr>
              <a:solidFill>
                <a:srgbClr val="187BB8"/>
              </a:solidFill>
              <a:ln>
                <a:solidFill>
                  <a:srgbClr val="187BB8"/>
                </a:solid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'3_2_1'!$B$4:$I$4</c:f>
              <c:strCache>
                <c:ptCount val="8"/>
                <c:pt idx="0">
                  <c:v>2010</c:v>
                </c:pt>
                <c:pt idx="1">
                  <c:v>2011</c:v>
                </c:pt>
                <c:pt idx="2">
                  <c:v>2012</c:v>
                </c:pt>
                <c:pt idx="3">
                  <c:v>2013</c:v>
                </c:pt>
                <c:pt idx="4">
                  <c:v>2014</c:v>
                </c:pt>
                <c:pt idx="5">
                  <c:v>2015</c:v>
                </c:pt>
                <c:pt idx="6">
                  <c:v>2016</c:v>
                </c:pt>
                <c:pt idx="7">
                  <c:v>2017</c:v>
                </c:pt>
              </c:strCache>
            </c:strRef>
          </c:cat>
          <c:val>
            <c:numRef>
              <c:f>'3_2_1'!$B$6:$J$6</c:f>
              <c:numCache>
                <c:formatCode>0.0%</c:formatCode>
                <c:ptCount val="9"/>
                <c:pt idx="0">
                  <c:v>0.12781068538085527</c:v>
                </c:pt>
                <c:pt idx="1">
                  <c:v>0.13014661694640359</c:v>
                </c:pt>
                <c:pt idx="2">
                  <c:v>0.12927270242290848</c:v>
                </c:pt>
                <c:pt idx="3">
                  <c:v>0.12618925972739381</c:v>
                </c:pt>
                <c:pt idx="4">
                  <c:v>0.13334092675022691</c:v>
                </c:pt>
                <c:pt idx="5">
                  <c:v>0.14032511840898376</c:v>
                </c:pt>
                <c:pt idx="6">
                  <c:v>0.14161607817663652</c:v>
                </c:pt>
                <c:pt idx="7">
                  <c:v>0.1396534462321718</c:v>
                </c:pt>
                <c:pt idx="8">
                  <c:v>0.13413093428594566</c:v>
                </c:pt>
              </c:numCache>
            </c:numRef>
          </c:val>
          <c:smooth val="0"/>
          <c:extLst xmlns:c16r2="http://schemas.microsoft.com/office/drawing/2015/06/chart">
            <c:ext xmlns:c16="http://schemas.microsoft.com/office/drawing/2014/chart" uri="{C3380CC4-5D6E-409C-BE32-E72D297353CC}">
              <c16:uniqueId val="{00000014-A80D-40CA-9A19-F87A76C03994}"/>
            </c:ext>
          </c:extLst>
        </c:ser>
        <c:dLbls>
          <c:showLegendKey val="0"/>
          <c:showVal val="0"/>
          <c:showCatName val="0"/>
          <c:showSerName val="0"/>
          <c:showPercent val="0"/>
          <c:showBubbleSize val="0"/>
        </c:dLbls>
        <c:marker val="1"/>
        <c:smooth val="0"/>
        <c:axId val="517113344"/>
        <c:axId val="364246080"/>
      </c:lineChart>
      <c:catAx>
        <c:axId val="490617856"/>
        <c:scaling>
          <c:orientation val="minMax"/>
        </c:scaling>
        <c:delete val="0"/>
        <c:axPos val="b"/>
        <c:numFmt formatCode="General" sourceLinked="1"/>
        <c:majorTickMark val="none"/>
        <c:minorTickMark val="none"/>
        <c:tickLblPos val="nextTo"/>
        <c:spPr>
          <a:ln>
            <a:solidFill>
              <a:schemeClr val="bg1">
                <a:lumMod val="75000"/>
              </a:schemeClr>
            </a:solidFill>
          </a:ln>
        </c:spPr>
        <c:txPr>
          <a:bodyPr rot="0" vert="horz"/>
          <a:lstStyle/>
          <a:p>
            <a:pPr>
              <a:defRPr/>
            </a:pPr>
            <a:endParaRPr lang="cs-CZ"/>
          </a:p>
        </c:txPr>
        <c:crossAx val="364245504"/>
        <c:crosses val="autoZero"/>
        <c:auto val="1"/>
        <c:lblAlgn val="ctr"/>
        <c:lblOffset val="100"/>
        <c:noMultiLvlLbl val="0"/>
      </c:catAx>
      <c:valAx>
        <c:axId val="364245504"/>
        <c:scaling>
          <c:orientation val="minMax"/>
          <c:max val="70"/>
          <c:min val="0"/>
        </c:scaling>
        <c:delete val="0"/>
        <c:axPos val="l"/>
        <c:majorGridlines>
          <c:spPr>
            <a:ln>
              <a:solidFill>
                <a:sysClr val="window" lastClr="FFFFFF">
                  <a:lumMod val="85000"/>
                </a:sysClr>
              </a:solidFill>
              <a:prstDash val="dash"/>
            </a:ln>
          </c:spPr>
        </c:majorGridlines>
        <c:numFmt formatCode="0" sourceLinked="0"/>
        <c:majorTickMark val="none"/>
        <c:minorTickMark val="none"/>
        <c:tickLblPos val="nextTo"/>
        <c:spPr>
          <a:ln w="3175">
            <a:solidFill>
              <a:sysClr val="window" lastClr="FFFFFF">
                <a:lumMod val="85000"/>
              </a:sysClr>
            </a:solidFill>
            <a:prstDash val="dash"/>
          </a:ln>
        </c:spPr>
        <c:txPr>
          <a:bodyPr/>
          <a:lstStyle/>
          <a:p>
            <a:pPr>
              <a:defRPr>
                <a:solidFill>
                  <a:schemeClr val="bg1"/>
                </a:solidFill>
              </a:defRPr>
            </a:pPr>
            <a:endParaRPr lang="cs-CZ"/>
          </a:p>
        </c:txPr>
        <c:crossAx val="490617856"/>
        <c:crosses val="autoZero"/>
        <c:crossBetween val="between"/>
        <c:majorUnit val="10"/>
        <c:minorUnit val="1"/>
      </c:valAx>
      <c:valAx>
        <c:axId val="364246080"/>
        <c:scaling>
          <c:orientation val="minMax"/>
          <c:max val="0.16000000000000003"/>
          <c:min val="0"/>
        </c:scaling>
        <c:delete val="0"/>
        <c:axPos val="r"/>
        <c:numFmt formatCode="0%" sourceLinked="0"/>
        <c:majorTickMark val="none"/>
        <c:minorTickMark val="none"/>
        <c:tickLblPos val="nextTo"/>
        <c:spPr>
          <a:ln w="3175">
            <a:noFill/>
          </a:ln>
        </c:spPr>
        <c:txPr>
          <a:bodyPr/>
          <a:lstStyle/>
          <a:p>
            <a:pPr>
              <a:defRPr>
                <a:solidFill>
                  <a:schemeClr val="bg1"/>
                </a:solidFill>
              </a:defRPr>
            </a:pPr>
            <a:endParaRPr lang="cs-CZ"/>
          </a:p>
        </c:txPr>
        <c:crossAx val="517113344"/>
        <c:crosses val="max"/>
        <c:crossBetween val="between"/>
        <c:majorUnit val="2.0000000000000004E-2"/>
        <c:minorUnit val="1.0000000000000013E-4"/>
      </c:valAx>
      <c:catAx>
        <c:axId val="517113344"/>
        <c:scaling>
          <c:orientation val="minMax"/>
        </c:scaling>
        <c:delete val="1"/>
        <c:axPos val="b"/>
        <c:numFmt formatCode="General" sourceLinked="1"/>
        <c:majorTickMark val="out"/>
        <c:minorTickMark val="none"/>
        <c:tickLblPos val="none"/>
        <c:crossAx val="364246080"/>
        <c:crosses val="autoZero"/>
        <c:auto val="1"/>
        <c:lblAlgn val="ctr"/>
        <c:lblOffset val="100"/>
        <c:noMultiLvlLbl val="0"/>
      </c:catAx>
      <c:spPr>
        <a:solidFill>
          <a:schemeClr val="bg1"/>
        </a:solidFill>
        <a:ln>
          <a:noFill/>
        </a:ln>
      </c:spPr>
    </c:plotArea>
    <c:legend>
      <c:legendPos val="b"/>
      <c:legendEntry>
        <c:idx val="1"/>
        <c:delete val="1"/>
      </c:legendEntry>
      <c:layout>
        <c:manualLayout>
          <c:xMode val="edge"/>
          <c:yMode val="edge"/>
          <c:x val="5.9286176004858894E-2"/>
          <c:y val="0.86133647087217546"/>
          <c:w val="0.91669548611111107"/>
          <c:h val="6.9698011886445227E-2"/>
        </c:manualLayout>
      </c:layout>
      <c:overlay val="0"/>
      <c:spPr>
        <a:solidFill>
          <a:schemeClr val="bg1"/>
        </a:solidFill>
        <a:ln>
          <a:noFill/>
        </a:ln>
      </c:spPr>
    </c:legend>
    <c:plotVisOnly val="1"/>
    <c:dispBlanksAs val="gap"/>
    <c:showDLblsOverMax val="0"/>
  </c:chart>
  <c:spPr>
    <a:solidFill>
      <a:schemeClr val="bg1"/>
    </a:solidFill>
    <a:ln>
      <a:solidFill>
        <a:sysClr val="window" lastClr="FFFFFF">
          <a:lumMod val="85000"/>
        </a:sysClr>
      </a:solid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597186221287553"/>
          <c:y val="0.1314138739364473"/>
          <c:w val="0.55907076832787206"/>
          <c:h val="0.80908238145209388"/>
        </c:manualLayout>
      </c:layout>
      <c:pieChart>
        <c:varyColors val="1"/>
        <c:ser>
          <c:idx val="0"/>
          <c:order val="0"/>
          <c:spPr>
            <a:solidFill>
              <a:srgbClr val="D96D75"/>
            </a:solidFill>
            <a:ln>
              <a:solidFill>
                <a:srgbClr val="7F7F7F"/>
              </a:solidFill>
            </a:ln>
          </c:spPr>
          <c:dPt>
            <c:idx val="0"/>
            <c:bubble3D val="0"/>
            <c:spPr>
              <a:solidFill>
                <a:srgbClr val="83A5CF"/>
              </a:solidFill>
              <a:ln>
                <a:solidFill>
                  <a:srgbClr val="376092"/>
                </a:solidFill>
              </a:ln>
            </c:spPr>
            <c:extLst xmlns:c16r2="http://schemas.microsoft.com/office/drawing/2015/06/chart">
              <c:ext xmlns:c16="http://schemas.microsoft.com/office/drawing/2014/chart" uri="{C3380CC4-5D6E-409C-BE32-E72D297353CC}">
                <c16:uniqueId val="{00000001-D785-462A-96CA-0C90B278CBE1}"/>
              </c:ext>
            </c:extLst>
          </c:dPt>
          <c:dPt>
            <c:idx val="1"/>
            <c:bubble3D val="0"/>
            <c:spPr>
              <a:solidFill>
                <a:srgbClr val="92B54B"/>
              </a:solidFill>
            </c:spPr>
            <c:extLst xmlns:c16r2="http://schemas.microsoft.com/office/drawing/2015/06/chart">
              <c:ext xmlns:c16="http://schemas.microsoft.com/office/drawing/2014/chart" uri="{C3380CC4-5D6E-409C-BE32-E72D297353CC}">
                <c16:uniqueId val="{00000003-D785-462A-96CA-0C90B278CBE1}"/>
              </c:ext>
            </c:extLst>
          </c:dPt>
          <c:dPt>
            <c:idx val="2"/>
            <c:bubble3D val="0"/>
            <c:spPr>
              <a:solidFill>
                <a:srgbClr val="0071BC"/>
              </a:solidFill>
            </c:spPr>
            <c:extLst xmlns:c16r2="http://schemas.microsoft.com/office/drawing/2015/06/chart">
              <c:ext xmlns:c16="http://schemas.microsoft.com/office/drawing/2014/chart" uri="{C3380CC4-5D6E-409C-BE32-E72D297353CC}">
                <c16:uniqueId val="{00000005-D785-462A-96CA-0C90B278CBE1}"/>
              </c:ext>
            </c:extLst>
          </c:dPt>
          <c:dPt>
            <c:idx val="3"/>
            <c:bubble3D val="0"/>
            <c:spPr>
              <a:solidFill>
                <a:srgbClr val="D96D75"/>
              </a:solidFill>
            </c:spPr>
            <c:extLst xmlns:c16r2="http://schemas.microsoft.com/office/drawing/2015/06/chart">
              <c:ext xmlns:c16="http://schemas.microsoft.com/office/drawing/2014/chart" uri="{C3380CC4-5D6E-409C-BE32-E72D297353CC}">
                <c16:uniqueId val="{00000007-D785-462A-96CA-0C90B278CBE1}"/>
              </c:ext>
            </c:extLst>
          </c:dPt>
          <c:dPt>
            <c:idx val="4"/>
            <c:bubble3D val="0"/>
            <c:spPr>
              <a:solidFill>
                <a:srgbClr val="FFC000"/>
              </a:solidFill>
            </c:spPr>
            <c:extLst xmlns:c16r2="http://schemas.microsoft.com/office/drawing/2015/06/chart">
              <c:ext xmlns:c16="http://schemas.microsoft.com/office/drawing/2014/chart" uri="{C3380CC4-5D6E-409C-BE32-E72D297353CC}">
                <c16:uniqueId val="{00000009-D785-462A-96CA-0C90B278CBE1}"/>
              </c:ext>
            </c:extLst>
          </c:dPt>
          <c:dLbls>
            <c:dLbl>
              <c:idx val="0"/>
              <c:layout>
                <c:manualLayout>
                  <c:x val="-3.9019579074354837E-3"/>
                  <c:y val="-5.2434469299470756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785-462A-96CA-0C90B278CBE1}"/>
                </c:ext>
              </c:extLst>
            </c:dLbl>
            <c:dLbl>
              <c:idx val="1"/>
              <c:layout>
                <c:manualLayout>
                  <c:x val="4.6714106388875305E-2"/>
                  <c:y val="1.8545947062739588E-2"/>
                </c:manualLayout>
              </c:layout>
              <c:tx>
                <c:rich>
                  <a:bodyPr/>
                  <a:lstStyle/>
                  <a:p>
                    <a:r>
                      <a:rPr lang="en-US"/>
                      <a:t>Ambulantní péče
(bez stomatologické)
14%</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785-462A-96CA-0C90B278CBE1}"/>
                </c:ext>
              </c:extLst>
            </c:dLbl>
            <c:dLbl>
              <c:idx val="2"/>
              <c:layout>
                <c:manualLayout>
                  <c:x val="4.2047407117588559E-2"/>
                  <c:y val="0.1395101334772794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785-462A-96CA-0C90B278CBE1}"/>
                </c:ext>
              </c:extLst>
            </c:dLbl>
            <c:dLbl>
              <c:idx val="3"/>
              <c:layout>
                <c:manualLayout>
                  <c:x val="-3.3126457018959596E-2"/>
                  <c:y val="2.780407037755649E-2"/>
                </c:manualLayout>
              </c:layout>
              <c:tx>
                <c:rich>
                  <a:bodyPr/>
                  <a:lstStyle/>
                  <a:p>
                    <a:r>
                      <a:rPr lang="en-US" sz="800">
                        <a:latin typeface="Arial" panose="020B0604020202020204" pitchFamily="34" charset="0"/>
                        <a:cs typeface="Arial" panose="020B0604020202020204" pitchFamily="34" charset="0"/>
                      </a:rPr>
                      <a:t>Léčiva a zdravotnický materiál </a:t>
                    </a:r>
                  </a:p>
                  <a:p>
                    <a:r>
                      <a:rPr lang="en-US" sz="800">
                        <a:latin typeface="Arial" panose="020B0604020202020204" pitchFamily="34" charset="0"/>
                        <a:cs typeface="Arial" panose="020B0604020202020204" pitchFamily="34" charset="0"/>
                      </a:rPr>
                      <a:t>49%</a:t>
                    </a:r>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785-462A-96CA-0C90B278CBE1}"/>
                </c:ext>
              </c:extLst>
            </c:dLbl>
            <c:dLbl>
              <c:idx val="4"/>
              <c:layout>
                <c:manualLayout>
                  <c:x val="-8.4148937904501092E-2"/>
                  <c:y val="-3.160655938415860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785-462A-96CA-0C90B278CBE1}"/>
                </c:ext>
              </c:extLst>
            </c:dLbl>
            <c:spPr>
              <a:noFill/>
              <a:ln>
                <a:noFill/>
              </a:ln>
              <a:effectLst/>
            </c:spPr>
            <c:txPr>
              <a:bodyPr/>
              <a:lstStyle/>
              <a:p>
                <a:pPr>
                  <a:defRPr sz="800"/>
                </a:pPr>
                <a:endParaRPr lang="cs-CZ"/>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'3_2_2+T 3_2_1'!$N$14:$N$18</c:f>
              <c:strCache>
                <c:ptCount val="5"/>
                <c:pt idx="0">
                  <c:v>Lůžková péče
(léčebná, rehabilitační, dlouhodobá)</c:v>
                </c:pt>
                <c:pt idx="1">
                  <c:v>Ambulantní péče
(léčebná, rehabilitační)</c:v>
                </c:pt>
                <c:pt idx="2">
                  <c:v>Stomatologická ambulantní péče</c:v>
                </c:pt>
                <c:pt idx="3">
                  <c:v>Léčiva a zdravotnický materiál</c:v>
                </c:pt>
                <c:pt idx="4">
                  <c:v>Terapeutické pomůcky</c:v>
                </c:pt>
              </c:strCache>
            </c:strRef>
          </c:cat>
          <c:val>
            <c:numRef>
              <c:f>'3_2_2+T 3_2_1'!$O$14:$O$18</c:f>
              <c:numCache>
                <c:formatCode>#,##0</c:formatCode>
                <c:ptCount val="5"/>
                <c:pt idx="0">
                  <c:v>4093</c:v>
                </c:pt>
                <c:pt idx="1">
                  <c:v>7876</c:v>
                </c:pt>
                <c:pt idx="2">
                  <c:v>11148</c:v>
                </c:pt>
                <c:pt idx="3">
                  <c:v>28480</c:v>
                </c:pt>
                <c:pt idx="4">
                  <c:v>6168</c:v>
                </c:pt>
              </c:numCache>
            </c:numRef>
          </c:val>
          <c:extLst xmlns:c16r2="http://schemas.microsoft.com/office/drawing/2015/06/chart">
            <c:ext xmlns:c16="http://schemas.microsoft.com/office/drawing/2014/chart" uri="{C3380CC4-5D6E-409C-BE32-E72D297353CC}">
              <c16:uniqueId val="{0000000A-D785-462A-96CA-0C90B278CBE1}"/>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solidFill>
        <a:sysClr val="window" lastClr="FFFFFF">
          <a:lumMod val="85000"/>
        </a:sysClr>
      </a:solidFill>
    </a:ln>
  </c:spPr>
  <c:txPr>
    <a:bodyPr/>
    <a:lstStyle/>
    <a:p>
      <a:pPr>
        <a:defRPr sz="900">
          <a:latin typeface="Arial" panose="020B0604020202020204" pitchFamily="34" charset="0"/>
          <a:cs typeface="Arial" panose="020B0604020202020204" pitchFamily="34" charset="0"/>
        </a:defRPr>
      </a:pPr>
      <a:endParaRPr lang="cs-CZ"/>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'3_2_2+T 3_2_1'!$N$31</c:f>
              <c:strCache>
                <c:ptCount val="1"/>
                <c:pt idx="0">
                  <c:v>   Stomatologická ambulantní léčebná péče</c:v>
                </c:pt>
              </c:strCache>
            </c:strRef>
          </c:tx>
          <c:spPr>
            <a:ln>
              <a:solidFill>
                <a:srgbClr val="D96D75"/>
              </a:solidFill>
            </a:ln>
          </c:spPr>
          <c:marker>
            <c:spPr>
              <a:solidFill>
                <a:srgbClr val="D96D75"/>
              </a:solidFill>
              <a:ln>
                <a:solidFill>
                  <a:srgbClr val="D96D75"/>
                </a:solid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'3_2_2+T 3_2_1'!$O$30:$W$30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'3_2_2+T 3_2_1'!$O$31:$W$31</c:f>
              <c:numCache>
                <c:formatCode>#,##0</c:formatCode>
                <c:ptCount val="9"/>
                <c:pt idx="0">
                  <c:v>7118</c:v>
                </c:pt>
                <c:pt idx="1">
                  <c:v>7737</c:v>
                </c:pt>
                <c:pt idx="2">
                  <c:v>6802</c:v>
                </c:pt>
                <c:pt idx="3">
                  <c:v>7362</c:v>
                </c:pt>
                <c:pt idx="4">
                  <c:v>8436</c:v>
                </c:pt>
                <c:pt idx="5">
                  <c:v>9236</c:v>
                </c:pt>
                <c:pt idx="6">
                  <c:v>9637</c:v>
                </c:pt>
                <c:pt idx="7">
                  <c:v>10258</c:v>
                </c:pt>
                <c:pt idx="8">
                  <c:v>11148</c:v>
                </c:pt>
              </c:numCache>
            </c:numRef>
          </c:val>
          <c:smooth val="0"/>
          <c:extLst xmlns:c16r2="http://schemas.microsoft.com/office/drawing/2015/06/chart">
            <c:ext xmlns:c16="http://schemas.microsoft.com/office/drawing/2014/chart" uri="{C3380CC4-5D6E-409C-BE32-E72D297353CC}">
              <c16:uniqueId val="{00000000-4BFD-4336-8F71-43EBB1D7BF9B}"/>
            </c:ext>
          </c:extLst>
        </c:ser>
        <c:ser>
          <c:idx val="1"/>
          <c:order val="1"/>
          <c:tx>
            <c:strRef>
              <c:f>'3_2_2+T 3_2_1'!$N$32</c:f>
              <c:strCache>
                <c:ptCount val="1"/>
                <c:pt idx="0">
                  <c:v>   Specializovaná ambulantní léčebná péče </c:v>
                </c:pt>
              </c:strCache>
            </c:strRef>
          </c:tx>
          <c:spPr>
            <a:ln>
              <a:solidFill>
                <a:srgbClr val="187BB8"/>
              </a:solidFill>
            </a:ln>
          </c:spPr>
          <c:marker>
            <c:spPr>
              <a:solidFill>
                <a:srgbClr val="187BB8"/>
              </a:solidFill>
              <a:ln>
                <a:solidFill>
                  <a:srgbClr val="187BB8"/>
                </a:solid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'3_2_2+T 3_2_1'!$O$30:$W$30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'3_2_2+T 3_2_1'!$O$32:$W$32</c:f>
              <c:numCache>
                <c:formatCode>#,##0</c:formatCode>
                <c:ptCount val="9"/>
                <c:pt idx="0">
                  <c:v>3328</c:v>
                </c:pt>
                <c:pt idx="1">
                  <c:v>2853</c:v>
                </c:pt>
                <c:pt idx="2">
                  <c:v>3100</c:v>
                </c:pt>
                <c:pt idx="3">
                  <c:v>3268</c:v>
                </c:pt>
                <c:pt idx="4">
                  <c:v>3488</c:v>
                </c:pt>
                <c:pt idx="5">
                  <c:v>3471</c:v>
                </c:pt>
                <c:pt idx="6">
                  <c:v>3508</c:v>
                </c:pt>
                <c:pt idx="7">
                  <c:v>3678</c:v>
                </c:pt>
                <c:pt idx="8">
                  <c:v>3779</c:v>
                </c:pt>
              </c:numCache>
            </c:numRef>
          </c:val>
          <c:smooth val="0"/>
          <c:extLst xmlns:c16r2="http://schemas.microsoft.com/office/drawing/2015/06/chart">
            <c:ext xmlns:c16="http://schemas.microsoft.com/office/drawing/2014/chart" uri="{C3380CC4-5D6E-409C-BE32-E72D297353CC}">
              <c16:uniqueId val="{00000001-4BFD-4336-8F71-43EBB1D7BF9B}"/>
            </c:ext>
          </c:extLst>
        </c:ser>
        <c:ser>
          <c:idx val="2"/>
          <c:order val="2"/>
          <c:tx>
            <c:strRef>
              <c:f>'3_2_2+T 3_2_1'!$N$33</c:f>
              <c:strCache>
                <c:ptCount val="1"/>
                <c:pt idx="0">
                  <c:v>   Všeobecná ambulantní léčebná péče </c:v>
                </c:pt>
              </c:strCache>
            </c:strRef>
          </c:tx>
          <c:spPr>
            <a:ln>
              <a:solidFill>
                <a:srgbClr val="92B54B"/>
              </a:solidFill>
            </a:ln>
          </c:spPr>
          <c:marker>
            <c:spPr>
              <a:solidFill>
                <a:srgbClr val="92B54B"/>
              </a:solidFill>
              <a:ln>
                <a:solidFill>
                  <a:srgbClr val="92B54B"/>
                </a:solidFill>
              </a:ln>
            </c:spPr>
          </c:marker>
          <c:dLbls>
            <c:dLbl>
              <c:idx val="0"/>
              <c:layout>
                <c:manualLayout>
                  <c:x val="-2.4178785678996641E-2"/>
                  <c:y val="5.36924030329542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BFD-4336-8F71-43EBB1D7BF9B}"/>
                </c:ext>
              </c:extLst>
            </c:dLbl>
            <c:dLbl>
              <c:idx val="1"/>
              <c:layout>
                <c:manualLayout>
                  <c:x val="-2.0314050791441409E-2"/>
                  <c:y val="3.98035141440653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FD-4336-8F71-43EBB1D7BF9B}"/>
                </c:ext>
              </c:extLst>
            </c:dLbl>
            <c:dLbl>
              <c:idx val="2"/>
              <c:layout>
                <c:manualLayout>
                  <c:x val="-2.0314050791441444E-2"/>
                  <c:y val="4.44331437736949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BFD-4336-8F71-43EBB1D7BF9B}"/>
                </c:ext>
              </c:extLst>
            </c:dLbl>
            <c:dLbl>
              <c:idx val="3"/>
              <c:layout>
                <c:manualLayout>
                  <c:x val="-2.6111153122774258E-2"/>
                  <c:y val="4.44331437736949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BFD-4336-8F71-43EBB1D7BF9B}"/>
                </c:ext>
              </c:extLst>
            </c:dLbl>
            <c:dLbl>
              <c:idx val="4"/>
              <c:layout>
                <c:manualLayout>
                  <c:x val="-3.1908255454107179E-2"/>
                  <c:y val="4.44331437736949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BFD-4336-8F71-43EBB1D7BF9B}"/>
                </c:ext>
              </c:extLst>
            </c:dLbl>
            <c:dLbl>
              <c:idx val="5"/>
              <c:layout>
                <c:manualLayout>
                  <c:x val="-3.190825545410711E-2"/>
                  <c:y val="4.44331437736949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BFD-4336-8F71-43EBB1D7BF9B}"/>
                </c:ext>
              </c:extLst>
            </c:dLbl>
            <c:dLbl>
              <c:idx val="6"/>
              <c:layout>
                <c:manualLayout>
                  <c:x val="-3.7705357785440104E-2"/>
                  <c:y val="4.44331437736949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BFD-4336-8F71-43EBB1D7BF9B}"/>
                </c:ext>
              </c:extLst>
            </c:dLbl>
            <c:dLbl>
              <c:idx val="7"/>
              <c:layout>
                <c:manualLayout>
                  <c:x val="-3.5772990341662488E-2"/>
                  <c:y val="4.44331437736948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BFD-4336-8F71-43EBB1D7BF9B}"/>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'3_2_2+T 3_2_1'!$O$30:$W$30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'3_2_2+T 3_2_1'!$O$33:$W$33</c:f>
              <c:numCache>
                <c:formatCode>#,##0</c:formatCode>
                <c:ptCount val="9"/>
                <c:pt idx="0">
                  <c:v>2382</c:v>
                </c:pt>
                <c:pt idx="1">
                  <c:v>2171</c:v>
                </c:pt>
                <c:pt idx="2">
                  <c:v>2302</c:v>
                </c:pt>
                <c:pt idx="3">
                  <c:v>2429</c:v>
                </c:pt>
                <c:pt idx="4">
                  <c:v>2622</c:v>
                </c:pt>
                <c:pt idx="5">
                  <c:v>2758</c:v>
                </c:pt>
                <c:pt idx="6">
                  <c:v>2902</c:v>
                </c:pt>
                <c:pt idx="7">
                  <c:v>2966</c:v>
                </c:pt>
                <c:pt idx="8">
                  <c:v>3067</c:v>
                </c:pt>
              </c:numCache>
            </c:numRef>
          </c:val>
          <c:smooth val="0"/>
          <c:extLst xmlns:c16r2="http://schemas.microsoft.com/office/drawing/2015/06/chart">
            <c:ext xmlns:c16="http://schemas.microsoft.com/office/drawing/2014/chart" uri="{C3380CC4-5D6E-409C-BE32-E72D297353CC}">
              <c16:uniqueId val="{0000000A-4BFD-4336-8F71-43EBB1D7BF9B}"/>
            </c:ext>
          </c:extLst>
        </c:ser>
        <c:ser>
          <c:idx val="3"/>
          <c:order val="3"/>
          <c:tx>
            <c:strRef>
              <c:f>'3_2_2+T 3_2_1'!$N$34</c:f>
              <c:strCache>
                <c:ptCount val="1"/>
                <c:pt idx="0">
                  <c:v> Ambulantní rehabilitační péče</c:v>
                </c:pt>
              </c:strCache>
            </c:strRef>
          </c:tx>
          <c:spPr>
            <a:ln>
              <a:solidFill>
                <a:srgbClr val="FFC000"/>
              </a:solidFill>
            </a:ln>
          </c:spPr>
          <c:marker>
            <c:symbol val="circle"/>
            <c:size val="7"/>
            <c:spPr>
              <a:solidFill>
                <a:srgbClr val="FFC000"/>
              </a:solidFill>
              <a:ln>
                <a:solidFill>
                  <a:srgbClr val="FFC000"/>
                </a:solidFill>
              </a:ln>
            </c:spPr>
          </c:marker>
          <c:cat>
            <c:numRef>
              <c:f>'3_2_2+T 3_2_1'!$O$30:$W$30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'3_2_2+T 3_2_1'!$O$34:$W$34</c:f>
              <c:numCache>
                <c:formatCode>#,##0</c:formatCode>
                <c:ptCount val="9"/>
                <c:pt idx="0">
                  <c:v>626</c:v>
                </c:pt>
                <c:pt idx="1">
                  <c:v>651</c:v>
                </c:pt>
                <c:pt idx="2">
                  <c:v>656</c:v>
                </c:pt>
                <c:pt idx="3">
                  <c:v>694</c:v>
                </c:pt>
                <c:pt idx="4">
                  <c:v>767</c:v>
                </c:pt>
                <c:pt idx="5">
                  <c:v>895</c:v>
                </c:pt>
                <c:pt idx="6">
                  <c:v>1006</c:v>
                </c:pt>
                <c:pt idx="7">
                  <c:v>987</c:v>
                </c:pt>
                <c:pt idx="8">
                  <c:v>1030</c:v>
                </c:pt>
              </c:numCache>
            </c:numRef>
          </c:val>
          <c:smooth val="0"/>
          <c:extLst xmlns:c16r2="http://schemas.microsoft.com/office/drawing/2015/06/chart">
            <c:ext xmlns:c16="http://schemas.microsoft.com/office/drawing/2014/chart" uri="{C3380CC4-5D6E-409C-BE32-E72D297353CC}">
              <c16:uniqueId val="{0000000B-4BFD-4336-8F71-43EBB1D7BF9B}"/>
            </c:ext>
          </c:extLst>
        </c:ser>
        <c:dLbls>
          <c:showLegendKey val="0"/>
          <c:showVal val="0"/>
          <c:showCatName val="0"/>
          <c:showSerName val="0"/>
          <c:showPercent val="0"/>
          <c:showBubbleSize val="0"/>
        </c:dLbls>
        <c:marker val="1"/>
        <c:smooth val="0"/>
        <c:axId val="407979520"/>
        <c:axId val="364247232"/>
      </c:lineChart>
      <c:catAx>
        <c:axId val="407979520"/>
        <c:scaling>
          <c:orientation val="minMax"/>
        </c:scaling>
        <c:delete val="0"/>
        <c:axPos val="b"/>
        <c:numFmt formatCode="General" sourceLinked="1"/>
        <c:majorTickMark val="out"/>
        <c:minorTickMark val="none"/>
        <c:tickLblPos val="nextTo"/>
        <c:spPr>
          <a:ln>
            <a:solidFill>
              <a:schemeClr val="bg1">
                <a:lumMod val="85000"/>
              </a:schemeClr>
            </a:solidFill>
          </a:ln>
        </c:spPr>
        <c:crossAx val="364247232"/>
        <c:crosses val="autoZero"/>
        <c:auto val="1"/>
        <c:lblAlgn val="ctr"/>
        <c:lblOffset val="100"/>
        <c:noMultiLvlLbl val="0"/>
      </c:catAx>
      <c:valAx>
        <c:axId val="364247232"/>
        <c:scaling>
          <c:orientation val="minMax"/>
        </c:scaling>
        <c:delete val="0"/>
        <c:axPos val="l"/>
        <c:majorGridlines>
          <c:spPr>
            <a:ln>
              <a:solidFill>
                <a:schemeClr val="bg1">
                  <a:lumMod val="85000"/>
                </a:schemeClr>
              </a:solidFill>
              <a:prstDash val="dash"/>
            </a:ln>
          </c:spPr>
        </c:majorGridlines>
        <c:numFmt formatCode="#,##0" sourceLinked="1"/>
        <c:majorTickMark val="out"/>
        <c:minorTickMark val="none"/>
        <c:tickLblPos val="nextTo"/>
        <c:spPr>
          <a:ln>
            <a:solidFill>
              <a:schemeClr val="bg1">
                <a:lumMod val="85000"/>
              </a:schemeClr>
            </a:solidFill>
          </a:ln>
        </c:spPr>
        <c:crossAx val="407979520"/>
        <c:crosses val="autoZero"/>
        <c:crossBetween val="between"/>
        <c:majorUnit val="3000"/>
      </c:valAx>
    </c:plotArea>
    <c:legend>
      <c:legendPos val="b"/>
      <c:overlay val="0"/>
    </c:legend>
    <c:plotVisOnly val="1"/>
    <c:dispBlanksAs val="gap"/>
    <c:showDLblsOverMax val="0"/>
  </c:chart>
  <c:spPr>
    <a:ln>
      <a:solidFill>
        <a:schemeClr val="bg1">
          <a:lumMod val="85000"/>
        </a:schemeClr>
      </a:solid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921877642181825E-2"/>
          <c:y val="3.7037150429100371E-2"/>
          <c:w val="0.90654074266541651"/>
          <c:h val="0.69697761738116071"/>
        </c:manualLayout>
      </c:layout>
      <c:lineChart>
        <c:grouping val="standard"/>
        <c:varyColors val="0"/>
        <c:ser>
          <c:idx val="0"/>
          <c:order val="0"/>
          <c:tx>
            <c:strRef>
              <c:f>List2!$N$8</c:f>
              <c:strCache>
                <c:ptCount val="1"/>
                <c:pt idx="0">
                  <c:v>    Volně prodejné léky a léčiva</c:v>
                </c:pt>
              </c:strCache>
            </c:strRef>
          </c:tx>
          <c:spPr>
            <a:ln>
              <a:solidFill>
                <a:srgbClr val="D96D75"/>
              </a:solidFill>
            </a:ln>
          </c:spPr>
          <c:marker>
            <c:symbol val="diamond"/>
            <c:size val="7"/>
            <c:spPr>
              <a:solidFill>
                <a:srgbClr val="D96D75"/>
              </a:solidFill>
              <a:ln>
                <a:solidFill>
                  <a:srgbClr val="D96D75"/>
                </a:solid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List2!$O$7:$W$7</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List2!$O$8:$W$8</c:f>
              <c:numCache>
                <c:formatCode>#,##0</c:formatCode>
                <c:ptCount val="9"/>
                <c:pt idx="0">
                  <c:v>11843</c:v>
                </c:pt>
                <c:pt idx="1">
                  <c:v>12262</c:v>
                </c:pt>
                <c:pt idx="2">
                  <c:v>12088</c:v>
                </c:pt>
                <c:pt idx="3">
                  <c:v>11179</c:v>
                </c:pt>
                <c:pt idx="4">
                  <c:v>12140</c:v>
                </c:pt>
                <c:pt idx="5">
                  <c:v>12744</c:v>
                </c:pt>
                <c:pt idx="6">
                  <c:v>13447</c:v>
                </c:pt>
                <c:pt idx="7">
                  <c:v>14525</c:v>
                </c:pt>
                <c:pt idx="8">
                  <c:v>15643</c:v>
                </c:pt>
              </c:numCache>
            </c:numRef>
          </c:val>
          <c:smooth val="0"/>
          <c:extLst xmlns:c16r2="http://schemas.microsoft.com/office/drawing/2015/06/chart">
            <c:ext xmlns:c16="http://schemas.microsoft.com/office/drawing/2014/chart" uri="{C3380CC4-5D6E-409C-BE32-E72D297353CC}">
              <c16:uniqueId val="{00000000-1631-4664-9E24-0C0DCF318650}"/>
            </c:ext>
          </c:extLst>
        </c:ser>
        <c:ser>
          <c:idx val="1"/>
          <c:order val="1"/>
          <c:tx>
            <c:strRef>
              <c:f>List2!$N$9</c:f>
              <c:strCache>
                <c:ptCount val="1"/>
                <c:pt idx="0">
                  <c:v>    Léky na předpis</c:v>
                </c:pt>
              </c:strCache>
            </c:strRef>
          </c:tx>
          <c:spPr>
            <a:ln>
              <a:solidFill>
                <a:srgbClr val="0071BC"/>
              </a:solidFill>
            </a:ln>
          </c:spPr>
          <c:marker>
            <c:spPr>
              <a:solidFill>
                <a:srgbClr val="0071BC"/>
              </a:solidFill>
              <a:ln>
                <a:solidFill>
                  <a:srgbClr val="0071BC"/>
                </a:solidFill>
              </a:ln>
            </c:spPr>
          </c:marker>
          <c:dLbls>
            <c:dLbl>
              <c:idx val="3"/>
              <c:layout>
                <c:manualLayout>
                  <c:x val="-1.2476091350650134E-2"/>
                  <c:y val="-5.0782608935502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31-4664-9E24-0C0DCF318650}"/>
                </c:ext>
              </c:extLst>
            </c:dLbl>
            <c:dLbl>
              <c:idx val="4"/>
              <c:layout>
                <c:manualLayout>
                  <c:x val="-3.4240579958609449E-2"/>
                  <c:y val="-5.64354273234094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631-4664-9E24-0C0DCF318650}"/>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List2!$O$7:$W$7</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List2!$O$9:$W$9</c:f>
              <c:numCache>
                <c:formatCode>#,##0</c:formatCode>
                <c:ptCount val="9"/>
                <c:pt idx="0">
                  <c:v>8932</c:v>
                </c:pt>
                <c:pt idx="1">
                  <c:v>9439</c:v>
                </c:pt>
                <c:pt idx="2">
                  <c:v>9394</c:v>
                </c:pt>
                <c:pt idx="3">
                  <c:v>9303</c:v>
                </c:pt>
                <c:pt idx="4">
                  <c:v>9496</c:v>
                </c:pt>
                <c:pt idx="5">
                  <c:v>10121</c:v>
                </c:pt>
                <c:pt idx="6">
                  <c:v>10295</c:v>
                </c:pt>
                <c:pt idx="7">
                  <c:v>11058</c:v>
                </c:pt>
                <c:pt idx="8">
                  <c:v>12101</c:v>
                </c:pt>
              </c:numCache>
            </c:numRef>
          </c:val>
          <c:smooth val="0"/>
          <c:extLst xmlns:c16r2="http://schemas.microsoft.com/office/drawing/2015/06/chart">
            <c:ext xmlns:c16="http://schemas.microsoft.com/office/drawing/2014/chart" uri="{C3380CC4-5D6E-409C-BE32-E72D297353CC}">
              <c16:uniqueId val="{00000003-1631-4664-9E24-0C0DCF318650}"/>
            </c:ext>
          </c:extLst>
        </c:ser>
        <c:ser>
          <c:idx val="2"/>
          <c:order val="2"/>
          <c:tx>
            <c:strRef>
              <c:f>List2!$N$10</c:f>
              <c:strCache>
                <c:ptCount val="1"/>
                <c:pt idx="0">
                  <c:v>  Terapeutické pomůcky </c:v>
                </c:pt>
              </c:strCache>
            </c:strRef>
          </c:tx>
          <c:spPr>
            <a:ln>
              <a:solidFill>
                <a:srgbClr val="92B54B"/>
              </a:solidFill>
            </a:ln>
          </c:spPr>
          <c:marker>
            <c:spPr>
              <a:solidFill>
                <a:srgbClr val="92B54B"/>
              </a:solidFill>
              <a:ln>
                <a:solidFill>
                  <a:srgbClr val="92B54B"/>
                </a:solid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List2!$O$7:$W$7</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List2!$O$10:$W$10</c:f>
              <c:numCache>
                <c:formatCode>#,##0</c:formatCode>
                <c:ptCount val="9"/>
                <c:pt idx="0">
                  <c:v>5735</c:v>
                </c:pt>
                <c:pt idx="1">
                  <c:v>5742</c:v>
                </c:pt>
                <c:pt idx="2">
                  <c:v>5559</c:v>
                </c:pt>
                <c:pt idx="3">
                  <c:v>5546</c:v>
                </c:pt>
                <c:pt idx="4">
                  <c:v>5603</c:v>
                </c:pt>
                <c:pt idx="5">
                  <c:v>5893</c:v>
                </c:pt>
                <c:pt idx="6">
                  <c:v>6146</c:v>
                </c:pt>
                <c:pt idx="7">
                  <c:v>5961</c:v>
                </c:pt>
                <c:pt idx="8">
                  <c:v>6168</c:v>
                </c:pt>
              </c:numCache>
            </c:numRef>
          </c:val>
          <c:smooth val="0"/>
          <c:extLst xmlns:c16r2="http://schemas.microsoft.com/office/drawing/2015/06/chart">
            <c:ext xmlns:c16="http://schemas.microsoft.com/office/drawing/2014/chart" uri="{C3380CC4-5D6E-409C-BE32-E72D297353CC}">
              <c16:uniqueId val="{00000004-1631-4664-9E24-0C0DCF318650}"/>
            </c:ext>
          </c:extLst>
        </c:ser>
        <c:ser>
          <c:idx val="3"/>
          <c:order val="3"/>
          <c:tx>
            <c:strRef>
              <c:f>List2!$N$11</c:f>
              <c:strCache>
                <c:ptCount val="1"/>
                <c:pt idx="0">
                  <c:v> Ostatní zdravotnický materiál a výrobky</c:v>
                </c:pt>
              </c:strCache>
            </c:strRef>
          </c:tx>
          <c:spPr>
            <a:ln>
              <a:solidFill>
                <a:srgbClr val="FFC000"/>
              </a:solidFill>
            </a:ln>
          </c:spPr>
          <c:marker>
            <c:symbol val="circle"/>
            <c:size val="7"/>
            <c:spPr>
              <a:solidFill>
                <a:srgbClr val="FFC000"/>
              </a:solidFill>
              <a:ln>
                <a:solidFill>
                  <a:srgbClr val="FFC000"/>
                </a:solid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List2!$O$7:$W$7</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List2!$O$11:$W$11</c:f>
              <c:numCache>
                <c:formatCode>#,##0</c:formatCode>
                <c:ptCount val="9"/>
                <c:pt idx="0">
                  <c:v>605</c:v>
                </c:pt>
                <c:pt idx="1">
                  <c:v>646</c:v>
                </c:pt>
                <c:pt idx="2">
                  <c:v>681</c:v>
                </c:pt>
                <c:pt idx="3">
                  <c:v>620</c:v>
                </c:pt>
                <c:pt idx="4">
                  <c:v>628</c:v>
                </c:pt>
                <c:pt idx="5">
                  <c:v>670</c:v>
                </c:pt>
                <c:pt idx="6">
                  <c:v>686</c:v>
                </c:pt>
                <c:pt idx="7">
                  <c:v>676</c:v>
                </c:pt>
                <c:pt idx="8">
                  <c:v>736</c:v>
                </c:pt>
              </c:numCache>
            </c:numRef>
          </c:val>
          <c:smooth val="0"/>
          <c:extLst xmlns:c16r2="http://schemas.microsoft.com/office/drawing/2015/06/chart">
            <c:ext xmlns:c16="http://schemas.microsoft.com/office/drawing/2014/chart" uri="{C3380CC4-5D6E-409C-BE32-E72D297353CC}">
              <c16:uniqueId val="{00000005-1631-4664-9E24-0C0DCF318650}"/>
            </c:ext>
          </c:extLst>
        </c:ser>
        <c:dLbls>
          <c:showLegendKey val="0"/>
          <c:showVal val="0"/>
          <c:showCatName val="0"/>
          <c:showSerName val="0"/>
          <c:showPercent val="0"/>
          <c:showBubbleSize val="0"/>
        </c:dLbls>
        <c:marker val="1"/>
        <c:smooth val="0"/>
        <c:axId val="540700672"/>
        <c:axId val="364248384"/>
      </c:lineChart>
      <c:catAx>
        <c:axId val="540700672"/>
        <c:scaling>
          <c:orientation val="minMax"/>
        </c:scaling>
        <c:delete val="0"/>
        <c:axPos val="b"/>
        <c:numFmt formatCode="General" sourceLinked="1"/>
        <c:majorTickMark val="out"/>
        <c:minorTickMark val="none"/>
        <c:tickLblPos val="nextTo"/>
        <c:spPr>
          <a:ln>
            <a:solidFill>
              <a:schemeClr val="bg1">
                <a:lumMod val="85000"/>
              </a:schemeClr>
            </a:solidFill>
          </a:ln>
        </c:spPr>
        <c:crossAx val="364248384"/>
        <c:crosses val="autoZero"/>
        <c:auto val="1"/>
        <c:lblAlgn val="ctr"/>
        <c:lblOffset val="100"/>
        <c:noMultiLvlLbl val="0"/>
      </c:catAx>
      <c:valAx>
        <c:axId val="364248384"/>
        <c:scaling>
          <c:orientation val="minMax"/>
        </c:scaling>
        <c:delete val="0"/>
        <c:axPos val="l"/>
        <c:majorGridlines>
          <c:spPr>
            <a:ln>
              <a:solidFill>
                <a:schemeClr val="bg1">
                  <a:lumMod val="85000"/>
                </a:schemeClr>
              </a:solidFill>
              <a:prstDash val="dash"/>
            </a:ln>
          </c:spPr>
        </c:majorGridlines>
        <c:numFmt formatCode="#,##0" sourceLinked="1"/>
        <c:majorTickMark val="out"/>
        <c:minorTickMark val="none"/>
        <c:tickLblPos val="nextTo"/>
        <c:spPr>
          <a:ln>
            <a:solidFill>
              <a:schemeClr val="bg1">
                <a:lumMod val="85000"/>
              </a:schemeClr>
            </a:solidFill>
          </a:ln>
        </c:spPr>
        <c:crossAx val="540700672"/>
        <c:crosses val="autoZero"/>
        <c:crossBetween val="between"/>
        <c:majorUnit val="3000"/>
      </c:valAx>
    </c:plotArea>
    <c:legend>
      <c:legendPos val="b"/>
      <c:overlay val="0"/>
    </c:legend>
    <c:plotVisOnly val="1"/>
    <c:dispBlanksAs val="gap"/>
    <c:showDLblsOverMax val="0"/>
  </c:chart>
  <c:spPr>
    <a:ln>
      <a:solidFill>
        <a:schemeClr val="bg1">
          <a:lumMod val="85000"/>
        </a:schemeClr>
      </a:solidFill>
    </a:ln>
  </c:spPr>
  <c:txPr>
    <a:bodyPr/>
    <a:lstStyle/>
    <a:p>
      <a:pPr>
        <a:defRPr sz="800">
          <a:latin typeface="Arial" panose="020B0604020202020204" pitchFamily="34" charset="0"/>
          <a:cs typeface="Arial" panose="020B0604020202020204" pitchFamily="34" charset="0"/>
        </a:defRPr>
      </a:pPr>
      <a:endParaRPr lang="cs-CZ"/>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437927591683024E-2"/>
          <c:y val="3.4253561144662742E-2"/>
          <c:w val="0.85152204078998317"/>
          <c:h val="0.83914073847565174"/>
        </c:manualLayout>
      </c:layout>
      <c:barChart>
        <c:barDir val="col"/>
        <c:grouping val="stacked"/>
        <c:varyColors val="0"/>
        <c:ser>
          <c:idx val="0"/>
          <c:order val="0"/>
          <c:tx>
            <c:strRef>
              <c:f>'3_2_4'!$A$6</c:f>
              <c:strCache>
                <c:ptCount val="1"/>
                <c:pt idx="0">
                  <c:v>Poplatky za pohotovost</c:v>
                </c:pt>
              </c:strCache>
            </c:strRef>
          </c:tx>
          <c:spPr>
            <a:solidFill>
              <a:srgbClr val="FFC000"/>
            </a:solidFill>
            <a:ln>
              <a:solidFill>
                <a:srgbClr val="FFC000"/>
              </a:solidFill>
            </a:ln>
          </c:spPr>
          <c:invertIfNegative val="0"/>
          <c:dPt>
            <c:idx val="9"/>
            <c:invertIfNegative val="0"/>
            <c:bubble3D val="0"/>
            <c:spPr>
              <a:solidFill>
                <a:srgbClr val="FFC000"/>
              </a:solidFill>
              <a:ln>
                <a:solidFill>
                  <a:srgbClr val="FFC000"/>
                </a:solidFill>
              </a:ln>
            </c:spPr>
            <c:extLst xmlns:c16r2="http://schemas.microsoft.com/office/drawing/2015/06/chart">
              <c:ext xmlns:c16="http://schemas.microsoft.com/office/drawing/2014/chart" uri="{C3380CC4-5D6E-409C-BE32-E72D297353CC}">
                <c16:uniqueId val="{00000001-5FE5-4E32-87DC-8C719DB39E8C}"/>
              </c:ext>
            </c:extLst>
          </c:dPt>
          <c:dLbls>
            <c:dLbl>
              <c:idx val="7"/>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FE5-4E32-87DC-8C719DB39E8C}"/>
                </c:ext>
              </c:extLst>
            </c:dLbl>
            <c:dLbl>
              <c:idx val="8"/>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FE5-4E32-87DC-8C719DB39E8C}"/>
                </c:ext>
              </c:extLst>
            </c:dLbl>
            <c:dLbl>
              <c:idx val="9"/>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FE5-4E32-87DC-8C719DB39E8C}"/>
                </c:ext>
              </c:extLst>
            </c:dLbl>
            <c:dLbl>
              <c:idx val="10"/>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FE5-4E32-87DC-8C719DB39E8C}"/>
                </c:ext>
              </c:extLst>
            </c:dLbl>
            <c:spPr>
              <a:noFill/>
              <a:ln>
                <a:noFill/>
              </a:ln>
              <a:effectLst/>
            </c:spPr>
            <c:txPr>
              <a:bodyPr/>
              <a:lstStyle/>
              <a:p>
                <a:pPr>
                  <a:defRPr sz="800" b="1">
                    <a:latin typeface="Arial" panose="020B0604020202020204" pitchFamily="34" charset="0"/>
                    <a:cs typeface="Arial" panose="020B0604020202020204" pitchFamily="34" charset="0"/>
                  </a:defRPr>
                </a:pPr>
                <a:endParaRPr lang="cs-CZ"/>
              </a:p>
            </c:txPr>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'3_2_4'!$B$2:$L$2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'3_2_4'!$B$6:$L$6</c:f>
              <c:numCache>
                <c:formatCode>General</c:formatCode>
                <c:ptCount val="11"/>
                <c:pt idx="0">
                  <c:v>178</c:v>
                </c:pt>
                <c:pt idx="1">
                  <c:v>208</c:v>
                </c:pt>
                <c:pt idx="2">
                  <c:v>191</c:v>
                </c:pt>
                <c:pt idx="3">
                  <c:v>180</c:v>
                </c:pt>
                <c:pt idx="4">
                  <c:v>179</c:v>
                </c:pt>
                <c:pt idx="5">
                  <c:v>182</c:v>
                </c:pt>
                <c:pt idx="6">
                  <c:v>187</c:v>
                </c:pt>
                <c:pt idx="7">
                  <c:v>192</c:v>
                </c:pt>
                <c:pt idx="8">
                  <c:v>198</c:v>
                </c:pt>
                <c:pt idx="9">
                  <c:v>200</c:v>
                </c:pt>
                <c:pt idx="10">
                  <c:v>207</c:v>
                </c:pt>
              </c:numCache>
            </c:numRef>
          </c:val>
          <c:extLst xmlns:c16r2="http://schemas.microsoft.com/office/drawing/2015/06/chart">
            <c:ext xmlns:c16="http://schemas.microsoft.com/office/drawing/2014/chart" uri="{C3380CC4-5D6E-409C-BE32-E72D297353CC}">
              <c16:uniqueId val="{00000005-5FE5-4E32-87DC-8C719DB39E8C}"/>
            </c:ext>
          </c:extLst>
        </c:ser>
        <c:ser>
          <c:idx val="2"/>
          <c:order val="1"/>
          <c:tx>
            <c:strRef>
              <c:f>'3_2_4'!$A$4</c:f>
              <c:strCache>
                <c:ptCount val="1"/>
                <c:pt idx="0">
                  <c:v>Poplatky za návštěvu lékaře</c:v>
                </c:pt>
              </c:strCache>
            </c:strRef>
          </c:tx>
          <c:spPr>
            <a:solidFill>
              <a:srgbClr val="187BB8"/>
            </a:solidFill>
            <a:ln>
              <a:solidFill>
                <a:srgbClr val="187BB8"/>
              </a:solidFill>
            </a:ln>
          </c:spPr>
          <c:invertIfNegative val="0"/>
          <c:dLbls>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FE5-4E32-87DC-8C719DB39E8C}"/>
                </c:ext>
              </c:extLst>
            </c:dLbl>
            <c:spPr>
              <a:noFill/>
              <a:ln>
                <a:noFill/>
              </a:ln>
              <a:effectLst/>
            </c:spPr>
            <c:txPr>
              <a:bodyPr/>
              <a:lstStyle/>
              <a:p>
                <a:pPr>
                  <a:defRPr sz="800">
                    <a:solidFill>
                      <a:schemeClr val="bg1"/>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'3_2_4'!$B$2:$L$2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'3_2_4'!$B$4:$I$4</c:f>
              <c:numCache>
                <c:formatCode>#,##0</c:formatCode>
                <c:ptCount val="8"/>
                <c:pt idx="0">
                  <c:v>1806</c:v>
                </c:pt>
                <c:pt idx="1">
                  <c:v>1650</c:v>
                </c:pt>
                <c:pt idx="2">
                  <c:v>1530</c:v>
                </c:pt>
                <c:pt idx="3">
                  <c:v>1374</c:v>
                </c:pt>
                <c:pt idx="4">
                  <c:v>1474</c:v>
                </c:pt>
                <c:pt idx="5">
                  <c:v>1505</c:v>
                </c:pt>
                <c:pt idx="6">
                  <c:v>1502</c:v>
                </c:pt>
                <c:pt idx="7">
                  <c:v>0</c:v>
                </c:pt>
              </c:numCache>
            </c:numRef>
          </c:val>
          <c:extLst xmlns:c16r2="http://schemas.microsoft.com/office/drawing/2015/06/chart">
            <c:ext xmlns:c16="http://schemas.microsoft.com/office/drawing/2014/chart" uri="{C3380CC4-5D6E-409C-BE32-E72D297353CC}">
              <c16:uniqueId val="{00000007-5FE5-4E32-87DC-8C719DB39E8C}"/>
            </c:ext>
          </c:extLst>
        </c:ser>
        <c:ser>
          <c:idx val="3"/>
          <c:order val="2"/>
          <c:tx>
            <c:strRef>
              <c:f>'3_2_4'!$A$3</c:f>
              <c:strCache>
                <c:ptCount val="1"/>
                <c:pt idx="0">
                  <c:v>Poplatky za recept</c:v>
                </c:pt>
              </c:strCache>
            </c:strRef>
          </c:tx>
          <c:spPr>
            <a:solidFill>
              <a:srgbClr val="D96D75"/>
            </a:solidFill>
            <a:ln>
              <a:solidFill>
                <a:srgbClr val="D96D75"/>
              </a:solidFill>
            </a:ln>
          </c:spPr>
          <c:invertIfNegative val="0"/>
          <c:dLbls>
            <c:spPr>
              <a:noFill/>
              <a:ln>
                <a:noFill/>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'3_2_4'!$B$2:$L$2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'3_2_4'!$B$3:$H$3</c:f>
              <c:numCache>
                <c:formatCode>#,##0</c:formatCode>
                <c:ptCount val="7"/>
                <c:pt idx="0">
                  <c:v>2411</c:v>
                </c:pt>
                <c:pt idx="1">
                  <c:v>2659</c:v>
                </c:pt>
                <c:pt idx="2">
                  <c:v>2657</c:v>
                </c:pt>
                <c:pt idx="3">
                  <c:v>2458</c:v>
                </c:pt>
                <c:pt idx="4">
                  <c:v>1858</c:v>
                </c:pt>
                <c:pt idx="5">
                  <c:v>2058</c:v>
                </c:pt>
                <c:pt idx="6">
                  <c:v>2256</c:v>
                </c:pt>
              </c:numCache>
            </c:numRef>
          </c:val>
          <c:extLst xmlns:c16r2="http://schemas.microsoft.com/office/drawing/2015/06/chart">
            <c:ext xmlns:c16="http://schemas.microsoft.com/office/drawing/2014/chart" uri="{C3380CC4-5D6E-409C-BE32-E72D297353CC}">
              <c16:uniqueId val="{00000008-5FE5-4E32-87DC-8C719DB39E8C}"/>
            </c:ext>
          </c:extLst>
        </c:ser>
        <c:ser>
          <c:idx val="1"/>
          <c:order val="3"/>
          <c:tx>
            <c:strRef>
              <c:f>'3_2_4'!$A$5</c:f>
              <c:strCache>
                <c:ptCount val="1"/>
                <c:pt idx="0">
                  <c:v>Poplatky za hospitalizaci</c:v>
                </c:pt>
              </c:strCache>
            </c:strRef>
          </c:tx>
          <c:spPr>
            <a:solidFill>
              <a:srgbClr val="9EB709"/>
            </a:solidFill>
            <a:ln>
              <a:solidFill>
                <a:srgbClr val="92B54B"/>
              </a:solidFill>
            </a:ln>
          </c:spPr>
          <c:invertIfNegative val="0"/>
          <c:dLbls>
            <c:spPr>
              <a:noFill/>
              <a:ln>
                <a:noFill/>
              </a:ln>
              <a:effectLst/>
            </c:spPr>
            <c:txPr>
              <a:bodyPr/>
              <a:lstStyle/>
              <a:p>
                <a:pPr>
                  <a:defRPr sz="800">
                    <a:latin typeface="Arial" panose="020B0604020202020204" pitchFamily="34" charset="0"/>
                    <a:cs typeface="Arial" panose="020B0604020202020204" pitchFamily="34" charset="0"/>
                  </a:defRPr>
                </a:pPr>
                <a:endParaRPr lang="cs-CZ"/>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'3_2_4'!$B$2:$L$2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'3_2_4'!$B$5:$G$5</c:f>
              <c:numCache>
                <c:formatCode>#,##0</c:formatCode>
                <c:ptCount val="6"/>
                <c:pt idx="0">
                  <c:v>1176</c:v>
                </c:pt>
                <c:pt idx="1">
                  <c:v>1263</c:v>
                </c:pt>
                <c:pt idx="2">
                  <c:v>1243</c:v>
                </c:pt>
                <c:pt idx="3">
                  <c:v>1242</c:v>
                </c:pt>
                <c:pt idx="4">
                  <c:v>1824</c:v>
                </c:pt>
                <c:pt idx="5">
                  <c:v>1744</c:v>
                </c:pt>
              </c:numCache>
            </c:numRef>
          </c:val>
          <c:extLst xmlns:c16r2="http://schemas.microsoft.com/office/drawing/2015/06/chart">
            <c:ext xmlns:c16="http://schemas.microsoft.com/office/drawing/2014/chart" uri="{C3380CC4-5D6E-409C-BE32-E72D297353CC}">
              <c16:uniqueId val="{00000009-5FE5-4E32-87DC-8C719DB39E8C}"/>
            </c:ext>
          </c:extLst>
        </c:ser>
        <c:dLbls>
          <c:showLegendKey val="0"/>
          <c:showVal val="0"/>
          <c:showCatName val="0"/>
          <c:showSerName val="0"/>
          <c:showPercent val="0"/>
          <c:showBubbleSize val="0"/>
        </c:dLbls>
        <c:gapWidth val="30"/>
        <c:overlap val="100"/>
        <c:axId val="543783424"/>
        <c:axId val="438242688"/>
      </c:barChart>
      <c:lineChart>
        <c:grouping val="standard"/>
        <c:varyColors val="0"/>
        <c:ser>
          <c:idx val="4"/>
          <c:order val="4"/>
          <c:tx>
            <c:v>celkem</c:v>
          </c:tx>
          <c:spPr>
            <a:ln>
              <a:noFill/>
            </a:ln>
          </c:spPr>
          <c:marker>
            <c:symbol val="none"/>
          </c:marker>
          <c:dLbls>
            <c:dLbl>
              <c:idx val="0"/>
              <c:layout>
                <c:manualLayout>
                  <c:x val="-3.9129036364976513E-2"/>
                  <c:y val="-2.18024436188999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FE5-4E32-87DC-8C719DB39E8C}"/>
                </c:ext>
              </c:extLst>
            </c:dLbl>
            <c:dLbl>
              <c:idx val="1"/>
              <c:layout>
                <c:manualLayout>
                  <c:x val="-3.5402916166902311E-2"/>
                  <c:y val="-2.03804758894463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FE5-4E32-87DC-8C719DB39E8C}"/>
                </c:ext>
              </c:extLst>
            </c:dLbl>
            <c:dLbl>
              <c:idx val="2"/>
              <c:layout>
                <c:manualLayout>
                  <c:x val="-3.7068220347500958E-2"/>
                  <c:y val="-2.50027468021649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FE5-4E32-87DC-8C719DB39E8C}"/>
                </c:ext>
              </c:extLst>
            </c:dLbl>
            <c:dLbl>
              <c:idx val="3"/>
              <c:layout>
                <c:manualLayout>
                  <c:x val="-3.2530974222210268E-2"/>
                  <c:y val="-2.989157695106552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FE5-4E32-87DC-8C719DB39E8C}"/>
                </c:ext>
              </c:extLst>
            </c:dLbl>
            <c:dLbl>
              <c:idx val="4"/>
              <c:layout>
                <c:manualLayout>
                  <c:x val="-3.7710654864410303E-2"/>
                  <c:y val="-1.69139319398155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FE5-4E32-87DC-8C719DB39E8C}"/>
                </c:ext>
              </c:extLst>
            </c:dLbl>
            <c:dLbl>
              <c:idx val="5"/>
              <c:layout>
                <c:manualLayout>
                  <c:x val="-3.5074076804009729E-2"/>
                  <c:y val="-2.09581801360821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FE5-4E32-87DC-8C719DB39E8C}"/>
                </c:ext>
              </c:extLst>
            </c:dLbl>
            <c:dLbl>
              <c:idx val="6"/>
              <c:layout>
                <c:manualLayout>
                  <c:x val="-3.546942112210779E-2"/>
                  <c:y val="-1.77581954226333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FE5-4E32-87DC-8C719DB39E8C}"/>
                </c:ext>
              </c:extLst>
            </c:dLbl>
            <c:spPr>
              <a:noFill/>
              <a:ln>
                <a:noFill/>
              </a:ln>
              <a:effectLst/>
            </c:spPr>
            <c:txPr>
              <a:bodyPr/>
              <a:lstStyle/>
              <a:p>
                <a:pPr>
                  <a:defRPr sz="800" b="1">
                    <a:solidFill>
                      <a:sysClr val="windowText" lastClr="000000"/>
                    </a:solidFill>
                    <a:latin typeface="Arial" panose="020B0604020202020204" pitchFamily="34" charset="0"/>
                    <a:cs typeface="Arial" panose="020B0604020202020204" pitchFamily="34" charset="0"/>
                  </a:defRPr>
                </a:pPr>
                <a:endParaRPr lang="cs-CZ"/>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'3_2_4'!$B$7:$H$7</c:f>
              <c:numCache>
                <c:formatCode>#,##0</c:formatCode>
                <c:ptCount val="7"/>
                <c:pt idx="0">
                  <c:v>5571</c:v>
                </c:pt>
                <c:pt idx="1">
                  <c:v>5780</c:v>
                </c:pt>
                <c:pt idx="2">
                  <c:v>5621</c:v>
                </c:pt>
                <c:pt idx="3">
                  <c:v>5254</c:v>
                </c:pt>
                <c:pt idx="4">
                  <c:v>5335</c:v>
                </c:pt>
                <c:pt idx="5">
                  <c:v>5489</c:v>
                </c:pt>
                <c:pt idx="6">
                  <c:v>3945</c:v>
                </c:pt>
              </c:numCache>
            </c:numRef>
          </c:val>
          <c:smooth val="0"/>
          <c:extLst xmlns:c16r2="http://schemas.microsoft.com/office/drawing/2015/06/chart">
            <c:ext xmlns:c16="http://schemas.microsoft.com/office/drawing/2014/chart" uri="{C3380CC4-5D6E-409C-BE32-E72D297353CC}">
              <c16:uniqueId val="{00000011-5FE5-4E32-87DC-8C719DB39E8C}"/>
            </c:ext>
          </c:extLst>
        </c:ser>
        <c:dLbls>
          <c:showLegendKey val="0"/>
          <c:showVal val="0"/>
          <c:showCatName val="0"/>
          <c:showSerName val="0"/>
          <c:showPercent val="0"/>
          <c:showBubbleSize val="0"/>
        </c:dLbls>
        <c:marker val="1"/>
        <c:smooth val="0"/>
        <c:axId val="543783424"/>
        <c:axId val="438242688"/>
      </c:lineChart>
      <c:catAx>
        <c:axId val="543783424"/>
        <c:scaling>
          <c:orientation val="minMax"/>
        </c:scaling>
        <c:delete val="0"/>
        <c:axPos val="b"/>
        <c:numFmt formatCode="General" sourceLinked="1"/>
        <c:majorTickMark val="out"/>
        <c:minorTickMark val="none"/>
        <c:tickLblPos val="nextTo"/>
        <c:spPr>
          <a:ln>
            <a:solidFill>
              <a:schemeClr val="bg1">
                <a:lumMod val="75000"/>
              </a:schemeClr>
            </a:solidFill>
          </a:ln>
        </c:spPr>
        <c:txPr>
          <a:bodyPr/>
          <a:lstStyle/>
          <a:p>
            <a:pPr>
              <a:defRPr sz="800">
                <a:latin typeface="Arial" panose="020B0604020202020204" pitchFamily="34" charset="0"/>
                <a:cs typeface="Arial" panose="020B0604020202020204" pitchFamily="34" charset="0"/>
              </a:defRPr>
            </a:pPr>
            <a:endParaRPr lang="cs-CZ"/>
          </a:p>
        </c:txPr>
        <c:crossAx val="438242688"/>
        <c:crosses val="autoZero"/>
        <c:auto val="1"/>
        <c:lblAlgn val="ctr"/>
        <c:lblOffset val="100"/>
        <c:noMultiLvlLbl val="0"/>
      </c:catAx>
      <c:valAx>
        <c:axId val="438242688"/>
        <c:scaling>
          <c:orientation val="minMax"/>
          <c:max val="6000"/>
        </c:scaling>
        <c:delete val="0"/>
        <c:axPos val="l"/>
        <c:majorGridlines>
          <c:spPr>
            <a:ln>
              <a:solidFill>
                <a:schemeClr val="bg1">
                  <a:lumMod val="85000"/>
                </a:schemeClr>
              </a:solidFill>
              <a:prstDash val="dash"/>
            </a:ln>
          </c:spPr>
        </c:majorGridlines>
        <c:numFmt formatCode="#,##0" sourceLinked="0"/>
        <c:majorTickMark val="out"/>
        <c:minorTickMark val="none"/>
        <c:tickLblPos val="nextTo"/>
        <c:spPr>
          <a:ln>
            <a:solidFill>
              <a:schemeClr val="bg1">
                <a:lumMod val="85000"/>
              </a:schemeClr>
            </a:solidFill>
          </a:ln>
        </c:spPr>
        <c:txPr>
          <a:bodyPr/>
          <a:lstStyle/>
          <a:p>
            <a:pPr>
              <a:defRPr sz="800">
                <a:latin typeface="Arial" panose="020B0604020202020204" pitchFamily="34" charset="0"/>
                <a:cs typeface="Arial" panose="020B0604020202020204" pitchFamily="34" charset="0"/>
              </a:defRPr>
            </a:pPr>
            <a:endParaRPr lang="cs-CZ"/>
          </a:p>
        </c:txPr>
        <c:crossAx val="543783424"/>
        <c:crosses val="autoZero"/>
        <c:crossBetween val="between"/>
        <c:majorUnit val="2000"/>
      </c:valAx>
      <c:spPr>
        <a:noFill/>
        <a:ln w="25400">
          <a:noFill/>
        </a:ln>
      </c:spPr>
    </c:plotArea>
    <c:plotVisOnly val="1"/>
    <c:dispBlanksAs val="gap"/>
    <c:showDLblsOverMax val="0"/>
  </c:chart>
  <c:spPr>
    <a:ln>
      <a:solidFill>
        <a:sysClr val="window" lastClr="FFFFFF">
          <a:lumMod val="85000"/>
        </a:sysClr>
      </a:solid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0.33744</cdr:x>
      <cdr:y>0.68437</cdr:y>
    </cdr:from>
    <cdr:to>
      <cdr:x>0.42284</cdr:x>
      <cdr:y>0.74954</cdr:y>
    </cdr:to>
    <cdr:sp macro="" textlink="">
      <cdr:nvSpPr>
        <cdr:cNvPr id="2" name="TextovéPole 1"/>
        <cdr:cNvSpPr txBox="1"/>
      </cdr:nvSpPr>
      <cdr:spPr>
        <a:xfrm xmlns:a="http://schemas.openxmlformats.org/drawingml/2006/main">
          <a:off x="2240467" y="2020329"/>
          <a:ext cx="567018" cy="19238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800" b="1">
              <a:solidFill>
                <a:schemeClr val="bg1"/>
              </a:solidFill>
              <a:latin typeface="Arial" panose="020B0604020202020204" pitchFamily="34" charset="0"/>
              <a:cs typeface="Arial" panose="020B0604020202020204" pitchFamily="34" charset="0"/>
            </a:rPr>
            <a:t>28</a:t>
          </a:r>
          <a:r>
            <a:rPr lang="cs-CZ" sz="800" b="1">
              <a:latin typeface="Arial" panose="020B0604020202020204" pitchFamily="34" charset="0"/>
              <a:cs typeface="Arial" panose="020B0604020202020204" pitchFamily="34" charset="0"/>
            </a:rPr>
            <a:t> </a:t>
          </a:r>
          <a:r>
            <a:rPr lang="cs-CZ" sz="800" b="1">
              <a:solidFill>
                <a:schemeClr val="bg1"/>
              </a:solidFill>
              <a:latin typeface="Arial" panose="020B0604020202020204" pitchFamily="34" charset="0"/>
              <a:cs typeface="Arial" panose="020B0604020202020204" pitchFamily="34" charset="0"/>
            </a:rPr>
            <a:t>480</a:t>
          </a:r>
        </a:p>
      </cdr:txBody>
    </cdr:sp>
  </cdr:relSizeAnchor>
  <cdr:relSizeAnchor xmlns:cdr="http://schemas.openxmlformats.org/drawingml/2006/chartDrawing">
    <cdr:from>
      <cdr:x>0.37578</cdr:x>
      <cdr:y>0.18427</cdr:y>
    </cdr:from>
    <cdr:to>
      <cdr:x>0.46118</cdr:x>
      <cdr:y>0.4</cdr:y>
    </cdr:to>
    <cdr:sp macro="" textlink="">
      <cdr:nvSpPr>
        <cdr:cNvPr id="3" name="TextovéPole 2"/>
        <cdr:cNvSpPr txBox="1"/>
      </cdr:nvSpPr>
      <cdr:spPr>
        <a:xfrm xmlns:a="http://schemas.openxmlformats.org/drawingml/2006/main">
          <a:off x="2305049" y="781050"/>
          <a:ext cx="5238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0.51087</cdr:x>
      <cdr:y>0.24045</cdr:y>
    </cdr:from>
    <cdr:to>
      <cdr:x>0.65994</cdr:x>
      <cdr:y>0.45618</cdr:y>
    </cdr:to>
    <cdr:sp macro="" textlink="">
      <cdr:nvSpPr>
        <cdr:cNvPr id="4" name="TextovéPole 3"/>
        <cdr:cNvSpPr txBox="1"/>
      </cdr:nvSpPr>
      <cdr:spPr>
        <a:xfrm xmlns:a="http://schemas.openxmlformats.org/drawingml/2006/main">
          <a:off x="3133724" y="10191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0.48518</cdr:x>
      <cdr:y>0.18275</cdr:y>
    </cdr:from>
    <cdr:to>
      <cdr:x>0.5504</cdr:x>
      <cdr:y>0.24567</cdr:y>
    </cdr:to>
    <cdr:sp macro="" textlink="">
      <cdr:nvSpPr>
        <cdr:cNvPr id="5" name="TextovéPole 4"/>
        <cdr:cNvSpPr txBox="1"/>
      </cdr:nvSpPr>
      <cdr:spPr>
        <a:xfrm xmlns:a="http://schemas.openxmlformats.org/drawingml/2006/main">
          <a:off x="3221398" y="539499"/>
          <a:ext cx="433032" cy="1857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800" b="1">
              <a:solidFill>
                <a:sysClr val="windowText" lastClr="000000"/>
              </a:solidFill>
              <a:latin typeface="Arial" panose="020B0604020202020204" pitchFamily="34" charset="0"/>
              <a:cs typeface="Arial" panose="020B0604020202020204" pitchFamily="34" charset="0"/>
            </a:rPr>
            <a:t>4</a:t>
          </a:r>
          <a:r>
            <a:rPr lang="cs-CZ" sz="800" b="1" baseline="0">
              <a:solidFill>
                <a:sysClr val="windowText" lastClr="000000"/>
              </a:solidFill>
              <a:latin typeface="Arial" panose="020B0604020202020204" pitchFamily="34" charset="0"/>
              <a:cs typeface="Arial" panose="020B0604020202020204" pitchFamily="34" charset="0"/>
            </a:rPr>
            <a:t> 093</a:t>
          </a:r>
          <a:endParaRPr lang="cs-CZ" sz="800" b="1">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0.55995</cdr:x>
      <cdr:y>0.28729</cdr:y>
    </cdr:from>
    <cdr:to>
      <cdr:x>0.62672</cdr:x>
      <cdr:y>0.35021</cdr:y>
    </cdr:to>
    <cdr:sp macro="" textlink="">
      <cdr:nvSpPr>
        <cdr:cNvPr id="6" name="TextovéPole 5"/>
        <cdr:cNvSpPr txBox="1"/>
      </cdr:nvSpPr>
      <cdr:spPr>
        <a:xfrm xmlns:a="http://schemas.openxmlformats.org/drawingml/2006/main">
          <a:off x="3717844" y="848103"/>
          <a:ext cx="443323" cy="1857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800" b="1">
              <a:solidFill>
                <a:schemeClr val="bg1"/>
              </a:solidFill>
              <a:latin typeface="Arial" panose="020B0604020202020204" pitchFamily="34" charset="0"/>
              <a:cs typeface="Arial" panose="020B0604020202020204" pitchFamily="34" charset="0"/>
            </a:rPr>
            <a:t> </a:t>
          </a:r>
          <a:r>
            <a:rPr lang="cs-CZ" sz="800" b="1">
              <a:solidFill>
                <a:sysClr val="windowText" lastClr="000000"/>
              </a:solidFill>
              <a:latin typeface="Arial" panose="020B0604020202020204" pitchFamily="34" charset="0"/>
              <a:cs typeface="Arial" panose="020B0604020202020204" pitchFamily="34" charset="0"/>
            </a:rPr>
            <a:t>7 876</a:t>
          </a:r>
        </a:p>
      </cdr:txBody>
    </cdr:sp>
  </cdr:relSizeAnchor>
  <cdr:relSizeAnchor xmlns:cdr="http://schemas.openxmlformats.org/drawingml/2006/chartDrawing">
    <cdr:from>
      <cdr:x>0.57795</cdr:x>
      <cdr:y>0.5531</cdr:y>
    </cdr:from>
    <cdr:to>
      <cdr:x>0.69216</cdr:x>
      <cdr:y>0.62037</cdr:y>
    </cdr:to>
    <cdr:sp macro="" textlink="">
      <cdr:nvSpPr>
        <cdr:cNvPr id="7" name="TextovéPole 6"/>
        <cdr:cNvSpPr txBox="1"/>
      </cdr:nvSpPr>
      <cdr:spPr>
        <a:xfrm xmlns:a="http://schemas.openxmlformats.org/drawingml/2006/main">
          <a:off x="3837364" y="1632806"/>
          <a:ext cx="758304" cy="19858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800" b="1">
              <a:solidFill>
                <a:schemeClr val="bg1"/>
              </a:solidFill>
              <a:latin typeface="Arial" panose="020B0604020202020204" pitchFamily="34" charset="0"/>
              <a:cs typeface="Arial" panose="020B0604020202020204" pitchFamily="34" charset="0"/>
            </a:rPr>
            <a:t>11 148</a:t>
          </a:r>
        </a:p>
      </cdr:txBody>
    </cdr:sp>
  </cdr:relSizeAnchor>
  <cdr:relSizeAnchor xmlns:cdr="http://schemas.openxmlformats.org/drawingml/2006/chartDrawing">
    <cdr:from>
      <cdr:x>0.42236</cdr:x>
      <cdr:y>0.24198</cdr:y>
    </cdr:from>
    <cdr:to>
      <cdr:x>0.50311</cdr:x>
      <cdr:y>0.34694</cdr:y>
    </cdr:to>
    <cdr:sp macro="" textlink="">
      <cdr:nvSpPr>
        <cdr:cNvPr id="8" name="TextovéPole 7"/>
        <cdr:cNvSpPr txBox="1"/>
      </cdr:nvSpPr>
      <cdr:spPr>
        <a:xfrm xmlns:a="http://schemas.openxmlformats.org/drawingml/2006/main">
          <a:off x="2590799" y="790575"/>
          <a:ext cx="49530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cs-CZ" sz="1100"/>
        </a:p>
      </cdr:txBody>
    </cdr:sp>
  </cdr:relSizeAnchor>
  <cdr:relSizeAnchor xmlns:cdr="http://schemas.openxmlformats.org/drawingml/2006/chartDrawing">
    <cdr:from>
      <cdr:x>0.39596</cdr:x>
      <cdr:y>0.19825</cdr:y>
    </cdr:from>
    <cdr:to>
      <cdr:x>0.49845</cdr:x>
      <cdr:y>0.28571</cdr:y>
    </cdr:to>
    <cdr:sp macro="" textlink="">
      <cdr:nvSpPr>
        <cdr:cNvPr id="9" name="TextovéPole 8"/>
        <cdr:cNvSpPr txBox="1"/>
      </cdr:nvSpPr>
      <cdr:spPr>
        <a:xfrm xmlns:a="http://schemas.openxmlformats.org/drawingml/2006/main">
          <a:off x="2428874" y="647700"/>
          <a:ext cx="628650"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cs-CZ" sz="800" b="1">
              <a:solidFill>
                <a:sysClr val="windowText" lastClr="000000"/>
              </a:solidFill>
              <a:latin typeface="Arial" panose="020B0604020202020204" pitchFamily="34" charset="0"/>
              <a:cs typeface="Arial" panose="020B0604020202020204" pitchFamily="34" charset="0"/>
            </a:rPr>
            <a:t>6 168</a:t>
          </a:r>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6D159-0D3B-42BA-A394-DA8CDBD1C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bar_lide a spolecnost.dot</Template>
  <TotalTime>0</TotalTime>
  <Pages>6</Pages>
  <Words>2298</Words>
  <Characters>13560</Characters>
  <Application>Microsoft Office Word</Application>
  <DocSecurity>0</DocSecurity>
  <Lines>113</Lines>
  <Paragraphs>31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CSU</Company>
  <LinksUpToDate>false</LinksUpToDate>
  <CharactersWithSpaces>15827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Vladimíra Kalnická</dc:creator>
  <cp:lastModifiedBy>Mgr. Vladimíra Kalnická</cp:lastModifiedBy>
  <cp:revision>2</cp:revision>
  <cp:lastPrinted>2018-06-06T04:58:00Z</cp:lastPrinted>
  <dcterms:created xsi:type="dcterms:W3CDTF">2020-02-17T13:58:00Z</dcterms:created>
  <dcterms:modified xsi:type="dcterms:W3CDTF">2020-02-17T13:58:00Z</dcterms:modified>
</cp:coreProperties>
</file>