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2.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3.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chart20.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1.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2.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3.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4.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5.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6.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7.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F91C85" w14:textId="77777777" w:rsidR="00C371A5" w:rsidRPr="00D92E20" w:rsidRDefault="00C371A5" w:rsidP="00622511">
      <w:pPr>
        <w:pStyle w:val="Nadpis2"/>
        <w:numPr>
          <w:ilvl w:val="0"/>
          <w:numId w:val="18"/>
        </w:numPr>
        <w:spacing w:after="100"/>
        <w:ind w:left="426"/>
      </w:pPr>
      <w:bookmarkStart w:id="0" w:name="_Toc54262797"/>
      <w:bookmarkStart w:id="1" w:name="_Toc70950126"/>
      <w:bookmarkStart w:id="2" w:name="_GoBack"/>
      <w:bookmarkEnd w:id="2"/>
      <w:r w:rsidRPr="00D92E20">
        <w:t>Analytická část</w:t>
      </w:r>
      <w:bookmarkEnd w:id="0"/>
      <w:bookmarkEnd w:id="1"/>
    </w:p>
    <w:p w14:paraId="5EC7EA6A" w14:textId="77777777" w:rsidR="00C371A5" w:rsidRPr="00D92E20" w:rsidRDefault="00C371A5" w:rsidP="00155829">
      <w:pPr>
        <w:pStyle w:val="Nadpis3"/>
        <w:numPr>
          <w:ilvl w:val="1"/>
          <w:numId w:val="20"/>
        </w:numPr>
        <w:spacing w:after="120"/>
        <w:ind w:left="425" w:hanging="357"/>
      </w:pPr>
      <w:bookmarkStart w:id="3" w:name="_Toc54262798"/>
      <w:bookmarkStart w:id="4" w:name="_Toc70950127"/>
      <w:r w:rsidRPr="00D92E20">
        <w:t>Nemocensky pojištěné osoby</w:t>
      </w:r>
      <w:bookmarkEnd w:id="3"/>
      <w:bookmarkEnd w:id="4"/>
    </w:p>
    <w:p w14:paraId="3678C504" w14:textId="77777777" w:rsidR="00184B5C" w:rsidRPr="00D92E20" w:rsidRDefault="00184B5C" w:rsidP="00155829">
      <w:pPr>
        <w:spacing w:after="120"/>
        <w:jc w:val="both"/>
      </w:pPr>
      <w:r w:rsidRPr="00D92E20">
        <w:t>Základním ukazatelem, ke kterému se vztahují údaje o pracovní neschopnosti, je ukazatel průměrného počtu nemocensky pojištěných osob.</w:t>
      </w:r>
    </w:p>
    <w:p w14:paraId="522B027E" w14:textId="77777777" w:rsidR="00184B5C" w:rsidRPr="00D92E20" w:rsidRDefault="00184B5C" w:rsidP="00155829">
      <w:pPr>
        <w:pStyle w:val="Box1"/>
        <w:spacing w:before="120" w:after="120"/>
        <w:ind w:left="0"/>
        <w:contextualSpacing w:val="0"/>
        <w:jc w:val="both"/>
        <w:rPr>
          <w:i/>
        </w:rPr>
      </w:pPr>
      <w:r w:rsidRPr="00D92E20">
        <w:rPr>
          <w:b/>
          <w:i/>
        </w:rPr>
        <w:t xml:space="preserve">Průměrný počet nemocensky pojištěných osob </w:t>
      </w:r>
      <w:r w:rsidRPr="00D92E20">
        <w:rPr>
          <w:i/>
        </w:rPr>
        <w:t xml:space="preserve">– ukazatel udává průměrný počet osob, které jsou povinně či dobrovolně nemocensky pojištěné podle zákona č. 187/2006 Sb., o nemocenském pojištění, ve znění pozdějších předpisů. Zahrnuje všechny osoby, které byly alespoň po jeden den vykazovaného období nemocensky pojištěné. V případě více překrývajících se pojistných vztahů pojištěnce v rámci jednoho zaměstnavatele a jedné mzdové účtárny se započítává pojištěnec pouze jedenkrát. V ostatních případech je pojištěnec započítáván tolikrát, kolik má pracovněprávních pojistných vztahů. </w:t>
      </w:r>
    </w:p>
    <w:p w14:paraId="570B8605" w14:textId="77777777" w:rsidR="00184B5C" w:rsidRPr="00D92E20" w:rsidRDefault="00184B5C" w:rsidP="00184B5C">
      <w:pPr>
        <w:pStyle w:val="Box1"/>
        <w:ind w:left="0"/>
        <w:jc w:val="both"/>
        <w:rPr>
          <w:i/>
          <w:u w:val="single"/>
        </w:rPr>
      </w:pPr>
      <w:r w:rsidRPr="00D92E20">
        <w:rPr>
          <w:i/>
          <w:u w:val="single"/>
        </w:rPr>
        <w:t>Poznámka:</w:t>
      </w:r>
    </w:p>
    <w:p w14:paraId="70215D62" w14:textId="77777777" w:rsidR="00184B5C" w:rsidRPr="00D92E20" w:rsidRDefault="00184B5C" w:rsidP="00184B5C">
      <w:pPr>
        <w:pStyle w:val="Box1"/>
        <w:ind w:left="0"/>
        <w:jc w:val="both"/>
        <w:rPr>
          <w:i/>
        </w:rPr>
      </w:pPr>
      <w:r w:rsidRPr="00D92E20">
        <w:rPr>
          <w:i/>
        </w:rPr>
        <w:t xml:space="preserve">Do průměrného počtu nemocensky pojištěných nejsou započteni vojáci z povolání a příslušníci Policie ČR, Hasičského záchranného sboru ČR, Celní správy ČR, Vězeňské služby ČR, Generální inspekce bezpečnostních sborů, Bezpečnostní informační služby a Úřadu pro zahraniční styky a informace. </w:t>
      </w:r>
    </w:p>
    <w:p w14:paraId="4B086433" w14:textId="77777777" w:rsidR="00184B5C" w:rsidRPr="00D92E20" w:rsidRDefault="00184B5C" w:rsidP="00184B5C">
      <w:pPr>
        <w:pStyle w:val="Box1"/>
        <w:ind w:left="0"/>
        <w:jc w:val="both"/>
        <w:rPr>
          <w:i/>
          <w:u w:val="single"/>
        </w:rPr>
      </w:pPr>
      <w:r w:rsidRPr="00D92E20">
        <w:rPr>
          <w:i/>
          <w:u w:val="single"/>
        </w:rPr>
        <w:t>Způsob výpočtu:</w:t>
      </w:r>
    </w:p>
    <w:p w14:paraId="1BF8CC13" w14:textId="77777777" w:rsidR="00184B5C" w:rsidRPr="00D92E20" w:rsidRDefault="00184B5C" w:rsidP="00155829">
      <w:pPr>
        <w:pStyle w:val="Box1"/>
        <w:spacing w:before="120" w:after="120"/>
        <w:ind w:left="0"/>
        <w:contextualSpacing w:val="0"/>
        <w:jc w:val="both"/>
        <w:rPr>
          <w:i/>
        </w:rPr>
      </w:pPr>
      <w:r w:rsidRPr="00D92E20">
        <w:rPr>
          <w:i/>
        </w:rPr>
        <w:t>Průměrný počet nemocensky pojištěných osob = počet dnů nemocenského pojištění jednotlivých pojištěných osob ve vykazovaném období / počet kalendářních dnů ve vykazovaném období.</w:t>
      </w:r>
    </w:p>
    <w:p w14:paraId="32B9BCAF" w14:textId="5526A7C7" w:rsidR="00184B5C" w:rsidRPr="00D92E20" w:rsidRDefault="00184B5C" w:rsidP="00184B5C">
      <w:pPr>
        <w:spacing w:after="120"/>
        <w:jc w:val="both"/>
        <w:rPr>
          <w:rFonts w:cs="Arial"/>
          <w:bCs/>
          <w:color w:val="000000"/>
          <w:szCs w:val="20"/>
        </w:rPr>
      </w:pPr>
      <w:r w:rsidRPr="00D92E20">
        <w:rPr>
          <w:rFonts w:cs="Arial"/>
          <w:bCs/>
          <w:color w:val="000000"/>
          <w:szCs w:val="20"/>
        </w:rPr>
        <w:t xml:space="preserve">V roce 2020 činil průměrný počet nemocensky pojištěných </w:t>
      </w:r>
      <w:r w:rsidRPr="00D92E20">
        <w:rPr>
          <w:rFonts w:cs="Arial"/>
          <w:b/>
          <w:bCs/>
          <w:color w:val="000000"/>
          <w:szCs w:val="20"/>
        </w:rPr>
        <w:t>celkem</w:t>
      </w:r>
      <w:r w:rsidRPr="00D92E20">
        <w:rPr>
          <w:rFonts w:cs="Arial"/>
          <w:bCs/>
          <w:color w:val="000000"/>
          <w:szCs w:val="20"/>
        </w:rPr>
        <w:t xml:space="preserve"> </w:t>
      </w:r>
      <w:r w:rsidRPr="00D92E20">
        <w:rPr>
          <w:rFonts w:cs="Arial"/>
          <w:b/>
          <w:bCs/>
          <w:color w:val="000000"/>
          <w:szCs w:val="20"/>
        </w:rPr>
        <w:t>4 690 tis. osob</w:t>
      </w:r>
      <w:r w:rsidRPr="00D92E20">
        <w:rPr>
          <w:rFonts w:cs="Arial"/>
          <w:bCs/>
          <w:color w:val="000000"/>
          <w:szCs w:val="20"/>
        </w:rPr>
        <w:t xml:space="preserve">, tedy téměř o 43 tis. (tj. o 0,9 %) méně než před rokem. Dá se předpokládat, že za poklesem stojí zejména krize způsobená epidemií nemoci Covid-19, která zapříčinila, zvláště v některých odvětvích, propouštění ze zaměstnání. Mezi pojištěnci bylo 50,2 % mužů a 49,8 % žen. </w:t>
      </w:r>
      <w:r w:rsidR="005D14C3" w:rsidRPr="00D92E20">
        <w:rPr>
          <w:rFonts w:cs="Arial"/>
          <w:bCs/>
          <w:color w:val="000000"/>
          <w:szCs w:val="20"/>
        </w:rPr>
        <w:t>V roce</w:t>
      </w:r>
      <w:r w:rsidRPr="00D92E20">
        <w:rPr>
          <w:rFonts w:cs="Arial"/>
          <w:bCs/>
          <w:color w:val="000000"/>
          <w:szCs w:val="20"/>
        </w:rPr>
        <w:t xml:space="preserve"> 2020 bylo nemocensky pojištěných 2</w:t>
      </w:r>
      <w:r w:rsidR="00C02C40" w:rsidRPr="00D92E20">
        <w:rPr>
          <w:rFonts w:cs="Arial"/>
          <w:bCs/>
          <w:color w:val="000000"/>
          <w:szCs w:val="20"/>
        </w:rPr>
        <w:t> </w:t>
      </w:r>
      <w:r w:rsidRPr="00D92E20">
        <w:rPr>
          <w:rFonts w:cs="Arial"/>
          <w:bCs/>
          <w:color w:val="000000"/>
          <w:szCs w:val="20"/>
        </w:rPr>
        <w:t>354</w:t>
      </w:r>
      <w:r w:rsidR="00C02C40" w:rsidRPr="00D92E20">
        <w:rPr>
          <w:rFonts w:cs="Arial"/>
          <w:bCs/>
          <w:color w:val="000000"/>
          <w:szCs w:val="20"/>
        </w:rPr>
        <w:t> </w:t>
      </w:r>
      <w:r w:rsidRPr="00D92E20">
        <w:rPr>
          <w:rFonts w:cs="Arial"/>
          <w:bCs/>
          <w:color w:val="000000"/>
          <w:szCs w:val="20"/>
        </w:rPr>
        <w:t>tis. mužů a 2 33</w:t>
      </w:r>
      <w:r w:rsidR="005D14C3" w:rsidRPr="00D92E20">
        <w:rPr>
          <w:rFonts w:cs="Arial"/>
          <w:bCs/>
          <w:color w:val="000000"/>
          <w:szCs w:val="20"/>
        </w:rPr>
        <w:t>6</w:t>
      </w:r>
      <w:r w:rsidRPr="00D92E20">
        <w:rPr>
          <w:rFonts w:cs="Arial"/>
          <w:bCs/>
          <w:color w:val="000000"/>
          <w:szCs w:val="20"/>
        </w:rPr>
        <w:t xml:space="preserve"> tis. žen. Počty nemocensky pojištěných </w:t>
      </w:r>
      <w:r w:rsidRPr="00D92E20">
        <w:rPr>
          <w:rFonts w:cs="Arial"/>
          <w:b/>
          <w:bCs/>
          <w:color w:val="000000"/>
          <w:szCs w:val="20"/>
        </w:rPr>
        <w:t>podle pohlaví</w:t>
      </w:r>
      <w:r w:rsidRPr="00D92E20">
        <w:rPr>
          <w:rFonts w:cs="Arial"/>
          <w:bCs/>
          <w:color w:val="000000"/>
          <w:szCs w:val="20"/>
        </w:rPr>
        <w:t xml:space="preserve"> se k sobě již od roku 2016 neustále při</w:t>
      </w:r>
      <w:r w:rsidR="005D14C3" w:rsidRPr="00D92E20">
        <w:rPr>
          <w:rFonts w:cs="Arial"/>
          <w:bCs/>
          <w:color w:val="000000"/>
          <w:szCs w:val="20"/>
        </w:rPr>
        <w:t>bližují. Zatímco tehdy bylo o 86</w:t>
      </w:r>
      <w:r w:rsidRPr="00D92E20">
        <w:rPr>
          <w:rFonts w:cs="Arial"/>
          <w:bCs/>
          <w:color w:val="000000"/>
          <w:szCs w:val="20"/>
        </w:rPr>
        <w:t xml:space="preserve"> tis. více mužů než žen, </w:t>
      </w:r>
      <w:r w:rsidR="005D14C3" w:rsidRPr="00D92E20">
        <w:rPr>
          <w:rFonts w:cs="Arial"/>
          <w:bCs/>
          <w:color w:val="000000"/>
          <w:szCs w:val="20"/>
        </w:rPr>
        <w:t>v roce</w:t>
      </w:r>
      <w:r w:rsidRPr="00D92E20">
        <w:rPr>
          <w:rFonts w:cs="Arial"/>
          <w:bCs/>
          <w:color w:val="000000"/>
          <w:szCs w:val="20"/>
        </w:rPr>
        <w:t xml:space="preserve"> 2020 </w:t>
      </w:r>
      <w:r w:rsidR="005D14C3" w:rsidRPr="00D92E20">
        <w:rPr>
          <w:rFonts w:cs="Arial"/>
          <w:bCs/>
          <w:color w:val="000000"/>
          <w:szCs w:val="20"/>
        </w:rPr>
        <w:t>byl rozdíl jen</w:t>
      </w:r>
      <w:r w:rsidRPr="00D92E20">
        <w:rPr>
          <w:rFonts w:cs="Arial"/>
          <w:bCs/>
          <w:color w:val="000000"/>
          <w:szCs w:val="20"/>
        </w:rPr>
        <w:t xml:space="preserve"> </w:t>
      </w:r>
      <w:r w:rsidR="005D14C3" w:rsidRPr="00D92E20">
        <w:rPr>
          <w:rFonts w:cs="Arial"/>
          <w:bCs/>
          <w:color w:val="000000"/>
          <w:szCs w:val="20"/>
        </w:rPr>
        <w:t>18</w:t>
      </w:r>
      <w:r w:rsidRPr="00D92E20">
        <w:rPr>
          <w:rFonts w:cs="Arial"/>
          <w:bCs/>
          <w:color w:val="000000"/>
          <w:szCs w:val="20"/>
        </w:rPr>
        <w:t xml:space="preserve"> tis. Meziročně klesl počet pojištěných mužů o 3</w:t>
      </w:r>
      <w:r w:rsidR="005D14C3" w:rsidRPr="00D92E20">
        <w:rPr>
          <w:rFonts w:cs="Arial"/>
          <w:bCs/>
          <w:color w:val="000000"/>
          <w:szCs w:val="20"/>
        </w:rPr>
        <w:t>1</w:t>
      </w:r>
      <w:r w:rsidRPr="00D92E20">
        <w:rPr>
          <w:rFonts w:cs="Arial"/>
          <w:bCs/>
          <w:color w:val="000000"/>
          <w:szCs w:val="20"/>
        </w:rPr>
        <w:t xml:space="preserve"> tis. (v relativním vyjádření o 1,3 %), počet žen o 1</w:t>
      </w:r>
      <w:r w:rsidR="005D14C3" w:rsidRPr="00D92E20">
        <w:rPr>
          <w:rFonts w:cs="Arial"/>
          <w:bCs/>
          <w:color w:val="000000"/>
          <w:szCs w:val="20"/>
        </w:rPr>
        <w:t>2 tis. (tj. 0,5</w:t>
      </w:r>
      <w:r w:rsidRPr="00D92E20">
        <w:rPr>
          <w:rFonts w:cs="Arial"/>
          <w:bCs/>
          <w:color w:val="000000"/>
          <w:szCs w:val="20"/>
        </w:rPr>
        <w:t xml:space="preserve"> %).</w:t>
      </w:r>
    </w:p>
    <w:p w14:paraId="1A885FDE" w14:textId="77777777" w:rsidR="00184B5C" w:rsidRPr="00D92E20" w:rsidRDefault="00184B5C" w:rsidP="00184B5C">
      <w:pPr>
        <w:spacing w:after="120"/>
        <w:jc w:val="both"/>
        <w:rPr>
          <w:rFonts w:cs="Arial"/>
          <w:b/>
          <w:bCs/>
          <w:color w:val="000000"/>
          <w:szCs w:val="20"/>
        </w:rPr>
      </w:pPr>
      <w:r w:rsidRPr="00D92E20">
        <w:rPr>
          <w:rFonts w:cs="Arial"/>
          <w:b/>
          <w:bCs/>
          <w:color w:val="000000"/>
          <w:szCs w:val="20"/>
        </w:rPr>
        <w:t>Tab. 1.1: Průměrný počet nemocensky pojištěných osob, 2010–2020 (v tis.)</w:t>
      </w:r>
    </w:p>
    <w:tbl>
      <w:tblPr>
        <w:tblW w:w="9700" w:type="dxa"/>
        <w:tblCellMar>
          <w:left w:w="70" w:type="dxa"/>
          <w:right w:w="70" w:type="dxa"/>
        </w:tblCellMar>
        <w:tblLook w:val="04A0" w:firstRow="1" w:lastRow="0" w:firstColumn="1" w:lastColumn="0" w:noHBand="0" w:noVBand="1"/>
      </w:tblPr>
      <w:tblGrid>
        <w:gridCol w:w="960"/>
        <w:gridCol w:w="960"/>
        <w:gridCol w:w="960"/>
        <w:gridCol w:w="960"/>
        <w:gridCol w:w="1060"/>
        <w:gridCol w:w="960"/>
        <w:gridCol w:w="960"/>
        <w:gridCol w:w="960"/>
        <w:gridCol w:w="960"/>
        <w:gridCol w:w="960"/>
      </w:tblGrid>
      <w:tr w:rsidR="00184B5C" w:rsidRPr="00D92E20" w14:paraId="0ABDDBC9" w14:textId="77777777" w:rsidTr="00184B5C">
        <w:trPr>
          <w:trHeight w:val="315"/>
        </w:trPr>
        <w:tc>
          <w:tcPr>
            <w:tcW w:w="960"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7CD27666"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Rok</w:t>
            </w:r>
          </w:p>
        </w:tc>
        <w:tc>
          <w:tcPr>
            <w:tcW w:w="960" w:type="dxa"/>
            <w:vMerge w:val="restart"/>
            <w:tcBorders>
              <w:top w:val="single" w:sz="4" w:space="0" w:color="auto"/>
              <w:left w:val="nil"/>
              <w:bottom w:val="nil"/>
              <w:right w:val="nil"/>
            </w:tcBorders>
            <w:shd w:val="clear" w:color="000000" w:fill="F2DBDB"/>
            <w:vAlign w:val="center"/>
            <w:hideMark/>
          </w:tcPr>
          <w:p w14:paraId="31153472" w14:textId="77777777" w:rsidR="00184B5C" w:rsidRPr="00D92E20" w:rsidRDefault="00184B5C" w:rsidP="00184B5C">
            <w:pPr>
              <w:spacing w:after="0" w:line="240" w:lineRule="auto"/>
              <w:jc w:val="center"/>
              <w:rPr>
                <w:rFonts w:cs="Arial"/>
                <w:b/>
                <w:bCs/>
                <w:color w:val="000000"/>
                <w:sz w:val="16"/>
                <w:szCs w:val="16"/>
              </w:rPr>
            </w:pPr>
            <w:r w:rsidRPr="00D92E20">
              <w:rPr>
                <w:rFonts w:cs="Arial"/>
                <w:b/>
                <w:bCs/>
                <w:color w:val="000000"/>
                <w:sz w:val="16"/>
                <w:szCs w:val="16"/>
              </w:rPr>
              <w:t>Celkem</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1589C9F7"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podle pohlaví</w:t>
            </w:r>
          </w:p>
        </w:tc>
        <w:tc>
          <w:tcPr>
            <w:tcW w:w="1060" w:type="dxa"/>
            <w:vMerge w:val="restart"/>
            <w:tcBorders>
              <w:top w:val="single" w:sz="4" w:space="0" w:color="auto"/>
              <w:left w:val="nil"/>
              <w:bottom w:val="nil"/>
              <w:right w:val="nil"/>
            </w:tcBorders>
            <w:shd w:val="clear" w:color="000000" w:fill="F2DBDB"/>
            <w:vAlign w:val="center"/>
            <w:hideMark/>
          </w:tcPr>
          <w:p w14:paraId="6215C652"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Zaměstnanci</w:t>
            </w:r>
          </w:p>
        </w:tc>
        <w:tc>
          <w:tcPr>
            <w:tcW w:w="192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8661D77"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single" w:sz="4" w:space="0" w:color="auto"/>
              <w:left w:val="nil"/>
              <w:bottom w:val="nil"/>
              <w:right w:val="nil"/>
            </w:tcBorders>
            <w:shd w:val="clear" w:color="000000" w:fill="F2DBDB"/>
            <w:vAlign w:val="center"/>
            <w:hideMark/>
          </w:tcPr>
          <w:p w14:paraId="00854ABB"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OSVČ</w:t>
            </w:r>
          </w:p>
        </w:tc>
        <w:tc>
          <w:tcPr>
            <w:tcW w:w="1920" w:type="dxa"/>
            <w:gridSpan w:val="2"/>
            <w:tcBorders>
              <w:top w:val="single" w:sz="4" w:space="0" w:color="auto"/>
              <w:left w:val="single" w:sz="4" w:space="0" w:color="auto"/>
              <w:bottom w:val="single" w:sz="4" w:space="0" w:color="auto"/>
            </w:tcBorders>
            <w:shd w:val="clear" w:color="000000" w:fill="F2DBDB"/>
            <w:vAlign w:val="center"/>
            <w:hideMark/>
          </w:tcPr>
          <w:p w14:paraId="14909C03"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podle pohlaví</w:t>
            </w:r>
          </w:p>
        </w:tc>
      </w:tr>
      <w:tr w:rsidR="00184B5C" w:rsidRPr="00D92E20" w14:paraId="57075004" w14:textId="77777777" w:rsidTr="00184B5C">
        <w:trPr>
          <w:trHeight w:val="300"/>
        </w:trPr>
        <w:tc>
          <w:tcPr>
            <w:tcW w:w="960" w:type="dxa"/>
            <w:vMerge/>
            <w:tcBorders>
              <w:top w:val="single" w:sz="4" w:space="0" w:color="auto"/>
              <w:left w:val="nil"/>
              <w:bottom w:val="single" w:sz="4" w:space="0" w:color="000000"/>
              <w:right w:val="single" w:sz="4" w:space="0" w:color="auto"/>
            </w:tcBorders>
            <w:vAlign w:val="center"/>
            <w:hideMark/>
          </w:tcPr>
          <w:p w14:paraId="30A571F1" w14:textId="77777777" w:rsidR="00184B5C" w:rsidRPr="00D92E20" w:rsidRDefault="00184B5C" w:rsidP="00184B5C">
            <w:pPr>
              <w:spacing w:after="0" w:line="240" w:lineRule="auto"/>
              <w:rPr>
                <w:rFonts w:cs="Arial"/>
                <w:color w:val="000000"/>
                <w:sz w:val="16"/>
                <w:szCs w:val="16"/>
              </w:rPr>
            </w:pPr>
          </w:p>
        </w:tc>
        <w:tc>
          <w:tcPr>
            <w:tcW w:w="960" w:type="dxa"/>
            <w:vMerge/>
            <w:tcBorders>
              <w:top w:val="single" w:sz="4" w:space="0" w:color="auto"/>
              <w:left w:val="nil"/>
              <w:bottom w:val="nil"/>
              <w:right w:val="nil"/>
            </w:tcBorders>
            <w:vAlign w:val="center"/>
            <w:hideMark/>
          </w:tcPr>
          <w:p w14:paraId="56110A6C" w14:textId="77777777" w:rsidR="00184B5C" w:rsidRPr="00D92E20" w:rsidRDefault="00184B5C" w:rsidP="00184B5C">
            <w:pPr>
              <w:spacing w:after="0" w:line="240" w:lineRule="auto"/>
              <w:rPr>
                <w:rFonts w:cs="Arial"/>
                <w:b/>
                <w:bCs/>
                <w:color w:val="000000"/>
                <w:sz w:val="16"/>
                <w:szCs w:val="16"/>
              </w:rPr>
            </w:pPr>
          </w:p>
        </w:tc>
        <w:tc>
          <w:tcPr>
            <w:tcW w:w="960" w:type="dxa"/>
            <w:tcBorders>
              <w:top w:val="nil"/>
              <w:left w:val="single" w:sz="4" w:space="0" w:color="auto"/>
              <w:bottom w:val="single" w:sz="4" w:space="0" w:color="auto"/>
              <w:right w:val="single" w:sz="4" w:space="0" w:color="auto"/>
            </w:tcBorders>
            <w:shd w:val="clear" w:color="000000" w:fill="F2DBDB"/>
            <w:vAlign w:val="center"/>
            <w:hideMark/>
          </w:tcPr>
          <w:p w14:paraId="66C9A796"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2DBDB"/>
            <w:vAlign w:val="center"/>
            <w:hideMark/>
          </w:tcPr>
          <w:p w14:paraId="612F1FA0"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ženy</w:t>
            </w:r>
          </w:p>
        </w:tc>
        <w:tc>
          <w:tcPr>
            <w:tcW w:w="1060" w:type="dxa"/>
            <w:vMerge/>
            <w:tcBorders>
              <w:top w:val="single" w:sz="4" w:space="0" w:color="auto"/>
              <w:left w:val="nil"/>
              <w:bottom w:val="nil"/>
              <w:right w:val="nil"/>
            </w:tcBorders>
            <w:vAlign w:val="center"/>
            <w:hideMark/>
          </w:tcPr>
          <w:p w14:paraId="67DD19CF" w14:textId="77777777" w:rsidR="00184B5C" w:rsidRPr="00D92E20" w:rsidRDefault="00184B5C" w:rsidP="00184B5C">
            <w:pPr>
              <w:spacing w:after="0" w:line="240" w:lineRule="auto"/>
              <w:rPr>
                <w:rFonts w:cs="Arial"/>
                <w:color w:val="000000"/>
                <w:sz w:val="16"/>
                <w:szCs w:val="16"/>
              </w:rPr>
            </w:pPr>
          </w:p>
        </w:tc>
        <w:tc>
          <w:tcPr>
            <w:tcW w:w="960" w:type="dxa"/>
            <w:tcBorders>
              <w:top w:val="nil"/>
              <w:left w:val="single" w:sz="4" w:space="0" w:color="auto"/>
              <w:bottom w:val="single" w:sz="4" w:space="0" w:color="auto"/>
              <w:right w:val="single" w:sz="4" w:space="0" w:color="auto"/>
            </w:tcBorders>
            <w:shd w:val="clear" w:color="000000" w:fill="F2DBDB"/>
            <w:vAlign w:val="center"/>
            <w:hideMark/>
          </w:tcPr>
          <w:p w14:paraId="28340E7D"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2DBDB"/>
            <w:vAlign w:val="center"/>
            <w:hideMark/>
          </w:tcPr>
          <w:p w14:paraId="701CA7A6"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single" w:sz="4" w:space="0" w:color="auto"/>
              <w:left w:val="nil"/>
              <w:bottom w:val="nil"/>
              <w:right w:val="nil"/>
            </w:tcBorders>
            <w:vAlign w:val="center"/>
            <w:hideMark/>
          </w:tcPr>
          <w:p w14:paraId="16588E22" w14:textId="77777777" w:rsidR="00184B5C" w:rsidRPr="00D92E20" w:rsidRDefault="00184B5C" w:rsidP="00184B5C">
            <w:pPr>
              <w:spacing w:after="0" w:line="240" w:lineRule="auto"/>
              <w:rPr>
                <w:rFonts w:cs="Arial"/>
                <w:color w:val="000000"/>
                <w:sz w:val="16"/>
                <w:szCs w:val="16"/>
              </w:rPr>
            </w:pPr>
          </w:p>
        </w:tc>
        <w:tc>
          <w:tcPr>
            <w:tcW w:w="960" w:type="dxa"/>
            <w:tcBorders>
              <w:top w:val="nil"/>
              <w:left w:val="single" w:sz="4" w:space="0" w:color="auto"/>
              <w:bottom w:val="single" w:sz="4" w:space="0" w:color="auto"/>
              <w:right w:val="single" w:sz="4" w:space="0" w:color="auto"/>
            </w:tcBorders>
            <w:shd w:val="clear" w:color="000000" w:fill="F2DBDB"/>
            <w:vAlign w:val="center"/>
            <w:hideMark/>
          </w:tcPr>
          <w:p w14:paraId="5E516785"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nil"/>
            </w:tcBorders>
            <w:shd w:val="clear" w:color="000000" w:fill="F2DBDB"/>
            <w:vAlign w:val="center"/>
            <w:hideMark/>
          </w:tcPr>
          <w:p w14:paraId="73FD49DB"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ženy</w:t>
            </w:r>
          </w:p>
        </w:tc>
      </w:tr>
      <w:tr w:rsidR="00184B5C" w:rsidRPr="00D92E20" w14:paraId="0CFFBCC5" w14:textId="77777777" w:rsidTr="00184B5C">
        <w:trPr>
          <w:trHeight w:val="300"/>
        </w:trPr>
        <w:tc>
          <w:tcPr>
            <w:tcW w:w="960" w:type="dxa"/>
            <w:tcBorders>
              <w:top w:val="nil"/>
              <w:left w:val="nil"/>
              <w:bottom w:val="nil"/>
              <w:right w:val="nil"/>
            </w:tcBorders>
            <w:shd w:val="clear" w:color="auto" w:fill="auto"/>
            <w:vAlign w:val="center"/>
            <w:hideMark/>
          </w:tcPr>
          <w:p w14:paraId="4E95943A"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2010</w:t>
            </w:r>
          </w:p>
        </w:tc>
        <w:tc>
          <w:tcPr>
            <w:tcW w:w="960" w:type="dxa"/>
            <w:tcBorders>
              <w:top w:val="single" w:sz="4" w:space="0" w:color="auto"/>
              <w:left w:val="single" w:sz="4" w:space="0" w:color="auto"/>
              <w:bottom w:val="nil"/>
              <w:right w:val="nil"/>
            </w:tcBorders>
            <w:shd w:val="clear" w:color="auto" w:fill="auto"/>
            <w:vAlign w:val="center"/>
            <w:hideMark/>
          </w:tcPr>
          <w:p w14:paraId="5B6448B0"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4 311,0</w:t>
            </w:r>
          </w:p>
        </w:tc>
        <w:tc>
          <w:tcPr>
            <w:tcW w:w="960" w:type="dxa"/>
            <w:tcBorders>
              <w:top w:val="nil"/>
              <w:left w:val="nil"/>
              <w:bottom w:val="nil"/>
              <w:right w:val="nil"/>
            </w:tcBorders>
            <w:shd w:val="clear" w:color="auto" w:fill="auto"/>
            <w:vAlign w:val="center"/>
            <w:hideMark/>
          </w:tcPr>
          <w:p w14:paraId="31457D0D"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2 234,1</w:t>
            </w:r>
          </w:p>
        </w:tc>
        <w:tc>
          <w:tcPr>
            <w:tcW w:w="960" w:type="dxa"/>
            <w:tcBorders>
              <w:top w:val="nil"/>
              <w:left w:val="nil"/>
              <w:bottom w:val="nil"/>
              <w:right w:val="single" w:sz="4" w:space="0" w:color="auto"/>
            </w:tcBorders>
            <w:shd w:val="clear" w:color="auto" w:fill="auto"/>
            <w:vAlign w:val="center"/>
            <w:hideMark/>
          </w:tcPr>
          <w:p w14:paraId="51DB31E4"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2 076,8</w:t>
            </w:r>
          </w:p>
        </w:tc>
        <w:tc>
          <w:tcPr>
            <w:tcW w:w="1060" w:type="dxa"/>
            <w:tcBorders>
              <w:top w:val="single" w:sz="4" w:space="0" w:color="auto"/>
              <w:left w:val="nil"/>
              <w:bottom w:val="nil"/>
              <w:right w:val="nil"/>
            </w:tcBorders>
            <w:shd w:val="clear" w:color="auto" w:fill="auto"/>
            <w:vAlign w:val="center"/>
            <w:hideMark/>
          </w:tcPr>
          <w:p w14:paraId="6115CD52"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4 132,8</w:t>
            </w:r>
          </w:p>
        </w:tc>
        <w:tc>
          <w:tcPr>
            <w:tcW w:w="960" w:type="dxa"/>
            <w:tcBorders>
              <w:top w:val="nil"/>
              <w:left w:val="nil"/>
              <w:bottom w:val="nil"/>
              <w:right w:val="nil"/>
            </w:tcBorders>
            <w:shd w:val="clear" w:color="auto" w:fill="auto"/>
            <w:vAlign w:val="center"/>
            <w:hideMark/>
          </w:tcPr>
          <w:p w14:paraId="1C72A64C"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2 121,9</w:t>
            </w:r>
          </w:p>
        </w:tc>
        <w:tc>
          <w:tcPr>
            <w:tcW w:w="960" w:type="dxa"/>
            <w:tcBorders>
              <w:top w:val="nil"/>
              <w:left w:val="nil"/>
              <w:bottom w:val="nil"/>
              <w:right w:val="single" w:sz="4" w:space="0" w:color="auto"/>
            </w:tcBorders>
            <w:shd w:val="clear" w:color="auto" w:fill="auto"/>
            <w:vAlign w:val="center"/>
            <w:hideMark/>
          </w:tcPr>
          <w:p w14:paraId="75626D7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2 010,9</w:t>
            </w:r>
          </w:p>
        </w:tc>
        <w:tc>
          <w:tcPr>
            <w:tcW w:w="960" w:type="dxa"/>
            <w:tcBorders>
              <w:top w:val="single" w:sz="4" w:space="0" w:color="auto"/>
              <w:left w:val="nil"/>
              <w:bottom w:val="nil"/>
              <w:right w:val="nil"/>
            </w:tcBorders>
            <w:shd w:val="clear" w:color="auto" w:fill="auto"/>
            <w:vAlign w:val="center"/>
            <w:hideMark/>
          </w:tcPr>
          <w:p w14:paraId="5C0EC02E"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178,2</w:t>
            </w:r>
          </w:p>
        </w:tc>
        <w:tc>
          <w:tcPr>
            <w:tcW w:w="960" w:type="dxa"/>
            <w:tcBorders>
              <w:top w:val="nil"/>
              <w:left w:val="nil"/>
              <w:bottom w:val="nil"/>
              <w:right w:val="nil"/>
            </w:tcBorders>
            <w:shd w:val="clear" w:color="auto" w:fill="auto"/>
            <w:vAlign w:val="center"/>
            <w:hideMark/>
          </w:tcPr>
          <w:p w14:paraId="3CEF7D0D"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112,2</w:t>
            </w:r>
          </w:p>
        </w:tc>
        <w:tc>
          <w:tcPr>
            <w:tcW w:w="960" w:type="dxa"/>
            <w:tcBorders>
              <w:top w:val="nil"/>
              <w:left w:val="nil"/>
              <w:bottom w:val="nil"/>
              <w:right w:val="nil"/>
            </w:tcBorders>
            <w:shd w:val="clear" w:color="auto" w:fill="auto"/>
            <w:vAlign w:val="center"/>
            <w:hideMark/>
          </w:tcPr>
          <w:p w14:paraId="4A9D3B7B"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66,0</w:t>
            </w:r>
          </w:p>
        </w:tc>
      </w:tr>
      <w:tr w:rsidR="00184B5C" w:rsidRPr="00D92E20" w14:paraId="49F14855" w14:textId="77777777" w:rsidTr="00184B5C">
        <w:trPr>
          <w:trHeight w:val="300"/>
        </w:trPr>
        <w:tc>
          <w:tcPr>
            <w:tcW w:w="960" w:type="dxa"/>
            <w:tcBorders>
              <w:top w:val="nil"/>
              <w:left w:val="nil"/>
              <w:bottom w:val="nil"/>
              <w:right w:val="nil"/>
            </w:tcBorders>
            <w:shd w:val="clear" w:color="auto" w:fill="auto"/>
            <w:vAlign w:val="center"/>
            <w:hideMark/>
          </w:tcPr>
          <w:p w14:paraId="49F9984C"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2011</w:t>
            </w:r>
          </w:p>
        </w:tc>
        <w:tc>
          <w:tcPr>
            <w:tcW w:w="960" w:type="dxa"/>
            <w:tcBorders>
              <w:top w:val="nil"/>
              <w:left w:val="single" w:sz="4" w:space="0" w:color="auto"/>
              <w:bottom w:val="nil"/>
              <w:right w:val="nil"/>
            </w:tcBorders>
            <w:shd w:val="clear" w:color="auto" w:fill="auto"/>
            <w:vAlign w:val="center"/>
            <w:hideMark/>
          </w:tcPr>
          <w:p w14:paraId="0754876F"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4 211,5</w:t>
            </w:r>
          </w:p>
        </w:tc>
        <w:tc>
          <w:tcPr>
            <w:tcW w:w="960" w:type="dxa"/>
            <w:tcBorders>
              <w:top w:val="nil"/>
              <w:left w:val="nil"/>
              <w:bottom w:val="nil"/>
              <w:right w:val="nil"/>
            </w:tcBorders>
            <w:shd w:val="clear" w:color="auto" w:fill="auto"/>
            <w:vAlign w:val="center"/>
            <w:hideMark/>
          </w:tcPr>
          <w:p w14:paraId="50DC6F6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2 148,4</w:t>
            </w:r>
          </w:p>
        </w:tc>
        <w:tc>
          <w:tcPr>
            <w:tcW w:w="960" w:type="dxa"/>
            <w:tcBorders>
              <w:top w:val="nil"/>
              <w:left w:val="nil"/>
              <w:bottom w:val="nil"/>
              <w:right w:val="single" w:sz="4" w:space="0" w:color="auto"/>
            </w:tcBorders>
            <w:shd w:val="clear" w:color="auto" w:fill="auto"/>
            <w:vAlign w:val="center"/>
            <w:hideMark/>
          </w:tcPr>
          <w:p w14:paraId="33AAF0ED"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2 063,2</w:t>
            </w:r>
          </w:p>
        </w:tc>
        <w:tc>
          <w:tcPr>
            <w:tcW w:w="1060" w:type="dxa"/>
            <w:tcBorders>
              <w:top w:val="nil"/>
              <w:left w:val="nil"/>
              <w:bottom w:val="nil"/>
              <w:right w:val="nil"/>
            </w:tcBorders>
            <w:shd w:val="clear" w:color="auto" w:fill="auto"/>
            <w:vAlign w:val="center"/>
            <w:hideMark/>
          </w:tcPr>
          <w:p w14:paraId="3FE98F83"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4 061,8</w:t>
            </w:r>
          </w:p>
        </w:tc>
        <w:tc>
          <w:tcPr>
            <w:tcW w:w="960" w:type="dxa"/>
            <w:tcBorders>
              <w:top w:val="nil"/>
              <w:left w:val="nil"/>
              <w:bottom w:val="nil"/>
              <w:right w:val="nil"/>
            </w:tcBorders>
            <w:shd w:val="clear" w:color="auto" w:fill="auto"/>
            <w:vAlign w:val="center"/>
            <w:hideMark/>
          </w:tcPr>
          <w:p w14:paraId="7E335F24"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2 053,8</w:t>
            </w:r>
          </w:p>
        </w:tc>
        <w:tc>
          <w:tcPr>
            <w:tcW w:w="960" w:type="dxa"/>
            <w:tcBorders>
              <w:top w:val="nil"/>
              <w:left w:val="nil"/>
              <w:bottom w:val="nil"/>
              <w:right w:val="single" w:sz="4" w:space="0" w:color="auto"/>
            </w:tcBorders>
            <w:shd w:val="clear" w:color="auto" w:fill="auto"/>
            <w:vAlign w:val="center"/>
            <w:hideMark/>
          </w:tcPr>
          <w:p w14:paraId="13D5DE05"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2 008,0</w:t>
            </w:r>
          </w:p>
        </w:tc>
        <w:tc>
          <w:tcPr>
            <w:tcW w:w="960" w:type="dxa"/>
            <w:tcBorders>
              <w:top w:val="nil"/>
              <w:left w:val="nil"/>
              <w:bottom w:val="nil"/>
              <w:right w:val="nil"/>
            </w:tcBorders>
            <w:shd w:val="clear" w:color="auto" w:fill="auto"/>
            <w:vAlign w:val="center"/>
            <w:hideMark/>
          </w:tcPr>
          <w:p w14:paraId="0EB315B3"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149,7</w:t>
            </w:r>
          </w:p>
        </w:tc>
        <w:tc>
          <w:tcPr>
            <w:tcW w:w="960" w:type="dxa"/>
            <w:tcBorders>
              <w:top w:val="nil"/>
              <w:left w:val="nil"/>
              <w:bottom w:val="nil"/>
              <w:right w:val="nil"/>
            </w:tcBorders>
            <w:shd w:val="clear" w:color="auto" w:fill="auto"/>
            <w:vAlign w:val="center"/>
            <w:hideMark/>
          </w:tcPr>
          <w:p w14:paraId="07542A2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94,6</w:t>
            </w:r>
          </w:p>
        </w:tc>
        <w:tc>
          <w:tcPr>
            <w:tcW w:w="960" w:type="dxa"/>
            <w:tcBorders>
              <w:top w:val="nil"/>
              <w:left w:val="nil"/>
              <w:bottom w:val="nil"/>
              <w:right w:val="nil"/>
            </w:tcBorders>
            <w:shd w:val="clear" w:color="auto" w:fill="auto"/>
            <w:vAlign w:val="center"/>
            <w:hideMark/>
          </w:tcPr>
          <w:p w14:paraId="42E0ED02"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55,2</w:t>
            </w:r>
          </w:p>
        </w:tc>
      </w:tr>
      <w:tr w:rsidR="00184B5C" w:rsidRPr="00D92E20" w14:paraId="6D2D206D" w14:textId="77777777" w:rsidTr="00184B5C">
        <w:trPr>
          <w:trHeight w:val="300"/>
        </w:trPr>
        <w:tc>
          <w:tcPr>
            <w:tcW w:w="960" w:type="dxa"/>
            <w:tcBorders>
              <w:top w:val="nil"/>
              <w:left w:val="nil"/>
              <w:bottom w:val="nil"/>
              <w:right w:val="nil"/>
            </w:tcBorders>
            <w:shd w:val="clear" w:color="auto" w:fill="auto"/>
            <w:vAlign w:val="center"/>
            <w:hideMark/>
          </w:tcPr>
          <w:p w14:paraId="4870C037"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2012</w:t>
            </w:r>
          </w:p>
        </w:tc>
        <w:tc>
          <w:tcPr>
            <w:tcW w:w="960" w:type="dxa"/>
            <w:tcBorders>
              <w:top w:val="nil"/>
              <w:left w:val="single" w:sz="4" w:space="0" w:color="auto"/>
              <w:bottom w:val="nil"/>
              <w:right w:val="nil"/>
            </w:tcBorders>
            <w:shd w:val="clear" w:color="auto" w:fill="auto"/>
            <w:vAlign w:val="center"/>
            <w:hideMark/>
          </w:tcPr>
          <w:p w14:paraId="288AE7EE"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4 471,9</w:t>
            </w:r>
          </w:p>
        </w:tc>
        <w:tc>
          <w:tcPr>
            <w:tcW w:w="960" w:type="dxa"/>
            <w:tcBorders>
              <w:top w:val="nil"/>
              <w:left w:val="nil"/>
              <w:bottom w:val="nil"/>
              <w:right w:val="nil"/>
            </w:tcBorders>
            <w:shd w:val="clear" w:color="auto" w:fill="auto"/>
            <w:vAlign w:val="center"/>
            <w:hideMark/>
          </w:tcPr>
          <w:p w14:paraId="73F06927"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2 281,4</w:t>
            </w:r>
          </w:p>
        </w:tc>
        <w:tc>
          <w:tcPr>
            <w:tcW w:w="960" w:type="dxa"/>
            <w:tcBorders>
              <w:top w:val="nil"/>
              <w:left w:val="nil"/>
              <w:bottom w:val="nil"/>
              <w:right w:val="single" w:sz="4" w:space="0" w:color="auto"/>
            </w:tcBorders>
            <w:shd w:val="clear" w:color="auto" w:fill="auto"/>
            <w:vAlign w:val="center"/>
            <w:hideMark/>
          </w:tcPr>
          <w:p w14:paraId="68FEF93F"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2 190,5</w:t>
            </w:r>
          </w:p>
        </w:tc>
        <w:tc>
          <w:tcPr>
            <w:tcW w:w="1060" w:type="dxa"/>
            <w:tcBorders>
              <w:top w:val="nil"/>
              <w:left w:val="nil"/>
              <w:bottom w:val="nil"/>
              <w:right w:val="nil"/>
            </w:tcBorders>
            <w:shd w:val="clear" w:color="auto" w:fill="auto"/>
            <w:vAlign w:val="center"/>
            <w:hideMark/>
          </w:tcPr>
          <w:p w14:paraId="18ACDE4D"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4 366,2</w:t>
            </w:r>
          </w:p>
        </w:tc>
        <w:tc>
          <w:tcPr>
            <w:tcW w:w="960" w:type="dxa"/>
            <w:tcBorders>
              <w:top w:val="nil"/>
              <w:left w:val="nil"/>
              <w:bottom w:val="nil"/>
              <w:right w:val="nil"/>
            </w:tcBorders>
            <w:shd w:val="clear" w:color="auto" w:fill="auto"/>
            <w:vAlign w:val="center"/>
            <w:hideMark/>
          </w:tcPr>
          <w:p w14:paraId="3AD8DF7A"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2 216,3</w:t>
            </w:r>
          </w:p>
        </w:tc>
        <w:tc>
          <w:tcPr>
            <w:tcW w:w="960" w:type="dxa"/>
            <w:tcBorders>
              <w:top w:val="nil"/>
              <w:left w:val="nil"/>
              <w:bottom w:val="nil"/>
              <w:right w:val="single" w:sz="4" w:space="0" w:color="auto"/>
            </w:tcBorders>
            <w:shd w:val="clear" w:color="auto" w:fill="auto"/>
            <w:vAlign w:val="center"/>
            <w:hideMark/>
          </w:tcPr>
          <w:p w14:paraId="2D022B4E"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2 149,9</w:t>
            </w:r>
          </w:p>
        </w:tc>
        <w:tc>
          <w:tcPr>
            <w:tcW w:w="960" w:type="dxa"/>
            <w:tcBorders>
              <w:top w:val="nil"/>
              <w:left w:val="nil"/>
              <w:bottom w:val="nil"/>
              <w:right w:val="nil"/>
            </w:tcBorders>
            <w:shd w:val="clear" w:color="auto" w:fill="auto"/>
            <w:vAlign w:val="center"/>
            <w:hideMark/>
          </w:tcPr>
          <w:p w14:paraId="47441CF6"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105,7</w:t>
            </w:r>
          </w:p>
        </w:tc>
        <w:tc>
          <w:tcPr>
            <w:tcW w:w="960" w:type="dxa"/>
            <w:tcBorders>
              <w:top w:val="nil"/>
              <w:left w:val="nil"/>
              <w:bottom w:val="nil"/>
              <w:right w:val="nil"/>
            </w:tcBorders>
            <w:shd w:val="clear" w:color="auto" w:fill="auto"/>
            <w:vAlign w:val="center"/>
            <w:hideMark/>
          </w:tcPr>
          <w:p w14:paraId="1B17EA1A"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65,1</w:t>
            </w:r>
          </w:p>
        </w:tc>
        <w:tc>
          <w:tcPr>
            <w:tcW w:w="960" w:type="dxa"/>
            <w:tcBorders>
              <w:top w:val="nil"/>
              <w:left w:val="nil"/>
              <w:bottom w:val="nil"/>
              <w:right w:val="nil"/>
            </w:tcBorders>
            <w:shd w:val="clear" w:color="auto" w:fill="auto"/>
            <w:vAlign w:val="center"/>
            <w:hideMark/>
          </w:tcPr>
          <w:p w14:paraId="7F7CAE06"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40,6</w:t>
            </w:r>
          </w:p>
        </w:tc>
      </w:tr>
      <w:tr w:rsidR="00184B5C" w:rsidRPr="00D92E20" w14:paraId="1DE374AB" w14:textId="77777777" w:rsidTr="00184B5C">
        <w:trPr>
          <w:trHeight w:val="300"/>
        </w:trPr>
        <w:tc>
          <w:tcPr>
            <w:tcW w:w="960" w:type="dxa"/>
            <w:tcBorders>
              <w:top w:val="nil"/>
              <w:left w:val="nil"/>
              <w:bottom w:val="nil"/>
              <w:right w:val="nil"/>
            </w:tcBorders>
            <w:shd w:val="clear" w:color="auto" w:fill="auto"/>
            <w:vAlign w:val="center"/>
            <w:hideMark/>
          </w:tcPr>
          <w:p w14:paraId="7741E65D"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2013</w:t>
            </w:r>
          </w:p>
        </w:tc>
        <w:tc>
          <w:tcPr>
            <w:tcW w:w="960" w:type="dxa"/>
            <w:tcBorders>
              <w:top w:val="nil"/>
              <w:left w:val="single" w:sz="4" w:space="0" w:color="auto"/>
              <w:bottom w:val="nil"/>
              <w:right w:val="nil"/>
            </w:tcBorders>
            <w:shd w:val="clear" w:color="auto" w:fill="auto"/>
            <w:vAlign w:val="center"/>
            <w:hideMark/>
          </w:tcPr>
          <w:p w14:paraId="362F65DD"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4 440,3</w:t>
            </w:r>
          </w:p>
        </w:tc>
        <w:tc>
          <w:tcPr>
            <w:tcW w:w="960" w:type="dxa"/>
            <w:tcBorders>
              <w:top w:val="nil"/>
              <w:left w:val="nil"/>
              <w:bottom w:val="nil"/>
              <w:right w:val="nil"/>
            </w:tcBorders>
            <w:shd w:val="clear" w:color="auto" w:fill="auto"/>
            <w:vAlign w:val="center"/>
            <w:hideMark/>
          </w:tcPr>
          <w:p w14:paraId="53638E4D"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2 260,7</w:t>
            </w:r>
          </w:p>
        </w:tc>
        <w:tc>
          <w:tcPr>
            <w:tcW w:w="960" w:type="dxa"/>
            <w:tcBorders>
              <w:top w:val="nil"/>
              <w:left w:val="nil"/>
              <w:bottom w:val="nil"/>
              <w:right w:val="single" w:sz="4" w:space="0" w:color="auto"/>
            </w:tcBorders>
            <w:shd w:val="clear" w:color="auto" w:fill="auto"/>
            <w:vAlign w:val="center"/>
            <w:hideMark/>
          </w:tcPr>
          <w:p w14:paraId="2D56F09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2 179,6</w:t>
            </w:r>
          </w:p>
        </w:tc>
        <w:tc>
          <w:tcPr>
            <w:tcW w:w="1060" w:type="dxa"/>
            <w:tcBorders>
              <w:top w:val="nil"/>
              <w:left w:val="nil"/>
              <w:bottom w:val="nil"/>
              <w:right w:val="nil"/>
            </w:tcBorders>
            <w:shd w:val="clear" w:color="auto" w:fill="auto"/>
            <w:vAlign w:val="center"/>
            <w:hideMark/>
          </w:tcPr>
          <w:p w14:paraId="7B58E223"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4 331,2</w:t>
            </w:r>
          </w:p>
        </w:tc>
        <w:tc>
          <w:tcPr>
            <w:tcW w:w="960" w:type="dxa"/>
            <w:tcBorders>
              <w:top w:val="nil"/>
              <w:left w:val="nil"/>
              <w:bottom w:val="nil"/>
              <w:right w:val="nil"/>
            </w:tcBorders>
            <w:shd w:val="clear" w:color="auto" w:fill="auto"/>
            <w:vAlign w:val="center"/>
            <w:hideMark/>
          </w:tcPr>
          <w:p w14:paraId="1BE860A3"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2 194,2</w:t>
            </w:r>
          </w:p>
        </w:tc>
        <w:tc>
          <w:tcPr>
            <w:tcW w:w="960" w:type="dxa"/>
            <w:tcBorders>
              <w:top w:val="nil"/>
              <w:left w:val="nil"/>
              <w:bottom w:val="nil"/>
              <w:right w:val="single" w:sz="4" w:space="0" w:color="auto"/>
            </w:tcBorders>
            <w:shd w:val="clear" w:color="auto" w:fill="auto"/>
            <w:vAlign w:val="center"/>
            <w:hideMark/>
          </w:tcPr>
          <w:p w14:paraId="3CD013DF"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2 136,9</w:t>
            </w:r>
          </w:p>
        </w:tc>
        <w:tc>
          <w:tcPr>
            <w:tcW w:w="960" w:type="dxa"/>
            <w:tcBorders>
              <w:top w:val="nil"/>
              <w:left w:val="nil"/>
              <w:bottom w:val="nil"/>
              <w:right w:val="nil"/>
            </w:tcBorders>
            <w:shd w:val="clear" w:color="auto" w:fill="auto"/>
            <w:vAlign w:val="center"/>
            <w:hideMark/>
          </w:tcPr>
          <w:p w14:paraId="159736DE"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109,2</w:t>
            </w:r>
          </w:p>
        </w:tc>
        <w:tc>
          <w:tcPr>
            <w:tcW w:w="960" w:type="dxa"/>
            <w:tcBorders>
              <w:top w:val="nil"/>
              <w:left w:val="nil"/>
              <w:bottom w:val="nil"/>
              <w:right w:val="nil"/>
            </w:tcBorders>
            <w:shd w:val="clear" w:color="auto" w:fill="auto"/>
            <w:vAlign w:val="center"/>
            <w:hideMark/>
          </w:tcPr>
          <w:p w14:paraId="6520A8DB"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66,5</w:t>
            </w:r>
          </w:p>
        </w:tc>
        <w:tc>
          <w:tcPr>
            <w:tcW w:w="960" w:type="dxa"/>
            <w:tcBorders>
              <w:top w:val="nil"/>
              <w:left w:val="nil"/>
              <w:bottom w:val="nil"/>
              <w:right w:val="nil"/>
            </w:tcBorders>
            <w:shd w:val="clear" w:color="auto" w:fill="auto"/>
            <w:vAlign w:val="center"/>
            <w:hideMark/>
          </w:tcPr>
          <w:p w14:paraId="30FABAF7"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42,7</w:t>
            </w:r>
          </w:p>
        </w:tc>
      </w:tr>
      <w:tr w:rsidR="00184B5C" w:rsidRPr="00D92E20" w14:paraId="66074306" w14:textId="77777777" w:rsidTr="00184B5C">
        <w:trPr>
          <w:trHeight w:val="300"/>
        </w:trPr>
        <w:tc>
          <w:tcPr>
            <w:tcW w:w="960" w:type="dxa"/>
            <w:tcBorders>
              <w:top w:val="nil"/>
              <w:left w:val="nil"/>
              <w:bottom w:val="nil"/>
              <w:right w:val="nil"/>
            </w:tcBorders>
            <w:shd w:val="clear" w:color="auto" w:fill="auto"/>
            <w:vAlign w:val="center"/>
            <w:hideMark/>
          </w:tcPr>
          <w:p w14:paraId="39FF7CEB"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2014</w:t>
            </w:r>
          </w:p>
        </w:tc>
        <w:tc>
          <w:tcPr>
            <w:tcW w:w="960" w:type="dxa"/>
            <w:tcBorders>
              <w:top w:val="nil"/>
              <w:left w:val="single" w:sz="4" w:space="0" w:color="auto"/>
              <w:bottom w:val="nil"/>
              <w:right w:val="nil"/>
            </w:tcBorders>
            <w:shd w:val="clear" w:color="auto" w:fill="auto"/>
            <w:vAlign w:val="center"/>
            <w:hideMark/>
          </w:tcPr>
          <w:p w14:paraId="19681113"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4 464,1</w:t>
            </w:r>
          </w:p>
        </w:tc>
        <w:tc>
          <w:tcPr>
            <w:tcW w:w="960" w:type="dxa"/>
            <w:tcBorders>
              <w:top w:val="nil"/>
              <w:left w:val="nil"/>
              <w:bottom w:val="nil"/>
              <w:right w:val="nil"/>
            </w:tcBorders>
            <w:shd w:val="clear" w:color="auto" w:fill="auto"/>
            <w:vAlign w:val="center"/>
            <w:hideMark/>
          </w:tcPr>
          <w:p w14:paraId="4863C73D"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2 272,9</w:t>
            </w:r>
          </w:p>
        </w:tc>
        <w:tc>
          <w:tcPr>
            <w:tcW w:w="960" w:type="dxa"/>
            <w:tcBorders>
              <w:top w:val="nil"/>
              <w:left w:val="nil"/>
              <w:bottom w:val="nil"/>
              <w:right w:val="single" w:sz="4" w:space="0" w:color="auto"/>
            </w:tcBorders>
            <w:shd w:val="clear" w:color="auto" w:fill="auto"/>
            <w:vAlign w:val="center"/>
            <w:hideMark/>
          </w:tcPr>
          <w:p w14:paraId="36DF57FC"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2 191,2</w:t>
            </w:r>
          </w:p>
        </w:tc>
        <w:tc>
          <w:tcPr>
            <w:tcW w:w="1060" w:type="dxa"/>
            <w:tcBorders>
              <w:top w:val="nil"/>
              <w:left w:val="nil"/>
              <w:bottom w:val="nil"/>
              <w:right w:val="nil"/>
            </w:tcBorders>
            <w:shd w:val="clear" w:color="auto" w:fill="auto"/>
            <w:vAlign w:val="center"/>
            <w:hideMark/>
          </w:tcPr>
          <w:p w14:paraId="313F3CCF"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4 358,3</w:t>
            </w:r>
          </w:p>
        </w:tc>
        <w:tc>
          <w:tcPr>
            <w:tcW w:w="960" w:type="dxa"/>
            <w:tcBorders>
              <w:top w:val="nil"/>
              <w:left w:val="nil"/>
              <w:bottom w:val="nil"/>
              <w:right w:val="nil"/>
            </w:tcBorders>
            <w:shd w:val="clear" w:color="auto" w:fill="auto"/>
            <w:vAlign w:val="center"/>
            <w:hideMark/>
          </w:tcPr>
          <w:p w14:paraId="620C980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2 207,8</w:t>
            </w:r>
          </w:p>
        </w:tc>
        <w:tc>
          <w:tcPr>
            <w:tcW w:w="960" w:type="dxa"/>
            <w:tcBorders>
              <w:top w:val="nil"/>
              <w:left w:val="nil"/>
              <w:bottom w:val="nil"/>
              <w:right w:val="single" w:sz="4" w:space="0" w:color="auto"/>
            </w:tcBorders>
            <w:shd w:val="clear" w:color="auto" w:fill="auto"/>
            <w:vAlign w:val="center"/>
            <w:hideMark/>
          </w:tcPr>
          <w:p w14:paraId="18305128"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2 150,6</w:t>
            </w:r>
          </w:p>
        </w:tc>
        <w:tc>
          <w:tcPr>
            <w:tcW w:w="960" w:type="dxa"/>
            <w:tcBorders>
              <w:top w:val="nil"/>
              <w:left w:val="nil"/>
              <w:bottom w:val="nil"/>
              <w:right w:val="nil"/>
            </w:tcBorders>
            <w:shd w:val="clear" w:color="auto" w:fill="auto"/>
            <w:vAlign w:val="center"/>
            <w:hideMark/>
          </w:tcPr>
          <w:p w14:paraId="10A62980"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105,7</w:t>
            </w:r>
          </w:p>
        </w:tc>
        <w:tc>
          <w:tcPr>
            <w:tcW w:w="960" w:type="dxa"/>
            <w:tcBorders>
              <w:top w:val="nil"/>
              <w:left w:val="nil"/>
              <w:bottom w:val="nil"/>
              <w:right w:val="nil"/>
            </w:tcBorders>
            <w:shd w:val="clear" w:color="auto" w:fill="auto"/>
            <w:vAlign w:val="center"/>
            <w:hideMark/>
          </w:tcPr>
          <w:p w14:paraId="5192CF4B"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65,1</w:t>
            </w:r>
          </w:p>
        </w:tc>
        <w:tc>
          <w:tcPr>
            <w:tcW w:w="960" w:type="dxa"/>
            <w:tcBorders>
              <w:top w:val="nil"/>
              <w:left w:val="nil"/>
              <w:bottom w:val="nil"/>
              <w:right w:val="nil"/>
            </w:tcBorders>
            <w:shd w:val="clear" w:color="auto" w:fill="auto"/>
            <w:vAlign w:val="center"/>
            <w:hideMark/>
          </w:tcPr>
          <w:p w14:paraId="08274824"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40,6</w:t>
            </w:r>
          </w:p>
        </w:tc>
      </w:tr>
      <w:tr w:rsidR="00184B5C" w:rsidRPr="00D92E20" w14:paraId="0EA43A45" w14:textId="77777777" w:rsidTr="00184B5C">
        <w:trPr>
          <w:trHeight w:val="300"/>
        </w:trPr>
        <w:tc>
          <w:tcPr>
            <w:tcW w:w="960" w:type="dxa"/>
            <w:tcBorders>
              <w:top w:val="nil"/>
              <w:left w:val="nil"/>
              <w:bottom w:val="nil"/>
              <w:right w:val="nil"/>
            </w:tcBorders>
            <w:shd w:val="clear" w:color="auto" w:fill="auto"/>
            <w:vAlign w:val="center"/>
            <w:hideMark/>
          </w:tcPr>
          <w:p w14:paraId="3FA334FE"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2015</w:t>
            </w:r>
          </w:p>
        </w:tc>
        <w:tc>
          <w:tcPr>
            <w:tcW w:w="960" w:type="dxa"/>
            <w:tcBorders>
              <w:top w:val="nil"/>
              <w:left w:val="single" w:sz="4" w:space="0" w:color="auto"/>
              <w:bottom w:val="nil"/>
              <w:right w:val="nil"/>
            </w:tcBorders>
            <w:shd w:val="clear" w:color="auto" w:fill="auto"/>
            <w:vAlign w:val="center"/>
            <w:hideMark/>
          </w:tcPr>
          <w:p w14:paraId="7334B8C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4 507,0</w:t>
            </w:r>
          </w:p>
        </w:tc>
        <w:tc>
          <w:tcPr>
            <w:tcW w:w="960" w:type="dxa"/>
            <w:tcBorders>
              <w:top w:val="nil"/>
              <w:left w:val="nil"/>
              <w:bottom w:val="nil"/>
              <w:right w:val="nil"/>
            </w:tcBorders>
            <w:shd w:val="clear" w:color="auto" w:fill="auto"/>
            <w:vAlign w:val="center"/>
            <w:hideMark/>
          </w:tcPr>
          <w:p w14:paraId="48A0C51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2 301,3</w:t>
            </w:r>
          </w:p>
        </w:tc>
        <w:tc>
          <w:tcPr>
            <w:tcW w:w="960" w:type="dxa"/>
            <w:tcBorders>
              <w:top w:val="nil"/>
              <w:left w:val="nil"/>
              <w:bottom w:val="nil"/>
              <w:right w:val="single" w:sz="4" w:space="0" w:color="auto"/>
            </w:tcBorders>
            <w:shd w:val="clear" w:color="auto" w:fill="auto"/>
            <w:vAlign w:val="center"/>
            <w:hideMark/>
          </w:tcPr>
          <w:p w14:paraId="5AB4E7E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2 205,7</w:t>
            </w:r>
          </w:p>
        </w:tc>
        <w:tc>
          <w:tcPr>
            <w:tcW w:w="1060" w:type="dxa"/>
            <w:tcBorders>
              <w:top w:val="nil"/>
              <w:left w:val="nil"/>
              <w:bottom w:val="nil"/>
              <w:right w:val="nil"/>
            </w:tcBorders>
            <w:shd w:val="clear" w:color="auto" w:fill="auto"/>
            <w:vAlign w:val="center"/>
            <w:hideMark/>
          </w:tcPr>
          <w:p w14:paraId="6930803F"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4 417,6</w:t>
            </w:r>
          </w:p>
        </w:tc>
        <w:tc>
          <w:tcPr>
            <w:tcW w:w="960" w:type="dxa"/>
            <w:tcBorders>
              <w:top w:val="nil"/>
              <w:left w:val="nil"/>
              <w:bottom w:val="nil"/>
              <w:right w:val="nil"/>
            </w:tcBorders>
            <w:shd w:val="clear" w:color="auto" w:fill="auto"/>
            <w:vAlign w:val="center"/>
            <w:hideMark/>
          </w:tcPr>
          <w:p w14:paraId="04B4E51B"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2 252,8</w:t>
            </w:r>
          </w:p>
        </w:tc>
        <w:tc>
          <w:tcPr>
            <w:tcW w:w="960" w:type="dxa"/>
            <w:tcBorders>
              <w:top w:val="nil"/>
              <w:left w:val="nil"/>
              <w:bottom w:val="nil"/>
              <w:right w:val="single" w:sz="4" w:space="0" w:color="auto"/>
            </w:tcBorders>
            <w:shd w:val="clear" w:color="auto" w:fill="auto"/>
            <w:vAlign w:val="center"/>
            <w:hideMark/>
          </w:tcPr>
          <w:p w14:paraId="2AC5E5B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2 164,8</w:t>
            </w:r>
          </w:p>
        </w:tc>
        <w:tc>
          <w:tcPr>
            <w:tcW w:w="960" w:type="dxa"/>
            <w:tcBorders>
              <w:top w:val="nil"/>
              <w:left w:val="nil"/>
              <w:bottom w:val="nil"/>
              <w:right w:val="nil"/>
            </w:tcBorders>
            <w:shd w:val="clear" w:color="auto" w:fill="auto"/>
            <w:vAlign w:val="center"/>
            <w:hideMark/>
          </w:tcPr>
          <w:p w14:paraId="050AA46E"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89,4</w:t>
            </w:r>
          </w:p>
        </w:tc>
        <w:tc>
          <w:tcPr>
            <w:tcW w:w="960" w:type="dxa"/>
            <w:tcBorders>
              <w:top w:val="nil"/>
              <w:left w:val="nil"/>
              <w:bottom w:val="nil"/>
              <w:right w:val="nil"/>
            </w:tcBorders>
            <w:shd w:val="clear" w:color="auto" w:fill="auto"/>
            <w:vAlign w:val="center"/>
            <w:hideMark/>
          </w:tcPr>
          <w:p w14:paraId="0452C89C"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48,5</w:t>
            </w:r>
          </w:p>
        </w:tc>
        <w:tc>
          <w:tcPr>
            <w:tcW w:w="960" w:type="dxa"/>
            <w:tcBorders>
              <w:top w:val="nil"/>
              <w:left w:val="nil"/>
              <w:bottom w:val="nil"/>
              <w:right w:val="nil"/>
            </w:tcBorders>
            <w:shd w:val="clear" w:color="auto" w:fill="auto"/>
            <w:vAlign w:val="center"/>
            <w:hideMark/>
          </w:tcPr>
          <w:p w14:paraId="76E6C86F"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40,9</w:t>
            </w:r>
          </w:p>
        </w:tc>
      </w:tr>
      <w:tr w:rsidR="00184B5C" w:rsidRPr="00D92E20" w14:paraId="3C9091E6" w14:textId="77777777" w:rsidTr="00184B5C">
        <w:trPr>
          <w:trHeight w:val="300"/>
        </w:trPr>
        <w:tc>
          <w:tcPr>
            <w:tcW w:w="960" w:type="dxa"/>
            <w:tcBorders>
              <w:top w:val="nil"/>
              <w:left w:val="nil"/>
              <w:bottom w:val="nil"/>
              <w:right w:val="nil"/>
            </w:tcBorders>
            <w:shd w:val="clear" w:color="auto" w:fill="auto"/>
            <w:vAlign w:val="center"/>
            <w:hideMark/>
          </w:tcPr>
          <w:p w14:paraId="4D5C2AEE"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2016</w:t>
            </w:r>
          </w:p>
        </w:tc>
        <w:tc>
          <w:tcPr>
            <w:tcW w:w="960" w:type="dxa"/>
            <w:tcBorders>
              <w:top w:val="nil"/>
              <w:left w:val="single" w:sz="4" w:space="0" w:color="auto"/>
              <w:bottom w:val="nil"/>
              <w:right w:val="nil"/>
            </w:tcBorders>
            <w:shd w:val="clear" w:color="auto" w:fill="auto"/>
            <w:vAlign w:val="center"/>
            <w:hideMark/>
          </w:tcPr>
          <w:p w14:paraId="63E7B956"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4 571,3</w:t>
            </w:r>
          </w:p>
        </w:tc>
        <w:tc>
          <w:tcPr>
            <w:tcW w:w="960" w:type="dxa"/>
            <w:tcBorders>
              <w:top w:val="nil"/>
              <w:left w:val="nil"/>
              <w:bottom w:val="nil"/>
              <w:right w:val="nil"/>
            </w:tcBorders>
            <w:shd w:val="clear" w:color="auto" w:fill="auto"/>
            <w:vAlign w:val="center"/>
            <w:hideMark/>
          </w:tcPr>
          <w:p w14:paraId="4BBE0004"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2 328,5</w:t>
            </w:r>
          </w:p>
        </w:tc>
        <w:tc>
          <w:tcPr>
            <w:tcW w:w="960" w:type="dxa"/>
            <w:tcBorders>
              <w:top w:val="nil"/>
              <w:left w:val="nil"/>
              <w:bottom w:val="nil"/>
              <w:right w:val="single" w:sz="4" w:space="0" w:color="auto"/>
            </w:tcBorders>
            <w:shd w:val="clear" w:color="auto" w:fill="auto"/>
            <w:vAlign w:val="center"/>
            <w:hideMark/>
          </w:tcPr>
          <w:p w14:paraId="5313893F"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2 242,8</w:t>
            </w:r>
          </w:p>
        </w:tc>
        <w:tc>
          <w:tcPr>
            <w:tcW w:w="1060" w:type="dxa"/>
            <w:tcBorders>
              <w:top w:val="nil"/>
              <w:left w:val="nil"/>
              <w:bottom w:val="nil"/>
              <w:right w:val="nil"/>
            </w:tcBorders>
            <w:shd w:val="clear" w:color="auto" w:fill="auto"/>
            <w:vAlign w:val="center"/>
            <w:hideMark/>
          </w:tcPr>
          <w:p w14:paraId="2F851007"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4 481,8</w:t>
            </w:r>
          </w:p>
        </w:tc>
        <w:tc>
          <w:tcPr>
            <w:tcW w:w="960" w:type="dxa"/>
            <w:tcBorders>
              <w:top w:val="nil"/>
              <w:left w:val="nil"/>
              <w:bottom w:val="nil"/>
              <w:right w:val="nil"/>
            </w:tcBorders>
            <w:shd w:val="clear" w:color="auto" w:fill="auto"/>
            <w:vAlign w:val="center"/>
            <w:hideMark/>
          </w:tcPr>
          <w:p w14:paraId="1EC4A3BA"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2 273,5</w:t>
            </w:r>
          </w:p>
        </w:tc>
        <w:tc>
          <w:tcPr>
            <w:tcW w:w="960" w:type="dxa"/>
            <w:tcBorders>
              <w:top w:val="nil"/>
              <w:left w:val="nil"/>
              <w:bottom w:val="nil"/>
              <w:right w:val="single" w:sz="4" w:space="0" w:color="auto"/>
            </w:tcBorders>
            <w:shd w:val="clear" w:color="auto" w:fill="auto"/>
            <w:vAlign w:val="center"/>
            <w:hideMark/>
          </w:tcPr>
          <w:p w14:paraId="78C9DF7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2 208,3</w:t>
            </w:r>
          </w:p>
        </w:tc>
        <w:tc>
          <w:tcPr>
            <w:tcW w:w="960" w:type="dxa"/>
            <w:tcBorders>
              <w:top w:val="nil"/>
              <w:left w:val="nil"/>
              <w:bottom w:val="nil"/>
              <w:right w:val="nil"/>
            </w:tcBorders>
            <w:shd w:val="clear" w:color="auto" w:fill="auto"/>
            <w:vAlign w:val="center"/>
            <w:hideMark/>
          </w:tcPr>
          <w:p w14:paraId="738F1B0B"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89,5</w:t>
            </w:r>
          </w:p>
        </w:tc>
        <w:tc>
          <w:tcPr>
            <w:tcW w:w="960" w:type="dxa"/>
            <w:tcBorders>
              <w:top w:val="nil"/>
              <w:left w:val="nil"/>
              <w:bottom w:val="nil"/>
              <w:right w:val="nil"/>
            </w:tcBorders>
            <w:shd w:val="clear" w:color="auto" w:fill="auto"/>
            <w:vAlign w:val="center"/>
            <w:hideMark/>
          </w:tcPr>
          <w:p w14:paraId="540D5906"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55,0</w:t>
            </w:r>
          </w:p>
        </w:tc>
        <w:tc>
          <w:tcPr>
            <w:tcW w:w="960" w:type="dxa"/>
            <w:tcBorders>
              <w:top w:val="nil"/>
              <w:left w:val="nil"/>
              <w:bottom w:val="nil"/>
              <w:right w:val="nil"/>
            </w:tcBorders>
            <w:shd w:val="clear" w:color="auto" w:fill="auto"/>
            <w:vAlign w:val="center"/>
            <w:hideMark/>
          </w:tcPr>
          <w:p w14:paraId="1F1D27E7"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34,5</w:t>
            </w:r>
          </w:p>
        </w:tc>
      </w:tr>
      <w:tr w:rsidR="00184B5C" w:rsidRPr="00D92E20" w14:paraId="53F2905C" w14:textId="77777777" w:rsidTr="00184B5C">
        <w:trPr>
          <w:trHeight w:val="300"/>
        </w:trPr>
        <w:tc>
          <w:tcPr>
            <w:tcW w:w="960" w:type="dxa"/>
            <w:tcBorders>
              <w:top w:val="nil"/>
              <w:left w:val="nil"/>
              <w:bottom w:val="nil"/>
              <w:right w:val="nil"/>
            </w:tcBorders>
            <w:shd w:val="clear" w:color="auto" w:fill="auto"/>
            <w:vAlign w:val="center"/>
            <w:hideMark/>
          </w:tcPr>
          <w:p w14:paraId="1139FB40"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2017</w:t>
            </w:r>
          </w:p>
        </w:tc>
        <w:tc>
          <w:tcPr>
            <w:tcW w:w="960" w:type="dxa"/>
            <w:tcBorders>
              <w:top w:val="nil"/>
              <w:left w:val="single" w:sz="4" w:space="0" w:color="auto"/>
              <w:bottom w:val="nil"/>
              <w:right w:val="nil"/>
            </w:tcBorders>
            <w:shd w:val="clear" w:color="auto" w:fill="auto"/>
            <w:vAlign w:val="center"/>
            <w:hideMark/>
          </w:tcPr>
          <w:p w14:paraId="78687FCB"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4 671,8</w:t>
            </w:r>
          </w:p>
        </w:tc>
        <w:tc>
          <w:tcPr>
            <w:tcW w:w="960" w:type="dxa"/>
            <w:tcBorders>
              <w:top w:val="nil"/>
              <w:left w:val="nil"/>
              <w:bottom w:val="nil"/>
              <w:right w:val="nil"/>
            </w:tcBorders>
            <w:shd w:val="clear" w:color="auto" w:fill="auto"/>
            <w:vAlign w:val="center"/>
            <w:hideMark/>
          </w:tcPr>
          <w:p w14:paraId="5BFB7BC4"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2 370,0</w:t>
            </w:r>
          </w:p>
        </w:tc>
        <w:tc>
          <w:tcPr>
            <w:tcW w:w="960" w:type="dxa"/>
            <w:tcBorders>
              <w:top w:val="nil"/>
              <w:left w:val="nil"/>
              <w:bottom w:val="nil"/>
              <w:right w:val="single" w:sz="4" w:space="0" w:color="auto"/>
            </w:tcBorders>
            <w:shd w:val="clear" w:color="auto" w:fill="auto"/>
            <w:vAlign w:val="center"/>
            <w:hideMark/>
          </w:tcPr>
          <w:p w14:paraId="59C7F32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2 301,8</w:t>
            </w:r>
          </w:p>
        </w:tc>
        <w:tc>
          <w:tcPr>
            <w:tcW w:w="1060" w:type="dxa"/>
            <w:tcBorders>
              <w:top w:val="nil"/>
              <w:left w:val="nil"/>
              <w:bottom w:val="nil"/>
              <w:right w:val="nil"/>
            </w:tcBorders>
            <w:shd w:val="clear" w:color="auto" w:fill="auto"/>
            <w:vAlign w:val="center"/>
            <w:hideMark/>
          </w:tcPr>
          <w:p w14:paraId="66C72C87"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4 582,2</w:t>
            </w:r>
          </w:p>
        </w:tc>
        <w:tc>
          <w:tcPr>
            <w:tcW w:w="960" w:type="dxa"/>
            <w:tcBorders>
              <w:top w:val="nil"/>
              <w:left w:val="nil"/>
              <w:bottom w:val="nil"/>
              <w:right w:val="nil"/>
            </w:tcBorders>
            <w:shd w:val="clear" w:color="auto" w:fill="auto"/>
            <w:vAlign w:val="center"/>
            <w:hideMark/>
          </w:tcPr>
          <w:p w14:paraId="02041455"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2 315,8</w:t>
            </w:r>
          </w:p>
        </w:tc>
        <w:tc>
          <w:tcPr>
            <w:tcW w:w="960" w:type="dxa"/>
            <w:tcBorders>
              <w:top w:val="nil"/>
              <w:left w:val="nil"/>
              <w:bottom w:val="nil"/>
              <w:right w:val="single" w:sz="4" w:space="0" w:color="auto"/>
            </w:tcBorders>
            <w:shd w:val="clear" w:color="auto" w:fill="auto"/>
            <w:vAlign w:val="center"/>
            <w:hideMark/>
          </w:tcPr>
          <w:p w14:paraId="718CB9D2"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2 266,4</w:t>
            </w:r>
          </w:p>
        </w:tc>
        <w:tc>
          <w:tcPr>
            <w:tcW w:w="960" w:type="dxa"/>
            <w:tcBorders>
              <w:top w:val="nil"/>
              <w:left w:val="nil"/>
              <w:bottom w:val="nil"/>
              <w:right w:val="nil"/>
            </w:tcBorders>
            <w:shd w:val="clear" w:color="auto" w:fill="auto"/>
            <w:vAlign w:val="center"/>
            <w:hideMark/>
          </w:tcPr>
          <w:p w14:paraId="3EC1AF4B"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89,7</w:t>
            </w:r>
          </w:p>
        </w:tc>
        <w:tc>
          <w:tcPr>
            <w:tcW w:w="960" w:type="dxa"/>
            <w:tcBorders>
              <w:top w:val="nil"/>
              <w:left w:val="nil"/>
              <w:bottom w:val="nil"/>
              <w:right w:val="nil"/>
            </w:tcBorders>
            <w:shd w:val="clear" w:color="auto" w:fill="auto"/>
            <w:vAlign w:val="center"/>
            <w:hideMark/>
          </w:tcPr>
          <w:p w14:paraId="276EA05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54,2</w:t>
            </w:r>
          </w:p>
        </w:tc>
        <w:tc>
          <w:tcPr>
            <w:tcW w:w="960" w:type="dxa"/>
            <w:tcBorders>
              <w:top w:val="nil"/>
              <w:left w:val="nil"/>
              <w:bottom w:val="nil"/>
              <w:right w:val="nil"/>
            </w:tcBorders>
            <w:shd w:val="clear" w:color="auto" w:fill="auto"/>
            <w:vAlign w:val="center"/>
            <w:hideMark/>
          </w:tcPr>
          <w:p w14:paraId="5A0A307A"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35,4</w:t>
            </w:r>
          </w:p>
        </w:tc>
      </w:tr>
      <w:tr w:rsidR="00184B5C" w:rsidRPr="00D92E20" w14:paraId="3AFCCEAA" w14:textId="77777777" w:rsidTr="00184B5C">
        <w:trPr>
          <w:trHeight w:val="300"/>
        </w:trPr>
        <w:tc>
          <w:tcPr>
            <w:tcW w:w="960" w:type="dxa"/>
            <w:tcBorders>
              <w:top w:val="nil"/>
              <w:left w:val="nil"/>
              <w:bottom w:val="nil"/>
              <w:right w:val="nil"/>
            </w:tcBorders>
            <w:shd w:val="clear" w:color="auto" w:fill="auto"/>
            <w:vAlign w:val="center"/>
            <w:hideMark/>
          </w:tcPr>
          <w:p w14:paraId="1B9903AC"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2018</w:t>
            </w:r>
          </w:p>
        </w:tc>
        <w:tc>
          <w:tcPr>
            <w:tcW w:w="960" w:type="dxa"/>
            <w:tcBorders>
              <w:top w:val="nil"/>
              <w:left w:val="single" w:sz="4" w:space="0" w:color="auto"/>
              <w:bottom w:val="nil"/>
              <w:right w:val="nil"/>
            </w:tcBorders>
            <w:shd w:val="clear" w:color="auto" w:fill="auto"/>
            <w:vAlign w:val="center"/>
            <w:hideMark/>
          </w:tcPr>
          <w:p w14:paraId="582EA6B0"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4 732,7</w:t>
            </w:r>
          </w:p>
        </w:tc>
        <w:tc>
          <w:tcPr>
            <w:tcW w:w="960" w:type="dxa"/>
            <w:tcBorders>
              <w:top w:val="nil"/>
              <w:left w:val="nil"/>
              <w:bottom w:val="nil"/>
              <w:right w:val="nil"/>
            </w:tcBorders>
            <w:shd w:val="clear" w:color="auto" w:fill="auto"/>
            <w:vAlign w:val="center"/>
            <w:hideMark/>
          </w:tcPr>
          <w:p w14:paraId="10BD998A"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2 391,4</w:t>
            </w:r>
          </w:p>
        </w:tc>
        <w:tc>
          <w:tcPr>
            <w:tcW w:w="960" w:type="dxa"/>
            <w:tcBorders>
              <w:top w:val="nil"/>
              <w:left w:val="nil"/>
              <w:bottom w:val="nil"/>
              <w:right w:val="single" w:sz="4" w:space="0" w:color="auto"/>
            </w:tcBorders>
            <w:shd w:val="clear" w:color="auto" w:fill="auto"/>
            <w:vAlign w:val="center"/>
            <w:hideMark/>
          </w:tcPr>
          <w:p w14:paraId="54B7F050"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2 341,3</w:t>
            </w:r>
          </w:p>
        </w:tc>
        <w:tc>
          <w:tcPr>
            <w:tcW w:w="1060" w:type="dxa"/>
            <w:tcBorders>
              <w:top w:val="nil"/>
              <w:left w:val="nil"/>
              <w:bottom w:val="nil"/>
              <w:right w:val="nil"/>
            </w:tcBorders>
            <w:shd w:val="clear" w:color="auto" w:fill="auto"/>
            <w:vAlign w:val="center"/>
            <w:hideMark/>
          </w:tcPr>
          <w:p w14:paraId="2F8B1B35"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4 641,5</w:t>
            </w:r>
          </w:p>
        </w:tc>
        <w:tc>
          <w:tcPr>
            <w:tcW w:w="960" w:type="dxa"/>
            <w:tcBorders>
              <w:top w:val="nil"/>
              <w:left w:val="nil"/>
              <w:bottom w:val="nil"/>
              <w:right w:val="nil"/>
            </w:tcBorders>
            <w:shd w:val="clear" w:color="auto" w:fill="auto"/>
            <w:vAlign w:val="center"/>
            <w:hideMark/>
          </w:tcPr>
          <w:p w14:paraId="069F9A8C"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2 336,8</w:t>
            </w:r>
          </w:p>
        </w:tc>
        <w:tc>
          <w:tcPr>
            <w:tcW w:w="960" w:type="dxa"/>
            <w:tcBorders>
              <w:top w:val="nil"/>
              <w:left w:val="nil"/>
              <w:bottom w:val="nil"/>
              <w:right w:val="single" w:sz="4" w:space="0" w:color="auto"/>
            </w:tcBorders>
            <w:shd w:val="clear" w:color="auto" w:fill="auto"/>
            <w:vAlign w:val="center"/>
            <w:hideMark/>
          </w:tcPr>
          <w:p w14:paraId="33F89B9E"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2 304,6</w:t>
            </w:r>
          </w:p>
        </w:tc>
        <w:tc>
          <w:tcPr>
            <w:tcW w:w="960" w:type="dxa"/>
            <w:tcBorders>
              <w:top w:val="nil"/>
              <w:left w:val="nil"/>
              <w:bottom w:val="nil"/>
              <w:right w:val="nil"/>
            </w:tcBorders>
            <w:shd w:val="clear" w:color="auto" w:fill="auto"/>
            <w:vAlign w:val="center"/>
            <w:hideMark/>
          </w:tcPr>
          <w:p w14:paraId="6376BD0F"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91,3</w:t>
            </w:r>
          </w:p>
        </w:tc>
        <w:tc>
          <w:tcPr>
            <w:tcW w:w="960" w:type="dxa"/>
            <w:tcBorders>
              <w:top w:val="nil"/>
              <w:left w:val="nil"/>
              <w:bottom w:val="nil"/>
              <w:right w:val="nil"/>
            </w:tcBorders>
            <w:shd w:val="clear" w:color="auto" w:fill="auto"/>
            <w:vAlign w:val="center"/>
            <w:hideMark/>
          </w:tcPr>
          <w:p w14:paraId="5D3FDF4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54,5</w:t>
            </w:r>
          </w:p>
        </w:tc>
        <w:tc>
          <w:tcPr>
            <w:tcW w:w="960" w:type="dxa"/>
            <w:tcBorders>
              <w:top w:val="nil"/>
              <w:left w:val="nil"/>
              <w:bottom w:val="nil"/>
              <w:right w:val="nil"/>
            </w:tcBorders>
            <w:shd w:val="clear" w:color="auto" w:fill="auto"/>
            <w:vAlign w:val="center"/>
            <w:hideMark/>
          </w:tcPr>
          <w:p w14:paraId="7665D08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36,7</w:t>
            </w:r>
          </w:p>
        </w:tc>
      </w:tr>
      <w:tr w:rsidR="00184B5C" w:rsidRPr="00D92E20" w14:paraId="11C067F3" w14:textId="77777777" w:rsidTr="00184B5C">
        <w:trPr>
          <w:trHeight w:val="300"/>
        </w:trPr>
        <w:tc>
          <w:tcPr>
            <w:tcW w:w="960" w:type="dxa"/>
            <w:tcBorders>
              <w:top w:val="nil"/>
              <w:left w:val="nil"/>
              <w:bottom w:val="nil"/>
              <w:right w:val="nil"/>
            </w:tcBorders>
            <w:shd w:val="clear" w:color="auto" w:fill="auto"/>
            <w:vAlign w:val="center"/>
            <w:hideMark/>
          </w:tcPr>
          <w:p w14:paraId="0F911585"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2019</w:t>
            </w:r>
          </w:p>
        </w:tc>
        <w:tc>
          <w:tcPr>
            <w:tcW w:w="960" w:type="dxa"/>
            <w:tcBorders>
              <w:top w:val="nil"/>
              <w:left w:val="single" w:sz="4" w:space="0" w:color="auto"/>
              <w:bottom w:val="nil"/>
              <w:right w:val="nil"/>
            </w:tcBorders>
            <w:shd w:val="clear" w:color="auto" w:fill="auto"/>
            <w:vAlign w:val="center"/>
            <w:hideMark/>
          </w:tcPr>
          <w:p w14:paraId="4BF346EA"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4 732,9</w:t>
            </w:r>
          </w:p>
        </w:tc>
        <w:tc>
          <w:tcPr>
            <w:tcW w:w="960" w:type="dxa"/>
            <w:tcBorders>
              <w:top w:val="nil"/>
              <w:left w:val="nil"/>
              <w:bottom w:val="nil"/>
              <w:right w:val="nil"/>
            </w:tcBorders>
            <w:shd w:val="clear" w:color="auto" w:fill="auto"/>
            <w:vAlign w:val="center"/>
            <w:hideMark/>
          </w:tcPr>
          <w:p w14:paraId="4EF4504E"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2 384,9</w:t>
            </w:r>
          </w:p>
        </w:tc>
        <w:tc>
          <w:tcPr>
            <w:tcW w:w="960" w:type="dxa"/>
            <w:tcBorders>
              <w:top w:val="nil"/>
              <w:left w:val="nil"/>
              <w:bottom w:val="nil"/>
              <w:right w:val="single" w:sz="4" w:space="0" w:color="auto"/>
            </w:tcBorders>
            <w:shd w:val="clear" w:color="auto" w:fill="auto"/>
            <w:vAlign w:val="center"/>
            <w:hideMark/>
          </w:tcPr>
          <w:p w14:paraId="0DB99D40"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2 348,0</w:t>
            </w:r>
          </w:p>
        </w:tc>
        <w:tc>
          <w:tcPr>
            <w:tcW w:w="1060" w:type="dxa"/>
            <w:tcBorders>
              <w:top w:val="nil"/>
              <w:left w:val="nil"/>
              <w:bottom w:val="nil"/>
              <w:right w:val="nil"/>
            </w:tcBorders>
            <w:shd w:val="clear" w:color="auto" w:fill="auto"/>
            <w:vAlign w:val="center"/>
            <w:hideMark/>
          </w:tcPr>
          <w:p w14:paraId="24D25CB8"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4 638,5</w:t>
            </w:r>
          </w:p>
        </w:tc>
        <w:tc>
          <w:tcPr>
            <w:tcW w:w="960" w:type="dxa"/>
            <w:tcBorders>
              <w:top w:val="nil"/>
              <w:left w:val="nil"/>
              <w:bottom w:val="nil"/>
              <w:right w:val="nil"/>
            </w:tcBorders>
            <w:shd w:val="clear" w:color="auto" w:fill="auto"/>
            <w:vAlign w:val="center"/>
            <w:hideMark/>
          </w:tcPr>
          <w:p w14:paraId="353BC8B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2 329,4</w:t>
            </w:r>
          </w:p>
        </w:tc>
        <w:tc>
          <w:tcPr>
            <w:tcW w:w="960" w:type="dxa"/>
            <w:tcBorders>
              <w:top w:val="nil"/>
              <w:left w:val="nil"/>
              <w:bottom w:val="nil"/>
              <w:right w:val="single" w:sz="4" w:space="0" w:color="auto"/>
            </w:tcBorders>
            <w:shd w:val="clear" w:color="auto" w:fill="auto"/>
            <w:vAlign w:val="center"/>
            <w:hideMark/>
          </w:tcPr>
          <w:p w14:paraId="51903ECB"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2 309,1</w:t>
            </w:r>
          </w:p>
        </w:tc>
        <w:tc>
          <w:tcPr>
            <w:tcW w:w="960" w:type="dxa"/>
            <w:tcBorders>
              <w:top w:val="nil"/>
              <w:left w:val="nil"/>
              <w:bottom w:val="nil"/>
              <w:right w:val="nil"/>
            </w:tcBorders>
            <w:shd w:val="clear" w:color="auto" w:fill="auto"/>
            <w:vAlign w:val="center"/>
            <w:hideMark/>
          </w:tcPr>
          <w:p w14:paraId="25C5C69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94,4</w:t>
            </w:r>
          </w:p>
        </w:tc>
        <w:tc>
          <w:tcPr>
            <w:tcW w:w="960" w:type="dxa"/>
            <w:tcBorders>
              <w:top w:val="nil"/>
              <w:left w:val="nil"/>
              <w:bottom w:val="nil"/>
              <w:right w:val="nil"/>
            </w:tcBorders>
            <w:shd w:val="clear" w:color="auto" w:fill="auto"/>
            <w:vAlign w:val="center"/>
            <w:hideMark/>
          </w:tcPr>
          <w:p w14:paraId="2F5F73D5"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55,5</w:t>
            </w:r>
          </w:p>
        </w:tc>
        <w:tc>
          <w:tcPr>
            <w:tcW w:w="960" w:type="dxa"/>
            <w:tcBorders>
              <w:top w:val="nil"/>
              <w:left w:val="nil"/>
              <w:bottom w:val="nil"/>
              <w:right w:val="nil"/>
            </w:tcBorders>
            <w:shd w:val="clear" w:color="auto" w:fill="auto"/>
            <w:vAlign w:val="center"/>
            <w:hideMark/>
          </w:tcPr>
          <w:p w14:paraId="7BEB6CF8"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39,0</w:t>
            </w:r>
          </w:p>
        </w:tc>
      </w:tr>
      <w:tr w:rsidR="00184B5C" w:rsidRPr="00D92E20" w14:paraId="391F2A1A" w14:textId="77777777" w:rsidTr="00184B5C">
        <w:trPr>
          <w:trHeight w:val="300"/>
        </w:trPr>
        <w:tc>
          <w:tcPr>
            <w:tcW w:w="960" w:type="dxa"/>
            <w:tcBorders>
              <w:top w:val="nil"/>
              <w:left w:val="nil"/>
              <w:bottom w:val="nil"/>
              <w:right w:val="nil"/>
            </w:tcBorders>
            <w:shd w:val="clear" w:color="auto" w:fill="auto"/>
            <w:vAlign w:val="center"/>
            <w:hideMark/>
          </w:tcPr>
          <w:p w14:paraId="1D608083" w14:textId="77777777" w:rsidR="00184B5C" w:rsidRPr="00D92E20" w:rsidRDefault="00184B5C" w:rsidP="00184B5C">
            <w:pPr>
              <w:spacing w:after="0" w:line="240" w:lineRule="auto"/>
              <w:jc w:val="center"/>
              <w:rPr>
                <w:rFonts w:cs="Arial"/>
                <w:color w:val="000000"/>
                <w:sz w:val="16"/>
                <w:szCs w:val="16"/>
              </w:rPr>
            </w:pPr>
            <w:r w:rsidRPr="00D92E20">
              <w:rPr>
                <w:rFonts w:cs="Arial"/>
                <w:color w:val="000000"/>
                <w:sz w:val="16"/>
                <w:szCs w:val="16"/>
              </w:rPr>
              <w:t>2020</w:t>
            </w:r>
          </w:p>
        </w:tc>
        <w:tc>
          <w:tcPr>
            <w:tcW w:w="960" w:type="dxa"/>
            <w:tcBorders>
              <w:top w:val="nil"/>
              <w:left w:val="single" w:sz="4" w:space="0" w:color="auto"/>
              <w:bottom w:val="nil"/>
              <w:right w:val="nil"/>
            </w:tcBorders>
            <w:shd w:val="clear" w:color="auto" w:fill="auto"/>
            <w:vAlign w:val="center"/>
            <w:hideMark/>
          </w:tcPr>
          <w:p w14:paraId="1A2EF403"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4 690,4</w:t>
            </w:r>
          </w:p>
        </w:tc>
        <w:tc>
          <w:tcPr>
            <w:tcW w:w="960" w:type="dxa"/>
            <w:tcBorders>
              <w:top w:val="nil"/>
              <w:left w:val="nil"/>
              <w:bottom w:val="nil"/>
              <w:right w:val="nil"/>
            </w:tcBorders>
            <w:shd w:val="clear" w:color="auto" w:fill="auto"/>
            <w:vAlign w:val="center"/>
            <w:hideMark/>
          </w:tcPr>
          <w:p w14:paraId="1653E970"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2 354,0</w:t>
            </w:r>
          </w:p>
        </w:tc>
        <w:tc>
          <w:tcPr>
            <w:tcW w:w="960" w:type="dxa"/>
            <w:tcBorders>
              <w:top w:val="nil"/>
              <w:left w:val="nil"/>
              <w:bottom w:val="nil"/>
              <w:right w:val="single" w:sz="4" w:space="0" w:color="auto"/>
            </w:tcBorders>
            <w:shd w:val="clear" w:color="auto" w:fill="auto"/>
            <w:vAlign w:val="center"/>
            <w:hideMark/>
          </w:tcPr>
          <w:p w14:paraId="2C2F391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2 336,4</w:t>
            </w:r>
          </w:p>
        </w:tc>
        <w:tc>
          <w:tcPr>
            <w:tcW w:w="1060" w:type="dxa"/>
            <w:tcBorders>
              <w:top w:val="nil"/>
              <w:left w:val="nil"/>
              <w:bottom w:val="nil"/>
              <w:right w:val="nil"/>
            </w:tcBorders>
            <w:shd w:val="clear" w:color="auto" w:fill="auto"/>
            <w:vAlign w:val="center"/>
            <w:hideMark/>
          </w:tcPr>
          <w:p w14:paraId="2AAD10AD"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4 594,7</w:t>
            </w:r>
          </w:p>
        </w:tc>
        <w:tc>
          <w:tcPr>
            <w:tcW w:w="960" w:type="dxa"/>
            <w:tcBorders>
              <w:top w:val="nil"/>
              <w:left w:val="nil"/>
              <w:bottom w:val="nil"/>
              <w:right w:val="nil"/>
            </w:tcBorders>
            <w:shd w:val="clear" w:color="auto" w:fill="auto"/>
            <w:vAlign w:val="center"/>
            <w:hideMark/>
          </w:tcPr>
          <w:p w14:paraId="4C658BF9"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2 298,4</w:t>
            </w:r>
          </w:p>
        </w:tc>
        <w:tc>
          <w:tcPr>
            <w:tcW w:w="960" w:type="dxa"/>
            <w:tcBorders>
              <w:top w:val="nil"/>
              <w:left w:val="nil"/>
              <w:bottom w:val="nil"/>
              <w:right w:val="single" w:sz="4" w:space="0" w:color="auto"/>
            </w:tcBorders>
            <w:shd w:val="clear" w:color="auto" w:fill="auto"/>
            <w:vAlign w:val="center"/>
            <w:hideMark/>
          </w:tcPr>
          <w:p w14:paraId="6EB7A21A"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2 296,3</w:t>
            </w:r>
          </w:p>
        </w:tc>
        <w:tc>
          <w:tcPr>
            <w:tcW w:w="960" w:type="dxa"/>
            <w:tcBorders>
              <w:top w:val="nil"/>
              <w:left w:val="nil"/>
              <w:bottom w:val="nil"/>
              <w:right w:val="nil"/>
            </w:tcBorders>
            <w:shd w:val="clear" w:color="auto" w:fill="auto"/>
            <w:vAlign w:val="center"/>
            <w:hideMark/>
          </w:tcPr>
          <w:p w14:paraId="15D2A6B3"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95,7</w:t>
            </w:r>
          </w:p>
        </w:tc>
        <w:tc>
          <w:tcPr>
            <w:tcW w:w="960" w:type="dxa"/>
            <w:tcBorders>
              <w:top w:val="nil"/>
              <w:left w:val="nil"/>
              <w:bottom w:val="nil"/>
              <w:right w:val="nil"/>
            </w:tcBorders>
            <w:shd w:val="clear" w:color="auto" w:fill="auto"/>
            <w:vAlign w:val="center"/>
            <w:hideMark/>
          </w:tcPr>
          <w:p w14:paraId="4D51E031"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55,5</w:t>
            </w:r>
          </w:p>
        </w:tc>
        <w:tc>
          <w:tcPr>
            <w:tcW w:w="960" w:type="dxa"/>
            <w:tcBorders>
              <w:top w:val="nil"/>
              <w:left w:val="nil"/>
              <w:bottom w:val="nil"/>
              <w:right w:val="nil"/>
            </w:tcBorders>
            <w:shd w:val="clear" w:color="auto" w:fill="auto"/>
            <w:vAlign w:val="center"/>
            <w:hideMark/>
          </w:tcPr>
          <w:p w14:paraId="5912965C" w14:textId="77777777" w:rsidR="00184B5C" w:rsidRPr="00D92E20" w:rsidRDefault="00184B5C" w:rsidP="00184B5C">
            <w:pPr>
              <w:spacing w:after="0" w:line="240" w:lineRule="auto"/>
              <w:jc w:val="right"/>
              <w:rPr>
                <w:rFonts w:cs="Arial"/>
                <w:color w:val="000000"/>
                <w:sz w:val="16"/>
                <w:szCs w:val="16"/>
              </w:rPr>
            </w:pPr>
            <w:r w:rsidRPr="00D92E20">
              <w:rPr>
                <w:rFonts w:cs="Arial"/>
                <w:color w:val="000000"/>
                <w:sz w:val="16"/>
                <w:szCs w:val="16"/>
              </w:rPr>
              <w:t>40,1</w:t>
            </w:r>
          </w:p>
        </w:tc>
      </w:tr>
    </w:tbl>
    <w:p w14:paraId="7B9F09BF" w14:textId="77777777" w:rsidR="00184B5C" w:rsidRPr="00D92E20" w:rsidRDefault="00184B5C" w:rsidP="00184B5C">
      <w:pPr>
        <w:spacing w:before="120" w:after="120"/>
        <w:jc w:val="both"/>
        <w:rPr>
          <w:rFonts w:cs="Arial"/>
          <w:bCs/>
          <w:color w:val="000000"/>
          <w:sz w:val="16"/>
          <w:szCs w:val="20"/>
        </w:rPr>
      </w:pPr>
      <w:r w:rsidRPr="00D92E20">
        <w:rPr>
          <w:rFonts w:cs="Arial"/>
          <w:bCs/>
          <w:color w:val="000000"/>
          <w:sz w:val="16"/>
          <w:szCs w:val="20"/>
        </w:rPr>
        <w:t>Zdroj: ČSÚ</w:t>
      </w:r>
    </w:p>
    <w:p w14:paraId="1F45F094" w14:textId="14A4AD4C" w:rsidR="0018528F" w:rsidRPr="00D92E20" w:rsidRDefault="005D14C3" w:rsidP="00155829">
      <w:pPr>
        <w:spacing w:after="120"/>
        <w:jc w:val="both"/>
      </w:pPr>
      <w:r w:rsidRPr="00D92E20">
        <w:t xml:space="preserve">Počet </w:t>
      </w:r>
      <w:r w:rsidRPr="00D92E20">
        <w:rPr>
          <w:b/>
        </w:rPr>
        <w:t>dobrovolně nemocensky pojištěných</w:t>
      </w:r>
      <w:r w:rsidRPr="00D92E20">
        <w:t xml:space="preserve"> – tedy</w:t>
      </w:r>
      <w:r w:rsidR="00AC7EEB" w:rsidRPr="00D92E20">
        <w:t xml:space="preserve"> </w:t>
      </w:r>
      <w:r w:rsidR="00AC7EEB" w:rsidRPr="00D92E20">
        <w:rPr>
          <w:b/>
        </w:rPr>
        <w:t>osob samostatně výdělečně činných</w:t>
      </w:r>
      <w:r w:rsidRPr="00D92E20">
        <w:t xml:space="preserve"> </w:t>
      </w:r>
      <w:r w:rsidR="00AC7EEB" w:rsidRPr="00D92E20">
        <w:rPr>
          <w:b/>
        </w:rPr>
        <w:t>(</w:t>
      </w:r>
      <w:r w:rsidRPr="00D92E20">
        <w:rPr>
          <w:b/>
        </w:rPr>
        <w:t>OSVČ</w:t>
      </w:r>
      <w:r w:rsidR="00AC7EEB" w:rsidRPr="00D92E20">
        <w:rPr>
          <w:b/>
        </w:rPr>
        <w:t>)</w:t>
      </w:r>
      <w:r w:rsidRPr="00D92E20">
        <w:t xml:space="preserve"> </w:t>
      </w:r>
      <w:r w:rsidR="00B74855">
        <w:br/>
      </w:r>
      <w:r w:rsidRPr="00D92E20">
        <w:t>– naopak pokračoval v rostoucím trendu nastoleném od roku 2016. Jejich počet v roce 2020 dosáhl téměř 96</w:t>
      </w:r>
      <w:r w:rsidR="00361B7D" w:rsidRPr="00D92E20">
        <w:t> </w:t>
      </w:r>
      <w:r w:rsidRPr="00D92E20">
        <w:t xml:space="preserve">tis., meziročně o 1,3 % více. Přesto podíl pojištěných OSVČ na celkovém počtu </w:t>
      </w:r>
      <w:r w:rsidR="005A1638" w:rsidRPr="00D92E20">
        <w:t>OSVČ</w:t>
      </w:r>
      <w:r w:rsidRPr="00D92E20">
        <w:t xml:space="preserve"> </w:t>
      </w:r>
      <w:r w:rsidR="005A1638" w:rsidRPr="00D92E20">
        <w:t>vykonávajících</w:t>
      </w:r>
      <w:r w:rsidRPr="00D92E20">
        <w:t xml:space="preserve"> hlavní činnost dosáhl necelých 16 %. Muži se na počtu nemocensky pojištěných OSVČ podíleli z 58 %, žen bylo 42 %. Je však třeba zdůraznit, že i přes výše uvedený nárůst, počet pojištěnců v rámci OSVČ stále nedosahuje hodnot z minulosti, kdy např. před deseti lety jich bylo </w:t>
      </w:r>
      <w:r w:rsidR="005A1638" w:rsidRPr="00D92E20">
        <w:t>nemocensky</w:t>
      </w:r>
      <w:r w:rsidRPr="00D92E20">
        <w:t xml:space="preserve"> pojištěno o 83 tis. více než v roce 2020. </w:t>
      </w:r>
      <w:r w:rsidR="005A1638" w:rsidRPr="00D92E20">
        <w:t>Tehdy p</w:t>
      </w:r>
      <w:r w:rsidRPr="00D92E20">
        <w:t>ředstavovali 2</w:t>
      </w:r>
      <w:r w:rsidR="001E0E41" w:rsidRPr="00D92E20">
        <w:t>8</w:t>
      </w:r>
      <w:r w:rsidRPr="00D92E20">
        <w:t xml:space="preserve">% podíl ze všech OSVČ </w:t>
      </w:r>
      <w:r w:rsidR="005A1638" w:rsidRPr="00D92E20">
        <w:t xml:space="preserve">vykonávajících </w:t>
      </w:r>
      <w:r w:rsidRPr="00D92E20">
        <w:t>hlavní činnost.</w:t>
      </w:r>
    </w:p>
    <w:p w14:paraId="592B31E9" w14:textId="662B041D" w:rsidR="001E0E41" w:rsidRPr="00D92E20" w:rsidRDefault="001E0E41" w:rsidP="00155829">
      <w:pPr>
        <w:spacing w:after="120"/>
        <w:jc w:val="both"/>
      </w:pPr>
      <w:r w:rsidRPr="00D92E20">
        <w:lastRenderedPageBreak/>
        <w:t xml:space="preserve">Pomineme-li </w:t>
      </w:r>
      <w:r w:rsidR="0018528F" w:rsidRPr="00D92E20">
        <w:t xml:space="preserve">meziroční </w:t>
      </w:r>
      <w:r w:rsidRPr="00D92E20">
        <w:t>pokles v</w:t>
      </w:r>
      <w:r w:rsidR="0018528F" w:rsidRPr="00D92E20">
        <w:t> roce 2020 a stagnaci v roce předchozím</w:t>
      </w:r>
      <w:r w:rsidRPr="00D92E20">
        <w:t xml:space="preserve">, je patrné, že vlivem rostoucího počtu zaměstnanců se od roku 2014 kontinuálně zvyšoval i průměrný počet nemocensky pojištěných. Mezi </w:t>
      </w:r>
      <w:r w:rsidR="0018528F" w:rsidRPr="00D92E20">
        <w:t>roky</w:t>
      </w:r>
      <w:r w:rsidRPr="00D92E20">
        <w:t xml:space="preserve"> 2014 a 20</w:t>
      </w:r>
      <w:r w:rsidR="00FF3D8E" w:rsidRPr="00D92E20">
        <w:t>18</w:t>
      </w:r>
      <w:r w:rsidRPr="00D92E20">
        <w:t xml:space="preserve"> došlo k nárůstu počtu pojištěnců </w:t>
      </w:r>
      <w:r w:rsidR="00FF3D8E" w:rsidRPr="00D92E20">
        <w:t xml:space="preserve">mezi zaměstnanci </w:t>
      </w:r>
      <w:r w:rsidRPr="00D92E20">
        <w:t xml:space="preserve">o </w:t>
      </w:r>
      <w:r w:rsidR="00867F67" w:rsidRPr="00D92E20">
        <w:t xml:space="preserve">6,5 </w:t>
      </w:r>
      <w:r w:rsidRPr="00D92E20">
        <w:t>% (</w:t>
      </w:r>
      <w:r w:rsidR="00867F67" w:rsidRPr="00D92E20">
        <w:t xml:space="preserve">283 </w:t>
      </w:r>
      <w:r w:rsidRPr="00D92E20">
        <w:t xml:space="preserve">tis.). Na tomto nárůstu se podílely především ženy. Za </w:t>
      </w:r>
      <w:r w:rsidR="00FF3D8E" w:rsidRPr="00D92E20">
        <w:t xml:space="preserve">těchto pět </w:t>
      </w:r>
      <w:r w:rsidRPr="00D92E20">
        <w:t xml:space="preserve">let vzrostl </w:t>
      </w:r>
      <w:r w:rsidRPr="00D92E20">
        <w:rPr>
          <w:b/>
        </w:rPr>
        <w:t xml:space="preserve">počet nemocensky pojištěných </w:t>
      </w:r>
      <w:r w:rsidR="00FF3D8E" w:rsidRPr="00D92E20">
        <w:rPr>
          <w:b/>
        </w:rPr>
        <w:t xml:space="preserve">zaměstnankyň </w:t>
      </w:r>
      <w:r w:rsidRPr="00D92E20">
        <w:t xml:space="preserve">o </w:t>
      </w:r>
      <w:r w:rsidR="0018528F" w:rsidRPr="00D92E20">
        <w:t>7</w:t>
      </w:r>
      <w:r w:rsidRPr="00D92E20">
        <w:t xml:space="preserve"> % (</w:t>
      </w:r>
      <w:r w:rsidR="00867F67" w:rsidRPr="00D92E20">
        <w:t xml:space="preserve">154 </w:t>
      </w:r>
      <w:r w:rsidRPr="00D92E20">
        <w:t>tis.). Ve srovn</w:t>
      </w:r>
      <w:r w:rsidR="0018528F" w:rsidRPr="00D92E20">
        <w:t>ání se situací před 10 lety</w:t>
      </w:r>
      <w:r w:rsidRPr="00D92E20">
        <w:t xml:space="preserve">, </w:t>
      </w:r>
      <w:r w:rsidR="00FF3D8E" w:rsidRPr="00D92E20">
        <w:t>bylo v roce 2020</w:t>
      </w:r>
      <w:r w:rsidRPr="00D92E20">
        <w:t xml:space="preserve"> pojištěných žen dokonce o </w:t>
      </w:r>
      <w:r w:rsidR="0018528F" w:rsidRPr="00D92E20">
        <w:t>1</w:t>
      </w:r>
      <w:r w:rsidR="00FF3D8E" w:rsidRPr="00D92E20">
        <w:t>4</w:t>
      </w:r>
      <w:r w:rsidRPr="00D92E20">
        <w:t xml:space="preserve"> % (o 2</w:t>
      </w:r>
      <w:r w:rsidR="00FF3D8E" w:rsidRPr="00D92E20">
        <w:t>85</w:t>
      </w:r>
      <w:r w:rsidRPr="00D92E20">
        <w:t xml:space="preserve"> tis.) více.</w:t>
      </w:r>
    </w:p>
    <w:p w14:paraId="692690CF" w14:textId="77777777" w:rsidR="00EA098E" w:rsidRPr="00D92E20" w:rsidRDefault="00EA098E" w:rsidP="00155829">
      <w:pPr>
        <w:spacing w:after="120"/>
        <w:jc w:val="both"/>
      </w:pPr>
      <w:r w:rsidRPr="00D92E20">
        <w:t>Z </w:t>
      </w:r>
      <w:r w:rsidRPr="00D92E20">
        <w:rPr>
          <w:b/>
        </w:rPr>
        <w:t>regionálního pohledu</w:t>
      </w:r>
      <w:r w:rsidRPr="00D92E20">
        <w:t xml:space="preserve"> je nejvyšší průměrný počet nemocensky pojištěných v hlavním městě Praze, a to 1 253 tis. (</w:t>
      </w:r>
      <w:r w:rsidR="004066CC" w:rsidRPr="00D92E20">
        <w:t>více než čtvrtina</w:t>
      </w:r>
      <w:r w:rsidRPr="00D92E20">
        <w:t xml:space="preserve"> republikové hodnoty). Zásadní roli zde sehrává skutečnost, že data v krajském třídění jsou zpracována podle sídla zaměstnavatele, resp. jeho mzdové účtárny a není výjimkou, aby firma se sídlem v Praze působila v jiných regionech či dokonce celorepublikově. Druhé a třetí místo obsadily Jihomoravský kraj s 50</w:t>
      </w:r>
      <w:r w:rsidR="004066CC" w:rsidRPr="00D92E20">
        <w:t>8</w:t>
      </w:r>
      <w:r w:rsidRPr="00D92E20">
        <w:t xml:space="preserve"> tis. pojištěnců a Moravskoslezský kraj s 46</w:t>
      </w:r>
      <w:r w:rsidR="004066CC" w:rsidRPr="00D92E20">
        <w:t>7</w:t>
      </w:r>
      <w:r w:rsidRPr="00D92E20">
        <w:t xml:space="preserve"> tis. pojištěnců. Každý z těchto </w:t>
      </w:r>
      <w:r w:rsidR="004066CC" w:rsidRPr="00D92E20">
        <w:t xml:space="preserve">dvou </w:t>
      </w:r>
      <w:r w:rsidRPr="00D92E20">
        <w:t>krajů se na celkovém počtu nemocensky pojištěných v Česku podílí přibližně z jedné desetiny. Středočeský kraj, jakožto nejlidnatější kraj ČR, se umístil až na čtvrté příčce s 45</w:t>
      </w:r>
      <w:r w:rsidR="004066CC" w:rsidRPr="00D92E20">
        <w:t>4</w:t>
      </w:r>
      <w:r w:rsidRPr="00D92E20">
        <w:t xml:space="preserve"> tis. pojištěnců (9,</w:t>
      </w:r>
      <w:r w:rsidR="004066CC" w:rsidRPr="00D92E20">
        <w:t>7</w:t>
      </w:r>
      <w:r w:rsidRPr="00D92E20">
        <w:t xml:space="preserve"> %). Jedním z faktorů, který toto ovlivňuje, je bezesporu dojíždění Středočechů za zaměstnáním do Prahy.</w:t>
      </w:r>
    </w:p>
    <w:p w14:paraId="078E34E3" w14:textId="77777777" w:rsidR="00E03972" w:rsidRPr="00D92E20" w:rsidRDefault="004066CC" w:rsidP="00155829">
      <w:pPr>
        <w:spacing w:after="120"/>
        <w:jc w:val="both"/>
      </w:pPr>
      <w:r w:rsidRPr="00D92E20">
        <w:t xml:space="preserve">Co se týče </w:t>
      </w:r>
      <w:r w:rsidRPr="00D92E20">
        <w:rPr>
          <w:b/>
        </w:rPr>
        <w:t xml:space="preserve">velikosti </w:t>
      </w:r>
      <w:r w:rsidR="005A1638" w:rsidRPr="00D92E20">
        <w:rPr>
          <w:b/>
        </w:rPr>
        <w:t>podniku</w:t>
      </w:r>
      <w:r w:rsidRPr="00D92E20">
        <w:t>, třetina nemocensky pojištěných osob (1 534 tis.) pracuje ve velkých firmách s 500 a více zaměstnanci</w:t>
      </w:r>
      <w:r w:rsidR="00E03972" w:rsidRPr="00D92E20">
        <w:t>.</w:t>
      </w:r>
      <w:r w:rsidRPr="00D92E20">
        <w:t xml:space="preserve"> </w:t>
      </w:r>
      <w:r w:rsidR="00E03972" w:rsidRPr="00D92E20">
        <w:t xml:space="preserve">Za posledních deset let jejich počet </w:t>
      </w:r>
      <w:r w:rsidR="00174F62" w:rsidRPr="00D92E20">
        <w:t xml:space="preserve">vzrostl </w:t>
      </w:r>
      <w:r w:rsidR="00E03972" w:rsidRPr="00D92E20">
        <w:t>téměř o 320 tis. osob. Další třetina</w:t>
      </w:r>
      <w:r w:rsidRPr="00D92E20">
        <w:t xml:space="preserve"> připadá na </w:t>
      </w:r>
      <w:r w:rsidR="00174F62" w:rsidRPr="00D92E20">
        <w:t>podniky mající</w:t>
      </w:r>
      <w:r w:rsidRPr="00D92E20">
        <w:t xml:space="preserve"> do 50 zaměstnanců, kde v </w:t>
      </w:r>
      <w:r w:rsidR="00E03972" w:rsidRPr="00D92E20">
        <w:t>roce</w:t>
      </w:r>
      <w:r w:rsidRPr="00D92E20">
        <w:t xml:space="preserve"> 2020 pracovalo </w:t>
      </w:r>
      <w:r w:rsidR="00E03972" w:rsidRPr="00D92E20">
        <w:t xml:space="preserve">téměř </w:t>
      </w:r>
      <w:r w:rsidRPr="00D92E20">
        <w:t xml:space="preserve">1,5 mil. nemocensky pojištěných osob. Nejnižší podíl mezi nemocensky pojištěnými osobami představují </w:t>
      </w:r>
      <w:r w:rsidRPr="00D92E20">
        <w:rPr>
          <w:b/>
        </w:rPr>
        <w:t>OSVČ</w:t>
      </w:r>
      <w:r w:rsidRPr="00D92E20">
        <w:t>, které jsou</w:t>
      </w:r>
      <w:r w:rsidR="00E03972" w:rsidRPr="00D92E20">
        <w:t>, jak už bylo zmíněno,</w:t>
      </w:r>
      <w:r w:rsidRPr="00D92E20">
        <w:t xml:space="preserve"> pojištěny dobrovolně. V </w:t>
      </w:r>
      <w:r w:rsidR="00E03972" w:rsidRPr="00D92E20">
        <w:t>roce</w:t>
      </w:r>
      <w:r w:rsidRPr="00D92E20">
        <w:t xml:space="preserve"> 2020 </w:t>
      </w:r>
      <w:r w:rsidR="00E03972" w:rsidRPr="00D92E20">
        <w:t>tvořily</w:t>
      </w:r>
      <w:r w:rsidRPr="00D92E20">
        <w:t xml:space="preserve"> </w:t>
      </w:r>
      <w:r w:rsidR="00E03972" w:rsidRPr="00D92E20">
        <w:t>pouhá</w:t>
      </w:r>
      <w:r w:rsidRPr="00D92E20">
        <w:t xml:space="preserve"> 2 % z celkového počtu pojištěnců v ČR. Před deseti lety byl jejich podíl dvojnásobný.</w:t>
      </w:r>
      <w:r w:rsidR="00E03972" w:rsidRPr="00D92E20">
        <w:t xml:space="preserve"> </w:t>
      </w:r>
    </w:p>
    <w:p w14:paraId="758F9A37" w14:textId="77777777" w:rsidR="00E03972" w:rsidRPr="00D92E20" w:rsidRDefault="00155829" w:rsidP="00155829">
      <w:pPr>
        <w:spacing w:after="0"/>
        <w:jc w:val="both"/>
        <w:rPr>
          <w:sz w:val="16"/>
        </w:rPr>
      </w:pPr>
      <w:r w:rsidRPr="00D92E20">
        <w:rPr>
          <w:noProof/>
        </w:rPr>
        <w:drawing>
          <wp:anchor distT="0" distB="0" distL="114300" distR="114300" simplePos="0" relativeHeight="251662848" behindDoc="1" locked="0" layoutInCell="1" allowOverlap="1" wp14:anchorId="1600464D" wp14:editId="2395AD66">
            <wp:simplePos x="0" y="0"/>
            <wp:positionH relativeFrom="column">
              <wp:posOffset>2613660</wp:posOffset>
            </wp:positionH>
            <wp:positionV relativeFrom="paragraph">
              <wp:posOffset>436245</wp:posOffset>
            </wp:positionV>
            <wp:extent cx="3495675" cy="2743200"/>
            <wp:effectExtent l="0" t="0" r="9525" b="0"/>
            <wp:wrapSquare wrapText="bothSides"/>
            <wp:docPr id="15" name="Graf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sidRPr="00D92E20">
        <w:rPr>
          <w:noProof/>
        </w:rPr>
        <w:drawing>
          <wp:anchor distT="0" distB="0" distL="114300" distR="114300" simplePos="0" relativeHeight="251663872" behindDoc="1" locked="0" layoutInCell="1" allowOverlap="1" wp14:anchorId="4029E916" wp14:editId="22DFD253">
            <wp:simplePos x="0" y="0"/>
            <wp:positionH relativeFrom="column">
              <wp:posOffset>3810</wp:posOffset>
            </wp:positionH>
            <wp:positionV relativeFrom="paragraph">
              <wp:posOffset>436245</wp:posOffset>
            </wp:positionV>
            <wp:extent cx="2609850" cy="2743200"/>
            <wp:effectExtent l="0" t="0" r="0" b="0"/>
            <wp:wrapSquare wrapText="bothSides"/>
            <wp:docPr id="14" name="Graf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E03972" w:rsidRPr="00D92E20">
        <w:rPr>
          <w:b/>
        </w:rPr>
        <w:t>Graf 1.1: P</w:t>
      </w:r>
      <w:r w:rsidR="00684AA4" w:rsidRPr="00D92E20">
        <w:rPr>
          <w:b/>
        </w:rPr>
        <w:t>růměrný</w:t>
      </w:r>
      <w:r w:rsidR="00E03972" w:rsidRPr="00D92E20">
        <w:rPr>
          <w:b/>
        </w:rPr>
        <w:t xml:space="preserve"> počet nemocensky pojištěných osob podle velikosti</w:t>
      </w:r>
      <w:r w:rsidR="00E03972" w:rsidRPr="00D92E20">
        <w:t xml:space="preserve"> </w:t>
      </w:r>
      <w:r w:rsidR="00E03972" w:rsidRPr="00D92E20">
        <w:rPr>
          <w:b/>
        </w:rPr>
        <w:t>podniku, 2010, 2015, 2020 (v</w:t>
      </w:r>
      <w:r w:rsidR="00174F62" w:rsidRPr="00D92E20">
        <w:rPr>
          <w:b/>
        </w:rPr>
        <w:t> </w:t>
      </w:r>
      <w:r w:rsidR="00E03972" w:rsidRPr="00D92E20">
        <w:rPr>
          <w:b/>
        </w:rPr>
        <w:t>tis. a v %)</w:t>
      </w:r>
      <w:r w:rsidR="00E03972" w:rsidRPr="00D92E20">
        <w:t xml:space="preserve"> </w:t>
      </w:r>
    </w:p>
    <w:p w14:paraId="211C2133" w14:textId="77777777" w:rsidR="00E03972" w:rsidRPr="00D92E20" w:rsidRDefault="00E03972" w:rsidP="00E03972">
      <w:pPr>
        <w:spacing w:before="60" w:after="120"/>
        <w:jc w:val="both"/>
        <w:rPr>
          <w:sz w:val="16"/>
        </w:rPr>
      </w:pPr>
    </w:p>
    <w:p w14:paraId="4F3266B0" w14:textId="77777777" w:rsidR="00E03972" w:rsidRPr="00D92E20" w:rsidRDefault="00E03972" w:rsidP="00E03972">
      <w:pPr>
        <w:spacing w:before="60" w:after="120"/>
        <w:jc w:val="both"/>
        <w:rPr>
          <w:sz w:val="16"/>
        </w:rPr>
      </w:pPr>
      <w:r w:rsidRPr="00D92E20">
        <w:rPr>
          <w:sz w:val="16"/>
        </w:rPr>
        <w:t>Zdroj: ČSÚ</w:t>
      </w:r>
    </w:p>
    <w:p w14:paraId="5B9A3A83" w14:textId="56B714A3" w:rsidR="00E03972" w:rsidRPr="00D92E20" w:rsidRDefault="00E03972" w:rsidP="00155829">
      <w:pPr>
        <w:spacing w:after="120"/>
        <w:jc w:val="both"/>
      </w:pPr>
      <w:r w:rsidRPr="00D92E20">
        <w:t xml:space="preserve">Nejvíce zastoupenými </w:t>
      </w:r>
      <w:r w:rsidRPr="00D92E20">
        <w:rPr>
          <w:b/>
        </w:rPr>
        <w:t>odvětvími</w:t>
      </w:r>
      <w:r w:rsidRPr="00D92E20">
        <w:t xml:space="preserve">, co do počtu nemocensky pojištěných, jsou sekce Zpracovatelský průmysl a Velkoobchod a maloobchod, opravy a údržba motorových vozidel, což odráží strukturu české ekonomiky. Tato dvě odvětví dohromady zaměstnávají téměř 40 % všech nemocensky pojištěných, přičemž na podniky s převažující ekonomickou činností ve zpracovatelském průmyslu připadá 26 %. V rámci zpracovatelského průmyslu působilo nejvíce nemocensky pojištěných osob v automobilovém průmyslu (CZ-NACE oddíl 29), kde v roce 2020 pracovalo 15 % všech nemocensky pojištěných osob </w:t>
      </w:r>
      <w:r w:rsidR="00684AA4" w:rsidRPr="00D92E20">
        <w:t>ze zpracovatelského průmyslu</w:t>
      </w:r>
      <w:r w:rsidRPr="00D92E20">
        <w:t>. S menším odstupem následovaly kovozpracující (oddíl 25) a strojírenský (oddíl 28)</w:t>
      </w:r>
      <w:r w:rsidR="00FF3D8E" w:rsidRPr="00D92E20">
        <w:t xml:space="preserve"> průmysl</w:t>
      </w:r>
      <w:r w:rsidRPr="00D92E20">
        <w:t>, na které připadalo 13</w:t>
      </w:r>
      <w:r w:rsidR="00684AA4" w:rsidRPr="00D92E20">
        <w:t xml:space="preserve"> %, resp. 10</w:t>
      </w:r>
      <w:r w:rsidRPr="00D92E20">
        <w:t xml:space="preserve"> % ze všech nemocensky pojištěných osob ve zpracovatelském průmyslu.</w:t>
      </w:r>
    </w:p>
    <w:p w14:paraId="46C3A5DB" w14:textId="3A52720F" w:rsidR="00E03972" w:rsidRPr="00D92E20" w:rsidRDefault="00E03972" w:rsidP="00155829">
      <w:pPr>
        <w:spacing w:after="120"/>
        <w:jc w:val="both"/>
      </w:pPr>
      <w:r w:rsidRPr="00D92E20">
        <w:lastRenderedPageBreak/>
        <w:t xml:space="preserve">V odvětvových sekcích Veřejná správa, Vzdělávání a Zdravotní a sociální péče byla </w:t>
      </w:r>
      <w:r w:rsidR="00684AA4" w:rsidRPr="00D92E20">
        <w:t>v roce</w:t>
      </w:r>
      <w:r w:rsidRPr="00D92E20">
        <w:t xml:space="preserve"> 2020 dohromady zaměstnána více než pětina (22 %) ze všech nemocensky pojištěných</w:t>
      </w:r>
      <w:r w:rsidRPr="00D92E20">
        <w:rPr>
          <w:rStyle w:val="Znakapoznpodarou"/>
        </w:rPr>
        <w:footnoteReference w:id="1"/>
      </w:r>
      <w:r w:rsidRPr="00D92E20">
        <w:t xml:space="preserve">. </w:t>
      </w:r>
      <w:r w:rsidR="00913648" w:rsidRPr="00D92E20">
        <w:t xml:space="preserve">V roce 2020 dohromady v těchto odvětvových sekcích </w:t>
      </w:r>
      <w:r w:rsidR="00C112EA" w:rsidRPr="00D92E20">
        <w:t xml:space="preserve">více než </w:t>
      </w:r>
      <w:r w:rsidR="00FF3D8E" w:rsidRPr="00D92E20">
        <w:t>tři čtvrtiny z nemocensky pojištěných osob tvořily ženy.</w:t>
      </w:r>
    </w:p>
    <w:p w14:paraId="5ABE9C79" w14:textId="77777777" w:rsidR="00684AA4" w:rsidRPr="00D92E20" w:rsidRDefault="00684AA4" w:rsidP="00155829">
      <w:pPr>
        <w:spacing w:after="0"/>
        <w:jc w:val="both"/>
        <w:rPr>
          <w:spacing w:val="-5"/>
        </w:rPr>
      </w:pPr>
      <w:r w:rsidRPr="00D92E20">
        <w:rPr>
          <w:b/>
          <w:spacing w:val="-5"/>
        </w:rPr>
        <w:t>Graf 1.2:</w:t>
      </w:r>
      <w:r w:rsidRPr="00D92E20">
        <w:rPr>
          <w:spacing w:val="-5"/>
        </w:rPr>
        <w:t xml:space="preserve"> </w:t>
      </w:r>
      <w:r w:rsidRPr="00D92E20">
        <w:rPr>
          <w:b/>
          <w:spacing w:val="-5"/>
        </w:rPr>
        <w:t>Průměrný počet nemocensky pojištěných osob podle odvětví (sekce CZ-NACE), 2010 a 2020 (v tis.)</w:t>
      </w:r>
    </w:p>
    <w:p w14:paraId="5D85A699" w14:textId="77777777" w:rsidR="00E03972" w:rsidRPr="00D92E20" w:rsidRDefault="00684AA4" w:rsidP="00E03972">
      <w:pPr>
        <w:spacing w:before="60" w:after="120"/>
        <w:jc w:val="both"/>
        <w:rPr>
          <w:sz w:val="16"/>
        </w:rPr>
      </w:pPr>
      <w:r w:rsidRPr="00D92E20">
        <w:rPr>
          <w:noProof/>
        </w:rPr>
        <w:drawing>
          <wp:inline distT="0" distB="0" distL="0" distR="0" wp14:anchorId="7F94921D" wp14:editId="01B66C2F">
            <wp:extent cx="6120130" cy="5173345"/>
            <wp:effectExtent l="0" t="0" r="13970" b="8255"/>
            <wp:docPr id="16" name="Graf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B5510D9" w14:textId="77777777" w:rsidR="004066CC" w:rsidRPr="00D92E20" w:rsidRDefault="00684AA4" w:rsidP="00684AA4">
      <w:pPr>
        <w:spacing w:before="120" w:after="120"/>
        <w:jc w:val="both"/>
        <w:rPr>
          <w:sz w:val="16"/>
        </w:rPr>
      </w:pPr>
      <w:r w:rsidRPr="00D92E20">
        <w:rPr>
          <w:sz w:val="16"/>
        </w:rPr>
        <w:t>Zdroj: ČSÚ</w:t>
      </w:r>
    </w:p>
    <w:p w14:paraId="397449CC" w14:textId="7A66D329" w:rsidR="00155829" w:rsidRPr="00D92E20" w:rsidRDefault="00684AA4" w:rsidP="00155829">
      <w:pPr>
        <w:pStyle w:val="Seznam"/>
        <w:spacing w:after="120"/>
        <w:contextualSpacing w:val="0"/>
        <w:jc w:val="both"/>
      </w:pPr>
      <w:r w:rsidRPr="00D92E20">
        <w:rPr>
          <w:b/>
        </w:rPr>
        <w:t>Mezi roky 2010 a 2020</w:t>
      </w:r>
      <w:r w:rsidRPr="00D92E20">
        <w:t xml:space="preserve"> došlo k nárůstu počtu nemocensky pojištěných téměř o 380 tis. osob (tj. o 9 %). Nejvíce pojištěnců, více než </w:t>
      </w:r>
      <w:r w:rsidR="00E404AC" w:rsidRPr="00D92E20">
        <w:t>83</w:t>
      </w:r>
      <w:r w:rsidRPr="00D92E20">
        <w:t xml:space="preserve"> tis. (tedy </w:t>
      </w:r>
      <w:r w:rsidR="00E404AC" w:rsidRPr="00D92E20">
        <w:t>7</w:t>
      </w:r>
      <w:r w:rsidRPr="00D92E20">
        <w:t xml:space="preserve"> %), přibylo ve Zpracovatelském průmyslu. Odvětvovou sekcí s druhým nejvyšším absolutním přírůstkem byl</w:t>
      </w:r>
      <w:r w:rsidR="00E404AC" w:rsidRPr="00D92E20">
        <w:t>a Zdravotní a sociální péče</w:t>
      </w:r>
      <w:r w:rsidRPr="00D92E20">
        <w:t xml:space="preserve">. Zde vzrostl počet nemocenských pojištěnců o </w:t>
      </w:r>
      <w:r w:rsidR="00E404AC" w:rsidRPr="00D92E20">
        <w:t>69</w:t>
      </w:r>
      <w:r w:rsidRPr="00D92E20">
        <w:t xml:space="preserve"> tis</w:t>
      </w:r>
      <w:r w:rsidR="00E404AC" w:rsidRPr="00D92E20">
        <w:t>, což představovalo 22</w:t>
      </w:r>
      <w:r w:rsidRPr="00D92E20">
        <w:t xml:space="preserve">% nárůst. </w:t>
      </w:r>
      <w:r w:rsidR="00E404AC" w:rsidRPr="00D92E20">
        <w:t>Obdobný relativní nárůst zaznamenal</w:t>
      </w:r>
      <w:r w:rsidR="00AC7EEB" w:rsidRPr="00D92E20">
        <w:t>y i subjekty poskytující vzdělávání</w:t>
      </w:r>
      <w:r w:rsidR="00E404AC" w:rsidRPr="00D92E20">
        <w:t xml:space="preserve">, kde za posledních 10 let vzrostl počet nemocensky pojištěných o pětinu. </w:t>
      </w:r>
      <w:r w:rsidRPr="00D92E20">
        <w:t xml:space="preserve">V absolutním vyjádření </w:t>
      </w:r>
      <w:r w:rsidR="00AC7EEB" w:rsidRPr="00D92E20">
        <w:t xml:space="preserve">vzrostl počet </w:t>
      </w:r>
      <w:r w:rsidR="006575B3" w:rsidRPr="00D92E20">
        <w:t xml:space="preserve">nemocensky pojištěných </w:t>
      </w:r>
      <w:r w:rsidR="00467F89" w:rsidRPr="00D92E20">
        <w:t xml:space="preserve">osob </w:t>
      </w:r>
      <w:r w:rsidR="006575B3" w:rsidRPr="00D92E20">
        <w:t xml:space="preserve">v odvětvové sekci </w:t>
      </w:r>
      <w:r w:rsidR="00E404AC" w:rsidRPr="00D92E20">
        <w:t>V</w:t>
      </w:r>
      <w:r w:rsidRPr="00D92E20">
        <w:t xml:space="preserve">zdělávání </w:t>
      </w:r>
      <w:r w:rsidR="006575B3" w:rsidRPr="00D92E20">
        <w:t xml:space="preserve">o </w:t>
      </w:r>
      <w:r w:rsidR="00E404AC" w:rsidRPr="00D92E20">
        <w:t>65 tis</w:t>
      </w:r>
      <w:r w:rsidR="006575B3" w:rsidRPr="00D92E20">
        <w:t>íc.</w:t>
      </w:r>
    </w:p>
    <w:p w14:paraId="4D1E70ED" w14:textId="4DB59768" w:rsidR="00C5419A" w:rsidRPr="00D92E20" w:rsidRDefault="00E404AC" w:rsidP="00155829">
      <w:pPr>
        <w:pStyle w:val="Seznam"/>
        <w:spacing w:after="120"/>
        <w:contextualSpacing w:val="0"/>
        <w:jc w:val="both"/>
      </w:pPr>
      <w:r w:rsidRPr="00D92E20">
        <w:t>Výrazný nárůst byl zaznamenán i v odvětvové sekci Informační a komunikační činnosti, kde počet nemocensky pojištěných osob za posledních deset let vzrostl o 41 tis., tj. o 39 %.</w:t>
      </w:r>
      <w:r w:rsidR="006575B3" w:rsidRPr="00D92E20">
        <w:t xml:space="preserve"> Tato odvětvová sekce zahrnuje řadu ekonomických činností od </w:t>
      </w:r>
      <w:r w:rsidR="00E03841" w:rsidRPr="00D92E20">
        <w:t>audiovizuálních, mediálních a informačních činností přes telekomunikace až po činnosti v oblasti informačních a komunikačních technologií</w:t>
      </w:r>
      <w:r w:rsidR="006145A9" w:rsidRPr="00D92E20">
        <w:t>,</w:t>
      </w:r>
      <w:r w:rsidR="00E03841" w:rsidRPr="00D92E20">
        <w:t xml:space="preserve"> kam spadá např. vývoj softwaru či IT poradenství </w:t>
      </w:r>
      <w:r w:rsidR="00E03841" w:rsidRPr="00D92E20">
        <w:lastRenderedPageBreak/>
        <w:t>a zpracování dat. Největší nárůst počtu nemocensky pojištěných osob byl v této sekci zaznamenán v </w:t>
      </w:r>
      <w:r w:rsidR="00C5419A" w:rsidRPr="00D92E20">
        <w:t xml:space="preserve">Informačních činnostech </w:t>
      </w:r>
      <w:r w:rsidR="00E03841" w:rsidRPr="00D92E20">
        <w:t>(CZ-NACE 6</w:t>
      </w:r>
      <w:r w:rsidR="00C5419A" w:rsidRPr="00D92E20">
        <w:t>3</w:t>
      </w:r>
      <w:r w:rsidR="00E03841" w:rsidRPr="00D92E20">
        <w:t xml:space="preserve">), kde se počet </w:t>
      </w:r>
      <w:r w:rsidR="00913648" w:rsidRPr="00D92E20">
        <w:t>pojištěnců</w:t>
      </w:r>
      <w:r w:rsidR="00E03841" w:rsidRPr="00D92E20">
        <w:t xml:space="preserve"> od roku 201</w:t>
      </w:r>
      <w:r w:rsidR="007B03FA" w:rsidRPr="00D92E20">
        <w:t>4</w:t>
      </w:r>
      <w:r w:rsidR="00E03841" w:rsidRPr="00D92E20">
        <w:t xml:space="preserve"> </w:t>
      </w:r>
      <w:r w:rsidR="00C5419A" w:rsidRPr="00D92E20">
        <w:t xml:space="preserve">zvýšil </w:t>
      </w:r>
      <w:r w:rsidR="00E03841" w:rsidRPr="00D92E20">
        <w:t xml:space="preserve">o </w:t>
      </w:r>
      <w:r w:rsidR="00C5419A" w:rsidRPr="00D92E20">
        <w:t>40</w:t>
      </w:r>
      <w:r w:rsidR="00E03841" w:rsidRPr="00D92E20">
        <w:t xml:space="preserve"> %.</w:t>
      </w:r>
    </w:p>
    <w:p w14:paraId="3D3FDF6A" w14:textId="71726876" w:rsidR="00155829" w:rsidRPr="00D92E20" w:rsidRDefault="00E404AC" w:rsidP="00155829">
      <w:pPr>
        <w:pStyle w:val="Seznam"/>
        <w:spacing w:after="120"/>
        <w:contextualSpacing w:val="0"/>
        <w:jc w:val="both"/>
      </w:pPr>
      <w:r w:rsidRPr="00D92E20">
        <w:t>Naopak odvětvími, která měla v roce 2020 méně pojištěnců než v roce 2010, byly Stavebnictví (-55 tis.), Těžba a dobývání (-16 tis.) a Zemědělství, lesnictví a rybářství (-11 tis.). V odvětví Těžba a dobývání došlo k poklesu počtu pojištěnců o 41 %.</w:t>
      </w:r>
    </w:p>
    <w:p w14:paraId="566ACA36" w14:textId="14AAD067" w:rsidR="0064464A" w:rsidRPr="00D92E20" w:rsidRDefault="00A81B9F" w:rsidP="00155829">
      <w:pPr>
        <w:pStyle w:val="Seznam"/>
        <w:spacing w:after="120"/>
        <w:contextualSpacing w:val="0"/>
        <w:jc w:val="both"/>
      </w:pPr>
      <w:r w:rsidRPr="00D92E20">
        <w:t xml:space="preserve">Co se týče </w:t>
      </w:r>
      <w:r w:rsidRPr="00D92E20">
        <w:rPr>
          <w:b/>
        </w:rPr>
        <w:t>meziročních rozdílů</w:t>
      </w:r>
      <w:r w:rsidRPr="00D92E20">
        <w:t>, největší pokles</w:t>
      </w:r>
      <w:r w:rsidR="00FF3D8E" w:rsidRPr="00D92E20">
        <w:t xml:space="preserve"> </w:t>
      </w:r>
      <w:r w:rsidR="006145A9" w:rsidRPr="00D92E20">
        <w:t xml:space="preserve">byl </w:t>
      </w:r>
      <w:r w:rsidR="00FF3D8E" w:rsidRPr="00D92E20">
        <w:t xml:space="preserve">v absolutním vyjádření zaznamenán ve </w:t>
      </w:r>
      <w:r w:rsidRPr="00D92E20">
        <w:t>Zpracovatelsk</w:t>
      </w:r>
      <w:r w:rsidR="00FF3D8E" w:rsidRPr="00D92E20">
        <w:t>ém</w:t>
      </w:r>
      <w:r w:rsidRPr="00D92E20">
        <w:t xml:space="preserve"> průmysl</w:t>
      </w:r>
      <w:r w:rsidR="00FF3D8E" w:rsidRPr="00D92E20">
        <w:t>u</w:t>
      </w:r>
      <w:r w:rsidRPr="00D92E20">
        <w:t>, kter</w:t>
      </w:r>
      <w:r w:rsidR="00FF3D8E" w:rsidRPr="00D92E20">
        <w:t xml:space="preserve">ý </w:t>
      </w:r>
      <w:r w:rsidR="0038725E" w:rsidRPr="00D92E20">
        <w:t xml:space="preserve">v roce 2020 </w:t>
      </w:r>
      <w:r w:rsidRPr="00D92E20">
        <w:t>přiš</w:t>
      </w:r>
      <w:r w:rsidR="00FF3D8E" w:rsidRPr="00D92E20">
        <w:t>e</w:t>
      </w:r>
      <w:r w:rsidRPr="00D92E20">
        <w:t>l o 36 tis. pojištěnců</w:t>
      </w:r>
      <w:r w:rsidR="00FF3D8E" w:rsidRPr="00D92E20">
        <w:t xml:space="preserve">. </w:t>
      </w:r>
      <w:r w:rsidR="006145A9" w:rsidRPr="00D92E20">
        <w:t>Relativně</w:t>
      </w:r>
      <w:r w:rsidR="00FF3D8E" w:rsidRPr="00D92E20">
        <w:t xml:space="preserve"> to představuje </w:t>
      </w:r>
      <w:r w:rsidR="004C36AF" w:rsidRPr="00D92E20">
        <w:t xml:space="preserve">meziroční </w:t>
      </w:r>
      <w:r w:rsidR="00FF3D8E" w:rsidRPr="00D92E20">
        <w:t xml:space="preserve">pokles o </w:t>
      </w:r>
      <w:r w:rsidR="004C36AF" w:rsidRPr="00D92E20">
        <w:t>2,9 %</w:t>
      </w:r>
      <w:r w:rsidR="00FF3D8E" w:rsidRPr="00D92E20">
        <w:t>.</w:t>
      </w:r>
      <w:r w:rsidR="0038725E" w:rsidRPr="00D92E20">
        <w:t xml:space="preserve"> </w:t>
      </w:r>
      <w:r w:rsidR="004C36AF" w:rsidRPr="00D92E20">
        <w:t xml:space="preserve">K výraznému snížení počtu zaměstnanců došlo i v odvětvové sekci </w:t>
      </w:r>
      <w:r w:rsidRPr="00D92E20">
        <w:t>Administrativní a podpůrné činnosti, kam patří mimo jiné subjekty poskytující tzv. agenturní pracovníky jiným firmám často působícím např. právě ve Zpracovatelském průmyslu.</w:t>
      </w:r>
      <w:r w:rsidR="004C36AF" w:rsidRPr="00D92E20">
        <w:t xml:space="preserve"> Meziročně se počet pojištěnců v této sekci snížil o 17 tis. (6,4 %). </w:t>
      </w:r>
      <w:r w:rsidRPr="00D92E20">
        <w:t xml:space="preserve">O 12 tis. </w:t>
      </w:r>
      <w:r w:rsidR="004C36AF" w:rsidRPr="00D92E20">
        <w:t xml:space="preserve">(8,1 %) </w:t>
      </w:r>
      <w:r w:rsidRPr="00D92E20">
        <w:t xml:space="preserve">se snížil počet pojištěnců také v sekci Ubytování, stravování a pohostinství. </w:t>
      </w:r>
      <w:r w:rsidR="004C36AF" w:rsidRPr="00D92E20">
        <w:t xml:space="preserve">Šlo o nejvyšší procentuální pokles ze všech odvětvových sekcí. </w:t>
      </w:r>
      <w:r w:rsidRPr="00D92E20">
        <w:t xml:space="preserve">Zde je </w:t>
      </w:r>
      <w:r w:rsidR="0064464A" w:rsidRPr="00D92E20">
        <w:t>patrná spojitost s pandemickými opatřeními.</w:t>
      </w:r>
    </w:p>
    <w:p w14:paraId="59DC5840" w14:textId="10E16282" w:rsidR="0064464A" w:rsidRPr="00D92E20" w:rsidRDefault="0064464A" w:rsidP="00155829">
      <w:pPr>
        <w:pStyle w:val="Seznam"/>
        <w:spacing w:after="120"/>
        <w:contextualSpacing w:val="0"/>
        <w:jc w:val="both"/>
      </w:pPr>
      <w:r w:rsidRPr="00D92E20">
        <w:t>Naopak odvětví, která co do počtu nemocensky pojištěných rostla, byl</w:t>
      </w:r>
      <w:r w:rsidR="006145A9" w:rsidRPr="00D92E20">
        <w:t>y</w:t>
      </w:r>
      <w:r w:rsidRPr="00D92E20">
        <w:t xml:space="preserve"> Zdravotní a sociální péče a</w:t>
      </w:r>
      <w:r w:rsidR="00C02C40" w:rsidRPr="00D92E20">
        <w:t> </w:t>
      </w:r>
      <w:r w:rsidRPr="00D92E20">
        <w:t xml:space="preserve">Vzdělávání. </w:t>
      </w:r>
      <w:r w:rsidR="004C36AF" w:rsidRPr="00D92E20">
        <w:t>V obou těchto odvětvových sekcí vzrostl počet pojištěnců o 12 tis. Procentuálně to v případě počtu osob zaměstnaných ve zdravotnictví znamená meziroční nárůst o 3,2 % a v případě vzdělávání o 3,1</w:t>
      </w:r>
      <w:r w:rsidR="0038725E" w:rsidRPr="00D92E20">
        <w:t> </w:t>
      </w:r>
      <w:r w:rsidR="004C36AF" w:rsidRPr="00D92E20">
        <w:t xml:space="preserve">%. </w:t>
      </w:r>
    </w:p>
    <w:p w14:paraId="753278E5" w14:textId="77777777" w:rsidR="00E404AC" w:rsidRPr="00D92E20" w:rsidRDefault="00E404AC" w:rsidP="00155829">
      <w:pPr>
        <w:pStyle w:val="Box1"/>
        <w:spacing w:before="120" w:after="120"/>
        <w:ind w:left="0"/>
        <w:contextualSpacing w:val="0"/>
        <w:jc w:val="both"/>
        <w:rPr>
          <w:i/>
        </w:rPr>
      </w:pPr>
      <w:r w:rsidRPr="00D92E20">
        <w:rPr>
          <w:b/>
          <w:i/>
        </w:rPr>
        <w:t xml:space="preserve">Průměrný počet nemocensky pojištěných mladistvých </w:t>
      </w:r>
      <w:r w:rsidRPr="00D92E20">
        <w:rPr>
          <w:i/>
        </w:rPr>
        <w:t>– ukazatel udává průměrný počet nemocensky pojištěných osob mladších 18 let (viz § 350 odst. 2 zákona č. 262/2006 Sb., zákoník práce, ve znění pozdějších předpisů).</w:t>
      </w:r>
    </w:p>
    <w:p w14:paraId="2C54EDBE" w14:textId="77777777" w:rsidR="00E404AC" w:rsidRPr="00D92E20" w:rsidRDefault="00E404AC" w:rsidP="00E404AC">
      <w:pPr>
        <w:pStyle w:val="Box1"/>
        <w:ind w:left="0"/>
        <w:jc w:val="both"/>
        <w:rPr>
          <w:i/>
          <w:u w:val="single"/>
        </w:rPr>
      </w:pPr>
      <w:r w:rsidRPr="00D92E20">
        <w:rPr>
          <w:i/>
          <w:u w:val="single"/>
        </w:rPr>
        <w:t>Způsob výpočtu:</w:t>
      </w:r>
    </w:p>
    <w:p w14:paraId="513151F0" w14:textId="77777777" w:rsidR="00E404AC" w:rsidRPr="00D92E20" w:rsidRDefault="00E404AC" w:rsidP="00BA6B4E">
      <w:pPr>
        <w:pStyle w:val="Box1"/>
        <w:spacing w:before="120" w:after="120"/>
        <w:ind w:left="0"/>
        <w:contextualSpacing w:val="0"/>
        <w:jc w:val="both"/>
        <w:rPr>
          <w:i/>
        </w:rPr>
      </w:pPr>
      <w:r w:rsidRPr="00D92E20">
        <w:rPr>
          <w:i/>
        </w:rPr>
        <w:t>Průměrný počet nemocensky pojištěných mladistvých = počet dnů nemocenského pojištění jednotlivých pojištěných mladistvých ve vykazovaném období / počet kalendářních dnů ve vykazovaném období.</w:t>
      </w:r>
    </w:p>
    <w:p w14:paraId="6C213BB4" w14:textId="77777777" w:rsidR="00ED103E" w:rsidRPr="00D92E20" w:rsidRDefault="00E404AC" w:rsidP="00BA6B4E">
      <w:pPr>
        <w:pStyle w:val="Seznam"/>
        <w:spacing w:after="120"/>
        <w:contextualSpacing w:val="0"/>
        <w:jc w:val="both"/>
      </w:pPr>
      <w:r w:rsidRPr="00D92E20">
        <w:t>V roce 2020 bylo evidováno 10,5 tis. nemocensky pojištěných mladistvých, tedy osob mladších 18 let. Na celkové</w:t>
      </w:r>
      <w:r w:rsidR="00E9284B" w:rsidRPr="00D92E20">
        <w:t>m</w:t>
      </w:r>
      <w:r w:rsidRPr="00D92E20">
        <w:t xml:space="preserve"> počtu pojištěnců se podíleli 0,22 %. Jejich počet meziročně klesl z 11,6 tis. o 1,1 tis., tj. o 9,3 %.</w:t>
      </w:r>
    </w:p>
    <w:p w14:paraId="51FC4839" w14:textId="77777777" w:rsidR="00ED103E" w:rsidRPr="00D92E20" w:rsidRDefault="00ED103E" w:rsidP="005A63A4">
      <w:pPr>
        <w:pStyle w:val="Nadpis3"/>
        <w:numPr>
          <w:ilvl w:val="1"/>
          <w:numId w:val="19"/>
        </w:numPr>
        <w:spacing w:after="120"/>
        <w:ind w:left="425" w:hanging="425"/>
      </w:pPr>
      <w:bookmarkStart w:id="5" w:name="_Toc54262799"/>
      <w:bookmarkStart w:id="6" w:name="_Toc70950128"/>
      <w:r w:rsidRPr="00D92E20">
        <w:t>Nově hlášené případy dočasné pracovní neschopnosti</w:t>
      </w:r>
      <w:bookmarkEnd w:id="5"/>
      <w:bookmarkEnd w:id="6"/>
    </w:p>
    <w:p w14:paraId="566B98D5" w14:textId="77777777" w:rsidR="00ED103E" w:rsidRPr="00D92E20" w:rsidRDefault="00ED103E" w:rsidP="00BA6B4E">
      <w:pPr>
        <w:spacing w:after="120"/>
        <w:jc w:val="both"/>
      </w:pPr>
      <w:r w:rsidRPr="00D92E20">
        <w:t xml:space="preserve">Vstupním zdrojem a podkladem pro zpracování dat této kapitoly jsou údaje o dočasné pracovní neschopnosti pro nemoc a úraz nahlášené České správě sociálního zabezpečení prostřednictvím </w:t>
      </w:r>
      <w:r w:rsidRPr="00D92E20">
        <w:rPr>
          <w:i/>
        </w:rPr>
        <w:t>„Rozhodnutí o dočasné pracovní neschopnosti“</w:t>
      </w:r>
      <w:r w:rsidRPr="00D92E20">
        <w:t xml:space="preserve"> (tzv. eNeschopenka), které vyplňuje ošetřující lékař.</w:t>
      </w:r>
    </w:p>
    <w:p w14:paraId="78D31352" w14:textId="77777777" w:rsidR="00ED103E" w:rsidRPr="00D92E20" w:rsidRDefault="00ED103E" w:rsidP="00BA6B4E">
      <w:pPr>
        <w:pStyle w:val="Nadpis3"/>
        <w:numPr>
          <w:ilvl w:val="2"/>
          <w:numId w:val="18"/>
        </w:numPr>
        <w:spacing w:after="120"/>
        <w:ind w:left="709"/>
        <w:jc w:val="both"/>
      </w:pPr>
      <w:bookmarkStart w:id="7" w:name="_Toc54262800"/>
      <w:bookmarkStart w:id="8" w:name="_Toc70950129"/>
      <w:r w:rsidRPr="00D92E20">
        <w:t>Počet případů dočasné pracovní neschopnosti</w:t>
      </w:r>
      <w:bookmarkEnd w:id="7"/>
      <w:bookmarkEnd w:id="8"/>
    </w:p>
    <w:p w14:paraId="549918DD" w14:textId="41DD094F" w:rsidR="00ED103E" w:rsidRPr="00D92E20" w:rsidRDefault="00ED103E" w:rsidP="00BA6B4E">
      <w:pPr>
        <w:spacing w:after="120"/>
        <w:jc w:val="both"/>
        <w:rPr>
          <w:bCs/>
        </w:rPr>
      </w:pPr>
      <w:r w:rsidRPr="00D92E20">
        <w:rPr>
          <w:b/>
          <w:bCs/>
        </w:rPr>
        <w:t>Četnost výskytu dočasné pracovní neschopnosti</w:t>
      </w:r>
      <w:r w:rsidRPr="00D92E20">
        <w:rPr>
          <w:bCs/>
        </w:rPr>
        <w:t xml:space="preserve"> </w:t>
      </w:r>
      <w:r w:rsidRPr="00D92E20">
        <w:rPr>
          <w:b/>
          <w:bCs/>
        </w:rPr>
        <w:t>(DPN)</w:t>
      </w:r>
      <w:r w:rsidRPr="00D92E20">
        <w:rPr>
          <w:bCs/>
        </w:rPr>
        <w:t xml:space="preserve"> odráží ukazatel </w:t>
      </w:r>
      <w:r w:rsidR="004C36AF" w:rsidRPr="00D92E20">
        <w:rPr>
          <w:bCs/>
        </w:rPr>
        <w:t xml:space="preserve">o počtu </w:t>
      </w:r>
      <w:r w:rsidRPr="00D92E20">
        <w:rPr>
          <w:bCs/>
        </w:rPr>
        <w:t>nově hlášených případů pracovní neschopnosti. Tento absolutní ukazatel je rovněž vhodný pro posouzení trendů vývoje pracovní neschopnosti</w:t>
      </w:r>
      <w:r w:rsidR="004C36AF" w:rsidRPr="00D92E20">
        <w:rPr>
          <w:bCs/>
        </w:rPr>
        <w:t xml:space="preserve"> v čase</w:t>
      </w:r>
      <w:r w:rsidRPr="00D92E20">
        <w:rPr>
          <w:bCs/>
        </w:rPr>
        <w:t xml:space="preserve">. Avšak z pohledu porovnání regionů, jednotlivých odvětví ekonomických činností či velikosti podniku má vyšší vypovídací schopnost </w:t>
      </w:r>
      <w:r w:rsidRPr="00D92E20">
        <w:rPr>
          <w:b/>
          <w:bCs/>
        </w:rPr>
        <w:t>ukazatel relativní</w:t>
      </w:r>
      <w:r w:rsidRPr="00D92E20">
        <w:rPr>
          <w:bCs/>
        </w:rPr>
        <w:t xml:space="preserve"> – </w:t>
      </w:r>
      <w:r w:rsidRPr="00D92E20">
        <w:rPr>
          <w:b/>
          <w:bCs/>
        </w:rPr>
        <w:t>počet</w:t>
      </w:r>
      <w:r w:rsidRPr="00D92E20">
        <w:rPr>
          <w:bCs/>
        </w:rPr>
        <w:t xml:space="preserve"> nově hlášených případů pracovní neschopnosti </w:t>
      </w:r>
      <w:r w:rsidRPr="00D92E20">
        <w:rPr>
          <w:b/>
          <w:bCs/>
        </w:rPr>
        <w:t>na 100 pojištěnců</w:t>
      </w:r>
      <w:r w:rsidRPr="00D92E20">
        <w:rPr>
          <w:bCs/>
        </w:rPr>
        <w:t xml:space="preserve"> v dané kategorii, např. ve zpracovatelském průmyslu, v malých podnicích či konkrétním kraji.</w:t>
      </w:r>
    </w:p>
    <w:p w14:paraId="105BBBAB" w14:textId="77777777" w:rsidR="00ED103E" w:rsidRPr="00D92E20" w:rsidRDefault="00ED103E" w:rsidP="00BA6B4E">
      <w:pPr>
        <w:pStyle w:val="Box1"/>
        <w:spacing w:before="120" w:after="120"/>
        <w:ind w:left="0"/>
        <w:contextualSpacing w:val="0"/>
        <w:jc w:val="both"/>
        <w:rPr>
          <w:i/>
        </w:rPr>
      </w:pPr>
      <w:r w:rsidRPr="00D92E20">
        <w:rPr>
          <w:b/>
          <w:i/>
        </w:rPr>
        <w:t xml:space="preserve">Počet nově hlášených případů dočasné pracovní neschopnosti </w:t>
      </w:r>
      <w:r w:rsidRPr="00D92E20">
        <w:rPr>
          <w:i/>
        </w:rPr>
        <w:t>– ukazatel zahrnuje nově hlášené případy pracovní neschopnosti ve sledovaném období na základě hlášení o vzniku pracovní neschopnosti nemocensky pojištěných osob.</w:t>
      </w:r>
    </w:p>
    <w:p w14:paraId="2A3B3962" w14:textId="77777777" w:rsidR="00ED103E" w:rsidRPr="00D92E20" w:rsidRDefault="00ED103E" w:rsidP="00BA6B4E">
      <w:pPr>
        <w:pStyle w:val="Box1"/>
        <w:spacing w:before="120" w:after="120"/>
        <w:ind w:left="0"/>
        <w:contextualSpacing w:val="0"/>
        <w:jc w:val="both"/>
        <w:rPr>
          <w:i/>
        </w:rPr>
      </w:pPr>
      <w:r w:rsidRPr="00D92E20">
        <w:rPr>
          <w:b/>
          <w:i/>
        </w:rPr>
        <w:t xml:space="preserve">Počet případů pracovní neschopnosti na 100 pojištěnců </w:t>
      </w:r>
      <w:r w:rsidRPr="00D92E20">
        <w:rPr>
          <w:i/>
        </w:rPr>
        <w:t xml:space="preserve">– ukazatel vyjadřuje počet nově hlášených případů pracovní neschopnosti, které připadají v průměru na 100 nemocensky pojištěných osob. </w:t>
      </w:r>
    </w:p>
    <w:p w14:paraId="3D152929" w14:textId="3D74CB70" w:rsidR="00700CEF" w:rsidRPr="00D92E20" w:rsidRDefault="00F71B6A" w:rsidP="00BA6B4E">
      <w:pPr>
        <w:spacing w:before="120" w:after="120"/>
        <w:jc w:val="both"/>
        <w:rPr>
          <w:bCs/>
        </w:rPr>
      </w:pPr>
      <w:r w:rsidRPr="00D92E20">
        <w:rPr>
          <w:bCs/>
        </w:rPr>
        <w:t xml:space="preserve">V roce 2020 bylo </w:t>
      </w:r>
      <w:r w:rsidR="004C36AF" w:rsidRPr="00D92E20">
        <w:rPr>
          <w:bCs/>
        </w:rPr>
        <w:t xml:space="preserve">v Česku </w:t>
      </w:r>
      <w:r w:rsidRPr="00D92E20">
        <w:rPr>
          <w:bCs/>
        </w:rPr>
        <w:t>nahlášeno</w:t>
      </w:r>
      <w:r w:rsidR="004C36AF" w:rsidRPr="00D92E20">
        <w:rPr>
          <w:bCs/>
        </w:rPr>
        <w:t xml:space="preserve"> </w:t>
      </w:r>
      <w:r w:rsidR="004C36AF" w:rsidRPr="00D92E20">
        <w:rPr>
          <w:b/>
          <w:bCs/>
        </w:rPr>
        <w:t>celkem</w:t>
      </w:r>
      <w:r w:rsidRPr="00D92E20">
        <w:rPr>
          <w:bCs/>
        </w:rPr>
        <w:t xml:space="preserve"> </w:t>
      </w:r>
      <w:r w:rsidRPr="00D92E20">
        <w:rPr>
          <w:b/>
          <w:bCs/>
        </w:rPr>
        <w:t>2 391 tis. případů pracovní neschopnosti.</w:t>
      </w:r>
      <w:r w:rsidRPr="00D92E20">
        <w:rPr>
          <w:bCs/>
        </w:rPr>
        <w:t xml:space="preserve"> To je o čtvrtinu (476 tis.</w:t>
      </w:r>
      <w:r w:rsidR="002D1B28" w:rsidRPr="00D92E20">
        <w:rPr>
          <w:bCs/>
        </w:rPr>
        <w:t>)</w:t>
      </w:r>
      <w:r w:rsidRPr="00D92E20">
        <w:rPr>
          <w:bCs/>
        </w:rPr>
        <w:t xml:space="preserve"> případů více než v předchozím roce. Přitom mezi lety 2010–2019 </w:t>
      </w:r>
      <w:r w:rsidR="002D1B28" w:rsidRPr="00D92E20">
        <w:rPr>
          <w:bCs/>
        </w:rPr>
        <w:t>počet hlášených případů pracovní neschopnosti rostl v průměru o 4,</w:t>
      </w:r>
      <w:r w:rsidR="002A1A8B" w:rsidRPr="00D92E20">
        <w:rPr>
          <w:bCs/>
        </w:rPr>
        <w:t>4</w:t>
      </w:r>
      <w:r w:rsidR="002D1B28" w:rsidRPr="00D92E20">
        <w:rPr>
          <w:bCs/>
        </w:rPr>
        <w:t xml:space="preserve"> % (6</w:t>
      </w:r>
      <w:r w:rsidR="002A1A8B" w:rsidRPr="00D92E20">
        <w:rPr>
          <w:bCs/>
        </w:rPr>
        <w:t>5</w:t>
      </w:r>
      <w:r w:rsidR="002D1B28" w:rsidRPr="00D92E20">
        <w:rPr>
          <w:bCs/>
        </w:rPr>
        <w:t>,</w:t>
      </w:r>
      <w:r w:rsidR="002A1A8B" w:rsidRPr="00D92E20">
        <w:rPr>
          <w:bCs/>
        </w:rPr>
        <w:t>5</w:t>
      </w:r>
      <w:r w:rsidR="002D1B28" w:rsidRPr="00D92E20">
        <w:rPr>
          <w:bCs/>
        </w:rPr>
        <w:t xml:space="preserve"> tis.) ročně.</w:t>
      </w:r>
      <w:r w:rsidRPr="00D92E20">
        <w:rPr>
          <w:bCs/>
        </w:rPr>
        <w:t xml:space="preserve"> Rostoucí trend byl nastolen již v roce 201</w:t>
      </w:r>
      <w:r w:rsidR="002A1CEC" w:rsidRPr="00D92E20">
        <w:rPr>
          <w:bCs/>
        </w:rPr>
        <w:t>5</w:t>
      </w:r>
      <w:r w:rsidRPr="00D92E20">
        <w:rPr>
          <w:bCs/>
        </w:rPr>
        <w:t xml:space="preserve">. </w:t>
      </w:r>
      <w:r w:rsidR="00700CEF" w:rsidRPr="00D92E20">
        <w:rPr>
          <w:bCs/>
        </w:rPr>
        <w:t xml:space="preserve">V té době však bylo během roku nahlášeno o </w:t>
      </w:r>
      <w:r w:rsidR="002A1CEC" w:rsidRPr="00D92E20">
        <w:rPr>
          <w:bCs/>
        </w:rPr>
        <w:t>828 tis.</w:t>
      </w:r>
      <w:r w:rsidR="00700CEF" w:rsidRPr="00D92E20">
        <w:rPr>
          <w:bCs/>
        </w:rPr>
        <w:t xml:space="preserve"> případů méně</w:t>
      </w:r>
      <w:r w:rsidR="002D1B28" w:rsidRPr="00D92E20">
        <w:rPr>
          <w:bCs/>
        </w:rPr>
        <w:t xml:space="preserve"> než v roce 2020</w:t>
      </w:r>
      <w:r w:rsidR="00700CEF" w:rsidRPr="00D92E20">
        <w:rPr>
          <w:bCs/>
        </w:rPr>
        <w:t>.</w:t>
      </w:r>
      <w:r w:rsidR="00471D3F" w:rsidRPr="00D92E20">
        <w:rPr>
          <w:bCs/>
        </w:rPr>
        <w:t xml:space="preserve"> Jedním z důvodů částečně vysvětlující nárůst (v posledních 2 letech) je </w:t>
      </w:r>
      <w:r w:rsidR="00471D3F" w:rsidRPr="00D92E20">
        <w:rPr>
          <w:b/>
          <w:bCs/>
        </w:rPr>
        <w:t>zrušení karenční doby od 1. července 2019</w:t>
      </w:r>
      <w:r w:rsidR="00471D3F" w:rsidRPr="00D92E20">
        <w:rPr>
          <w:bCs/>
        </w:rPr>
        <w:t xml:space="preserve">, kdy zaměstnanec dostává náhradu mzdy již od prvního dne, a nikoliv až od čtvrtého, jako tomu bylo od roku 2009 až do té doby. </w:t>
      </w:r>
    </w:p>
    <w:p w14:paraId="6FD8EB73" w14:textId="1566CB49" w:rsidR="00471D3F" w:rsidRPr="00D92E20" w:rsidRDefault="00991A19" w:rsidP="00BA6B4E">
      <w:pPr>
        <w:spacing w:before="120" w:after="120"/>
        <w:jc w:val="both"/>
        <w:rPr>
          <w:bCs/>
        </w:rPr>
      </w:pPr>
      <w:r w:rsidRPr="00D92E20">
        <w:rPr>
          <w:bCs/>
        </w:rPr>
        <w:lastRenderedPageBreak/>
        <w:t>Významným</w:t>
      </w:r>
      <w:r w:rsidR="00471D3F" w:rsidRPr="00D92E20">
        <w:rPr>
          <w:bCs/>
        </w:rPr>
        <w:t xml:space="preserve"> faktorem</w:t>
      </w:r>
      <w:r w:rsidR="00F71B6A" w:rsidRPr="00D92E20">
        <w:rPr>
          <w:bCs/>
        </w:rPr>
        <w:t xml:space="preserve">, který </w:t>
      </w:r>
      <w:r w:rsidR="00700CEF" w:rsidRPr="00D92E20">
        <w:rPr>
          <w:bCs/>
        </w:rPr>
        <w:t xml:space="preserve">stojí za </w:t>
      </w:r>
      <w:r w:rsidR="00F71B6A" w:rsidRPr="00D92E20">
        <w:rPr>
          <w:bCs/>
        </w:rPr>
        <w:t>nárůstem</w:t>
      </w:r>
      <w:r w:rsidR="00471D3F" w:rsidRPr="00D92E20">
        <w:rPr>
          <w:bCs/>
        </w:rPr>
        <w:t xml:space="preserve"> počtu nových případů mezi roky 2019 a 2020,</w:t>
      </w:r>
      <w:r w:rsidR="00F71B6A" w:rsidRPr="00D92E20">
        <w:rPr>
          <w:bCs/>
        </w:rPr>
        <w:t xml:space="preserve"> </w:t>
      </w:r>
      <w:r w:rsidR="00700CEF" w:rsidRPr="00D92E20">
        <w:rPr>
          <w:bCs/>
        </w:rPr>
        <w:t xml:space="preserve">je </w:t>
      </w:r>
      <w:r w:rsidR="00F71B6A" w:rsidRPr="00D92E20">
        <w:rPr>
          <w:bCs/>
        </w:rPr>
        <w:t xml:space="preserve">bezesporu </w:t>
      </w:r>
      <w:r w:rsidR="00F71B6A" w:rsidRPr="00D92E20">
        <w:rPr>
          <w:b/>
          <w:bCs/>
        </w:rPr>
        <w:t>pandemie nemoci Covid-19</w:t>
      </w:r>
      <w:r w:rsidR="00F71B6A" w:rsidRPr="00D92E20">
        <w:rPr>
          <w:bCs/>
        </w:rPr>
        <w:t xml:space="preserve">. </w:t>
      </w:r>
      <w:r w:rsidR="00471D3F" w:rsidRPr="00D92E20">
        <w:rPr>
          <w:bCs/>
        </w:rPr>
        <w:t xml:space="preserve">Zatímco </w:t>
      </w:r>
      <w:r w:rsidR="00E44890" w:rsidRPr="00D92E20">
        <w:rPr>
          <w:bCs/>
        </w:rPr>
        <w:t>do</w:t>
      </w:r>
      <w:r w:rsidR="00471D3F" w:rsidRPr="00D92E20">
        <w:rPr>
          <w:bCs/>
        </w:rPr>
        <w:t xml:space="preserve"> předešlé </w:t>
      </w:r>
      <w:r w:rsidR="00E44890" w:rsidRPr="00D92E20">
        <w:rPr>
          <w:bCs/>
        </w:rPr>
        <w:t>publikace</w:t>
      </w:r>
      <w:r w:rsidR="00471D3F" w:rsidRPr="00D92E20">
        <w:rPr>
          <w:bCs/>
        </w:rPr>
        <w:t xml:space="preserve"> s daty z</w:t>
      </w:r>
      <w:r w:rsidR="00E44890" w:rsidRPr="00D92E20">
        <w:rPr>
          <w:bCs/>
        </w:rPr>
        <w:t xml:space="preserve">a 1. pol. 2020 toto onemocnění zasáhlo třemi měsíci, nyní je možné </w:t>
      </w:r>
      <w:r w:rsidR="00384289" w:rsidRPr="00D92E20">
        <w:rPr>
          <w:bCs/>
        </w:rPr>
        <w:t xml:space="preserve">údaje </w:t>
      </w:r>
      <w:r w:rsidR="00E44890" w:rsidRPr="00D92E20">
        <w:rPr>
          <w:bCs/>
        </w:rPr>
        <w:t xml:space="preserve">sledovat v poněkud delším kontextu, protože </w:t>
      </w:r>
      <w:r w:rsidR="00CE1E85" w:rsidRPr="00D92E20">
        <w:rPr>
          <w:bCs/>
        </w:rPr>
        <w:t xml:space="preserve">zhruba </w:t>
      </w:r>
      <w:r w:rsidR="00E44890" w:rsidRPr="00D92E20">
        <w:rPr>
          <w:bCs/>
        </w:rPr>
        <w:t xml:space="preserve">bez 1. čtvrtletí ovlivnilo celý rok 2020. </w:t>
      </w:r>
      <w:r w:rsidR="00471D3F" w:rsidRPr="00D92E20">
        <w:rPr>
          <w:bCs/>
        </w:rPr>
        <w:t xml:space="preserve">Případů </w:t>
      </w:r>
      <w:r w:rsidR="000675AD" w:rsidRPr="00D92E20">
        <w:rPr>
          <w:bCs/>
        </w:rPr>
        <w:t xml:space="preserve">pracovní neschopnosti </w:t>
      </w:r>
      <w:r w:rsidR="00471D3F" w:rsidRPr="00D92E20">
        <w:rPr>
          <w:b/>
          <w:bCs/>
        </w:rPr>
        <w:t>pro nemoc</w:t>
      </w:r>
      <w:r w:rsidR="00471D3F" w:rsidRPr="00D92E20">
        <w:rPr>
          <w:bCs/>
        </w:rPr>
        <w:t xml:space="preserve"> bylo </w:t>
      </w:r>
      <w:r w:rsidR="00676201" w:rsidRPr="00D92E20">
        <w:rPr>
          <w:bCs/>
        </w:rPr>
        <w:t>v</w:t>
      </w:r>
      <w:r w:rsidR="002A1A8B" w:rsidRPr="00D92E20">
        <w:rPr>
          <w:bCs/>
        </w:rPr>
        <w:t> </w:t>
      </w:r>
      <w:r w:rsidR="00676201" w:rsidRPr="00D92E20">
        <w:rPr>
          <w:bCs/>
        </w:rPr>
        <w:t>roce</w:t>
      </w:r>
      <w:r w:rsidR="002A1A8B" w:rsidRPr="00D92E20">
        <w:rPr>
          <w:bCs/>
        </w:rPr>
        <w:t xml:space="preserve"> 2020</w:t>
      </w:r>
      <w:r w:rsidR="00676201" w:rsidRPr="00D92E20">
        <w:rPr>
          <w:bCs/>
        </w:rPr>
        <w:t xml:space="preserve"> </w:t>
      </w:r>
      <w:r w:rsidR="00471D3F" w:rsidRPr="00D92E20">
        <w:rPr>
          <w:bCs/>
        </w:rPr>
        <w:t>nahlášeno 2,2 mili</w:t>
      </w:r>
      <w:r w:rsidR="00384289" w:rsidRPr="00D92E20">
        <w:rPr>
          <w:bCs/>
        </w:rPr>
        <w:t>o</w:t>
      </w:r>
      <w:r w:rsidR="00471D3F" w:rsidRPr="00D92E20">
        <w:rPr>
          <w:bCs/>
        </w:rPr>
        <w:t>nu, tedy o</w:t>
      </w:r>
      <w:r w:rsidR="00CE1E85" w:rsidRPr="00D92E20">
        <w:rPr>
          <w:bCs/>
        </w:rPr>
        <w:t> </w:t>
      </w:r>
      <w:r w:rsidR="00471D3F" w:rsidRPr="00D92E20">
        <w:rPr>
          <w:bCs/>
        </w:rPr>
        <w:t>49</w:t>
      </w:r>
      <w:r w:rsidR="002A1A8B" w:rsidRPr="00D92E20">
        <w:rPr>
          <w:bCs/>
        </w:rPr>
        <w:t>2</w:t>
      </w:r>
      <w:r w:rsidR="00CE1E85" w:rsidRPr="00D92E20">
        <w:rPr>
          <w:bCs/>
        </w:rPr>
        <w:t> </w:t>
      </w:r>
      <w:r w:rsidR="00471D3F" w:rsidRPr="00D92E20">
        <w:rPr>
          <w:bCs/>
        </w:rPr>
        <w:t>tis. více než v roce 2019. V relativním vyjádření došlo k nárůstu o 29 %.</w:t>
      </w:r>
      <w:r w:rsidR="00E44890" w:rsidRPr="00D92E20">
        <w:rPr>
          <w:bCs/>
        </w:rPr>
        <w:t xml:space="preserve"> Do počtu případů pro nemoc jsou </w:t>
      </w:r>
      <w:r w:rsidR="00CE1E85" w:rsidRPr="00D92E20">
        <w:rPr>
          <w:bCs/>
        </w:rPr>
        <w:t xml:space="preserve">kromě nemocí jako takových </w:t>
      </w:r>
      <w:r w:rsidR="00E44890" w:rsidRPr="00D92E20">
        <w:rPr>
          <w:bCs/>
        </w:rPr>
        <w:t xml:space="preserve">započteny </w:t>
      </w:r>
      <w:r w:rsidR="00CE1E85" w:rsidRPr="00D92E20">
        <w:rPr>
          <w:bCs/>
        </w:rPr>
        <w:t>i</w:t>
      </w:r>
      <w:r w:rsidR="00384289" w:rsidRPr="00D92E20">
        <w:rPr>
          <w:bCs/>
        </w:rPr>
        <w:t xml:space="preserve"> </w:t>
      </w:r>
      <w:r w:rsidR="00E44890" w:rsidRPr="00D92E20">
        <w:rPr>
          <w:bCs/>
        </w:rPr>
        <w:t>karantény</w:t>
      </w:r>
      <w:r w:rsidR="00CE1E85" w:rsidRPr="00D92E20">
        <w:rPr>
          <w:bCs/>
        </w:rPr>
        <w:t xml:space="preserve">. A sice karantény </w:t>
      </w:r>
      <w:r w:rsidR="00E44890" w:rsidRPr="00D92E20">
        <w:rPr>
          <w:bCs/>
        </w:rPr>
        <w:t>osob</w:t>
      </w:r>
      <w:r w:rsidR="00CE1E85" w:rsidRPr="00D92E20">
        <w:rPr>
          <w:bCs/>
        </w:rPr>
        <w:t>y</w:t>
      </w:r>
      <w:r w:rsidR="00E44890" w:rsidRPr="00D92E20">
        <w:rPr>
          <w:bCs/>
        </w:rPr>
        <w:t>, která splňuje nárok na</w:t>
      </w:r>
      <w:r w:rsidR="00384289" w:rsidRPr="00D92E20">
        <w:rPr>
          <w:bCs/>
        </w:rPr>
        <w:t xml:space="preserve"> dávku nemocenské, podá žádost a ta </w:t>
      </w:r>
      <w:r w:rsidR="00E44890" w:rsidRPr="00D92E20">
        <w:rPr>
          <w:bCs/>
        </w:rPr>
        <w:t>je ze strany ošetřujícího lékaře či hygienické stanice uznána. Zatímco do této doby se podíl neschopenek z důvodu nemoci pohyboval okolo 90</w:t>
      </w:r>
      <w:r w:rsidR="00BA6B4E" w:rsidRPr="00D92E20">
        <w:rPr>
          <w:bCs/>
        </w:rPr>
        <w:t> </w:t>
      </w:r>
      <w:r w:rsidR="00E44890" w:rsidRPr="00D92E20">
        <w:rPr>
          <w:bCs/>
        </w:rPr>
        <w:t>%, nyní činil 92 %.</w:t>
      </w:r>
    </w:p>
    <w:p w14:paraId="6FCD87A5" w14:textId="2D295A4D" w:rsidR="00E44890" w:rsidRPr="00D92E20" w:rsidRDefault="00392130" w:rsidP="00BA6B4E">
      <w:pPr>
        <w:spacing w:before="120" w:after="120"/>
        <w:jc w:val="both"/>
        <w:rPr>
          <w:bCs/>
        </w:rPr>
      </w:pPr>
      <w:r w:rsidRPr="00D92E20">
        <w:t xml:space="preserve">Na rozdíl od pracovní neschopnosti z důvodu nemoci, se výrazně snížil počet neschopenek zapříčiněných </w:t>
      </w:r>
      <w:r w:rsidRPr="00D92E20">
        <w:rPr>
          <w:b/>
        </w:rPr>
        <w:t>úrazy</w:t>
      </w:r>
      <w:r w:rsidRPr="00D92E20">
        <w:t xml:space="preserve">. </w:t>
      </w:r>
      <w:r w:rsidR="00E44890" w:rsidRPr="00D92E20">
        <w:rPr>
          <w:bCs/>
        </w:rPr>
        <w:t xml:space="preserve">Co se týče pracovních úrazů, pokračuje klesající tendence od roku 2018. Meziročně bylo o </w:t>
      </w:r>
      <w:r w:rsidR="00324EEC" w:rsidRPr="00D92E20">
        <w:rPr>
          <w:bCs/>
        </w:rPr>
        <w:t xml:space="preserve">3,2 tis. pracovních úrazů méně, a sice 41 tis. Poklesl i počet nepracovních úrazů na 147 tis. V relativním vyjádření došlo k poklesu </w:t>
      </w:r>
      <w:r w:rsidR="001C0B68" w:rsidRPr="00D92E20">
        <w:rPr>
          <w:bCs/>
        </w:rPr>
        <w:t>počtu případů dočasné pracovní neschopnosti z důvodu</w:t>
      </w:r>
      <w:r w:rsidR="000675AD" w:rsidRPr="00D92E20">
        <w:rPr>
          <w:bCs/>
        </w:rPr>
        <w:t xml:space="preserve"> </w:t>
      </w:r>
      <w:r w:rsidR="00324EEC" w:rsidRPr="00D92E20">
        <w:rPr>
          <w:bCs/>
        </w:rPr>
        <w:t>úraz</w:t>
      </w:r>
      <w:r w:rsidR="001C0B68" w:rsidRPr="00D92E20">
        <w:rPr>
          <w:bCs/>
        </w:rPr>
        <w:t>u</w:t>
      </w:r>
      <w:r w:rsidR="00324EEC" w:rsidRPr="00D92E20">
        <w:rPr>
          <w:bCs/>
        </w:rPr>
        <w:t xml:space="preserve"> o 8 %. </w:t>
      </w:r>
      <w:r w:rsidR="002E4CAA" w:rsidRPr="00D92E20">
        <w:rPr>
          <w:bCs/>
        </w:rPr>
        <w:t xml:space="preserve">Na všech případech pracovní neschopnosti se podílely </w:t>
      </w:r>
      <w:r w:rsidR="002A1CEC" w:rsidRPr="00D92E20">
        <w:rPr>
          <w:bCs/>
        </w:rPr>
        <w:t xml:space="preserve">rovněž </w:t>
      </w:r>
      <w:r w:rsidR="002E4CAA" w:rsidRPr="00D92E20">
        <w:rPr>
          <w:bCs/>
        </w:rPr>
        <w:t xml:space="preserve">8 %, přitom v roce 2019 tvořily 11 %. </w:t>
      </w:r>
      <w:r w:rsidR="00324EEC" w:rsidRPr="00D92E20">
        <w:rPr>
          <w:bCs/>
        </w:rPr>
        <w:t>Dá se předpokládat, že to souvisí s vyhlášením nouzového stavu, celkovým omezením pohybu, uzavřením některých podniků a větší mírou práce z domova.</w:t>
      </w:r>
    </w:p>
    <w:p w14:paraId="3AD9C24C" w14:textId="77777777" w:rsidR="00C44482" w:rsidRPr="00D92E20" w:rsidRDefault="00C44482" w:rsidP="00C44482">
      <w:pPr>
        <w:spacing w:after="60"/>
        <w:jc w:val="both"/>
        <w:rPr>
          <w:b/>
          <w:bCs/>
          <w:spacing w:val="-4"/>
        </w:rPr>
      </w:pPr>
      <w:r w:rsidRPr="00D92E20">
        <w:rPr>
          <w:b/>
          <w:bCs/>
          <w:spacing w:val="-4"/>
        </w:rPr>
        <w:t>Tab. 2.1: Nově hlášené případy dočasné pracovní neschopnosti podle příčiny a pohlaví, 2010–2020 (v tis.)</w:t>
      </w:r>
    </w:p>
    <w:tbl>
      <w:tblPr>
        <w:tblW w:w="9588" w:type="dxa"/>
        <w:tblCellMar>
          <w:left w:w="70" w:type="dxa"/>
          <w:right w:w="70" w:type="dxa"/>
        </w:tblCellMar>
        <w:tblLook w:val="04A0" w:firstRow="1" w:lastRow="0" w:firstColumn="1" w:lastColumn="0" w:noHBand="0" w:noVBand="1"/>
      </w:tblPr>
      <w:tblGrid>
        <w:gridCol w:w="736"/>
        <w:gridCol w:w="737"/>
        <w:gridCol w:w="735"/>
        <w:gridCol w:w="735"/>
        <w:gridCol w:w="736"/>
        <w:gridCol w:w="735"/>
        <w:gridCol w:w="735"/>
        <w:gridCol w:w="754"/>
        <w:gridCol w:w="737"/>
        <w:gridCol w:w="737"/>
        <w:gridCol w:w="737"/>
        <w:gridCol w:w="737"/>
        <w:gridCol w:w="737"/>
      </w:tblGrid>
      <w:tr w:rsidR="0066068F" w:rsidRPr="00D92E20" w14:paraId="05341B7C" w14:textId="77777777" w:rsidTr="0066068F">
        <w:trPr>
          <w:trHeight w:val="300"/>
        </w:trPr>
        <w:tc>
          <w:tcPr>
            <w:tcW w:w="736" w:type="dxa"/>
            <w:vMerge w:val="restart"/>
            <w:tcBorders>
              <w:top w:val="single" w:sz="4" w:space="0" w:color="auto"/>
              <w:left w:val="nil"/>
              <w:bottom w:val="nil"/>
              <w:right w:val="nil"/>
            </w:tcBorders>
            <w:shd w:val="clear" w:color="000000" w:fill="F5DADD"/>
            <w:vAlign w:val="center"/>
            <w:hideMark/>
          </w:tcPr>
          <w:p w14:paraId="4EFFB31A"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nil"/>
              <w:right w:val="nil"/>
            </w:tcBorders>
            <w:shd w:val="clear" w:color="000000" w:fill="F2DBDB"/>
            <w:vAlign w:val="center"/>
            <w:hideMark/>
          </w:tcPr>
          <w:p w14:paraId="4286CFF3" w14:textId="77777777" w:rsidR="0066068F" w:rsidRPr="00D92E20" w:rsidRDefault="0066068F" w:rsidP="00C44482">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48E47F82"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36" w:type="dxa"/>
            <w:vMerge w:val="restart"/>
            <w:tcBorders>
              <w:top w:val="single" w:sz="4" w:space="0" w:color="auto"/>
              <w:left w:val="nil"/>
              <w:right w:val="nil"/>
            </w:tcBorders>
            <w:shd w:val="clear" w:color="000000" w:fill="F2DBDB"/>
            <w:vAlign w:val="center"/>
            <w:hideMark/>
          </w:tcPr>
          <w:p w14:paraId="00FC7D17"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Pro nemoc</w:t>
            </w:r>
          </w:p>
        </w:tc>
        <w:tc>
          <w:tcPr>
            <w:tcW w:w="1470"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71578D2E"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46D015E6"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7E4E50F"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3343562"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right w:val="nil"/>
            </w:tcBorders>
            <w:shd w:val="clear" w:color="000000" w:fill="F2DBDB"/>
            <w:vAlign w:val="center"/>
            <w:hideMark/>
          </w:tcPr>
          <w:p w14:paraId="64F0CEA2"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podle pohlaví</w:t>
            </w:r>
          </w:p>
        </w:tc>
      </w:tr>
      <w:tr w:rsidR="0066068F" w:rsidRPr="00D92E20" w14:paraId="3698B7BD" w14:textId="77777777" w:rsidTr="0066068F">
        <w:trPr>
          <w:trHeight w:val="405"/>
        </w:trPr>
        <w:tc>
          <w:tcPr>
            <w:tcW w:w="736" w:type="dxa"/>
            <w:vMerge/>
            <w:tcBorders>
              <w:top w:val="single" w:sz="4" w:space="0" w:color="auto"/>
              <w:left w:val="nil"/>
              <w:bottom w:val="nil"/>
              <w:right w:val="nil"/>
            </w:tcBorders>
            <w:vAlign w:val="center"/>
            <w:hideMark/>
          </w:tcPr>
          <w:p w14:paraId="3B0F1679" w14:textId="77777777" w:rsidR="0066068F" w:rsidRPr="00D92E20" w:rsidRDefault="0066068F" w:rsidP="00C44482">
            <w:pPr>
              <w:spacing w:after="0" w:line="240" w:lineRule="auto"/>
              <w:rPr>
                <w:rFonts w:cs="Arial"/>
                <w:color w:val="000000"/>
                <w:sz w:val="16"/>
                <w:szCs w:val="16"/>
              </w:rPr>
            </w:pPr>
          </w:p>
        </w:tc>
        <w:tc>
          <w:tcPr>
            <w:tcW w:w="737" w:type="dxa"/>
            <w:vMerge/>
            <w:tcBorders>
              <w:top w:val="single" w:sz="4" w:space="0" w:color="auto"/>
              <w:left w:val="single" w:sz="4" w:space="0" w:color="auto"/>
              <w:bottom w:val="nil"/>
              <w:right w:val="nil"/>
            </w:tcBorders>
            <w:vAlign w:val="center"/>
            <w:hideMark/>
          </w:tcPr>
          <w:p w14:paraId="4CDE0329" w14:textId="77777777" w:rsidR="0066068F" w:rsidRPr="00D92E20" w:rsidRDefault="0066068F" w:rsidP="00C44482">
            <w:pPr>
              <w:spacing w:after="0" w:line="240" w:lineRule="auto"/>
              <w:rPr>
                <w:rFonts w:cs="Arial"/>
                <w:b/>
                <w:bCs/>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7C2C289D"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451EFE61"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ženy</w:t>
            </w:r>
          </w:p>
        </w:tc>
        <w:tc>
          <w:tcPr>
            <w:tcW w:w="736" w:type="dxa"/>
            <w:vMerge/>
            <w:tcBorders>
              <w:left w:val="nil"/>
              <w:bottom w:val="nil"/>
              <w:right w:val="nil"/>
            </w:tcBorders>
            <w:vAlign w:val="center"/>
            <w:hideMark/>
          </w:tcPr>
          <w:p w14:paraId="5111A614" w14:textId="77777777" w:rsidR="0066068F" w:rsidRPr="00D92E20" w:rsidRDefault="0066068F" w:rsidP="00C44482">
            <w:pPr>
              <w:spacing w:after="0" w:line="240" w:lineRule="auto"/>
              <w:rPr>
                <w:rFonts w:cs="Arial"/>
                <w:color w:val="000000"/>
                <w:sz w:val="16"/>
                <w:szCs w:val="16"/>
              </w:rPr>
            </w:pPr>
          </w:p>
        </w:tc>
        <w:tc>
          <w:tcPr>
            <w:tcW w:w="735" w:type="dxa"/>
            <w:tcBorders>
              <w:top w:val="nil"/>
              <w:left w:val="single" w:sz="4" w:space="0" w:color="auto"/>
              <w:bottom w:val="single" w:sz="4" w:space="0" w:color="auto"/>
              <w:right w:val="single" w:sz="4" w:space="0" w:color="auto"/>
            </w:tcBorders>
            <w:shd w:val="clear" w:color="000000" w:fill="F2DBDB"/>
            <w:vAlign w:val="center"/>
            <w:hideMark/>
          </w:tcPr>
          <w:p w14:paraId="2D1D3B1D"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muži</w:t>
            </w:r>
          </w:p>
        </w:tc>
        <w:tc>
          <w:tcPr>
            <w:tcW w:w="735" w:type="dxa"/>
            <w:tcBorders>
              <w:top w:val="nil"/>
              <w:left w:val="nil"/>
              <w:bottom w:val="single" w:sz="4" w:space="0" w:color="auto"/>
              <w:right w:val="single" w:sz="4" w:space="0" w:color="auto"/>
            </w:tcBorders>
            <w:shd w:val="clear" w:color="000000" w:fill="F2DBDB"/>
            <w:vAlign w:val="center"/>
            <w:hideMark/>
          </w:tcPr>
          <w:p w14:paraId="557185F3"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nil"/>
              <w:right w:val="nil"/>
            </w:tcBorders>
            <w:vAlign w:val="center"/>
            <w:hideMark/>
          </w:tcPr>
          <w:p w14:paraId="7F2CA0E0" w14:textId="77777777" w:rsidR="0066068F" w:rsidRPr="00D92E20" w:rsidRDefault="0066068F" w:rsidP="00C4448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E24BD43"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127DB857"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nil"/>
              <w:right w:val="nil"/>
            </w:tcBorders>
            <w:vAlign w:val="center"/>
            <w:hideMark/>
          </w:tcPr>
          <w:p w14:paraId="7C15A4F6" w14:textId="77777777" w:rsidR="0066068F" w:rsidRPr="00D92E20" w:rsidRDefault="0066068F" w:rsidP="00C44482">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5667CE2"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27D1CC56" w14:textId="77777777" w:rsidR="0066068F" w:rsidRPr="00D92E20" w:rsidRDefault="0066068F" w:rsidP="00C44482">
            <w:pPr>
              <w:spacing w:after="0" w:line="240" w:lineRule="auto"/>
              <w:jc w:val="center"/>
              <w:rPr>
                <w:rFonts w:cs="Arial"/>
                <w:color w:val="000000"/>
                <w:sz w:val="16"/>
                <w:szCs w:val="16"/>
              </w:rPr>
            </w:pPr>
            <w:r w:rsidRPr="00D92E20">
              <w:rPr>
                <w:rFonts w:cs="Arial"/>
                <w:color w:val="000000"/>
                <w:sz w:val="16"/>
                <w:szCs w:val="16"/>
              </w:rPr>
              <w:t>ženy</w:t>
            </w:r>
          </w:p>
        </w:tc>
      </w:tr>
      <w:tr w:rsidR="0066068F" w:rsidRPr="00D92E20" w14:paraId="0E3B899F" w14:textId="77777777" w:rsidTr="0066068F">
        <w:trPr>
          <w:trHeight w:val="300"/>
        </w:trPr>
        <w:tc>
          <w:tcPr>
            <w:tcW w:w="736" w:type="dxa"/>
            <w:tcBorders>
              <w:top w:val="single" w:sz="4" w:space="0" w:color="auto"/>
              <w:left w:val="nil"/>
              <w:bottom w:val="nil"/>
              <w:right w:val="nil"/>
            </w:tcBorders>
            <w:shd w:val="clear" w:color="auto" w:fill="auto"/>
            <w:vAlign w:val="center"/>
            <w:hideMark/>
          </w:tcPr>
          <w:p w14:paraId="1BCDA5DA"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2010</w:t>
            </w:r>
          </w:p>
        </w:tc>
        <w:tc>
          <w:tcPr>
            <w:tcW w:w="737" w:type="dxa"/>
            <w:tcBorders>
              <w:top w:val="single" w:sz="4" w:space="0" w:color="auto"/>
              <w:left w:val="single" w:sz="4" w:space="0" w:color="auto"/>
              <w:bottom w:val="nil"/>
              <w:right w:val="nil"/>
            </w:tcBorders>
            <w:shd w:val="clear" w:color="auto" w:fill="auto"/>
            <w:vAlign w:val="center"/>
            <w:hideMark/>
          </w:tcPr>
          <w:p w14:paraId="3B606E0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1 324,9</w:t>
            </w:r>
          </w:p>
        </w:tc>
        <w:tc>
          <w:tcPr>
            <w:tcW w:w="735" w:type="dxa"/>
            <w:tcBorders>
              <w:top w:val="nil"/>
              <w:left w:val="nil"/>
              <w:bottom w:val="nil"/>
              <w:right w:val="nil"/>
            </w:tcBorders>
            <w:shd w:val="clear" w:color="auto" w:fill="auto"/>
            <w:vAlign w:val="center"/>
            <w:hideMark/>
          </w:tcPr>
          <w:p w14:paraId="7D6976C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642,7</w:t>
            </w:r>
          </w:p>
        </w:tc>
        <w:tc>
          <w:tcPr>
            <w:tcW w:w="735" w:type="dxa"/>
            <w:tcBorders>
              <w:top w:val="nil"/>
              <w:left w:val="nil"/>
              <w:bottom w:val="nil"/>
              <w:right w:val="single" w:sz="4" w:space="0" w:color="auto"/>
            </w:tcBorders>
            <w:shd w:val="clear" w:color="auto" w:fill="auto"/>
            <w:vAlign w:val="center"/>
            <w:hideMark/>
          </w:tcPr>
          <w:p w14:paraId="51FE9CA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682,2</w:t>
            </w:r>
          </w:p>
        </w:tc>
        <w:tc>
          <w:tcPr>
            <w:tcW w:w="736" w:type="dxa"/>
            <w:tcBorders>
              <w:top w:val="single" w:sz="4" w:space="0" w:color="auto"/>
              <w:left w:val="nil"/>
              <w:bottom w:val="nil"/>
              <w:right w:val="nil"/>
            </w:tcBorders>
            <w:shd w:val="clear" w:color="auto" w:fill="auto"/>
            <w:vAlign w:val="center"/>
            <w:hideMark/>
          </w:tcPr>
          <w:p w14:paraId="2FCC0C3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1 188,0</w:t>
            </w:r>
          </w:p>
        </w:tc>
        <w:tc>
          <w:tcPr>
            <w:tcW w:w="735" w:type="dxa"/>
            <w:tcBorders>
              <w:top w:val="nil"/>
              <w:left w:val="nil"/>
              <w:bottom w:val="nil"/>
              <w:right w:val="nil"/>
            </w:tcBorders>
            <w:shd w:val="clear" w:color="auto" w:fill="auto"/>
            <w:vAlign w:val="center"/>
            <w:hideMark/>
          </w:tcPr>
          <w:p w14:paraId="41FE064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548,6</w:t>
            </w:r>
          </w:p>
        </w:tc>
        <w:tc>
          <w:tcPr>
            <w:tcW w:w="735" w:type="dxa"/>
            <w:tcBorders>
              <w:top w:val="nil"/>
              <w:left w:val="nil"/>
              <w:bottom w:val="nil"/>
              <w:right w:val="nil"/>
            </w:tcBorders>
            <w:shd w:val="clear" w:color="auto" w:fill="auto"/>
            <w:vAlign w:val="center"/>
            <w:hideMark/>
          </w:tcPr>
          <w:p w14:paraId="4944B421"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639,4</w:t>
            </w:r>
          </w:p>
        </w:tc>
        <w:tc>
          <w:tcPr>
            <w:tcW w:w="754" w:type="dxa"/>
            <w:tcBorders>
              <w:top w:val="single" w:sz="4" w:space="0" w:color="auto"/>
              <w:left w:val="single" w:sz="4" w:space="0" w:color="auto"/>
              <w:bottom w:val="nil"/>
              <w:right w:val="nil"/>
            </w:tcBorders>
            <w:shd w:val="clear" w:color="auto" w:fill="auto"/>
            <w:vAlign w:val="center"/>
            <w:hideMark/>
          </w:tcPr>
          <w:p w14:paraId="6BBF2F0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51,7</w:t>
            </w:r>
          </w:p>
        </w:tc>
        <w:tc>
          <w:tcPr>
            <w:tcW w:w="737" w:type="dxa"/>
            <w:tcBorders>
              <w:top w:val="nil"/>
              <w:left w:val="nil"/>
              <w:bottom w:val="nil"/>
              <w:right w:val="nil"/>
            </w:tcBorders>
            <w:shd w:val="clear" w:color="auto" w:fill="auto"/>
            <w:vAlign w:val="center"/>
            <w:hideMark/>
          </w:tcPr>
          <w:p w14:paraId="207B0B1D"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36,7</w:t>
            </w:r>
          </w:p>
        </w:tc>
        <w:tc>
          <w:tcPr>
            <w:tcW w:w="737" w:type="dxa"/>
            <w:tcBorders>
              <w:top w:val="nil"/>
              <w:left w:val="nil"/>
              <w:bottom w:val="nil"/>
              <w:right w:val="single" w:sz="4" w:space="0" w:color="auto"/>
            </w:tcBorders>
            <w:shd w:val="clear" w:color="auto" w:fill="auto"/>
            <w:vAlign w:val="center"/>
            <w:hideMark/>
          </w:tcPr>
          <w:p w14:paraId="2B66119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15,0</w:t>
            </w:r>
          </w:p>
        </w:tc>
        <w:tc>
          <w:tcPr>
            <w:tcW w:w="737" w:type="dxa"/>
            <w:tcBorders>
              <w:top w:val="single" w:sz="4" w:space="0" w:color="auto"/>
              <w:left w:val="nil"/>
              <w:bottom w:val="nil"/>
              <w:right w:val="nil"/>
            </w:tcBorders>
            <w:shd w:val="clear" w:color="auto" w:fill="auto"/>
            <w:vAlign w:val="center"/>
            <w:hideMark/>
          </w:tcPr>
          <w:p w14:paraId="05BE386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85,3</w:t>
            </w:r>
          </w:p>
        </w:tc>
        <w:tc>
          <w:tcPr>
            <w:tcW w:w="737" w:type="dxa"/>
            <w:tcBorders>
              <w:top w:val="nil"/>
              <w:left w:val="nil"/>
              <w:bottom w:val="nil"/>
              <w:right w:val="nil"/>
            </w:tcBorders>
            <w:shd w:val="clear" w:color="auto" w:fill="auto"/>
            <w:vAlign w:val="center"/>
            <w:hideMark/>
          </w:tcPr>
          <w:p w14:paraId="6D85CF9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57,4</w:t>
            </w:r>
          </w:p>
        </w:tc>
        <w:tc>
          <w:tcPr>
            <w:tcW w:w="737" w:type="dxa"/>
            <w:tcBorders>
              <w:top w:val="nil"/>
              <w:left w:val="nil"/>
              <w:bottom w:val="nil"/>
              <w:right w:val="nil"/>
            </w:tcBorders>
            <w:shd w:val="clear" w:color="auto" w:fill="auto"/>
            <w:vAlign w:val="center"/>
            <w:hideMark/>
          </w:tcPr>
          <w:p w14:paraId="417A5C81"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27,9</w:t>
            </w:r>
          </w:p>
        </w:tc>
      </w:tr>
      <w:tr w:rsidR="0066068F" w:rsidRPr="00D92E20" w14:paraId="06A11B75" w14:textId="77777777" w:rsidTr="0066068F">
        <w:trPr>
          <w:trHeight w:val="300"/>
        </w:trPr>
        <w:tc>
          <w:tcPr>
            <w:tcW w:w="736" w:type="dxa"/>
            <w:tcBorders>
              <w:top w:val="nil"/>
              <w:left w:val="nil"/>
              <w:bottom w:val="nil"/>
              <w:right w:val="nil"/>
            </w:tcBorders>
            <w:shd w:val="clear" w:color="auto" w:fill="auto"/>
            <w:vAlign w:val="center"/>
            <w:hideMark/>
          </w:tcPr>
          <w:p w14:paraId="1D1B5A8D"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nil"/>
              <w:left w:val="single" w:sz="4" w:space="0" w:color="auto"/>
              <w:bottom w:val="nil"/>
              <w:right w:val="nil"/>
            </w:tcBorders>
            <w:shd w:val="clear" w:color="auto" w:fill="auto"/>
            <w:vAlign w:val="center"/>
            <w:hideMark/>
          </w:tcPr>
          <w:p w14:paraId="3D6D9922"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1 268,8</w:t>
            </w:r>
          </w:p>
        </w:tc>
        <w:tc>
          <w:tcPr>
            <w:tcW w:w="735" w:type="dxa"/>
            <w:tcBorders>
              <w:top w:val="nil"/>
              <w:left w:val="nil"/>
              <w:bottom w:val="nil"/>
              <w:right w:val="nil"/>
            </w:tcBorders>
            <w:shd w:val="clear" w:color="auto" w:fill="auto"/>
            <w:vAlign w:val="center"/>
            <w:hideMark/>
          </w:tcPr>
          <w:p w14:paraId="309872E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605,1</w:t>
            </w:r>
          </w:p>
        </w:tc>
        <w:tc>
          <w:tcPr>
            <w:tcW w:w="735" w:type="dxa"/>
            <w:tcBorders>
              <w:top w:val="nil"/>
              <w:left w:val="nil"/>
              <w:bottom w:val="nil"/>
              <w:right w:val="single" w:sz="4" w:space="0" w:color="auto"/>
            </w:tcBorders>
            <w:shd w:val="clear" w:color="auto" w:fill="auto"/>
            <w:vAlign w:val="center"/>
            <w:hideMark/>
          </w:tcPr>
          <w:p w14:paraId="637C378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663,7</w:t>
            </w:r>
          </w:p>
        </w:tc>
        <w:tc>
          <w:tcPr>
            <w:tcW w:w="736" w:type="dxa"/>
            <w:tcBorders>
              <w:top w:val="nil"/>
              <w:left w:val="nil"/>
              <w:bottom w:val="nil"/>
              <w:right w:val="nil"/>
            </w:tcBorders>
            <w:shd w:val="clear" w:color="auto" w:fill="auto"/>
            <w:vAlign w:val="center"/>
            <w:hideMark/>
          </w:tcPr>
          <w:p w14:paraId="2F6AC6F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1 144,5</w:t>
            </w:r>
          </w:p>
        </w:tc>
        <w:tc>
          <w:tcPr>
            <w:tcW w:w="735" w:type="dxa"/>
            <w:tcBorders>
              <w:top w:val="nil"/>
              <w:left w:val="nil"/>
              <w:bottom w:val="nil"/>
              <w:right w:val="nil"/>
            </w:tcBorders>
            <w:shd w:val="clear" w:color="auto" w:fill="auto"/>
            <w:vAlign w:val="center"/>
            <w:hideMark/>
          </w:tcPr>
          <w:p w14:paraId="2E60409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519,2</w:t>
            </w:r>
          </w:p>
        </w:tc>
        <w:tc>
          <w:tcPr>
            <w:tcW w:w="735" w:type="dxa"/>
            <w:tcBorders>
              <w:top w:val="nil"/>
              <w:left w:val="nil"/>
              <w:bottom w:val="nil"/>
              <w:right w:val="nil"/>
            </w:tcBorders>
            <w:shd w:val="clear" w:color="auto" w:fill="auto"/>
            <w:vAlign w:val="center"/>
            <w:hideMark/>
          </w:tcPr>
          <w:p w14:paraId="3D9B67B4"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625,3</w:t>
            </w:r>
          </w:p>
        </w:tc>
        <w:tc>
          <w:tcPr>
            <w:tcW w:w="754" w:type="dxa"/>
            <w:tcBorders>
              <w:top w:val="nil"/>
              <w:left w:val="single" w:sz="4" w:space="0" w:color="auto"/>
              <w:bottom w:val="nil"/>
              <w:right w:val="nil"/>
            </w:tcBorders>
            <w:shd w:val="clear" w:color="auto" w:fill="auto"/>
            <w:vAlign w:val="center"/>
            <w:hideMark/>
          </w:tcPr>
          <w:p w14:paraId="0DE645B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47,1</w:t>
            </w:r>
          </w:p>
        </w:tc>
        <w:tc>
          <w:tcPr>
            <w:tcW w:w="737" w:type="dxa"/>
            <w:tcBorders>
              <w:top w:val="nil"/>
              <w:left w:val="nil"/>
              <w:bottom w:val="nil"/>
              <w:right w:val="nil"/>
            </w:tcBorders>
            <w:shd w:val="clear" w:color="auto" w:fill="auto"/>
            <w:vAlign w:val="center"/>
            <w:hideMark/>
          </w:tcPr>
          <w:p w14:paraId="560DA22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33,6</w:t>
            </w:r>
          </w:p>
        </w:tc>
        <w:tc>
          <w:tcPr>
            <w:tcW w:w="737" w:type="dxa"/>
            <w:tcBorders>
              <w:top w:val="nil"/>
              <w:left w:val="nil"/>
              <w:bottom w:val="nil"/>
              <w:right w:val="single" w:sz="4" w:space="0" w:color="auto"/>
            </w:tcBorders>
            <w:shd w:val="clear" w:color="auto" w:fill="auto"/>
            <w:vAlign w:val="center"/>
            <w:hideMark/>
          </w:tcPr>
          <w:p w14:paraId="6413554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13,5</w:t>
            </w:r>
          </w:p>
        </w:tc>
        <w:tc>
          <w:tcPr>
            <w:tcW w:w="737" w:type="dxa"/>
            <w:tcBorders>
              <w:top w:val="nil"/>
              <w:left w:val="nil"/>
              <w:bottom w:val="nil"/>
              <w:right w:val="nil"/>
            </w:tcBorders>
            <w:shd w:val="clear" w:color="auto" w:fill="auto"/>
            <w:vAlign w:val="center"/>
            <w:hideMark/>
          </w:tcPr>
          <w:p w14:paraId="54BADF0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77,1</w:t>
            </w:r>
          </w:p>
        </w:tc>
        <w:tc>
          <w:tcPr>
            <w:tcW w:w="737" w:type="dxa"/>
            <w:tcBorders>
              <w:top w:val="nil"/>
              <w:left w:val="nil"/>
              <w:bottom w:val="nil"/>
              <w:right w:val="nil"/>
            </w:tcBorders>
            <w:shd w:val="clear" w:color="auto" w:fill="auto"/>
            <w:vAlign w:val="center"/>
            <w:hideMark/>
          </w:tcPr>
          <w:p w14:paraId="200AFAC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52,3</w:t>
            </w:r>
          </w:p>
        </w:tc>
        <w:tc>
          <w:tcPr>
            <w:tcW w:w="737" w:type="dxa"/>
            <w:tcBorders>
              <w:top w:val="nil"/>
              <w:left w:val="nil"/>
              <w:bottom w:val="nil"/>
              <w:right w:val="nil"/>
            </w:tcBorders>
            <w:shd w:val="clear" w:color="auto" w:fill="auto"/>
            <w:vAlign w:val="center"/>
            <w:hideMark/>
          </w:tcPr>
          <w:p w14:paraId="6043084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24,8</w:t>
            </w:r>
          </w:p>
        </w:tc>
      </w:tr>
      <w:tr w:rsidR="0066068F" w:rsidRPr="00D92E20" w14:paraId="20CC6FD1" w14:textId="77777777" w:rsidTr="0066068F">
        <w:trPr>
          <w:trHeight w:val="300"/>
        </w:trPr>
        <w:tc>
          <w:tcPr>
            <w:tcW w:w="736" w:type="dxa"/>
            <w:tcBorders>
              <w:top w:val="nil"/>
              <w:left w:val="nil"/>
              <w:bottom w:val="nil"/>
              <w:right w:val="nil"/>
            </w:tcBorders>
            <w:shd w:val="clear" w:color="auto" w:fill="auto"/>
            <w:vAlign w:val="center"/>
            <w:hideMark/>
          </w:tcPr>
          <w:p w14:paraId="6DA7098E"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3C26735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1 226,9</w:t>
            </w:r>
          </w:p>
        </w:tc>
        <w:tc>
          <w:tcPr>
            <w:tcW w:w="735" w:type="dxa"/>
            <w:tcBorders>
              <w:top w:val="nil"/>
              <w:left w:val="nil"/>
              <w:bottom w:val="nil"/>
              <w:right w:val="nil"/>
            </w:tcBorders>
            <w:shd w:val="clear" w:color="auto" w:fill="auto"/>
            <w:vAlign w:val="center"/>
            <w:hideMark/>
          </w:tcPr>
          <w:p w14:paraId="2A229F1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593,7</w:t>
            </w:r>
          </w:p>
        </w:tc>
        <w:tc>
          <w:tcPr>
            <w:tcW w:w="735" w:type="dxa"/>
            <w:tcBorders>
              <w:top w:val="nil"/>
              <w:left w:val="nil"/>
              <w:bottom w:val="nil"/>
              <w:right w:val="single" w:sz="4" w:space="0" w:color="auto"/>
            </w:tcBorders>
            <w:shd w:val="clear" w:color="auto" w:fill="auto"/>
            <w:vAlign w:val="center"/>
            <w:hideMark/>
          </w:tcPr>
          <w:p w14:paraId="0D3E7686"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633,2</w:t>
            </w:r>
          </w:p>
        </w:tc>
        <w:tc>
          <w:tcPr>
            <w:tcW w:w="736" w:type="dxa"/>
            <w:tcBorders>
              <w:top w:val="nil"/>
              <w:left w:val="nil"/>
              <w:bottom w:val="nil"/>
              <w:right w:val="nil"/>
            </w:tcBorders>
            <w:shd w:val="clear" w:color="auto" w:fill="auto"/>
            <w:vAlign w:val="center"/>
            <w:hideMark/>
          </w:tcPr>
          <w:p w14:paraId="3055B07F"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1 067,3</w:t>
            </w:r>
          </w:p>
        </w:tc>
        <w:tc>
          <w:tcPr>
            <w:tcW w:w="735" w:type="dxa"/>
            <w:tcBorders>
              <w:top w:val="nil"/>
              <w:left w:val="nil"/>
              <w:bottom w:val="nil"/>
              <w:right w:val="nil"/>
            </w:tcBorders>
            <w:shd w:val="clear" w:color="auto" w:fill="auto"/>
            <w:vAlign w:val="center"/>
            <w:hideMark/>
          </w:tcPr>
          <w:p w14:paraId="6260CC5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485,9</w:t>
            </w:r>
          </w:p>
        </w:tc>
        <w:tc>
          <w:tcPr>
            <w:tcW w:w="735" w:type="dxa"/>
            <w:tcBorders>
              <w:top w:val="nil"/>
              <w:left w:val="nil"/>
              <w:bottom w:val="nil"/>
              <w:right w:val="nil"/>
            </w:tcBorders>
            <w:shd w:val="clear" w:color="auto" w:fill="auto"/>
            <w:vAlign w:val="center"/>
            <w:hideMark/>
          </w:tcPr>
          <w:p w14:paraId="368C9F31"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581,4</w:t>
            </w:r>
          </w:p>
        </w:tc>
        <w:tc>
          <w:tcPr>
            <w:tcW w:w="754" w:type="dxa"/>
            <w:tcBorders>
              <w:top w:val="nil"/>
              <w:left w:val="single" w:sz="4" w:space="0" w:color="auto"/>
              <w:bottom w:val="nil"/>
              <w:right w:val="nil"/>
            </w:tcBorders>
            <w:shd w:val="clear" w:color="auto" w:fill="auto"/>
            <w:vAlign w:val="center"/>
            <w:hideMark/>
          </w:tcPr>
          <w:p w14:paraId="4BC3F65D"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44,1</w:t>
            </w:r>
          </w:p>
        </w:tc>
        <w:tc>
          <w:tcPr>
            <w:tcW w:w="737" w:type="dxa"/>
            <w:tcBorders>
              <w:top w:val="nil"/>
              <w:left w:val="nil"/>
              <w:bottom w:val="nil"/>
              <w:right w:val="nil"/>
            </w:tcBorders>
            <w:shd w:val="clear" w:color="auto" w:fill="auto"/>
            <w:vAlign w:val="center"/>
            <w:hideMark/>
          </w:tcPr>
          <w:p w14:paraId="37CF264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31,5</w:t>
            </w:r>
          </w:p>
        </w:tc>
        <w:tc>
          <w:tcPr>
            <w:tcW w:w="737" w:type="dxa"/>
            <w:tcBorders>
              <w:top w:val="nil"/>
              <w:left w:val="nil"/>
              <w:bottom w:val="nil"/>
              <w:right w:val="single" w:sz="4" w:space="0" w:color="auto"/>
            </w:tcBorders>
            <w:shd w:val="clear" w:color="auto" w:fill="auto"/>
            <w:vAlign w:val="center"/>
            <w:hideMark/>
          </w:tcPr>
          <w:p w14:paraId="20FC392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0728577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115,4</w:t>
            </w:r>
          </w:p>
        </w:tc>
        <w:tc>
          <w:tcPr>
            <w:tcW w:w="737" w:type="dxa"/>
            <w:tcBorders>
              <w:top w:val="nil"/>
              <w:left w:val="nil"/>
              <w:bottom w:val="nil"/>
              <w:right w:val="nil"/>
            </w:tcBorders>
            <w:shd w:val="clear" w:color="auto" w:fill="auto"/>
            <w:vAlign w:val="center"/>
            <w:hideMark/>
          </w:tcPr>
          <w:p w14:paraId="31B05E14"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76,4</w:t>
            </w:r>
          </w:p>
        </w:tc>
        <w:tc>
          <w:tcPr>
            <w:tcW w:w="737" w:type="dxa"/>
            <w:tcBorders>
              <w:top w:val="nil"/>
              <w:left w:val="nil"/>
              <w:bottom w:val="nil"/>
              <w:right w:val="nil"/>
            </w:tcBorders>
            <w:shd w:val="clear" w:color="auto" w:fill="auto"/>
            <w:vAlign w:val="center"/>
            <w:hideMark/>
          </w:tcPr>
          <w:p w14:paraId="5615E3A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39,1</w:t>
            </w:r>
          </w:p>
        </w:tc>
      </w:tr>
      <w:tr w:rsidR="0066068F" w:rsidRPr="00D92E20" w14:paraId="7AC694F2" w14:textId="77777777" w:rsidTr="0066068F">
        <w:trPr>
          <w:trHeight w:val="300"/>
        </w:trPr>
        <w:tc>
          <w:tcPr>
            <w:tcW w:w="736" w:type="dxa"/>
            <w:tcBorders>
              <w:top w:val="nil"/>
              <w:left w:val="nil"/>
              <w:bottom w:val="nil"/>
              <w:right w:val="nil"/>
            </w:tcBorders>
            <w:shd w:val="clear" w:color="auto" w:fill="auto"/>
            <w:vAlign w:val="center"/>
            <w:hideMark/>
          </w:tcPr>
          <w:p w14:paraId="5DEA6417"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040EA4E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1 331,5</w:t>
            </w:r>
          </w:p>
        </w:tc>
        <w:tc>
          <w:tcPr>
            <w:tcW w:w="735" w:type="dxa"/>
            <w:tcBorders>
              <w:top w:val="nil"/>
              <w:left w:val="nil"/>
              <w:bottom w:val="nil"/>
              <w:right w:val="nil"/>
            </w:tcBorders>
            <w:shd w:val="clear" w:color="auto" w:fill="auto"/>
            <w:vAlign w:val="center"/>
            <w:hideMark/>
          </w:tcPr>
          <w:p w14:paraId="40D987B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638,2</w:t>
            </w:r>
          </w:p>
        </w:tc>
        <w:tc>
          <w:tcPr>
            <w:tcW w:w="735" w:type="dxa"/>
            <w:tcBorders>
              <w:top w:val="nil"/>
              <w:left w:val="nil"/>
              <w:bottom w:val="nil"/>
              <w:right w:val="single" w:sz="4" w:space="0" w:color="auto"/>
            </w:tcBorders>
            <w:shd w:val="clear" w:color="auto" w:fill="auto"/>
            <w:vAlign w:val="center"/>
            <w:hideMark/>
          </w:tcPr>
          <w:p w14:paraId="74374D3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693,3</w:t>
            </w:r>
          </w:p>
        </w:tc>
        <w:tc>
          <w:tcPr>
            <w:tcW w:w="736" w:type="dxa"/>
            <w:tcBorders>
              <w:top w:val="nil"/>
              <w:left w:val="nil"/>
              <w:bottom w:val="nil"/>
              <w:right w:val="nil"/>
            </w:tcBorders>
            <w:shd w:val="clear" w:color="auto" w:fill="auto"/>
            <w:vAlign w:val="center"/>
            <w:hideMark/>
          </w:tcPr>
          <w:p w14:paraId="089B295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1 168,1</w:t>
            </w:r>
          </w:p>
        </w:tc>
        <w:tc>
          <w:tcPr>
            <w:tcW w:w="735" w:type="dxa"/>
            <w:tcBorders>
              <w:top w:val="nil"/>
              <w:left w:val="nil"/>
              <w:bottom w:val="nil"/>
              <w:right w:val="nil"/>
            </w:tcBorders>
            <w:shd w:val="clear" w:color="auto" w:fill="auto"/>
            <w:vAlign w:val="center"/>
            <w:hideMark/>
          </w:tcPr>
          <w:p w14:paraId="438E35D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528,7</w:t>
            </w:r>
          </w:p>
        </w:tc>
        <w:tc>
          <w:tcPr>
            <w:tcW w:w="735" w:type="dxa"/>
            <w:tcBorders>
              <w:top w:val="nil"/>
              <w:left w:val="nil"/>
              <w:bottom w:val="nil"/>
              <w:right w:val="nil"/>
            </w:tcBorders>
            <w:shd w:val="clear" w:color="auto" w:fill="auto"/>
            <w:vAlign w:val="center"/>
            <w:hideMark/>
          </w:tcPr>
          <w:p w14:paraId="41B4524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639,4</w:t>
            </w:r>
          </w:p>
        </w:tc>
        <w:tc>
          <w:tcPr>
            <w:tcW w:w="754" w:type="dxa"/>
            <w:tcBorders>
              <w:top w:val="nil"/>
              <w:left w:val="single" w:sz="4" w:space="0" w:color="auto"/>
              <w:bottom w:val="nil"/>
              <w:right w:val="nil"/>
            </w:tcBorders>
            <w:shd w:val="clear" w:color="auto" w:fill="auto"/>
            <w:vAlign w:val="center"/>
            <w:hideMark/>
          </w:tcPr>
          <w:p w14:paraId="3DC500C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42,9</w:t>
            </w:r>
          </w:p>
        </w:tc>
        <w:tc>
          <w:tcPr>
            <w:tcW w:w="737" w:type="dxa"/>
            <w:tcBorders>
              <w:top w:val="nil"/>
              <w:left w:val="nil"/>
              <w:bottom w:val="nil"/>
              <w:right w:val="nil"/>
            </w:tcBorders>
            <w:shd w:val="clear" w:color="auto" w:fill="auto"/>
            <w:vAlign w:val="center"/>
            <w:hideMark/>
          </w:tcPr>
          <w:p w14:paraId="49BA9DD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30,4</w:t>
            </w:r>
          </w:p>
        </w:tc>
        <w:tc>
          <w:tcPr>
            <w:tcW w:w="737" w:type="dxa"/>
            <w:tcBorders>
              <w:top w:val="nil"/>
              <w:left w:val="nil"/>
              <w:bottom w:val="nil"/>
              <w:right w:val="single" w:sz="4" w:space="0" w:color="auto"/>
            </w:tcBorders>
            <w:shd w:val="clear" w:color="auto" w:fill="auto"/>
            <w:vAlign w:val="center"/>
            <w:hideMark/>
          </w:tcPr>
          <w:p w14:paraId="17471881"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1D83D1F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120,5</w:t>
            </w:r>
          </w:p>
        </w:tc>
        <w:tc>
          <w:tcPr>
            <w:tcW w:w="737" w:type="dxa"/>
            <w:tcBorders>
              <w:top w:val="nil"/>
              <w:left w:val="nil"/>
              <w:bottom w:val="nil"/>
              <w:right w:val="nil"/>
            </w:tcBorders>
            <w:shd w:val="clear" w:color="auto" w:fill="auto"/>
            <w:vAlign w:val="center"/>
            <w:hideMark/>
          </w:tcPr>
          <w:p w14:paraId="651A1CE2"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79,1</w:t>
            </w:r>
          </w:p>
        </w:tc>
        <w:tc>
          <w:tcPr>
            <w:tcW w:w="737" w:type="dxa"/>
            <w:tcBorders>
              <w:top w:val="nil"/>
              <w:left w:val="nil"/>
              <w:bottom w:val="nil"/>
              <w:right w:val="nil"/>
            </w:tcBorders>
            <w:shd w:val="clear" w:color="auto" w:fill="auto"/>
            <w:vAlign w:val="center"/>
            <w:hideMark/>
          </w:tcPr>
          <w:p w14:paraId="35D3007D"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41,4</w:t>
            </w:r>
          </w:p>
        </w:tc>
      </w:tr>
      <w:tr w:rsidR="0066068F" w:rsidRPr="00D92E20" w14:paraId="4F86AD5B" w14:textId="77777777" w:rsidTr="0066068F">
        <w:trPr>
          <w:trHeight w:val="300"/>
        </w:trPr>
        <w:tc>
          <w:tcPr>
            <w:tcW w:w="736" w:type="dxa"/>
            <w:tcBorders>
              <w:top w:val="nil"/>
              <w:left w:val="nil"/>
              <w:bottom w:val="nil"/>
              <w:right w:val="nil"/>
            </w:tcBorders>
            <w:shd w:val="clear" w:color="auto" w:fill="auto"/>
            <w:vAlign w:val="center"/>
            <w:hideMark/>
          </w:tcPr>
          <w:p w14:paraId="2F4D0A71"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399654B6"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1 314,8</w:t>
            </w:r>
          </w:p>
        </w:tc>
        <w:tc>
          <w:tcPr>
            <w:tcW w:w="735" w:type="dxa"/>
            <w:tcBorders>
              <w:top w:val="nil"/>
              <w:left w:val="nil"/>
              <w:bottom w:val="nil"/>
              <w:right w:val="nil"/>
            </w:tcBorders>
            <w:shd w:val="clear" w:color="auto" w:fill="auto"/>
            <w:vAlign w:val="center"/>
            <w:hideMark/>
          </w:tcPr>
          <w:p w14:paraId="573CA4C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631,7</w:t>
            </w:r>
          </w:p>
        </w:tc>
        <w:tc>
          <w:tcPr>
            <w:tcW w:w="735" w:type="dxa"/>
            <w:tcBorders>
              <w:top w:val="nil"/>
              <w:left w:val="nil"/>
              <w:bottom w:val="nil"/>
              <w:right w:val="single" w:sz="4" w:space="0" w:color="auto"/>
            </w:tcBorders>
            <w:shd w:val="clear" w:color="auto" w:fill="auto"/>
            <w:vAlign w:val="center"/>
            <w:hideMark/>
          </w:tcPr>
          <w:p w14:paraId="4C8A5E41"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683,1</w:t>
            </w:r>
          </w:p>
        </w:tc>
        <w:tc>
          <w:tcPr>
            <w:tcW w:w="736" w:type="dxa"/>
            <w:tcBorders>
              <w:top w:val="nil"/>
              <w:left w:val="nil"/>
              <w:bottom w:val="nil"/>
              <w:right w:val="nil"/>
            </w:tcBorders>
            <w:shd w:val="clear" w:color="auto" w:fill="auto"/>
            <w:vAlign w:val="center"/>
            <w:hideMark/>
          </w:tcPr>
          <w:p w14:paraId="734EB60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1 146,3</w:t>
            </w:r>
          </w:p>
        </w:tc>
        <w:tc>
          <w:tcPr>
            <w:tcW w:w="735" w:type="dxa"/>
            <w:tcBorders>
              <w:top w:val="nil"/>
              <w:left w:val="nil"/>
              <w:bottom w:val="nil"/>
              <w:right w:val="nil"/>
            </w:tcBorders>
            <w:shd w:val="clear" w:color="auto" w:fill="auto"/>
            <w:vAlign w:val="center"/>
            <w:hideMark/>
          </w:tcPr>
          <w:p w14:paraId="2DAA499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518,5</w:t>
            </w:r>
          </w:p>
        </w:tc>
        <w:tc>
          <w:tcPr>
            <w:tcW w:w="735" w:type="dxa"/>
            <w:tcBorders>
              <w:top w:val="nil"/>
              <w:left w:val="nil"/>
              <w:bottom w:val="nil"/>
              <w:right w:val="nil"/>
            </w:tcBorders>
            <w:shd w:val="clear" w:color="auto" w:fill="auto"/>
            <w:vAlign w:val="center"/>
            <w:hideMark/>
          </w:tcPr>
          <w:p w14:paraId="78D6FDD9"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627,8</w:t>
            </w:r>
          </w:p>
        </w:tc>
        <w:tc>
          <w:tcPr>
            <w:tcW w:w="754" w:type="dxa"/>
            <w:tcBorders>
              <w:top w:val="nil"/>
              <w:left w:val="single" w:sz="4" w:space="0" w:color="auto"/>
              <w:bottom w:val="nil"/>
              <w:right w:val="nil"/>
            </w:tcBorders>
            <w:shd w:val="clear" w:color="auto" w:fill="auto"/>
            <w:vAlign w:val="center"/>
            <w:hideMark/>
          </w:tcPr>
          <w:p w14:paraId="6AD56AA9"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45,1</w:t>
            </w:r>
          </w:p>
        </w:tc>
        <w:tc>
          <w:tcPr>
            <w:tcW w:w="737" w:type="dxa"/>
            <w:tcBorders>
              <w:top w:val="nil"/>
              <w:left w:val="nil"/>
              <w:bottom w:val="nil"/>
              <w:right w:val="nil"/>
            </w:tcBorders>
            <w:shd w:val="clear" w:color="auto" w:fill="auto"/>
            <w:vAlign w:val="center"/>
            <w:hideMark/>
          </w:tcPr>
          <w:p w14:paraId="1869C6E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31,7</w:t>
            </w:r>
          </w:p>
        </w:tc>
        <w:tc>
          <w:tcPr>
            <w:tcW w:w="737" w:type="dxa"/>
            <w:tcBorders>
              <w:top w:val="nil"/>
              <w:left w:val="nil"/>
              <w:bottom w:val="nil"/>
              <w:right w:val="single" w:sz="4" w:space="0" w:color="auto"/>
            </w:tcBorders>
            <w:shd w:val="clear" w:color="auto" w:fill="auto"/>
            <w:vAlign w:val="center"/>
            <w:hideMark/>
          </w:tcPr>
          <w:p w14:paraId="2D00B9A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0FE0044F"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123,4</w:t>
            </w:r>
          </w:p>
        </w:tc>
        <w:tc>
          <w:tcPr>
            <w:tcW w:w="737" w:type="dxa"/>
            <w:tcBorders>
              <w:top w:val="nil"/>
              <w:left w:val="nil"/>
              <w:bottom w:val="nil"/>
              <w:right w:val="nil"/>
            </w:tcBorders>
            <w:shd w:val="clear" w:color="auto" w:fill="auto"/>
            <w:vAlign w:val="center"/>
            <w:hideMark/>
          </w:tcPr>
          <w:p w14:paraId="2011F1BD"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81,5</w:t>
            </w:r>
          </w:p>
        </w:tc>
        <w:tc>
          <w:tcPr>
            <w:tcW w:w="737" w:type="dxa"/>
            <w:tcBorders>
              <w:top w:val="nil"/>
              <w:left w:val="nil"/>
              <w:bottom w:val="nil"/>
              <w:right w:val="nil"/>
            </w:tcBorders>
            <w:shd w:val="clear" w:color="auto" w:fill="auto"/>
            <w:vAlign w:val="center"/>
            <w:hideMark/>
          </w:tcPr>
          <w:p w14:paraId="6B73AB7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42,0</w:t>
            </w:r>
          </w:p>
        </w:tc>
      </w:tr>
      <w:tr w:rsidR="0066068F" w:rsidRPr="00D92E20" w14:paraId="00941711" w14:textId="77777777" w:rsidTr="0066068F">
        <w:trPr>
          <w:trHeight w:val="300"/>
        </w:trPr>
        <w:tc>
          <w:tcPr>
            <w:tcW w:w="736" w:type="dxa"/>
            <w:tcBorders>
              <w:top w:val="nil"/>
              <w:left w:val="nil"/>
              <w:bottom w:val="nil"/>
              <w:right w:val="nil"/>
            </w:tcBorders>
            <w:shd w:val="clear" w:color="auto" w:fill="auto"/>
            <w:vAlign w:val="center"/>
            <w:hideMark/>
          </w:tcPr>
          <w:p w14:paraId="7CB558E4"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5420250D"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1 563,5</w:t>
            </w:r>
          </w:p>
        </w:tc>
        <w:tc>
          <w:tcPr>
            <w:tcW w:w="735" w:type="dxa"/>
            <w:tcBorders>
              <w:top w:val="nil"/>
              <w:left w:val="nil"/>
              <w:bottom w:val="nil"/>
              <w:right w:val="nil"/>
            </w:tcBorders>
            <w:shd w:val="clear" w:color="auto" w:fill="auto"/>
            <w:vAlign w:val="center"/>
            <w:hideMark/>
          </w:tcPr>
          <w:p w14:paraId="703A583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751,8</w:t>
            </w:r>
          </w:p>
        </w:tc>
        <w:tc>
          <w:tcPr>
            <w:tcW w:w="735" w:type="dxa"/>
            <w:tcBorders>
              <w:top w:val="nil"/>
              <w:left w:val="nil"/>
              <w:bottom w:val="nil"/>
              <w:right w:val="single" w:sz="4" w:space="0" w:color="auto"/>
            </w:tcBorders>
            <w:shd w:val="clear" w:color="auto" w:fill="auto"/>
            <w:vAlign w:val="center"/>
            <w:hideMark/>
          </w:tcPr>
          <w:p w14:paraId="0957E0F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811,7</w:t>
            </w:r>
          </w:p>
        </w:tc>
        <w:tc>
          <w:tcPr>
            <w:tcW w:w="736" w:type="dxa"/>
            <w:tcBorders>
              <w:top w:val="nil"/>
              <w:left w:val="nil"/>
              <w:bottom w:val="nil"/>
              <w:right w:val="nil"/>
            </w:tcBorders>
            <w:shd w:val="clear" w:color="auto" w:fill="auto"/>
            <w:vAlign w:val="center"/>
            <w:hideMark/>
          </w:tcPr>
          <w:p w14:paraId="0B5D742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1 383,9</w:t>
            </w:r>
          </w:p>
        </w:tc>
        <w:tc>
          <w:tcPr>
            <w:tcW w:w="735" w:type="dxa"/>
            <w:tcBorders>
              <w:top w:val="nil"/>
              <w:left w:val="nil"/>
              <w:bottom w:val="nil"/>
              <w:right w:val="nil"/>
            </w:tcBorders>
            <w:shd w:val="clear" w:color="auto" w:fill="auto"/>
            <w:vAlign w:val="center"/>
            <w:hideMark/>
          </w:tcPr>
          <w:p w14:paraId="1B3E375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632,6</w:t>
            </w:r>
          </w:p>
        </w:tc>
        <w:tc>
          <w:tcPr>
            <w:tcW w:w="735" w:type="dxa"/>
            <w:tcBorders>
              <w:top w:val="nil"/>
              <w:left w:val="nil"/>
              <w:bottom w:val="nil"/>
              <w:right w:val="nil"/>
            </w:tcBorders>
            <w:shd w:val="clear" w:color="auto" w:fill="auto"/>
            <w:vAlign w:val="center"/>
            <w:hideMark/>
          </w:tcPr>
          <w:p w14:paraId="3CDDD46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751,3</w:t>
            </w:r>
          </w:p>
        </w:tc>
        <w:tc>
          <w:tcPr>
            <w:tcW w:w="754" w:type="dxa"/>
            <w:tcBorders>
              <w:top w:val="nil"/>
              <w:left w:val="single" w:sz="4" w:space="0" w:color="auto"/>
              <w:bottom w:val="nil"/>
              <w:right w:val="nil"/>
            </w:tcBorders>
            <w:shd w:val="clear" w:color="auto" w:fill="auto"/>
            <w:vAlign w:val="center"/>
            <w:hideMark/>
          </w:tcPr>
          <w:p w14:paraId="252A5E6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46,3</w:t>
            </w:r>
          </w:p>
        </w:tc>
        <w:tc>
          <w:tcPr>
            <w:tcW w:w="737" w:type="dxa"/>
            <w:tcBorders>
              <w:top w:val="nil"/>
              <w:left w:val="nil"/>
              <w:bottom w:val="nil"/>
              <w:right w:val="nil"/>
            </w:tcBorders>
            <w:shd w:val="clear" w:color="auto" w:fill="auto"/>
            <w:vAlign w:val="center"/>
            <w:hideMark/>
          </w:tcPr>
          <w:p w14:paraId="6574F10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32,1</w:t>
            </w:r>
          </w:p>
        </w:tc>
        <w:tc>
          <w:tcPr>
            <w:tcW w:w="737" w:type="dxa"/>
            <w:tcBorders>
              <w:top w:val="nil"/>
              <w:left w:val="nil"/>
              <w:bottom w:val="nil"/>
              <w:right w:val="single" w:sz="4" w:space="0" w:color="auto"/>
            </w:tcBorders>
            <w:shd w:val="clear" w:color="auto" w:fill="auto"/>
            <w:vAlign w:val="center"/>
            <w:hideMark/>
          </w:tcPr>
          <w:p w14:paraId="524FA8A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14,2</w:t>
            </w:r>
          </w:p>
        </w:tc>
        <w:tc>
          <w:tcPr>
            <w:tcW w:w="737" w:type="dxa"/>
            <w:tcBorders>
              <w:top w:val="nil"/>
              <w:left w:val="nil"/>
              <w:bottom w:val="nil"/>
              <w:right w:val="nil"/>
            </w:tcBorders>
            <w:shd w:val="clear" w:color="auto" w:fill="auto"/>
            <w:vAlign w:val="center"/>
            <w:hideMark/>
          </w:tcPr>
          <w:p w14:paraId="55060C52"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133,3</w:t>
            </w:r>
          </w:p>
        </w:tc>
        <w:tc>
          <w:tcPr>
            <w:tcW w:w="737" w:type="dxa"/>
            <w:tcBorders>
              <w:top w:val="nil"/>
              <w:left w:val="nil"/>
              <w:bottom w:val="nil"/>
              <w:right w:val="nil"/>
            </w:tcBorders>
            <w:shd w:val="clear" w:color="auto" w:fill="auto"/>
            <w:vAlign w:val="center"/>
            <w:hideMark/>
          </w:tcPr>
          <w:p w14:paraId="64139714"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87,0</w:t>
            </w:r>
          </w:p>
        </w:tc>
        <w:tc>
          <w:tcPr>
            <w:tcW w:w="737" w:type="dxa"/>
            <w:tcBorders>
              <w:top w:val="nil"/>
              <w:left w:val="nil"/>
              <w:bottom w:val="nil"/>
              <w:right w:val="nil"/>
            </w:tcBorders>
            <w:shd w:val="clear" w:color="auto" w:fill="auto"/>
            <w:vAlign w:val="center"/>
            <w:hideMark/>
          </w:tcPr>
          <w:p w14:paraId="5E97CCA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46,2</w:t>
            </w:r>
          </w:p>
        </w:tc>
      </w:tr>
      <w:tr w:rsidR="0066068F" w:rsidRPr="00D92E20" w14:paraId="3BC1F510" w14:textId="77777777" w:rsidTr="0066068F">
        <w:trPr>
          <w:trHeight w:val="300"/>
        </w:trPr>
        <w:tc>
          <w:tcPr>
            <w:tcW w:w="736" w:type="dxa"/>
            <w:tcBorders>
              <w:top w:val="nil"/>
              <w:left w:val="nil"/>
              <w:bottom w:val="nil"/>
              <w:right w:val="nil"/>
            </w:tcBorders>
            <w:shd w:val="clear" w:color="auto" w:fill="auto"/>
            <w:vAlign w:val="center"/>
            <w:hideMark/>
          </w:tcPr>
          <w:p w14:paraId="4C459136"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23E09AA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1 633,3</w:t>
            </w:r>
          </w:p>
        </w:tc>
        <w:tc>
          <w:tcPr>
            <w:tcW w:w="735" w:type="dxa"/>
            <w:tcBorders>
              <w:top w:val="nil"/>
              <w:left w:val="nil"/>
              <w:bottom w:val="nil"/>
              <w:right w:val="nil"/>
            </w:tcBorders>
            <w:shd w:val="clear" w:color="auto" w:fill="auto"/>
            <w:vAlign w:val="center"/>
            <w:hideMark/>
          </w:tcPr>
          <w:p w14:paraId="7A99323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784,1</w:t>
            </w:r>
          </w:p>
        </w:tc>
        <w:tc>
          <w:tcPr>
            <w:tcW w:w="735" w:type="dxa"/>
            <w:tcBorders>
              <w:top w:val="nil"/>
              <w:left w:val="nil"/>
              <w:bottom w:val="nil"/>
              <w:right w:val="single" w:sz="4" w:space="0" w:color="auto"/>
            </w:tcBorders>
            <w:shd w:val="clear" w:color="auto" w:fill="auto"/>
            <w:vAlign w:val="center"/>
            <w:hideMark/>
          </w:tcPr>
          <w:p w14:paraId="62290B86"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849,3</w:t>
            </w:r>
          </w:p>
        </w:tc>
        <w:tc>
          <w:tcPr>
            <w:tcW w:w="736" w:type="dxa"/>
            <w:tcBorders>
              <w:top w:val="nil"/>
              <w:left w:val="nil"/>
              <w:bottom w:val="nil"/>
              <w:right w:val="nil"/>
            </w:tcBorders>
            <w:shd w:val="clear" w:color="auto" w:fill="auto"/>
            <w:vAlign w:val="center"/>
            <w:hideMark/>
          </w:tcPr>
          <w:p w14:paraId="5BAC0AE4"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1 440,9</w:t>
            </w:r>
          </w:p>
        </w:tc>
        <w:tc>
          <w:tcPr>
            <w:tcW w:w="735" w:type="dxa"/>
            <w:tcBorders>
              <w:top w:val="nil"/>
              <w:left w:val="nil"/>
              <w:bottom w:val="nil"/>
              <w:right w:val="nil"/>
            </w:tcBorders>
            <w:shd w:val="clear" w:color="auto" w:fill="auto"/>
            <w:vAlign w:val="center"/>
            <w:hideMark/>
          </w:tcPr>
          <w:p w14:paraId="722AA64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658,2</w:t>
            </w:r>
          </w:p>
        </w:tc>
        <w:tc>
          <w:tcPr>
            <w:tcW w:w="735" w:type="dxa"/>
            <w:tcBorders>
              <w:top w:val="nil"/>
              <w:left w:val="nil"/>
              <w:bottom w:val="nil"/>
              <w:right w:val="nil"/>
            </w:tcBorders>
            <w:shd w:val="clear" w:color="auto" w:fill="auto"/>
            <w:vAlign w:val="center"/>
            <w:hideMark/>
          </w:tcPr>
          <w:p w14:paraId="693A607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782,7</w:t>
            </w:r>
          </w:p>
        </w:tc>
        <w:tc>
          <w:tcPr>
            <w:tcW w:w="754" w:type="dxa"/>
            <w:tcBorders>
              <w:top w:val="nil"/>
              <w:left w:val="single" w:sz="4" w:space="0" w:color="auto"/>
              <w:bottom w:val="nil"/>
              <w:right w:val="nil"/>
            </w:tcBorders>
            <w:shd w:val="clear" w:color="auto" w:fill="auto"/>
            <w:vAlign w:val="center"/>
            <w:hideMark/>
          </w:tcPr>
          <w:p w14:paraId="7F9296C1"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47,4</w:t>
            </w:r>
          </w:p>
        </w:tc>
        <w:tc>
          <w:tcPr>
            <w:tcW w:w="737" w:type="dxa"/>
            <w:tcBorders>
              <w:top w:val="nil"/>
              <w:left w:val="nil"/>
              <w:bottom w:val="nil"/>
              <w:right w:val="nil"/>
            </w:tcBorders>
            <w:shd w:val="clear" w:color="auto" w:fill="auto"/>
            <w:vAlign w:val="center"/>
            <w:hideMark/>
          </w:tcPr>
          <w:p w14:paraId="35AE63C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7E37625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14,8</w:t>
            </w:r>
          </w:p>
        </w:tc>
        <w:tc>
          <w:tcPr>
            <w:tcW w:w="737" w:type="dxa"/>
            <w:tcBorders>
              <w:top w:val="nil"/>
              <w:left w:val="nil"/>
              <w:bottom w:val="nil"/>
              <w:right w:val="nil"/>
            </w:tcBorders>
            <w:shd w:val="clear" w:color="auto" w:fill="auto"/>
            <w:vAlign w:val="center"/>
            <w:hideMark/>
          </w:tcPr>
          <w:p w14:paraId="2DC4D6F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145,0</w:t>
            </w:r>
          </w:p>
        </w:tc>
        <w:tc>
          <w:tcPr>
            <w:tcW w:w="737" w:type="dxa"/>
            <w:tcBorders>
              <w:top w:val="nil"/>
              <w:left w:val="nil"/>
              <w:bottom w:val="nil"/>
              <w:right w:val="nil"/>
            </w:tcBorders>
            <w:shd w:val="clear" w:color="auto" w:fill="auto"/>
            <w:vAlign w:val="center"/>
            <w:hideMark/>
          </w:tcPr>
          <w:p w14:paraId="737855B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93,2</w:t>
            </w:r>
          </w:p>
        </w:tc>
        <w:tc>
          <w:tcPr>
            <w:tcW w:w="737" w:type="dxa"/>
            <w:tcBorders>
              <w:top w:val="nil"/>
              <w:left w:val="nil"/>
              <w:bottom w:val="nil"/>
              <w:right w:val="nil"/>
            </w:tcBorders>
            <w:shd w:val="clear" w:color="auto" w:fill="auto"/>
            <w:vAlign w:val="center"/>
            <w:hideMark/>
          </w:tcPr>
          <w:p w14:paraId="6A7C407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51,8</w:t>
            </w:r>
          </w:p>
        </w:tc>
      </w:tr>
      <w:tr w:rsidR="0066068F" w:rsidRPr="00D92E20" w14:paraId="612D87D6" w14:textId="77777777" w:rsidTr="0066068F">
        <w:trPr>
          <w:trHeight w:val="300"/>
        </w:trPr>
        <w:tc>
          <w:tcPr>
            <w:tcW w:w="736" w:type="dxa"/>
            <w:tcBorders>
              <w:top w:val="nil"/>
              <w:left w:val="nil"/>
              <w:bottom w:val="nil"/>
              <w:right w:val="nil"/>
            </w:tcBorders>
            <w:shd w:val="clear" w:color="auto" w:fill="auto"/>
            <w:vAlign w:val="center"/>
            <w:hideMark/>
          </w:tcPr>
          <w:p w14:paraId="1AE34CDE"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1D08A34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1 707,5</w:t>
            </w:r>
          </w:p>
        </w:tc>
        <w:tc>
          <w:tcPr>
            <w:tcW w:w="735" w:type="dxa"/>
            <w:tcBorders>
              <w:top w:val="nil"/>
              <w:left w:val="nil"/>
              <w:bottom w:val="nil"/>
              <w:right w:val="nil"/>
            </w:tcBorders>
            <w:shd w:val="clear" w:color="auto" w:fill="auto"/>
            <w:vAlign w:val="center"/>
            <w:hideMark/>
          </w:tcPr>
          <w:p w14:paraId="6F6C072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814,5</w:t>
            </w:r>
          </w:p>
        </w:tc>
        <w:tc>
          <w:tcPr>
            <w:tcW w:w="735" w:type="dxa"/>
            <w:tcBorders>
              <w:top w:val="nil"/>
              <w:left w:val="nil"/>
              <w:bottom w:val="nil"/>
              <w:right w:val="single" w:sz="4" w:space="0" w:color="auto"/>
            </w:tcBorders>
            <w:shd w:val="clear" w:color="auto" w:fill="auto"/>
            <w:vAlign w:val="center"/>
            <w:hideMark/>
          </w:tcPr>
          <w:p w14:paraId="1E5C07E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893,0</w:t>
            </w:r>
          </w:p>
        </w:tc>
        <w:tc>
          <w:tcPr>
            <w:tcW w:w="736" w:type="dxa"/>
            <w:tcBorders>
              <w:top w:val="nil"/>
              <w:left w:val="nil"/>
              <w:bottom w:val="nil"/>
              <w:right w:val="nil"/>
            </w:tcBorders>
            <w:shd w:val="clear" w:color="auto" w:fill="auto"/>
            <w:vAlign w:val="center"/>
            <w:hideMark/>
          </w:tcPr>
          <w:p w14:paraId="4BA86942"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1 510,9</w:t>
            </w:r>
          </w:p>
        </w:tc>
        <w:tc>
          <w:tcPr>
            <w:tcW w:w="735" w:type="dxa"/>
            <w:tcBorders>
              <w:top w:val="nil"/>
              <w:left w:val="nil"/>
              <w:bottom w:val="nil"/>
              <w:right w:val="nil"/>
            </w:tcBorders>
            <w:shd w:val="clear" w:color="auto" w:fill="auto"/>
            <w:vAlign w:val="center"/>
            <w:hideMark/>
          </w:tcPr>
          <w:p w14:paraId="16DAED3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687,8</w:t>
            </w:r>
          </w:p>
        </w:tc>
        <w:tc>
          <w:tcPr>
            <w:tcW w:w="735" w:type="dxa"/>
            <w:tcBorders>
              <w:top w:val="nil"/>
              <w:left w:val="nil"/>
              <w:bottom w:val="nil"/>
              <w:right w:val="nil"/>
            </w:tcBorders>
            <w:shd w:val="clear" w:color="auto" w:fill="auto"/>
            <w:vAlign w:val="center"/>
            <w:hideMark/>
          </w:tcPr>
          <w:p w14:paraId="67CBCB9F"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823,1</w:t>
            </w:r>
          </w:p>
        </w:tc>
        <w:tc>
          <w:tcPr>
            <w:tcW w:w="754" w:type="dxa"/>
            <w:tcBorders>
              <w:top w:val="nil"/>
              <w:left w:val="single" w:sz="4" w:space="0" w:color="auto"/>
              <w:bottom w:val="nil"/>
              <w:right w:val="nil"/>
            </w:tcBorders>
            <w:shd w:val="clear" w:color="auto" w:fill="auto"/>
            <w:vAlign w:val="center"/>
            <w:hideMark/>
          </w:tcPr>
          <w:p w14:paraId="104F6EC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47,5</w:t>
            </w:r>
          </w:p>
        </w:tc>
        <w:tc>
          <w:tcPr>
            <w:tcW w:w="737" w:type="dxa"/>
            <w:tcBorders>
              <w:top w:val="nil"/>
              <w:left w:val="nil"/>
              <w:bottom w:val="nil"/>
              <w:right w:val="nil"/>
            </w:tcBorders>
            <w:shd w:val="clear" w:color="auto" w:fill="auto"/>
            <w:vAlign w:val="center"/>
            <w:hideMark/>
          </w:tcPr>
          <w:p w14:paraId="52597DD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32,6</w:t>
            </w:r>
          </w:p>
        </w:tc>
        <w:tc>
          <w:tcPr>
            <w:tcW w:w="737" w:type="dxa"/>
            <w:tcBorders>
              <w:top w:val="nil"/>
              <w:left w:val="nil"/>
              <w:bottom w:val="nil"/>
              <w:right w:val="single" w:sz="4" w:space="0" w:color="auto"/>
            </w:tcBorders>
            <w:shd w:val="clear" w:color="auto" w:fill="auto"/>
            <w:vAlign w:val="center"/>
            <w:hideMark/>
          </w:tcPr>
          <w:p w14:paraId="4E3E829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4F25C07D"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149,1</w:t>
            </w:r>
          </w:p>
        </w:tc>
        <w:tc>
          <w:tcPr>
            <w:tcW w:w="737" w:type="dxa"/>
            <w:tcBorders>
              <w:top w:val="nil"/>
              <w:left w:val="nil"/>
              <w:bottom w:val="nil"/>
              <w:right w:val="nil"/>
            </w:tcBorders>
            <w:shd w:val="clear" w:color="auto" w:fill="auto"/>
            <w:vAlign w:val="center"/>
            <w:hideMark/>
          </w:tcPr>
          <w:p w14:paraId="7656541F"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94,1</w:t>
            </w:r>
          </w:p>
        </w:tc>
        <w:tc>
          <w:tcPr>
            <w:tcW w:w="737" w:type="dxa"/>
            <w:tcBorders>
              <w:top w:val="nil"/>
              <w:left w:val="nil"/>
              <w:bottom w:val="nil"/>
              <w:right w:val="nil"/>
            </w:tcBorders>
            <w:shd w:val="clear" w:color="auto" w:fill="auto"/>
            <w:vAlign w:val="center"/>
            <w:hideMark/>
          </w:tcPr>
          <w:p w14:paraId="68E62BD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55,1</w:t>
            </w:r>
          </w:p>
        </w:tc>
      </w:tr>
      <w:tr w:rsidR="0066068F" w:rsidRPr="00D92E20" w14:paraId="1AE0213B" w14:textId="77777777" w:rsidTr="0066068F">
        <w:trPr>
          <w:trHeight w:val="300"/>
        </w:trPr>
        <w:tc>
          <w:tcPr>
            <w:tcW w:w="736" w:type="dxa"/>
            <w:tcBorders>
              <w:top w:val="nil"/>
              <w:left w:val="nil"/>
              <w:bottom w:val="nil"/>
              <w:right w:val="nil"/>
            </w:tcBorders>
            <w:shd w:val="clear" w:color="auto" w:fill="auto"/>
            <w:vAlign w:val="center"/>
            <w:hideMark/>
          </w:tcPr>
          <w:p w14:paraId="2AC112AE"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4BF6734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1 849,5</w:t>
            </w:r>
          </w:p>
        </w:tc>
        <w:tc>
          <w:tcPr>
            <w:tcW w:w="735" w:type="dxa"/>
            <w:tcBorders>
              <w:top w:val="nil"/>
              <w:left w:val="nil"/>
              <w:bottom w:val="nil"/>
              <w:right w:val="nil"/>
            </w:tcBorders>
            <w:shd w:val="clear" w:color="auto" w:fill="auto"/>
            <w:vAlign w:val="center"/>
            <w:hideMark/>
          </w:tcPr>
          <w:p w14:paraId="48B245D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874,3</w:t>
            </w:r>
          </w:p>
        </w:tc>
        <w:tc>
          <w:tcPr>
            <w:tcW w:w="735" w:type="dxa"/>
            <w:tcBorders>
              <w:top w:val="nil"/>
              <w:left w:val="nil"/>
              <w:bottom w:val="nil"/>
              <w:right w:val="single" w:sz="4" w:space="0" w:color="auto"/>
            </w:tcBorders>
            <w:shd w:val="clear" w:color="auto" w:fill="auto"/>
            <w:vAlign w:val="center"/>
            <w:hideMark/>
          </w:tcPr>
          <w:p w14:paraId="7A2EF08B"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975,2</w:t>
            </w:r>
          </w:p>
        </w:tc>
        <w:tc>
          <w:tcPr>
            <w:tcW w:w="736" w:type="dxa"/>
            <w:tcBorders>
              <w:top w:val="nil"/>
              <w:left w:val="nil"/>
              <w:bottom w:val="nil"/>
              <w:right w:val="nil"/>
            </w:tcBorders>
            <w:shd w:val="clear" w:color="auto" w:fill="auto"/>
            <w:vAlign w:val="center"/>
            <w:hideMark/>
          </w:tcPr>
          <w:p w14:paraId="75CF0CB6"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1 650,3</w:t>
            </w:r>
          </w:p>
        </w:tc>
        <w:tc>
          <w:tcPr>
            <w:tcW w:w="735" w:type="dxa"/>
            <w:tcBorders>
              <w:top w:val="nil"/>
              <w:left w:val="nil"/>
              <w:bottom w:val="nil"/>
              <w:right w:val="nil"/>
            </w:tcBorders>
            <w:shd w:val="clear" w:color="auto" w:fill="auto"/>
            <w:vAlign w:val="center"/>
            <w:hideMark/>
          </w:tcPr>
          <w:p w14:paraId="2327AB0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746,8</w:t>
            </w:r>
          </w:p>
        </w:tc>
        <w:tc>
          <w:tcPr>
            <w:tcW w:w="735" w:type="dxa"/>
            <w:tcBorders>
              <w:top w:val="nil"/>
              <w:left w:val="nil"/>
              <w:bottom w:val="nil"/>
              <w:right w:val="nil"/>
            </w:tcBorders>
            <w:shd w:val="clear" w:color="auto" w:fill="auto"/>
            <w:vAlign w:val="center"/>
            <w:hideMark/>
          </w:tcPr>
          <w:p w14:paraId="43D86689"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903,5</w:t>
            </w:r>
          </w:p>
        </w:tc>
        <w:tc>
          <w:tcPr>
            <w:tcW w:w="754" w:type="dxa"/>
            <w:tcBorders>
              <w:top w:val="nil"/>
              <w:left w:val="single" w:sz="4" w:space="0" w:color="auto"/>
              <w:bottom w:val="nil"/>
              <w:right w:val="nil"/>
            </w:tcBorders>
            <w:shd w:val="clear" w:color="auto" w:fill="auto"/>
            <w:vAlign w:val="center"/>
            <w:hideMark/>
          </w:tcPr>
          <w:p w14:paraId="5FE26471"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46,2</w:t>
            </w:r>
          </w:p>
        </w:tc>
        <w:tc>
          <w:tcPr>
            <w:tcW w:w="737" w:type="dxa"/>
            <w:tcBorders>
              <w:top w:val="nil"/>
              <w:left w:val="nil"/>
              <w:bottom w:val="nil"/>
              <w:right w:val="nil"/>
            </w:tcBorders>
            <w:shd w:val="clear" w:color="auto" w:fill="auto"/>
            <w:vAlign w:val="center"/>
            <w:hideMark/>
          </w:tcPr>
          <w:p w14:paraId="0B34389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31,3</w:t>
            </w:r>
          </w:p>
        </w:tc>
        <w:tc>
          <w:tcPr>
            <w:tcW w:w="737" w:type="dxa"/>
            <w:tcBorders>
              <w:top w:val="nil"/>
              <w:left w:val="nil"/>
              <w:bottom w:val="nil"/>
              <w:right w:val="single" w:sz="4" w:space="0" w:color="auto"/>
            </w:tcBorders>
            <w:shd w:val="clear" w:color="auto" w:fill="auto"/>
            <w:vAlign w:val="center"/>
            <w:hideMark/>
          </w:tcPr>
          <w:p w14:paraId="6D6CB8A6"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14,9</w:t>
            </w:r>
          </w:p>
        </w:tc>
        <w:tc>
          <w:tcPr>
            <w:tcW w:w="737" w:type="dxa"/>
            <w:tcBorders>
              <w:top w:val="nil"/>
              <w:left w:val="nil"/>
              <w:bottom w:val="nil"/>
              <w:right w:val="nil"/>
            </w:tcBorders>
            <w:shd w:val="clear" w:color="auto" w:fill="auto"/>
            <w:vAlign w:val="center"/>
            <w:hideMark/>
          </w:tcPr>
          <w:p w14:paraId="7EF49B6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153,0</w:t>
            </w:r>
          </w:p>
        </w:tc>
        <w:tc>
          <w:tcPr>
            <w:tcW w:w="737" w:type="dxa"/>
            <w:tcBorders>
              <w:top w:val="nil"/>
              <w:left w:val="nil"/>
              <w:bottom w:val="nil"/>
              <w:right w:val="nil"/>
            </w:tcBorders>
            <w:shd w:val="clear" w:color="auto" w:fill="auto"/>
            <w:vAlign w:val="center"/>
            <w:hideMark/>
          </w:tcPr>
          <w:p w14:paraId="08FBD72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96,1</w:t>
            </w:r>
          </w:p>
        </w:tc>
        <w:tc>
          <w:tcPr>
            <w:tcW w:w="737" w:type="dxa"/>
            <w:tcBorders>
              <w:top w:val="nil"/>
              <w:left w:val="nil"/>
              <w:bottom w:val="nil"/>
              <w:right w:val="nil"/>
            </w:tcBorders>
            <w:shd w:val="clear" w:color="auto" w:fill="auto"/>
            <w:vAlign w:val="center"/>
            <w:hideMark/>
          </w:tcPr>
          <w:p w14:paraId="4079C75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56,8</w:t>
            </w:r>
          </w:p>
        </w:tc>
      </w:tr>
      <w:tr w:rsidR="0066068F" w:rsidRPr="00D92E20" w14:paraId="4EB26A17" w14:textId="77777777" w:rsidTr="0066068F">
        <w:trPr>
          <w:trHeight w:val="300"/>
        </w:trPr>
        <w:tc>
          <w:tcPr>
            <w:tcW w:w="736" w:type="dxa"/>
            <w:tcBorders>
              <w:top w:val="nil"/>
              <w:left w:val="nil"/>
              <w:bottom w:val="nil"/>
              <w:right w:val="nil"/>
            </w:tcBorders>
            <w:shd w:val="clear" w:color="auto" w:fill="auto"/>
            <w:vAlign w:val="center"/>
            <w:hideMark/>
          </w:tcPr>
          <w:p w14:paraId="23678DC1"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56B5FD3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1 914,8</w:t>
            </w:r>
          </w:p>
        </w:tc>
        <w:tc>
          <w:tcPr>
            <w:tcW w:w="735" w:type="dxa"/>
            <w:tcBorders>
              <w:top w:val="nil"/>
              <w:left w:val="nil"/>
              <w:bottom w:val="nil"/>
              <w:right w:val="nil"/>
            </w:tcBorders>
            <w:shd w:val="clear" w:color="auto" w:fill="auto"/>
            <w:vAlign w:val="center"/>
            <w:hideMark/>
          </w:tcPr>
          <w:p w14:paraId="1EC08B4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902,3</w:t>
            </w:r>
          </w:p>
        </w:tc>
        <w:tc>
          <w:tcPr>
            <w:tcW w:w="735" w:type="dxa"/>
            <w:tcBorders>
              <w:top w:val="nil"/>
              <w:left w:val="nil"/>
              <w:bottom w:val="nil"/>
              <w:right w:val="single" w:sz="4" w:space="0" w:color="auto"/>
            </w:tcBorders>
            <w:shd w:val="clear" w:color="auto" w:fill="auto"/>
            <w:vAlign w:val="center"/>
            <w:hideMark/>
          </w:tcPr>
          <w:p w14:paraId="5BAC5AF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1 012,5</w:t>
            </w:r>
          </w:p>
        </w:tc>
        <w:tc>
          <w:tcPr>
            <w:tcW w:w="736" w:type="dxa"/>
            <w:tcBorders>
              <w:top w:val="nil"/>
              <w:left w:val="nil"/>
              <w:bottom w:val="nil"/>
              <w:right w:val="nil"/>
            </w:tcBorders>
            <w:shd w:val="clear" w:color="auto" w:fill="auto"/>
            <w:vAlign w:val="center"/>
            <w:hideMark/>
          </w:tcPr>
          <w:p w14:paraId="7E2AA1B3"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1 711,2</w:t>
            </w:r>
          </w:p>
        </w:tc>
        <w:tc>
          <w:tcPr>
            <w:tcW w:w="735" w:type="dxa"/>
            <w:tcBorders>
              <w:top w:val="nil"/>
              <w:left w:val="nil"/>
              <w:bottom w:val="nil"/>
              <w:right w:val="nil"/>
            </w:tcBorders>
            <w:shd w:val="clear" w:color="auto" w:fill="auto"/>
            <w:vAlign w:val="center"/>
            <w:hideMark/>
          </w:tcPr>
          <w:p w14:paraId="448A466A"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772,9</w:t>
            </w:r>
          </w:p>
        </w:tc>
        <w:tc>
          <w:tcPr>
            <w:tcW w:w="735" w:type="dxa"/>
            <w:tcBorders>
              <w:top w:val="nil"/>
              <w:left w:val="nil"/>
              <w:bottom w:val="nil"/>
              <w:right w:val="nil"/>
            </w:tcBorders>
            <w:shd w:val="clear" w:color="auto" w:fill="auto"/>
            <w:vAlign w:val="center"/>
            <w:hideMark/>
          </w:tcPr>
          <w:p w14:paraId="07BC2A0D"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938,3</w:t>
            </w:r>
          </w:p>
        </w:tc>
        <w:tc>
          <w:tcPr>
            <w:tcW w:w="754" w:type="dxa"/>
            <w:tcBorders>
              <w:top w:val="nil"/>
              <w:left w:val="single" w:sz="4" w:space="0" w:color="auto"/>
              <w:bottom w:val="nil"/>
              <w:right w:val="nil"/>
            </w:tcBorders>
            <w:shd w:val="clear" w:color="auto" w:fill="auto"/>
            <w:vAlign w:val="center"/>
            <w:hideMark/>
          </w:tcPr>
          <w:p w14:paraId="58A5EA8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44,6</w:t>
            </w:r>
          </w:p>
        </w:tc>
        <w:tc>
          <w:tcPr>
            <w:tcW w:w="737" w:type="dxa"/>
            <w:tcBorders>
              <w:top w:val="nil"/>
              <w:left w:val="nil"/>
              <w:bottom w:val="nil"/>
              <w:right w:val="nil"/>
            </w:tcBorders>
            <w:shd w:val="clear" w:color="auto" w:fill="auto"/>
            <w:vAlign w:val="center"/>
            <w:hideMark/>
          </w:tcPr>
          <w:p w14:paraId="7022DA30"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30,1</w:t>
            </w:r>
          </w:p>
        </w:tc>
        <w:tc>
          <w:tcPr>
            <w:tcW w:w="737" w:type="dxa"/>
            <w:tcBorders>
              <w:top w:val="nil"/>
              <w:left w:val="nil"/>
              <w:bottom w:val="nil"/>
              <w:right w:val="single" w:sz="4" w:space="0" w:color="auto"/>
            </w:tcBorders>
            <w:shd w:val="clear" w:color="auto" w:fill="auto"/>
            <w:vAlign w:val="center"/>
            <w:hideMark/>
          </w:tcPr>
          <w:p w14:paraId="0419568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14,5</w:t>
            </w:r>
          </w:p>
        </w:tc>
        <w:tc>
          <w:tcPr>
            <w:tcW w:w="737" w:type="dxa"/>
            <w:tcBorders>
              <w:top w:val="nil"/>
              <w:left w:val="nil"/>
              <w:bottom w:val="nil"/>
              <w:right w:val="nil"/>
            </w:tcBorders>
            <w:shd w:val="clear" w:color="auto" w:fill="auto"/>
            <w:vAlign w:val="center"/>
            <w:hideMark/>
          </w:tcPr>
          <w:p w14:paraId="5B1952E1"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159,0</w:t>
            </w:r>
          </w:p>
        </w:tc>
        <w:tc>
          <w:tcPr>
            <w:tcW w:w="737" w:type="dxa"/>
            <w:tcBorders>
              <w:top w:val="nil"/>
              <w:left w:val="nil"/>
              <w:bottom w:val="nil"/>
              <w:right w:val="nil"/>
            </w:tcBorders>
            <w:shd w:val="clear" w:color="auto" w:fill="auto"/>
            <w:vAlign w:val="center"/>
            <w:hideMark/>
          </w:tcPr>
          <w:p w14:paraId="758D79C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99,3</w:t>
            </w:r>
          </w:p>
        </w:tc>
        <w:tc>
          <w:tcPr>
            <w:tcW w:w="737" w:type="dxa"/>
            <w:tcBorders>
              <w:top w:val="nil"/>
              <w:left w:val="nil"/>
              <w:bottom w:val="nil"/>
              <w:right w:val="nil"/>
            </w:tcBorders>
            <w:shd w:val="clear" w:color="auto" w:fill="auto"/>
            <w:vAlign w:val="center"/>
            <w:hideMark/>
          </w:tcPr>
          <w:p w14:paraId="4F857A52"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59,7</w:t>
            </w:r>
          </w:p>
        </w:tc>
      </w:tr>
      <w:tr w:rsidR="0066068F" w:rsidRPr="00D92E20" w14:paraId="6DC356AE" w14:textId="77777777" w:rsidTr="0066068F">
        <w:trPr>
          <w:trHeight w:val="300"/>
        </w:trPr>
        <w:tc>
          <w:tcPr>
            <w:tcW w:w="736" w:type="dxa"/>
            <w:tcBorders>
              <w:top w:val="nil"/>
              <w:left w:val="nil"/>
              <w:bottom w:val="nil"/>
              <w:right w:val="single" w:sz="4" w:space="0" w:color="auto"/>
            </w:tcBorders>
            <w:shd w:val="clear" w:color="auto" w:fill="auto"/>
            <w:vAlign w:val="center"/>
            <w:hideMark/>
          </w:tcPr>
          <w:p w14:paraId="2D9CC714" w14:textId="77777777" w:rsidR="00C44482" w:rsidRPr="00D92E20" w:rsidRDefault="00C44482" w:rsidP="00C44482">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28E121E"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2 391,0</w:t>
            </w:r>
          </w:p>
        </w:tc>
        <w:tc>
          <w:tcPr>
            <w:tcW w:w="735" w:type="dxa"/>
            <w:tcBorders>
              <w:top w:val="nil"/>
              <w:left w:val="nil"/>
              <w:bottom w:val="nil"/>
              <w:right w:val="nil"/>
            </w:tcBorders>
            <w:shd w:val="clear" w:color="auto" w:fill="auto"/>
            <w:vAlign w:val="center"/>
            <w:hideMark/>
          </w:tcPr>
          <w:p w14:paraId="4F5A108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1 141,8</w:t>
            </w:r>
          </w:p>
        </w:tc>
        <w:tc>
          <w:tcPr>
            <w:tcW w:w="735" w:type="dxa"/>
            <w:tcBorders>
              <w:top w:val="nil"/>
              <w:left w:val="nil"/>
              <w:bottom w:val="nil"/>
              <w:right w:val="single" w:sz="4" w:space="0" w:color="auto"/>
            </w:tcBorders>
            <w:shd w:val="clear" w:color="auto" w:fill="auto"/>
            <w:vAlign w:val="center"/>
            <w:hideMark/>
          </w:tcPr>
          <w:p w14:paraId="4D388F7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1 249,2</w:t>
            </w:r>
          </w:p>
        </w:tc>
        <w:tc>
          <w:tcPr>
            <w:tcW w:w="736" w:type="dxa"/>
            <w:tcBorders>
              <w:top w:val="nil"/>
              <w:left w:val="nil"/>
              <w:bottom w:val="nil"/>
              <w:right w:val="nil"/>
            </w:tcBorders>
            <w:shd w:val="clear" w:color="auto" w:fill="auto"/>
            <w:vAlign w:val="center"/>
            <w:hideMark/>
          </w:tcPr>
          <w:p w14:paraId="0DE49735"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2 202,7</w:t>
            </w:r>
          </w:p>
        </w:tc>
        <w:tc>
          <w:tcPr>
            <w:tcW w:w="735" w:type="dxa"/>
            <w:tcBorders>
              <w:top w:val="nil"/>
              <w:left w:val="nil"/>
              <w:bottom w:val="nil"/>
              <w:right w:val="nil"/>
            </w:tcBorders>
            <w:shd w:val="clear" w:color="auto" w:fill="auto"/>
            <w:vAlign w:val="center"/>
            <w:hideMark/>
          </w:tcPr>
          <w:p w14:paraId="158990F7"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1 022,3</w:t>
            </w:r>
          </w:p>
        </w:tc>
        <w:tc>
          <w:tcPr>
            <w:tcW w:w="735" w:type="dxa"/>
            <w:tcBorders>
              <w:top w:val="nil"/>
              <w:left w:val="nil"/>
              <w:bottom w:val="nil"/>
              <w:right w:val="nil"/>
            </w:tcBorders>
            <w:shd w:val="clear" w:color="auto" w:fill="auto"/>
            <w:vAlign w:val="center"/>
            <w:hideMark/>
          </w:tcPr>
          <w:p w14:paraId="598B1CD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1 180,4</w:t>
            </w:r>
          </w:p>
        </w:tc>
        <w:tc>
          <w:tcPr>
            <w:tcW w:w="754" w:type="dxa"/>
            <w:tcBorders>
              <w:top w:val="nil"/>
              <w:left w:val="single" w:sz="4" w:space="0" w:color="auto"/>
              <w:bottom w:val="nil"/>
              <w:right w:val="nil"/>
            </w:tcBorders>
            <w:shd w:val="clear" w:color="auto" w:fill="auto"/>
            <w:vAlign w:val="center"/>
            <w:hideMark/>
          </w:tcPr>
          <w:p w14:paraId="48DF088D"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41,4</w:t>
            </w:r>
          </w:p>
        </w:tc>
        <w:tc>
          <w:tcPr>
            <w:tcW w:w="737" w:type="dxa"/>
            <w:tcBorders>
              <w:top w:val="nil"/>
              <w:left w:val="nil"/>
              <w:bottom w:val="nil"/>
              <w:right w:val="nil"/>
            </w:tcBorders>
            <w:shd w:val="clear" w:color="auto" w:fill="auto"/>
            <w:vAlign w:val="center"/>
            <w:hideMark/>
          </w:tcPr>
          <w:p w14:paraId="2F57E0E4"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28,7</w:t>
            </w:r>
          </w:p>
        </w:tc>
        <w:tc>
          <w:tcPr>
            <w:tcW w:w="737" w:type="dxa"/>
            <w:tcBorders>
              <w:top w:val="nil"/>
              <w:left w:val="nil"/>
              <w:bottom w:val="nil"/>
              <w:right w:val="single" w:sz="4" w:space="0" w:color="auto"/>
            </w:tcBorders>
            <w:shd w:val="clear" w:color="auto" w:fill="auto"/>
            <w:vAlign w:val="center"/>
            <w:hideMark/>
          </w:tcPr>
          <w:p w14:paraId="595B523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12,7</w:t>
            </w:r>
          </w:p>
        </w:tc>
        <w:tc>
          <w:tcPr>
            <w:tcW w:w="737" w:type="dxa"/>
            <w:tcBorders>
              <w:top w:val="nil"/>
              <w:left w:val="nil"/>
              <w:bottom w:val="nil"/>
              <w:right w:val="nil"/>
            </w:tcBorders>
            <w:shd w:val="clear" w:color="auto" w:fill="auto"/>
            <w:vAlign w:val="center"/>
            <w:hideMark/>
          </w:tcPr>
          <w:p w14:paraId="1F6EA59C"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147,0</w:t>
            </w:r>
          </w:p>
        </w:tc>
        <w:tc>
          <w:tcPr>
            <w:tcW w:w="737" w:type="dxa"/>
            <w:tcBorders>
              <w:top w:val="nil"/>
              <w:left w:val="nil"/>
              <w:bottom w:val="nil"/>
              <w:right w:val="nil"/>
            </w:tcBorders>
            <w:shd w:val="clear" w:color="auto" w:fill="auto"/>
            <w:vAlign w:val="center"/>
            <w:hideMark/>
          </w:tcPr>
          <w:p w14:paraId="72D41508"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90,9</w:t>
            </w:r>
          </w:p>
        </w:tc>
        <w:tc>
          <w:tcPr>
            <w:tcW w:w="737" w:type="dxa"/>
            <w:tcBorders>
              <w:top w:val="nil"/>
              <w:left w:val="nil"/>
              <w:bottom w:val="nil"/>
              <w:right w:val="nil"/>
            </w:tcBorders>
            <w:shd w:val="clear" w:color="auto" w:fill="auto"/>
            <w:vAlign w:val="center"/>
            <w:hideMark/>
          </w:tcPr>
          <w:p w14:paraId="4D37B90F" w14:textId="77777777" w:rsidR="00C44482" w:rsidRPr="00D92E20" w:rsidRDefault="00C44482" w:rsidP="00C44482">
            <w:pPr>
              <w:spacing w:after="0" w:line="240" w:lineRule="auto"/>
              <w:jc w:val="right"/>
              <w:rPr>
                <w:rFonts w:cs="Arial"/>
                <w:color w:val="000000"/>
                <w:sz w:val="16"/>
                <w:szCs w:val="16"/>
              </w:rPr>
            </w:pPr>
            <w:r w:rsidRPr="00D92E20">
              <w:rPr>
                <w:rFonts w:cs="Arial"/>
                <w:color w:val="000000"/>
                <w:sz w:val="16"/>
                <w:szCs w:val="16"/>
              </w:rPr>
              <w:t>56,1</w:t>
            </w:r>
          </w:p>
        </w:tc>
      </w:tr>
    </w:tbl>
    <w:p w14:paraId="79E13011" w14:textId="77777777" w:rsidR="00C44482" w:rsidRPr="00D92E20" w:rsidRDefault="00C44482" w:rsidP="00C44482">
      <w:pPr>
        <w:spacing w:before="120" w:after="120" w:line="240" w:lineRule="auto"/>
        <w:jc w:val="both"/>
        <w:rPr>
          <w:rFonts w:cs="Arial"/>
          <w:color w:val="000000"/>
          <w:sz w:val="16"/>
          <w:szCs w:val="16"/>
        </w:rPr>
      </w:pPr>
      <w:r w:rsidRPr="00D92E20">
        <w:rPr>
          <w:rFonts w:cs="Arial"/>
          <w:color w:val="000000"/>
          <w:sz w:val="16"/>
          <w:szCs w:val="16"/>
        </w:rPr>
        <w:t>Zdroj: ČSÚ</w:t>
      </w:r>
    </w:p>
    <w:p w14:paraId="4EFDFAE1" w14:textId="77777777" w:rsidR="002E4CAA" w:rsidRPr="00D92E20" w:rsidRDefault="002E4CAA" w:rsidP="00BA6B4E">
      <w:pPr>
        <w:spacing w:before="120" w:after="120"/>
        <w:jc w:val="both"/>
        <w:rPr>
          <w:bCs/>
        </w:rPr>
      </w:pPr>
      <w:r w:rsidRPr="00D92E20">
        <w:t xml:space="preserve">Častěji nastupovaly do pracovní neschopnosti tradičně </w:t>
      </w:r>
      <w:r w:rsidRPr="00D92E20">
        <w:rPr>
          <w:b/>
        </w:rPr>
        <w:t>ženy</w:t>
      </w:r>
      <w:r w:rsidRPr="00D92E20">
        <w:t xml:space="preserve">. V roce 2020 nahlásily 1 249 tis. případů. Počet neschopenek mužů poprvé překročil hranici milionu případů, konkrétně bylo evidováno 1 142 tis., což zaujímá 48 % na celkové hodnotě nových případů. Ženy vykazovaly o 158 tis. případů dočasné pracovní neschopnosti </w:t>
      </w:r>
      <w:r w:rsidRPr="00D92E20">
        <w:rPr>
          <w:b/>
        </w:rPr>
        <w:t>pro nemoc</w:t>
      </w:r>
      <w:r w:rsidRPr="00D92E20">
        <w:t xml:space="preserve"> více než muži. </w:t>
      </w:r>
      <w:r w:rsidRPr="00D92E20">
        <w:rPr>
          <w:bCs/>
        </w:rPr>
        <w:t xml:space="preserve">Vyšší podíl žen </w:t>
      </w:r>
      <w:r w:rsidR="000675AD" w:rsidRPr="00D92E20">
        <w:rPr>
          <w:bCs/>
        </w:rPr>
        <w:t>v</w:t>
      </w:r>
      <w:r w:rsidRPr="00D92E20">
        <w:rPr>
          <w:bCs/>
        </w:rPr>
        <w:t xml:space="preserve"> pracovní neschopnosti pro nemoc může souviset s mateřskou úlohou žen, u nichž mohou být důvodem pracovní neschopnosti také komplikace v těhotenství.</w:t>
      </w:r>
    </w:p>
    <w:p w14:paraId="008E6993" w14:textId="77777777" w:rsidR="002E4CAA" w:rsidRPr="00D92E20" w:rsidRDefault="002E4CAA" w:rsidP="00BA6B4E">
      <w:pPr>
        <w:spacing w:before="120" w:after="120"/>
        <w:jc w:val="both"/>
        <w:rPr>
          <w:bCs/>
        </w:rPr>
      </w:pPr>
      <w:r w:rsidRPr="00D92E20">
        <w:rPr>
          <w:bCs/>
        </w:rPr>
        <w:t xml:space="preserve">Z celkového počtu nově hlášených případů PN (pracovní neschopnosti) pro </w:t>
      </w:r>
      <w:r w:rsidRPr="00D92E20">
        <w:rPr>
          <w:b/>
          <w:bCs/>
        </w:rPr>
        <w:t>pracovní úrazy</w:t>
      </w:r>
      <w:r w:rsidRPr="00D92E20">
        <w:rPr>
          <w:bCs/>
        </w:rPr>
        <w:t xml:space="preserve"> připadala v roce 2020 na ženy méně než třetina z nich. Tato skutečnost je dána i odlišnou odvětvovou strukturou zaměstnanosti žen a mužů. Odvětví, kde převládají muži a vyskytují se zvýšená rizika pracovního úrazu, jsou např. Těžba a dobývání, Zpracovatelský průmysl, Stavebnictví, Doprava a skladování či Zemědělství, lesnictví, rybářství. Naopak odvětvové sekce, kde převažují v zaměstnání ženy a rizika pracovních úrazů bývají méně častá, jsou Peněžnictví a pojišťovnictví, Veřejná správa, Vzdělávání nebo Zdravotní a sociální péče.</w:t>
      </w:r>
    </w:p>
    <w:p w14:paraId="7274EC17" w14:textId="03DD32D8" w:rsidR="00192BCA" w:rsidRPr="00D92E20" w:rsidRDefault="00192BCA" w:rsidP="00BA6B4E">
      <w:pPr>
        <w:spacing w:before="120" w:after="120"/>
        <w:jc w:val="both"/>
        <w:rPr>
          <w:bCs/>
        </w:rPr>
      </w:pPr>
      <w:r w:rsidRPr="00D92E20">
        <w:rPr>
          <w:bCs/>
        </w:rPr>
        <w:t xml:space="preserve">Zatímco u počtu pracovních neschopností celkem a u neschopností z důvodu nemocí zůstává podíl </w:t>
      </w:r>
      <w:r w:rsidRPr="00D92E20">
        <w:rPr>
          <w:b/>
          <w:bCs/>
        </w:rPr>
        <w:t xml:space="preserve">podle pohlaví </w:t>
      </w:r>
      <w:r w:rsidRPr="00D92E20">
        <w:rPr>
          <w:bCs/>
        </w:rPr>
        <w:t xml:space="preserve">dlouhodobě relativně konstantní, u pracovních neschopností zapříčiněných úrazem podíl žen v čase roste. Toto je zřejmé zejména u jiných než pracovních úrazů, kdy v roce 2010 nahlásily ženy 28 tis. případů, ale v roce 2020 to byl dvojnásobek. Nárůst je však patrný i u mužů, počet nově hlášených případů pracovní neschopnosti z důvodu </w:t>
      </w:r>
      <w:r w:rsidRPr="00D92E20">
        <w:rPr>
          <w:b/>
          <w:bCs/>
        </w:rPr>
        <w:t>nepracovních (ostatních) úrazů</w:t>
      </w:r>
      <w:r w:rsidRPr="00D92E20">
        <w:rPr>
          <w:bCs/>
        </w:rPr>
        <w:t xml:space="preserve"> činil v roce 2010 57 tis., v</w:t>
      </w:r>
      <w:r w:rsidR="002A1CEC" w:rsidRPr="00D92E20">
        <w:rPr>
          <w:bCs/>
        </w:rPr>
        <w:t> roce 2020</w:t>
      </w:r>
      <w:r w:rsidRPr="00D92E20">
        <w:rPr>
          <w:bCs/>
        </w:rPr>
        <w:t xml:space="preserve"> se blíž</w:t>
      </w:r>
      <w:r w:rsidR="002A1CEC" w:rsidRPr="00D92E20">
        <w:rPr>
          <w:bCs/>
        </w:rPr>
        <w:t>il</w:t>
      </w:r>
      <w:r w:rsidRPr="00D92E20">
        <w:rPr>
          <w:bCs/>
        </w:rPr>
        <w:t xml:space="preserve"> 91 tis.</w:t>
      </w:r>
    </w:p>
    <w:p w14:paraId="0A921756" w14:textId="4C85EEE9" w:rsidR="00192BCA" w:rsidRPr="00D92E20" w:rsidRDefault="00192BCA" w:rsidP="00BA6B4E">
      <w:pPr>
        <w:spacing w:before="120" w:after="120"/>
        <w:jc w:val="both"/>
        <w:rPr>
          <w:rFonts w:cs="Arial"/>
          <w:lang w:val="en-US"/>
        </w:rPr>
      </w:pPr>
      <w:r w:rsidRPr="00D92E20">
        <w:rPr>
          <w:rFonts w:cs="Arial"/>
        </w:rPr>
        <w:lastRenderedPageBreak/>
        <w:t xml:space="preserve">Meziroční nárůst pracovní neschopnosti </w:t>
      </w:r>
      <w:r w:rsidRPr="00D92E20">
        <w:rPr>
          <w:rFonts w:cs="Arial"/>
          <w:b/>
        </w:rPr>
        <w:t>mužů</w:t>
      </w:r>
      <w:r w:rsidRPr="00D92E20">
        <w:rPr>
          <w:rFonts w:cs="Arial"/>
        </w:rPr>
        <w:t xml:space="preserve"> byl mírně vyšší než u žen. Absolutní počet nově hlášených případů pracovní neschopnosti mužů se meziročně zvýšil z 902 tis. případů (</w:t>
      </w:r>
      <w:r w:rsidR="000675AD" w:rsidRPr="00D92E20">
        <w:rPr>
          <w:rFonts w:cs="Arial"/>
        </w:rPr>
        <w:t xml:space="preserve">u </w:t>
      </w:r>
      <w:r w:rsidRPr="00D92E20">
        <w:rPr>
          <w:rFonts w:cs="Arial"/>
        </w:rPr>
        <w:t xml:space="preserve">žen </w:t>
      </w:r>
      <w:r w:rsidR="000675AD" w:rsidRPr="00D92E20">
        <w:rPr>
          <w:rFonts w:cs="Arial"/>
        </w:rPr>
        <w:t xml:space="preserve">z </w:t>
      </w:r>
      <w:r w:rsidRPr="00D92E20">
        <w:rPr>
          <w:rFonts w:cs="Arial"/>
        </w:rPr>
        <w:t>1 013 tis. případů) v roce 2019 na 1 142 tis. případů (</w:t>
      </w:r>
      <w:r w:rsidR="000675AD" w:rsidRPr="00D92E20">
        <w:rPr>
          <w:rFonts w:cs="Arial"/>
        </w:rPr>
        <w:t xml:space="preserve">u </w:t>
      </w:r>
      <w:r w:rsidRPr="00D92E20">
        <w:rPr>
          <w:rFonts w:cs="Arial"/>
        </w:rPr>
        <w:t>žen</w:t>
      </w:r>
      <w:r w:rsidR="000675AD" w:rsidRPr="00D92E20">
        <w:rPr>
          <w:rFonts w:cs="Arial"/>
        </w:rPr>
        <w:t xml:space="preserve"> na</w:t>
      </w:r>
      <w:r w:rsidRPr="00D92E20">
        <w:rPr>
          <w:rFonts w:cs="Arial"/>
        </w:rPr>
        <w:t xml:space="preserve"> 1 249 tis. případů) v roce 2020, tj. vzrostl o 27 </w:t>
      </w:r>
      <w:r w:rsidRPr="00D92E20">
        <w:rPr>
          <w:rFonts w:cs="Arial"/>
          <w:lang w:val="en-US"/>
        </w:rPr>
        <w:t xml:space="preserve">% </w:t>
      </w:r>
      <w:r w:rsidRPr="00D92E20">
        <w:rPr>
          <w:rFonts w:cs="Arial"/>
        </w:rPr>
        <w:t xml:space="preserve">(o 23 </w:t>
      </w:r>
      <w:r w:rsidRPr="00D92E20">
        <w:rPr>
          <w:rFonts w:cs="Arial"/>
          <w:lang w:val="en-US"/>
        </w:rPr>
        <w:t>%</w:t>
      </w:r>
      <w:r w:rsidRPr="00D92E20">
        <w:rPr>
          <w:rFonts w:cs="Arial"/>
        </w:rPr>
        <w:t xml:space="preserve"> u žen). </w:t>
      </w:r>
      <w:r w:rsidR="002A1A8B" w:rsidRPr="00D92E20">
        <w:rPr>
          <w:rFonts w:cs="Arial"/>
        </w:rPr>
        <w:t>Co se týče neschopností pro nemoc, v</w:t>
      </w:r>
      <w:r w:rsidR="002A1A8B" w:rsidRPr="00D92E20">
        <w:rPr>
          <w:bCs/>
        </w:rPr>
        <w:t xml:space="preserve"> případě mužů </w:t>
      </w:r>
      <w:r w:rsidR="00B44634" w:rsidRPr="00D92E20">
        <w:rPr>
          <w:bCs/>
        </w:rPr>
        <w:t xml:space="preserve">jejich počet v roce 2020 meziročně </w:t>
      </w:r>
      <w:r w:rsidR="002A1A8B" w:rsidRPr="00D92E20">
        <w:rPr>
          <w:bCs/>
        </w:rPr>
        <w:t>vzrostl téměř o třetinu (250</w:t>
      </w:r>
      <w:r w:rsidR="00B44634" w:rsidRPr="00D92E20">
        <w:rPr>
          <w:bCs/>
        </w:rPr>
        <w:t> </w:t>
      </w:r>
      <w:r w:rsidR="002A1A8B" w:rsidRPr="00D92E20">
        <w:rPr>
          <w:bCs/>
        </w:rPr>
        <w:t xml:space="preserve">tis.), u žen to bylo přibližně o čtvrtinu. </w:t>
      </w:r>
      <w:r w:rsidRPr="00D92E20">
        <w:rPr>
          <w:rFonts w:cs="Arial"/>
        </w:rPr>
        <w:t xml:space="preserve">Z hlediska příčin se </w:t>
      </w:r>
      <w:r w:rsidR="000652B4" w:rsidRPr="00D92E20">
        <w:rPr>
          <w:rFonts w:cs="Arial"/>
        </w:rPr>
        <w:t>1 022</w:t>
      </w:r>
      <w:r w:rsidRPr="00D92E20">
        <w:rPr>
          <w:rFonts w:cs="Arial"/>
        </w:rPr>
        <w:t xml:space="preserve"> tis. (</w:t>
      </w:r>
      <w:r w:rsidR="000652B4" w:rsidRPr="00D92E20">
        <w:rPr>
          <w:rFonts w:cs="Arial"/>
        </w:rPr>
        <w:t>90</w:t>
      </w:r>
      <w:r w:rsidRPr="00D92E20">
        <w:rPr>
          <w:rFonts w:cs="Arial"/>
        </w:rPr>
        <w:t xml:space="preserve"> %) nově hlášených případů dočasné pracovní neschopnosti mužů týkalo nemoci, </w:t>
      </w:r>
      <w:r w:rsidR="000652B4" w:rsidRPr="00D92E20">
        <w:rPr>
          <w:rFonts w:cs="Arial"/>
        </w:rPr>
        <w:t>29</w:t>
      </w:r>
      <w:r w:rsidRPr="00D92E20">
        <w:rPr>
          <w:rFonts w:cs="Arial"/>
        </w:rPr>
        <w:t> tis. (</w:t>
      </w:r>
      <w:r w:rsidR="00384289" w:rsidRPr="00D92E20">
        <w:rPr>
          <w:rFonts w:cs="Arial"/>
        </w:rPr>
        <w:t>2</w:t>
      </w:r>
      <w:r w:rsidRPr="00D92E20">
        <w:rPr>
          <w:rFonts w:cs="Arial"/>
        </w:rPr>
        <w:t xml:space="preserve"> %) pracovních úrazů a</w:t>
      </w:r>
      <w:r w:rsidR="00B44634" w:rsidRPr="00D92E20">
        <w:rPr>
          <w:rFonts w:cs="Arial"/>
        </w:rPr>
        <w:t> </w:t>
      </w:r>
      <w:r w:rsidR="000652B4" w:rsidRPr="00D92E20">
        <w:rPr>
          <w:rFonts w:cs="Arial"/>
        </w:rPr>
        <w:t>91</w:t>
      </w:r>
      <w:r w:rsidR="00B44634" w:rsidRPr="00D92E20">
        <w:rPr>
          <w:rFonts w:cs="Arial"/>
        </w:rPr>
        <w:t> </w:t>
      </w:r>
      <w:r w:rsidRPr="00D92E20">
        <w:rPr>
          <w:rFonts w:cs="Arial"/>
        </w:rPr>
        <w:t>tis.</w:t>
      </w:r>
      <w:r w:rsidR="00B44634" w:rsidRPr="00D92E20">
        <w:rPr>
          <w:rFonts w:cs="Arial"/>
        </w:rPr>
        <w:t> </w:t>
      </w:r>
      <w:r w:rsidRPr="00D92E20">
        <w:rPr>
          <w:rFonts w:cs="Arial"/>
        </w:rPr>
        <w:t>(</w:t>
      </w:r>
      <w:r w:rsidR="000652B4" w:rsidRPr="00D92E20">
        <w:rPr>
          <w:rFonts w:cs="Arial"/>
        </w:rPr>
        <w:t>8</w:t>
      </w:r>
      <w:r w:rsidRPr="00D92E20">
        <w:rPr>
          <w:rFonts w:cs="Arial"/>
        </w:rPr>
        <w:t xml:space="preserve"> %) ostatních úrazů. </w:t>
      </w:r>
      <w:r w:rsidRPr="00D92E20">
        <w:rPr>
          <w:rFonts w:cs="Arial"/>
          <w:b/>
        </w:rPr>
        <w:t>Ženy</w:t>
      </w:r>
      <w:r w:rsidRPr="00D92E20">
        <w:rPr>
          <w:rFonts w:cs="Arial"/>
        </w:rPr>
        <w:t xml:space="preserve"> </w:t>
      </w:r>
      <w:r w:rsidR="000675AD" w:rsidRPr="00D92E20">
        <w:rPr>
          <w:rFonts w:cs="Arial"/>
        </w:rPr>
        <w:t xml:space="preserve">byly v </w:t>
      </w:r>
      <w:r w:rsidRPr="00D92E20">
        <w:rPr>
          <w:rFonts w:cs="Arial"/>
        </w:rPr>
        <w:t>pracovní neschopnost</w:t>
      </w:r>
      <w:r w:rsidR="000675AD" w:rsidRPr="00D92E20">
        <w:rPr>
          <w:rFonts w:cs="Arial"/>
        </w:rPr>
        <w:t>i</w:t>
      </w:r>
      <w:r w:rsidRPr="00D92E20">
        <w:rPr>
          <w:rFonts w:cs="Arial"/>
        </w:rPr>
        <w:t xml:space="preserve"> z důvodu nemoci v</w:t>
      </w:r>
      <w:r w:rsidR="000652B4" w:rsidRPr="00D92E20">
        <w:rPr>
          <w:rFonts w:cs="Arial"/>
        </w:rPr>
        <w:t> 1 180</w:t>
      </w:r>
      <w:r w:rsidRPr="00D92E20">
        <w:rPr>
          <w:rFonts w:cs="Arial"/>
        </w:rPr>
        <w:t xml:space="preserve"> tis. případech (9</w:t>
      </w:r>
      <w:r w:rsidR="000652B4" w:rsidRPr="00D92E20">
        <w:rPr>
          <w:rFonts w:cs="Arial"/>
        </w:rPr>
        <w:t>5</w:t>
      </w:r>
      <w:r w:rsidRPr="00D92E20">
        <w:rPr>
          <w:rFonts w:cs="Arial"/>
        </w:rPr>
        <w:t xml:space="preserve"> %), </w:t>
      </w:r>
      <w:r w:rsidR="00CE1E85" w:rsidRPr="00D92E20">
        <w:rPr>
          <w:rFonts w:cs="Arial"/>
        </w:rPr>
        <w:t>kvůli</w:t>
      </w:r>
      <w:r w:rsidRPr="00D92E20">
        <w:rPr>
          <w:rFonts w:cs="Arial"/>
        </w:rPr>
        <w:t xml:space="preserve"> pracovní</w:t>
      </w:r>
      <w:r w:rsidR="00CE1E85" w:rsidRPr="00D92E20">
        <w:rPr>
          <w:rFonts w:cs="Arial"/>
        </w:rPr>
        <w:t>mu</w:t>
      </w:r>
      <w:r w:rsidRPr="00D92E20">
        <w:rPr>
          <w:rFonts w:cs="Arial"/>
        </w:rPr>
        <w:t xml:space="preserve"> úrazu v</w:t>
      </w:r>
      <w:r w:rsidR="000652B4" w:rsidRPr="00D92E20">
        <w:rPr>
          <w:rFonts w:cs="Arial"/>
        </w:rPr>
        <w:t>e 13 tis. případech (1</w:t>
      </w:r>
      <w:r w:rsidRPr="00D92E20">
        <w:rPr>
          <w:rFonts w:cs="Arial"/>
        </w:rPr>
        <w:t xml:space="preserve"> %) a z důvodu ostatních úrazů </w:t>
      </w:r>
      <w:r w:rsidR="000652B4" w:rsidRPr="00D92E20">
        <w:rPr>
          <w:rFonts w:cs="Arial"/>
        </w:rPr>
        <w:t>v 56 tis</w:t>
      </w:r>
      <w:r w:rsidRPr="00D92E20">
        <w:rPr>
          <w:rFonts w:cs="Arial"/>
        </w:rPr>
        <w:t>. případech (</w:t>
      </w:r>
      <w:r w:rsidR="000652B4" w:rsidRPr="00D92E20">
        <w:rPr>
          <w:rFonts w:cs="Arial"/>
        </w:rPr>
        <w:t>4</w:t>
      </w:r>
      <w:r w:rsidRPr="00D92E20">
        <w:rPr>
          <w:rFonts w:cs="Arial"/>
        </w:rPr>
        <w:t xml:space="preserve"> %)</w:t>
      </w:r>
      <w:r w:rsidRPr="00D92E20">
        <w:rPr>
          <w:rFonts w:cs="Arial"/>
          <w:lang w:val="en-US"/>
        </w:rPr>
        <w:t>.</w:t>
      </w:r>
    </w:p>
    <w:p w14:paraId="2195E954" w14:textId="7F82AE59" w:rsidR="000652B4" w:rsidRPr="00D92E20" w:rsidRDefault="000652B4" w:rsidP="00BA6B4E">
      <w:pPr>
        <w:spacing w:before="120" w:after="120"/>
        <w:jc w:val="both"/>
        <w:rPr>
          <w:noProof/>
        </w:rPr>
      </w:pPr>
      <w:r w:rsidRPr="00D92E20">
        <w:rPr>
          <w:noProof/>
        </w:rPr>
        <w:t xml:space="preserve">Za </w:t>
      </w:r>
      <w:r w:rsidRPr="00D92E20">
        <w:rPr>
          <w:b/>
          <w:noProof/>
        </w:rPr>
        <w:t>posledních pět let</w:t>
      </w:r>
      <w:r w:rsidRPr="00D92E20">
        <w:rPr>
          <w:noProof/>
        </w:rPr>
        <w:t xml:space="preserve"> počet nově hlášených případů pracovní neschopnosti výrazně vzrostl – </w:t>
      </w:r>
      <w:r w:rsidR="002A1CEC" w:rsidRPr="00D92E20">
        <w:rPr>
          <w:noProof/>
        </w:rPr>
        <w:t xml:space="preserve">jak již bylo zmíněno </w:t>
      </w:r>
      <w:r w:rsidRPr="00D92E20">
        <w:rPr>
          <w:noProof/>
        </w:rPr>
        <w:t>téměř o </w:t>
      </w:r>
      <w:r w:rsidR="00A416CF" w:rsidRPr="00D92E20">
        <w:rPr>
          <w:noProof/>
        </w:rPr>
        <w:t>830</w:t>
      </w:r>
      <w:r w:rsidRPr="00D92E20">
        <w:rPr>
          <w:noProof/>
        </w:rPr>
        <w:t xml:space="preserve"> tis. případů (o </w:t>
      </w:r>
      <w:r w:rsidR="00A416CF" w:rsidRPr="00D92E20">
        <w:rPr>
          <w:noProof/>
        </w:rPr>
        <w:t>53</w:t>
      </w:r>
      <w:r w:rsidRPr="00D92E20">
        <w:rPr>
          <w:noProof/>
        </w:rPr>
        <w:t xml:space="preserve"> %) z 1 </w:t>
      </w:r>
      <w:r w:rsidR="00A416CF" w:rsidRPr="00D92E20">
        <w:rPr>
          <w:noProof/>
        </w:rPr>
        <w:t>56</w:t>
      </w:r>
      <w:r w:rsidR="00B44634" w:rsidRPr="00D92E20">
        <w:rPr>
          <w:noProof/>
        </w:rPr>
        <w:t>4</w:t>
      </w:r>
      <w:r w:rsidRPr="00D92E20">
        <w:rPr>
          <w:noProof/>
        </w:rPr>
        <w:t xml:space="preserve"> tis. případů v roce 201</w:t>
      </w:r>
      <w:r w:rsidR="00A416CF" w:rsidRPr="00D92E20">
        <w:rPr>
          <w:noProof/>
        </w:rPr>
        <w:t>5</w:t>
      </w:r>
      <w:r w:rsidRPr="00D92E20">
        <w:rPr>
          <w:noProof/>
        </w:rPr>
        <w:t xml:space="preserve"> na 2 391 tis. v roce 2020. Na zvýšení se větší měrou podílely ženy (+4</w:t>
      </w:r>
      <w:r w:rsidR="00B44634" w:rsidRPr="00D92E20">
        <w:rPr>
          <w:noProof/>
        </w:rPr>
        <w:t>38</w:t>
      </w:r>
      <w:r w:rsidRPr="00D92E20">
        <w:rPr>
          <w:noProof/>
        </w:rPr>
        <w:t xml:space="preserve"> tis. případů). Za nárůstem stály především výše zmíněné neschopenky z důvodu nemoci. </w:t>
      </w:r>
    </w:p>
    <w:p w14:paraId="0F250001" w14:textId="77777777" w:rsidR="000652B4" w:rsidRPr="00D92E20" w:rsidRDefault="00BA6B4E" w:rsidP="00BA6B4E">
      <w:pPr>
        <w:spacing w:before="120" w:after="120"/>
        <w:jc w:val="both"/>
        <w:rPr>
          <w:rFonts w:cs="Arial"/>
          <w:b/>
          <w:lang w:val="en-US"/>
        </w:rPr>
      </w:pPr>
      <w:r w:rsidRPr="00D92E20">
        <w:rPr>
          <w:noProof/>
        </w:rPr>
        <w:drawing>
          <wp:anchor distT="0" distB="0" distL="114300" distR="114300" simplePos="0" relativeHeight="251665920" behindDoc="1" locked="0" layoutInCell="1" allowOverlap="1" wp14:anchorId="4E60EE1C" wp14:editId="50E311C8">
            <wp:simplePos x="0" y="0"/>
            <wp:positionH relativeFrom="column">
              <wp:posOffset>3356610</wp:posOffset>
            </wp:positionH>
            <wp:positionV relativeFrom="paragraph">
              <wp:posOffset>274320</wp:posOffset>
            </wp:positionV>
            <wp:extent cx="3124200" cy="2181225"/>
            <wp:effectExtent l="0" t="0" r="0" b="0"/>
            <wp:wrapTight wrapText="bothSides">
              <wp:wrapPolygon edited="0">
                <wp:start x="0" y="0"/>
                <wp:lineTo x="0" y="21317"/>
                <wp:lineTo x="21468" y="21317"/>
                <wp:lineTo x="21468" y="0"/>
                <wp:lineTo x="0" y="0"/>
              </wp:wrapPolygon>
            </wp:wrapTight>
            <wp:docPr id="18" name="Graf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0652B4" w:rsidRPr="00D92E20">
        <w:rPr>
          <w:rFonts w:cs="Arial"/>
          <w:b/>
          <w:lang w:val="en-US"/>
        </w:rPr>
        <w:t xml:space="preserve">Graf 2.1: </w:t>
      </w:r>
      <w:r w:rsidR="000652B4" w:rsidRPr="00D92E20">
        <w:rPr>
          <w:rFonts w:cs="Arial"/>
          <w:b/>
        </w:rPr>
        <w:t xml:space="preserve">Nově hlášené případy dočasné pracovní neschopnosti podle příčiny a pohlaví, </w:t>
      </w:r>
      <w:r w:rsidR="000652B4" w:rsidRPr="00D92E20">
        <w:rPr>
          <w:rFonts w:cs="Arial"/>
          <w:b/>
          <w:lang w:val="en-US"/>
        </w:rPr>
        <w:t>2020</w:t>
      </w:r>
    </w:p>
    <w:p w14:paraId="197DDA97" w14:textId="77777777" w:rsidR="00ED103E" w:rsidRPr="00D92E20" w:rsidRDefault="00BA6B4E" w:rsidP="00ED103E">
      <w:pPr>
        <w:jc w:val="both"/>
        <w:rPr>
          <w:bCs/>
          <w:sz w:val="16"/>
        </w:rPr>
      </w:pPr>
      <w:r w:rsidRPr="00D92E20">
        <w:rPr>
          <w:noProof/>
          <w:sz w:val="16"/>
        </w:rPr>
        <w:drawing>
          <wp:anchor distT="0" distB="0" distL="114300" distR="114300" simplePos="0" relativeHeight="251664896" behindDoc="1" locked="0" layoutInCell="1" allowOverlap="1" wp14:anchorId="277DCBBC" wp14:editId="1FFDBF25">
            <wp:simplePos x="0" y="0"/>
            <wp:positionH relativeFrom="column">
              <wp:posOffset>3810</wp:posOffset>
            </wp:positionH>
            <wp:positionV relativeFrom="paragraph">
              <wp:posOffset>22860</wp:posOffset>
            </wp:positionV>
            <wp:extent cx="3409950" cy="2181225"/>
            <wp:effectExtent l="0" t="0" r="0" b="0"/>
            <wp:wrapTight wrapText="bothSides">
              <wp:wrapPolygon edited="0">
                <wp:start x="0" y="0"/>
                <wp:lineTo x="0" y="21317"/>
                <wp:lineTo x="21479" y="21317"/>
                <wp:lineTo x="21479" y="0"/>
                <wp:lineTo x="0" y="0"/>
              </wp:wrapPolygon>
            </wp:wrapTight>
            <wp:docPr id="17" name="Graf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253D4C" w:rsidRPr="00D92E20">
        <w:rPr>
          <w:bCs/>
          <w:sz w:val="16"/>
        </w:rPr>
        <w:t>Zdroj: ČSÚ</w:t>
      </w:r>
    </w:p>
    <w:p w14:paraId="0C379D7D" w14:textId="2B3F2B0C" w:rsidR="00253D4C" w:rsidRPr="00D92E20" w:rsidRDefault="00253D4C" w:rsidP="00BA6B4E">
      <w:pPr>
        <w:pStyle w:val="Seznam"/>
        <w:spacing w:before="120" w:after="120"/>
        <w:contextualSpacing w:val="0"/>
        <w:jc w:val="both"/>
      </w:pPr>
      <w:r w:rsidRPr="00D92E20">
        <w:t xml:space="preserve">Dopad legislativních změn na </w:t>
      </w:r>
      <w:r w:rsidR="000675AD" w:rsidRPr="00D92E20">
        <w:t>výskyt</w:t>
      </w:r>
      <w:r w:rsidRPr="00D92E20">
        <w:t xml:space="preserve"> pracovní neschopnosti je zřejmý zejména na vývoji případů pracovní neschopnosti </w:t>
      </w:r>
      <w:r w:rsidRPr="00D92E20">
        <w:rPr>
          <w:b/>
        </w:rPr>
        <w:t>pro nemoc</w:t>
      </w:r>
      <w:r w:rsidRPr="00D92E20">
        <w:t>. Počty případů pracovní neschopnosti pro úrazy jsou těmito změnami ovlivněny méně. Legislativní úpravy ve vyplácení dávek nemocenského se nejvíce projevují v četnosti případů méně závažných a krátkodobých pracovních neschopností, např. u nemocí dýchacích cest (běžná nachlazení, záněty horních cest dýchacích apod.).</w:t>
      </w:r>
    </w:p>
    <w:p w14:paraId="4D8EDE5A" w14:textId="255707AC" w:rsidR="006B6D44" w:rsidRPr="00D92E20" w:rsidRDefault="006B6D44" w:rsidP="006B6D44">
      <w:pPr>
        <w:pStyle w:val="Seznam"/>
        <w:spacing w:before="120" w:after="120"/>
        <w:contextualSpacing w:val="0"/>
        <w:jc w:val="both"/>
      </w:pPr>
      <w:r w:rsidRPr="00D92E20">
        <w:t xml:space="preserve">Do roku 2018 platil trend, že </w:t>
      </w:r>
      <w:r w:rsidRPr="00D92E20">
        <w:rPr>
          <w:b/>
        </w:rPr>
        <w:t>v prvním půlroce</w:t>
      </w:r>
      <w:r w:rsidRPr="00D92E20">
        <w:t xml:space="preserve"> je hlášeno značně více případů pracovní</w:t>
      </w:r>
      <w:r w:rsidR="00CE1E85" w:rsidRPr="00D92E20">
        <w:t xml:space="preserve"> neschopnosti</w:t>
      </w:r>
      <w:r w:rsidRPr="00D92E20">
        <w:t xml:space="preserve"> než v pololetí druhém. Možným vysvětlením mohou být jarní chřipkové epidemie. Naopak poklesu nahrávají prázdniny, zejména letní, ale také podzimní a vánoční. Pokud se nejedná o onemocnění závažnějšího charakteru, může se pojištěnec během dovolené sám zotavit bez nutnosti návštěvy lékaře a vystavení pracovní neschopnosti. Jak již bylo zmíněno výše, jedním z faktorů, které zapříčinily meziroční nárůst počtu nových případů pracovní neschopnosti </w:t>
      </w:r>
      <w:r w:rsidRPr="00D92E20">
        <w:rPr>
          <w:b/>
        </w:rPr>
        <w:t>způsobených nemocí</w:t>
      </w:r>
      <w:r w:rsidRPr="00D92E20">
        <w:t xml:space="preserve"> oproti 1. pol. 2018, je patrně </w:t>
      </w:r>
      <w:r w:rsidRPr="00D92E20">
        <w:rPr>
          <w:b/>
        </w:rPr>
        <w:t>zrušení karenční doby od 1. července 2019</w:t>
      </w:r>
      <w:r w:rsidRPr="00D92E20">
        <w:t xml:space="preserve">, kdy je náhrada mzdy od zaměstnavatele zaměstnanci vyplácena již od prvního dne, a nikoliv až od čtvrtého. Rozdíl mezi prvním a druhým pololetím v roce 2019 již tedy není tak markantní. V roce 2020 tento efekt </w:t>
      </w:r>
      <w:r w:rsidR="00844690" w:rsidRPr="00D92E20">
        <w:t>posílila</w:t>
      </w:r>
      <w:r w:rsidR="00844690" w:rsidRPr="00D92E20">
        <w:rPr>
          <w:b/>
        </w:rPr>
        <w:t xml:space="preserve"> </w:t>
      </w:r>
      <w:r w:rsidRPr="00D92E20">
        <w:rPr>
          <w:b/>
        </w:rPr>
        <w:t>koronavirová pandemie</w:t>
      </w:r>
      <w:r w:rsidRPr="00D92E20">
        <w:t>, kdy v druhém pololetí Česko zasáhla podzimní vlna onemocnění. Zatímco mezi prvními pololetími roku 2019 a 2020 došlo k nárůstu o 104 tis. (o 12 %) případů pracovní neschopnosti pro nemoc, mezi druhými pololetími se počet navýšil o 38</w:t>
      </w:r>
      <w:r w:rsidR="0037686D" w:rsidRPr="00D92E20">
        <w:t>7</w:t>
      </w:r>
      <w:r w:rsidRPr="00D92E20">
        <w:t xml:space="preserve"> tis. (o 46 %). V porovnání počtu nově hlášených případů pracovní neschopnosti z důvodu nemoci v druhém pololetí roku 2018 a stejného období v roce 2020 došlo k nárůstu o 72 %.</w:t>
      </w:r>
    </w:p>
    <w:p w14:paraId="7185CE88" w14:textId="77777777" w:rsidR="006B6D44" w:rsidRPr="00D92E20" w:rsidRDefault="006B6D44">
      <w:pPr>
        <w:spacing w:after="0" w:line="240" w:lineRule="auto"/>
      </w:pPr>
      <w:r w:rsidRPr="00D92E20">
        <w:br w:type="page"/>
      </w:r>
    </w:p>
    <w:p w14:paraId="4CA17497" w14:textId="77777777" w:rsidR="00253D4C" w:rsidRPr="00D92E20" w:rsidRDefault="00253D4C" w:rsidP="00BA6B4E">
      <w:pPr>
        <w:spacing w:before="120" w:after="0"/>
        <w:jc w:val="both"/>
        <w:rPr>
          <w:b/>
          <w:bCs/>
        </w:rPr>
      </w:pPr>
      <w:r w:rsidRPr="00D92E20">
        <w:rPr>
          <w:b/>
          <w:bCs/>
        </w:rPr>
        <w:lastRenderedPageBreak/>
        <w:t>Graf 2.2: Nově hlášené případy dočasné pracovní neschopnosti pro nemoc, 2015–2020</w:t>
      </w:r>
    </w:p>
    <w:p w14:paraId="690296D3" w14:textId="77777777" w:rsidR="00253D4C" w:rsidRPr="00D92E20" w:rsidRDefault="00253D4C" w:rsidP="00ED103E">
      <w:pPr>
        <w:jc w:val="both"/>
        <w:rPr>
          <w:bCs/>
        </w:rPr>
      </w:pPr>
      <w:r w:rsidRPr="00D92E20">
        <w:rPr>
          <w:noProof/>
        </w:rPr>
        <w:drawing>
          <wp:inline distT="0" distB="0" distL="0" distR="0" wp14:anchorId="649AABBB" wp14:editId="0BDD58DF">
            <wp:extent cx="6115050" cy="2781300"/>
            <wp:effectExtent l="0" t="0" r="0" b="0"/>
            <wp:docPr id="19" name="Graf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36111EB" w14:textId="77777777" w:rsidR="00ED103E" w:rsidRPr="00D92E20" w:rsidRDefault="00253D4C" w:rsidP="00BA6B4E">
      <w:pPr>
        <w:spacing w:after="120"/>
        <w:rPr>
          <w:sz w:val="16"/>
        </w:rPr>
      </w:pPr>
      <w:r w:rsidRPr="00D92E20">
        <w:rPr>
          <w:sz w:val="16"/>
        </w:rPr>
        <w:t>Zdroj: ČSÚ</w:t>
      </w:r>
    </w:p>
    <w:p w14:paraId="399E7FC9" w14:textId="3FAE9524" w:rsidR="00D63625" w:rsidRPr="00D92E20" w:rsidRDefault="00D63625" w:rsidP="00BA6B4E">
      <w:pPr>
        <w:pStyle w:val="Seznam"/>
        <w:spacing w:before="120" w:after="120"/>
        <w:contextualSpacing w:val="0"/>
        <w:jc w:val="both"/>
      </w:pPr>
      <w:r w:rsidRPr="00D92E20">
        <w:t>V</w:t>
      </w:r>
      <w:r w:rsidR="000675AD" w:rsidRPr="00D92E20">
        <w:t> relativním pohledu v</w:t>
      </w:r>
      <w:r w:rsidRPr="00D92E20">
        <w:t> roce 2020 meziročně přibylo 10,5 případu na 100 pojištěnců a</w:t>
      </w:r>
      <w:r w:rsidR="00023479" w:rsidRPr="00D92E20">
        <w:t xml:space="preserve"> hodnota tak</w:t>
      </w:r>
      <w:r w:rsidRPr="00D92E20">
        <w:t xml:space="preserve"> činil</w:t>
      </w:r>
      <w:r w:rsidR="00023479" w:rsidRPr="00D92E20">
        <w:t>a</w:t>
      </w:r>
      <w:r w:rsidRPr="00D92E20">
        <w:t xml:space="preserve"> 51</w:t>
      </w:r>
      <w:r w:rsidR="000675AD" w:rsidRPr="00D92E20">
        <w:t> </w:t>
      </w:r>
      <w:r w:rsidRPr="00D92E20">
        <w:t xml:space="preserve">případů. Na 100 pojištěnců připadalo 47 nově hlášených případů pracovní neschopnosti </w:t>
      </w:r>
      <w:r w:rsidRPr="00D92E20">
        <w:rPr>
          <w:b/>
        </w:rPr>
        <w:t>pro nemoc</w:t>
      </w:r>
      <w:r w:rsidRPr="00D92E20">
        <w:t xml:space="preserve">, což bylo </w:t>
      </w:r>
      <w:r w:rsidR="00A26AF3" w:rsidRPr="00D92E20">
        <w:t xml:space="preserve">dvakrát více než v roce </w:t>
      </w:r>
      <w:r w:rsidRPr="00D92E20">
        <w:t xml:space="preserve">2012. Co se týče počtu neschopenek z důvodu </w:t>
      </w:r>
      <w:r w:rsidRPr="00D92E20">
        <w:rPr>
          <w:b/>
        </w:rPr>
        <w:t>pracovního úrazu</w:t>
      </w:r>
      <w:r w:rsidRPr="00D92E20">
        <w:t xml:space="preserve"> na 100</w:t>
      </w:r>
      <w:r w:rsidR="000675AD" w:rsidRPr="00D92E20">
        <w:t> </w:t>
      </w:r>
      <w:r w:rsidRPr="00D92E20">
        <w:t xml:space="preserve">pojištěnců, jejich počet </w:t>
      </w:r>
      <w:r w:rsidR="00023479" w:rsidRPr="00D92E20">
        <w:t xml:space="preserve">od roku 2017 </w:t>
      </w:r>
      <w:r w:rsidR="00A26AF3" w:rsidRPr="00D92E20">
        <w:t>setrvale</w:t>
      </w:r>
      <w:r w:rsidRPr="00D92E20">
        <w:t xml:space="preserve"> klesá. </w:t>
      </w:r>
      <w:r w:rsidRPr="00D92E20">
        <w:rPr>
          <w:b/>
        </w:rPr>
        <w:t>U mimopracovních úrazů</w:t>
      </w:r>
      <w:r w:rsidRPr="00D92E20">
        <w:t xml:space="preserve"> panuje od </w:t>
      </w:r>
      <w:r w:rsidR="00A26AF3" w:rsidRPr="00D92E20">
        <w:t>roku 2016</w:t>
      </w:r>
      <w:r w:rsidRPr="00D92E20">
        <w:t xml:space="preserve"> </w:t>
      </w:r>
      <w:r w:rsidR="0037686D" w:rsidRPr="00D92E20">
        <w:t xml:space="preserve">víceméně </w:t>
      </w:r>
      <w:r w:rsidRPr="00D92E20">
        <w:t>stagnace.</w:t>
      </w:r>
    </w:p>
    <w:p w14:paraId="10992647" w14:textId="77777777" w:rsidR="00EB48F6" w:rsidRPr="00D92E20" w:rsidRDefault="00D63625" w:rsidP="00EB48F6">
      <w:pPr>
        <w:pStyle w:val="Seznam"/>
        <w:jc w:val="both"/>
      </w:pPr>
      <w:r w:rsidRPr="00D92E20">
        <w:rPr>
          <w:b/>
          <w:spacing w:val="-4"/>
        </w:rPr>
        <w:t>Graf 2.3: Nově hlášené případy dočasné pracovní neschopnosti na 100 pojištěnců podle příčiny, 2010–2020</w:t>
      </w:r>
      <w:r w:rsidRPr="00D92E20">
        <w:rPr>
          <w:b/>
        </w:rPr>
        <w:t xml:space="preserve"> </w:t>
      </w:r>
      <w:r w:rsidRPr="00D92E20">
        <w:t xml:space="preserve"> </w:t>
      </w:r>
      <w:r w:rsidRPr="00D92E20">
        <w:rPr>
          <w:noProof/>
        </w:rPr>
        <w:drawing>
          <wp:inline distT="0" distB="0" distL="0" distR="0" wp14:anchorId="50255D10" wp14:editId="447007C1">
            <wp:extent cx="6172200" cy="2847975"/>
            <wp:effectExtent l="0" t="0" r="0" b="9525"/>
            <wp:docPr id="20" name="Graf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E5E269E" w14:textId="77777777" w:rsidR="00D63625" w:rsidRPr="00D92E20" w:rsidRDefault="00D63625" w:rsidP="00D63625">
      <w:pPr>
        <w:rPr>
          <w:sz w:val="16"/>
        </w:rPr>
      </w:pPr>
      <w:r w:rsidRPr="00D92E20">
        <w:rPr>
          <w:sz w:val="16"/>
        </w:rPr>
        <w:t>Zdroj: ČSÚ</w:t>
      </w:r>
    </w:p>
    <w:p w14:paraId="6C060B05" w14:textId="77777777" w:rsidR="00A416CF" w:rsidRPr="00D92E20" w:rsidRDefault="00A26AF3" w:rsidP="00BA6B4E">
      <w:pPr>
        <w:autoSpaceDE w:val="0"/>
        <w:autoSpaceDN w:val="0"/>
        <w:adjustRightInd w:val="0"/>
        <w:spacing w:before="120" w:after="120"/>
        <w:jc w:val="both"/>
        <w:rPr>
          <w:rFonts w:cs="Arial"/>
        </w:rPr>
      </w:pPr>
      <w:r w:rsidRPr="00D92E20">
        <w:rPr>
          <w:rFonts w:cs="Arial"/>
        </w:rPr>
        <w:t xml:space="preserve">Nejvíce nových případů dočasné pracovní neschopnosti bylo v roce 2020 nahlášeno v subjektech, které dle převažující ekonomické činnosti spadají do </w:t>
      </w:r>
      <w:r w:rsidRPr="00D92E20">
        <w:rPr>
          <w:rFonts w:cs="Arial"/>
          <w:b/>
        </w:rPr>
        <w:t>odvětvové sekce</w:t>
      </w:r>
      <w:r w:rsidRPr="00D92E20">
        <w:rPr>
          <w:rFonts w:cs="Arial"/>
        </w:rPr>
        <w:t xml:space="preserve"> Zpracovatelský průmysl (804 tis. případů) a Velkoobchod a maloobchod; opravy a údržba motorových vozidel (311 tis.). Není divu, protože jde o odvětví, kde pracuje nejvíce zaměstnaných osob, jak bylo uvedeno výše v kap. 4.1. Naopak nejméně případů bylo v absolutních číslech hlášeno v odvětvích Těžba a dobývání (16 tis.) a Výroba a rozvod elektřiny, plynu, tepla a klimatizovaného vzduchu (14 tis.). </w:t>
      </w:r>
    </w:p>
    <w:p w14:paraId="5CFC5769" w14:textId="3F14ED36" w:rsidR="003C601B" w:rsidRPr="00D92E20" w:rsidRDefault="001E2AAB" w:rsidP="00BA6B4E">
      <w:pPr>
        <w:autoSpaceDE w:val="0"/>
        <w:autoSpaceDN w:val="0"/>
        <w:adjustRightInd w:val="0"/>
        <w:spacing w:before="120" w:after="120"/>
        <w:jc w:val="both"/>
        <w:rPr>
          <w:rFonts w:cs="Arial"/>
        </w:rPr>
      </w:pPr>
      <w:r w:rsidRPr="00D92E20">
        <w:rPr>
          <w:rFonts w:cs="Arial"/>
        </w:rPr>
        <w:lastRenderedPageBreak/>
        <w:t>V roce 2020</w:t>
      </w:r>
      <w:r w:rsidRPr="00D92E20">
        <w:rPr>
          <w:rFonts w:cs="Arial"/>
          <w:b/>
        </w:rPr>
        <w:t xml:space="preserve"> m</w:t>
      </w:r>
      <w:r w:rsidR="00617700" w:rsidRPr="00D92E20">
        <w:rPr>
          <w:rFonts w:cs="Arial"/>
          <w:b/>
        </w:rPr>
        <w:t>eziročně</w:t>
      </w:r>
      <w:r w:rsidR="00617700" w:rsidRPr="00D92E20">
        <w:rPr>
          <w:rFonts w:cs="Arial"/>
        </w:rPr>
        <w:t xml:space="preserve"> vzrostl</w:t>
      </w:r>
      <w:r w:rsidRPr="00D92E20">
        <w:rPr>
          <w:rFonts w:cs="Arial"/>
        </w:rPr>
        <w:t xml:space="preserve"> počet případů dočasné pracovní neschopnosti </w:t>
      </w:r>
      <w:r w:rsidR="00B44634" w:rsidRPr="00D92E20">
        <w:rPr>
          <w:rFonts w:cs="Arial"/>
        </w:rPr>
        <w:t xml:space="preserve">procentuálně </w:t>
      </w:r>
      <w:r w:rsidRPr="00D92E20">
        <w:rPr>
          <w:rFonts w:cs="Arial"/>
        </w:rPr>
        <w:t>nejvíce</w:t>
      </w:r>
      <w:r w:rsidR="001E3265" w:rsidRPr="00D92E20">
        <w:rPr>
          <w:rFonts w:cs="Arial"/>
        </w:rPr>
        <w:t xml:space="preserve"> </w:t>
      </w:r>
      <w:r w:rsidRPr="00D92E20">
        <w:rPr>
          <w:rFonts w:cs="Arial"/>
        </w:rPr>
        <w:t xml:space="preserve">v odvětvové sekci </w:t>
      </w:r>
      <w:r w:rsidR="003C601B" w:rsidRPr="00D92E20">
        <w:rPr>
          <w:rFonts w:cs="Arial"/>
        </w:rPr>
        <w:t>Zdravotní péče</w:t>
      </w:r>
      <w:r w:rsidRPr="00D92E20">
        <w:rPr>
          <w:rFonts w:cs="Arial"/>
        </w:rPr>
        <w:t>, a to o</w:t>
      </w:r>
      <w:r w:rsidR="00F25CD1" w:rsidRPr="00D92E20">
        <w:rPr>
          <w:rFonts w:cs="Arial"/>
        </w:rPr>
        <w:t xml:space="preserve"> </w:t>
      </w:r>
      <w:r w:rsidR="0021138F" w:rsidRPr="00D92E20">
        <w:rPr>
          <w:rFonts w:cs="Arial"/>
        </w:rPr>
        <w:t>75 % (</w:t>
      </w:r>
      <w:r w:rsidR="00F25CD1" w:rsidRPr="00D92E20">
        <w:rPr>
          <w:rFonts w:cs="Arial"/>
        </w:rPr>
        <w:t xml:space="preserve">téměř </w:t>
      </w:r>
      <w:r w:rsidR="0021138F" w:rsidRPr="00D92E20">
        <w:rPr>
          <w:rFonts w:cs="Arial"/>
        </w:rPr>
        <w:t xml:space="preserve">o </w:t>
      </w:r>
      <w:r w:rsidR="00F25CD1" w:rsidRPr="00D92E20">
        <w:rPr>
          <w:rFonts w:cs="Arial"/>
        </w:rPr>
        <w:t>sto tisíc</w:t>
      </w:r>
      <w:r w:rsidR="0021138F" w:rsidRPr="00D92E20">
        <w:rPr>
          <w:rFonts w:cs="Arial"/>
        </w:rPr>
        <w:t>).</w:t>
      </w:r>
      <w:r w:rsidR="003C601B" w:rsidRPr="00D92E20">
        <w:rPr>
          <w:rFonts w:cs="Arial"/>
        </w:rPr>
        <w:t xml:space="preserve"> </w:t>
      </w:r>
      <w:r w:rsidR="001E3265" w:rsidRPr="00D92E20">
        <w:rPr>
          <w:rFonts w:cs="Arial"/>
        </w:rPr>
        <w:t xml:space="preserve">Absolutně nejvíce (o 140 tis.) vzrostl počet nově nahlášených případů dočasné pracovní neschopnosti ve Zpracovatelském průmyslu. </w:t>
      </w:r>
      <w:r w:rsidR="003C601B" w:rsidRPr="00D92E20">
        <w:rPr>
          <w:rFonts w:cs="Arial"/>
        </w:rPr>
        <w:t>Meziročně vzrostl počet nahlášených případů kromě dvou výjimek ve všech odvětvích. V sekcích Informační a</w:t>
      </w:r>
      <w:r w:rsidR="0021138F" w:rsidRPr="00D92E20">
        <w:rPr>
          <w:rFonts w:cs="Arial"/>
        </w:rPr>
        <w:t> </w:t>
      </w:r>
      <w:r w:rsidR="003C601B" w:rsidRPr="00D92E20">
        <w:rPr>
          <w:rFonts w:cs="Arial"/>
        </w:rPr>
        <w:t>komunikační činnosti a</w:t>
      </w:r>
      <w:r w:rsidR="00C02C40" w:rsidRPr="00D92E20">
        <w:rPr>
          <w:rFonts w:cs="Arial"/>
        </w:rPr>
        <w:t> </w:t>
      </w:r>
      <w:r w:rsidR="003C601B" w:rsidRPr="00D92E20">
        <w:rPr>
          <w:rFonts w:cs="Arial"/>
        </w:rPr>
        <w:t xml:space="preserve">Peněžnictví a pojišťovnictví případů pracovní neschopnosti naopak ubylo (o </w:t>
      </w:r>
      <w:r w:rsidR="0037686D" w:rsidRPr="00D92E20">
        <w:rPr>
          <w:rFonts w:cs="Arial"/>
        </w:rPr>
        <w:t>839</w:t>
      </w:r>
      <w:r w:rsidR="003C601B" w:rsidRPr="00D92E20">
        <w:rPr>
          <w:rFonts w:cs="Arial"/>
        </w:rPr>
        <w:t xml:space="preserve">, resp. </w:t>
      </w:r>
      <w:r w:rsidR="0037686D" w:rsidRPr="00D92E20">
        <w:rPr>
          <w:rFonts w:cs="Arial"/>
        </w:rPr>
        <w:t>957</w:t>
      </w:r>
      <w:r w:rsidR="003C601B" w:rsidRPr="00D92E20">
        <w:rPr>
          <w:rFonts w:cs="Arial"/>
        </w:rPr>
        <w:t xml:space="preserve"> případů).</w:t>
      </w:r>
    </w:p>
    <w:p w14:paraId="57B23315" w14:textId="77777777" w:rsidR="00A26AF3" w:rsidRPr="00D92E20" w:rsidRDefault="00A26AF3" w:rsidP="00BA6B4E">
      <w:pPr>
        <w:autoSpaceDE w:val="0"/>
        <w:autoSpaceDN w:val="0"/>
        <w:adjustRightInd w:val="0"/>
        <w:spacing w:before="120" w:after="120"/>
        <w:jc w:val="both"/>
        <w:rPr>
          <w:rFonts w:cs="Arial"/>
        </w:rPr>
      </w:pPr>
      <w:r w:rsidRPr="00D92E20">
        <w:rPr>
          <w:rFonts w:cs="Arial"/>
        </w:rPr>
        <w:t>Absolutní počty nově hlášených případů jsou ovlivněny odvětvovou strukturou národního hospodářství a zaměstnaností v jednotlivých odvětvích. Z toho důvodu má vyšší vypovídací schopnost již zmíněný ukazatel – počet nově hlášených případů na 100 pojištěnců v daném odvětví.</w:t>
      </w:r>
    </w:p>
    <w:p w14:paraId="6A5E8198" w14:textId="5DB42B8B" w:rsidR="00BA6B4E" w:rsidRPr="00D92E20" w:rsidRDefault="00BA6B4E" w:rsidP="00BA6B4E">
      <w:pPr>
        <w:autoSpaceDE w:val="0"/>
        <w:autoSpaceDN w:val="0"/>
        <w:adjustRightInd w:val="0"/>
        <w:spacing w:before="120" w:after="120"/>
        <w:jc w:val="both"/>
        <w:rPr>
          <w:rFonts w:cs="Arial"/>
        </w:rPr>
      </w:pPr>
      <w:r w:rsidRPr="00D92E20">
        <w:rPr>
          <w:rFonts w:cs="Arial"/>
        </w:rPr>
        <w:t xml:space="preserve">Nejvíce případů dočasné pracovní neschopnosti </w:t>
      </w:r>
      <w:r w:rsidRPr="00D92E20">
        <w:rPr>
          <w:rFonts w:cs="Arial"/>
          <w:b/>
        </w:rPr>
        <w:t>na 100 pojištěnců</w:t>
      </w:r>
      <w:r w:rsidRPr="00D92E20">
        <w:rPr>
          <w:rFonts w:cs="Arial"/>
        </w:rPr>
        <w:t xml:space="preserve"> bylo v roce 2020 zaznamenáno v odvětví Těžba a dobývání (71). Následoval Zpracovatelský průmysl (67) a Zdravotní a sociální péče (60). </w:t>
      </w:r>
      <w:r w:rsidR="001C0B68" w:rsidRPr="00D92E20">
        <w:rPr>
          <w:rFonts w:cs="Arial"/>
        </w:rPr>
        <w:t>Právě v sekci Zdravotní a sociální péče tento poměrový ukazatel meziročně vzrostl o 2</w:t>
      </w:r>
      <w:r w:rsidR="0037686D" w:rsidRPr="00D92E20">
        <w:rPr>
          <w:rFonts w:cs="Arial"/>
        </w:rPr>
        <w:t>4</w:t>
      </w:r>
      <w:r w:rsidR="001C0B68" w:rsidRPr="00D92E20">
        <w:rPr>
          <w:rFonts w:cs="Arial"/>
        </w:rPr>
        <w:t xml:space="preserve"> případů. </w:t>
      </w:r>
      <w:r w:rsidRPr="00D92E20">
        <w:rPr>
          <w:rFonts w:cs="Arial"/>
        </w:rPr>
        <w:t>Nejnižší počet případů dočasné pracovní neschopnosti v přepočtu na 100 nemocensky pojištěných bylo evidováno v odvětví Činnosti v oblasti nemovitostí (24). Celorepublikový průměr bez ohledu na odvětví činil již zmíněných 51</w:t>
      </w:r>
      <w:r w:rsidR="001C0B68" w:rsidRPr="00D92E20">
        <w:rPr>
          <w:rFonts w:cs="Arial"/>
        </w:rPr>
        <w:t> </w:t>
      </w:r>
      <w:r w:rsidRPr="00D92E20">
        <w:rPr>
          <w:rFonts w:cs="Arial"/>
        </w:rPr>
        <w:t>případů na 100 pojištěnců.</w:t>
      </w:r>
    </w:p>
    <w:p w14:paraId="4EF9D633" w14:textId="77777777" w:rsidR="00ED103E" w:rsidRPr="00D92E20" w:rsidRDefault="004373DF" w:rsidP="00BA6B4E">
      <w:pPr>
        <w:spacing w:after="0"/>
        <w:jc w:val="both"/>
        <w:rPr>
          <w:b/>
        </w:rPr>
      </w:pPr>
      <w:r w:rsidRPr="00D92E20">
        <w:rPr>
          <w:b/>
        </w:rPr>
        <w:t>Graf 2.</w:t>
      </w:r>
      <w:r w:rsidR="009562CF" w:rsidRPr="00D92E20">
        <w:rPr>
          <w:b/>
        </w:rPr>
        <w:t>4</w:t>
      </w:r>
      <w:r w:rsidRPr="00D92E20">
        <w:rPr>
          <w:b/>
        </w:rPr>
        <w:t>: Nově hlášené případy dočasné pracovní neschopnosti na 100 pojištěnců podle odvětví (sekce CZ-NACE), 2010 a 2020</w:t>
      </w:r>
    </w:p>
    <w:p w14:paraId="619B3EC3" w14:textId="77777777" w:rsidR="00ED103E" w:rsidRPr="00D92E20" w:rsidRDefault="004373DF" w:rsidP="00ED103E">
      <w:r w:rsidRPr="00D92E20">
        <w:rPr>
          <w:noProof/>
        </w:rPr>
        <w:drawing>
          <wp:inline distT="0" distB="0" distL="0" distR="0" wp14:anchorId="18E641E5" wp14:editId="791C4B7A">
            <wp:extent cx="6120130" cy="5111115"/>
            <wp:effectExtent l="0" t="0" r="13970" b="13335"/>
            <wp:docPr id="21" name="Graf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BC3AFAF" w14:textId="77777777" w:rsidR="004373DF" w:rsidRPr="00D92E20" w:rsidRDefault="004373DF" w:rsidP="00BA6B4E">
      <w:pPr>
        <w:spacing w:after="120"/>
        <w:rPr>
          <w:sz w:val="16"/>
        </w:rPr>
      </w:pPr>
      <w:r w:rsidRPr="00D92E20">
        <w:rPr>
          <w:sz w:val="16"/>
        </w:rPr>
        <w:t>Zdroj: ČSÚ</w:t>
      </w:r>
    </w:p>
    <w:p w14:paraId="552D3561" w14:textId="77777777" w:rsidR="006B6D44" w:rsidRPr="00D92E20" w:rsidRDefault="006B6D44" w:rsidP="006B6D44">
      <w:pPr>
        <w:spacing w:before="120" w:after="120"/>
        <w:jc w:val="both"/>
        <w:rPr>
          <w:rFonts w:cs="Arial"/>
        </w:rPr>
      </w:pPr>
      <w:r w:rsidRPr="00D92E20">
        <w:rPr>
          <w:rFonts w:cs="Arial"/>
          <w:color w:val="000000"/>
          <w:szCs w:val="16"/>
        </w:rPr>
        <w:t xml:space="preserve">Vývoj počtu případů pracovní neschopnosti na 100 pojištěnců v jednotlivých odvětvích je zřejmý z grafu 2.4, resp. z tabulky 2.2. V roce 2020 bylo nahlášeno o 20 případů na 100 pojištěnců více než před deseti lety. Nejdynamičtější nárůst je patrný v odvětvové sekci Zdravotní a sociální péče, kde tento ukazatel vzrostl </w:t>
      </w:r>
      <w:r w:rsidRPr="00D92E20">
        <w:rPr>
          <w:rFonts w:cs="Arial"/>
          <w:color w:val="000000"/>
          <w:szCs w:val="16"/>
        </w:rPr>
        <w:lastRenderedPageBreak/>
        <w:t>o 130 % (z 26 případů na 100 pojištěnců v roce 2010 na 60 případů v roce 2020). Rapidní nárůst (o 83 %) byl zaznamenán i v odvětví Zpracovatelský průmysl, a sice přibylo 30 případů pracovní neschopnosti na 100 pojištěnců. K poklesům za zmiňované období došlo pouze u dvou sekcí, Informační a komunikační činnosti a Peněžnictví a pojišťovnictví (shodně o 1 %, resp. o 0,3 případu na 100 pojištěných osob).</w:t>
      </w:r>
    </w:p>
    <w:p w14:paraId="61C14B49" w14:textId="77777777" w:rsidR="00631FED" w:rsidRPr="00D92E20" w:rsidRDefault="003C601B" w:rsidP="00BA6B4E">
      <w:pPr>
        <w:spacing w:before="120" w:after="120"/>
        <w:jc w:val="both"/>
        <w:rPr>
          <w:rFonts w:cs="Arial"/>
          <w:color w:val="000000"/>
          <w:szCs w:val="16"/>
        </w:rPr>
      </w:pPr>
      <w:r w:rsidRPr="00D92E20">
        <w:t xml:space="preserve">Odvětvím s největším </w:t>
      </w:r>
      <w:r w:rsidRPr="00D92E20">
        <w:rPr>
          <w:b/>
        </w:rPr>
        <w:t>meziročním nárůstem</w:t>
      </w:r>
      <w:r w:rsidRPr="00D92E20">
        <w:t xml:space="preserve"> počtu případů pracovní neschopnosti </w:t>
      </w:r>
      <w:r w:rsidRPr="00D92E20">
        <w:rPr>
          <w:b/>
        </w:rPr>
        <w:t>pro nemoc</w:t>
      </w:r>
      <w:r w:rsidRPr="00D92E20">
        <w:t xml:space="preserve"> na 100</w:t>
      </w:r>
      <w:r w:rsidR="006E3982" w:rsidRPr="00D92E20">
        <w:t> </w:t>
      </w:r>
      <w:r w:rsidRPr="00D92E20">
        <w:t xml:space="preserve">pojištěnců v roce 2020 byla </w:t>
      </w:r>
      <w:r w:rsidRPr="00D92E20">
        <w:rPr>
          <w:b/>
        </w:rPr>
        <w:t>Těžba a dobývání</w:t>
      </w:r>
      <w:r w:rsidRPr="00D92E20">
        <w:t xml:space="preserve">. Oproti roku 2019 hodnota vzrostla o 27 případů. Nárůst u odvětví </w:t>
      </w:r>
      <w:r w:rsidRPr="00D92E20">
        <w:rPr>
          <w:b/>
        </w:rPr>
        <w:t>Zdravotní a sociální péče</w:t>
      </w:r>
      <w:r w:rsidRPr="00D92E20">
        <w:t xml:space="preserve"> v</w:t>
      </w:r>
      <w:r w:rsidR="006E3982" w:rsidRPr="00D92E20">
        <w:t> </w:t>
      </w:r>
      <w:r w:rsidRPr="00D92E20">
        <w:t>průběhu</w:t>
      </w:r>
      <w:r w:rsidR="006E3982" w:rsidRPr="00D92E20">
        <w:t xml:space="preserve"> celého</w:t>
      </w:r>
      <w:r w:rsidRPr="00D92E20">
        <w:t xml:space="preserve"> desetiletí byl již zmíněn. Ovšem jen meziročně v této sekci přibylo 24 případů pro nemoc na 100 pojištěnců, v relativním vyjádření o 76 % více. </w:t>
      </w:r>
      <w:r w:rsidR="0064464A" w:rsidRPr="00D92E20">
        <w:rPr>
          <w:rFonts w:cs="Arial"/>
          <w:color w:val="000000"/>
          <w:szCs w:val="16"/>
        </w:rPr>
        <w:t xml:space="preserve">V tomto odvětví vzrostl počet nemocensky pojištěných a také lze usuzovat, že pracovníci této sekce byli poměrně rizikovou skupinou, která se s nákazou koronaviru setkávala velmi často. </w:t>
      </w:r>
    </w:p>
    <w:p w14:paraId="24355540" w14:textId="1AE7296F" w:rsidR="00E73F0C" w:rsidRPr="00D92E20" w:rsidRDefault="00E73F0C" w:rsidP="00BA6B4E">
      <w:pPr>
        <w:spacing w:before="120" w:after="0"/>
        <w:jc w:val="both"/>
        <w:rPr>
          <w:rFonts w:cs="Arial"/>
          <w:b/>
          <w:color w:val="000000"/>
          <w:szCs w:val="16"/>
        </w:rPr>
      </w:pPr>
      <w:r w:rsidRPr="00D92E20">
        <w:rPr>
          <w:rFonts w:cs="Arial"/>
          <w:b/>
          <w:color w:val="000000"/>
          <w:szCs w:val="16"/>
        </w:rPr>
        <w:t xml:space="preserve">Graf 2.5: Nově hlášené případy dočasné pracovní neschopnosti </w:t>
      </w:r>
      <w:r w:rsidR="00096B50" w:rsidRPr="00D92E20">
        <w:rPr>
          <w:rFonts w:cs="Arial"/>
          <w:b/>
          <w:color w:val="000000"/>
          <w:szCs w:val="16"/>
        </w:rPr>
        <w:t>pro nemoc</w:t>
      </w:r>
      <w:r w:rsidRPr="00D92E20">
        <w:rPr>
          <w:rFonts w:cs="Arial"/>
          <w:b/>
          <w:color w:val="000000"/>
          <w:szCs w:val="16"/>
        </w:rPr>
        <w:t xml:space="preserve"> na 100 pojištěnců podle odvětví (sekce CZ-NACE), 2019 a 2020</w:t>
      </w:r>
    </w:p>
    <w:p w14:paraId="2D143D09" w14:textId="77777777" w:rsidR="00E73F0C" w:rsidRPr="00D92E20" w:rsidRDefault="00E73F0C" w:rsidP="007E06C7">
      <w:pPr>
        <w:spacing w:before="120" w:after="120"/>
        <w:jc w:val="both"/>
        <w:rPr>
          <w:rFonts w:cs="Arial"/>
          <w:b/>
          <w:color w:val="000000"/>
          <w:szCs w:val="16"/>
        </w:rPr>
      </w:pPr>
      <w:r w:rsidRPr="00D92E20">
        <w:rPr>
          <w:noProof/>
        </w:rPr>
        <w:drawing>
          <wp:inline distT="0" distB="0" distL="0" distR="0" wp14:anchorId="01311C6F" wp14:editId="52650110">
            <wp:extent cx="6115050" cy="5295900"/>
            <wp:effectExtent l="0" t="0" r="0" b="0"/>
            <wp:docPr id="22" name="Graf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C76525D" w14:textId="77777777" w:rsidR="00E73F0C" w:rsidRPr="00D92E20" w:rsidRDefault="00E73F0C" w:rsidP="00E73F0C">
      <w:pPr>
        <w:rPr>
          <w:sz w:val="16"/>
        </w:rPr>
      </w:pPr>
      <w:r w:rsidRPr="00D92E20">
        <w:rPr>
          <w:sz w:val="16"/>
        </w:rPr>
        <w:t>Zdroj: ČSÚ</w:t>
      </w:r>
    </w:p>
    <w:p w14:paraId="446C44BD" w14:textId="3C6D3954" w:rsidR="006B6D44" w:rsidRPr="00D92E20" w:rsidRDefault="006B6D44" w:rsidP="006B6D44">
      <w:pPr>
        <w:spacing w:before="120" w:after="120"/>
        <w:jc w:val="both"/>
      </w:pPr>
      <w:r w:rsidRPr="00D92E20">
        <w:t xml:space="preserve">V sekci </w:t>
      </w:r>
      <w:r w:rsidRPr="00D92E20">
        <w:rPr>
          <w:b/>
        </w:rPr>
        <w:t>Ubytování, stravování a pohostinství</w:t>
      </w:r>
      <w:r w:rsidRPr="00D92E20">
        <w:t xml:space="preserve"> meziročně přibylo 11 případů </w:t>
      </w:r>
      <w:r w:rsidR="00236048" w:rsidRPr="00D92E20">
        <w:t xml:space="preserve">pracovní neschopnosti </w:t>
      </w:r>
      <w:r w:rsidRPr="00D92E20">
        <w:t xml:space="preserve">v přepočtu na 100 pojištěných. Tato ekonomická sekce byla (a stále je) jednou z nejpostiženějších v důsledku zavedených opatření proti šíření epidemie (uzavření restaurací, barů a hotelů). Faktem je, že </w:t>
      </w:r>
      <w:r w:rsidR="00D042B7" w:rsidRPr="00D92E20">
        <w:t>v tomto odvětví</w:t>
      </w:r>
      <w:r w:rsidRPr="00D92E20">
        <w:t xml:space="preserve"> pracuje hodně OSVČ, kterých, jak bylo již uvedeno dříve, je nemocensky pojištěn</w:t>
      </w:r>
      <w:r w:rsidR="00C56C80" w:rsidRPr="00D92E20">
        <w:t>ých</w:t>
      </w:r>
      <w:r w:rsidRPr="00D92E20">
        <w:t xml:space="preserve"> zhruba šestina. Nicméně dle zjištění Státního úřadu inspekce práce mnohdy docházelo k tomu, že zaměstnavatelé v době nuceného omezení či uzavření svých provozoven posílali zaměstnance na nemocenskou. Jedná se sice o protizákonný </w:t>
      </w:r>
      <w:r w:rsidRPr="00D92E20">
        <w:lastRenderedPageBreak/>
        <w:t>postup, kdy zaměstnanec nemůže být k odchodu na nemocenskou nucen. Je však pochopitelné, že v zájmu zachování zaměstnání a pod tíhou celkové nejistoty v pandemické době, zaměstnanci na takové řešení přistoupili. Na druhou stranu mohlo docházet i k případům, kdy na nemocenskou „odcházeli“ zaměstnanci (resp. brigádníci) v době, kdy teprve hrozilo uzavření provozoven.</w:t>
      </w:r>
    </w:p>
    <w:p w14:paraId="5F222908" w14:textId="304AEA1A" w:rsidR="0021138F" w:rsidRPr="00D92E20" w:rsidRDefault="0021138F" w:rsidP="0021138F">
      <w:pPr>
        <w:spacing w:before="120" w:after="120"/>
        <w:jc w:val="both"/>
        <w:rPr>
          <w:rFonts w:cs="Arial"/>
          <w:szCs w:val="20"/>
        </w:rPr>
      </w:pPr>
      <w:r w:rsidRPr="00D92E20">
        <w:rPr>
          <w:rFonts w:cs="Arial"/>
          <w:szCs w:val="20"/>
        </w:rPr>
        <w:t xml:space="preserve">Jediné sekce, které </w:t>
      </w:r>
      <w:r w:rsidR="00236048" w:rsidRPr="00D92E20">
        <w:rPr>
          <w:rFonts w:cs="Arial"/>
          <w:szCs w:val="20"/>
        </w:rPr>
        <w:t xml:space="preserve">meziročně </w:t>
      </w:r>
      <w:r w:rsidRPr="00D92E20">
        <w:rPr>
          <w:rFonts w:cs="Arial"/>
          <w:szCs w:val="20"/>
        </w:rPr>
        <w:t xml:space="preserve">zažily pokles počtu případů dočasné pracovní neschopnosti, byly </w:t>
      </w:r>
      <w:r w:rsidRPr="00D92E20">
        <w:rPr>
          <w:rFonts w:cs="Arial"/>
          <w:b/>
          <w:szCs w:val="20"/>
        </w:rPr>
        <w:t xml:space="preserve">Informační a komunikační činnosti </w:t>
      </w:r>
      <w:r w:rsidRPr="00D92E20">
        <w:rPr>
          <w:rFonts w:cs="Arial"/>
          <w:szCs w:val="20"/>
        </w:rPr>
        <w:t>a</w:t>
      </w:r>
      <w:r w:rsidRPr="00D92E20">
        <w:rPr>
          <w:rFonts w:cs="Arial"/>
          <w:b/>
          <w:szCs w:val="20"/>
        </w:rPr>
        <w:t xml:space="preserve"> Peněžnictví a pojišťovnictví</w:t>
      </w:r>
      <w:r w:rsidRPr="00D92E20">
        <w:rPr>
          <w:rFonts w:cs="Arial"/>
          <w:szCs w:val="20"/>
        </w:rPr>
        <w:t>. Jedním z možných vysvětlení je to, že povaha pracovní náplně v této sekci umožňuje značnou míru práce z domova.</w:t>
      </w:r>
    </w:p>
    <w:p w14:paraId="6242C0A8" w14:textId="5125CAA0" w:rsidR="00FB73B2" w:rsidRPr="00D92E20" w:rsidRDefault="00FB73B2" w:rsidP="00BA6B4E">
      <w:pPr>
        <w:spacing w:before="120" w:after="120"/>
        <w:jc w:val="both"/>
      </w:pPr>
      <w:r w:rsidRPr="00D92E20">
        <w:t xml:space="preserve">Nejvíce případů dočasné pracovní neschopnosti na 100 pojištěnců </w:t>
      </w:r>
      <w:r w:rsidRPr="00D92E20">
        <w:rPr>
          <w:b/>
        </w:rPr>
        <w:t>pro pracovní úraz</w:t>
      </w:r>
      <w:r w:rsidRPr="00D92E20">
        <w:t>, což je možné chápat jako ukazatel vyjadřující „stupeň rizikovosti“ daného odvětví, bylo v roce 2020 evidováno u sekce Zemědělství, lesnictví a rybářství (2,3), následované oblastmi Zásobování vodou; činnosti související s odpady a sanacemi (1,8) a Těžba a dobývání (1,7). Naproti tomu nejméně pracovních úrazů bylo zaznamenáno v subjektech působících v odvětví Peněžnictví a pojišťovnictví a v oblasti Informační a komunikační činnost</w:t>
      </w:r>
      <w:r w:rsidR="00D042B7" w:rsidRPr="00D92E20">
        <w:t>i</w:t>
      </w:r>
      <w:r w:rsidRPr="00D92E20">
        <w:t xml:space="preserve"> (shodně 0,08). Průměrně za všechna odvětví připadalo na 100 pojištěnců 0,9 případu pracovní neschopnosti pro pracovní úraz.</w:t>
      </w:r>
      <w:r w:rsidR="004C0F5E" w:rsidRPr="00D92E20">
        <w:t xml:space="preserve"> Více o pracovních úrazech v kap. 4.5.</w:t>
      </w:r>
    </w:p>
    <w:p w14:paraId="35E5C513" w14:textId="7FB5A668" w:rsidR="00E404AC" w:rsidRPr="00D92E20" w:rsidRDefault="008126FD" w:rsidP="00BA6B4E">
      <w:pPr>
        <w:pStyle w:val="Seznam"/>
        <w:spacing w:after="0"/>
        <w:contextualSpacing w:val="0"/>
        <w:jc w:val="both"/>
      </w:pPr>
      <w:r w:rsidRPr="00D92E20">
        <w:rPr>
          <w:b/>
        </w:rPr>
        <w:t>Tab. 2.2: Nově hlášené případy dočasné pracovní neschopnosti na 100 pojištěnců podle odvětví (sekce CZ-NACE), 2010–2020</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8126FD" w:rsidRPr="00D92E20" w14:paraId="0ECE45FF" w14:textId="77777777" w:rsidTr="008126FD">
        <w:trPr>
          <w:trHeight w:val="300"/>
        </w:trPr>
        <w:tc>
          <w:tcPr>
            <w:tcW w:w="3402" w:type="dxa"/>
            <w:tcBorders>
              <w:top w:val="single" w:sz="4" w:space="0" w:color="auto"/>
              <w:left w:val="nil"/>
              <w:bottom w:val="single" w:sz="4" w:space="0" w:color="auto"/>
              <w:right w:val="single" w:sz="4" w:space="0" w:color="auto"/>
            </w:tcBorders>
            <w:shd w:val="clear" w:color="000000" w:fill="F5DADD"/>
            <w:noWrap/>
            <w:vAlign w:val="center"/>
            <w:hideMark/>
          </w:tcPr>
          <w:p w14:paraId="4AC62DC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2FD7679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2010</w:t>
            </w:r>
          </w:p>
        </w:tc>
        <w:tc>
          <w:tcPr>
            <w:tcW w:w="567" w:type="dxa"/>
            <w:tcBorders>
              <w:top w:val="single" w:sz="4" w:space="0" w:color="auto"/>
              <w:left w:val="nil"/>
              <w:bottom w:val="single" w:sz="4" w:space="0" w:color="auto"/>
              <w:right w:val="nil"/>
            </w:tcBorders>
            <w:shd w:val="clear" w:color="000000" w:fill="F5DADD"/>
            <w:noWrap/>
            <w:vAlign w:val="center"/>
            <w:hideMark/>
          </w:tcPr>
          <w:p w14:paraId="75ADD11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283B32E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021C8FC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1CC4803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3976827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1276DAB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74B1FBD1"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6B16707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56E67D7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6367590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2020</w:t>
            </w:r>
          </w:p>
        </w:tc>
      </w:tr>
      <w:tr w:rsidR="008126FD" w:rsidRPr="00D92E20" w14:paraId="31536B95"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1A5FF7D1" w14:textId="77777777" w:rsidR="008126FD" w:rsidRPr="00D92E20" w:rsidRDefault="008126FD" w:rsidP="008126FD">
            <w:pPr>
              <w:spacing w:after="0" w:line="240" w:lineRule="auto"/>
              <w:rPr>
                <w:rFonts w:cs="Arial"/>
                <w:b/>
                <w:bCs/>
                <w:color w:val="000000"/>
                <w:sz w:val="16"/>
                <w:szCs w:val="16"/>
              </w:rPr>
            </w:pPr>
            <w:r w:rsidRPr="00D92E20">
              <w:rPr>
                <w:rFonts w:cs="Arial"/>
                <w:b/>
                <w:bCs/>
                <w:color w:val="000000"/>
                <w:sz w:val="16"/>
                <w:szCs w:val="16"/>
              </w:rPr>
              <w:t xml:space="preserve">Celkem </w:t>
            </w:r>
          </w:p>
        </w:tc>
        <w:tc>
          <w:tcPr>
            <w:tcW w:w="567" w:type="dxa"/>
            <w:tcBorders>
              <w:top w:val="nil"/>
              <w:left w:val="nil"/>
              <w:bottom w:val="nil"/>
              <w:right w:val="nil"/>
            </w:tcBorders>
            <w:shd w:val="clear" w:color="auto" w:fill="auto"/>
            <w:noWrap/>
            <w:vAlign w:val="center"/>
            <w:hideMark/>
          </w:tcPr>
          <w:p w14:paraId="6EB2DEE5"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30,7</w:t>
            </w:r>
          </w:p>
        </w:tc>
        <w:tc>
          <w:tcPr>
            <w:tcW w:w="567" w:type="dxa"/>
            <w:tcBorders>
              <w:top w:val="nil"/>
              <w:left w:val="nil"/>
              <w:bottom w:val="nil"/>
              <w:right w:val="nil"/>
            </w:tcBorders>
            <w:shd w:val="clear" w:color="auto" w:fill="auto"/>
            <w:noWrap/>
            <w:vAlign w:val="center"/>
            <w:hideMark/>
          </w:tcPr>
          <w:p w14:paraId="5F1DEC74"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30,1</w:t>
            </w:r>
          </w:p>
        </w:tc>
        <w:tc>
          <w:tcPr>
            <w:tcW w:w="567" w:type="dxa"/>
            <w:tcBorders>
              <w:top w:val="nil"/>
              <w:left w:val="nil"/>
              <w:bottom w:val="nil"/>
              <w:right w:val="nil"/>
            </w:tcBorders>
            <w:shd w:val="clear" w:color="auto" w:fill="auto"/>
            <w:noWrap/>
            <w:vAlign w:val="center"/>
            <w:hideMark/>
          </w:tcPr>
          <w:p w14:paraId="1A050253"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27,4</w:t>
            </w:r>
          </w:p>
        </w:tc>
        <w:tc>
          <w:tcPr>
            <w:tcW w:w="567" w:type="dxa"/>
            <w:tcBorders>
              <w:top w:val="nil"/>
              <w:left w:val="nil"/>
              <w:bottom w:val="nil"/>
              <w:right w:val="nil"/>
            </w:tcBorders>
            <w:shd w:val="clear" w:color="auto" w:fill="auto"/>
            <w:noWrap/>
            <w:vAlign w:val="center"/>
            <w:hideMark/>
          </w:tcPr>
          <w:p w14:paraId="4D36D802"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30,0</w:t>
            </w:r>
          </w:p>
        </w:tc>
        <w:tc>
          <w:tcPr>
            <w:tcW w:w="567" w:type="dxa"/>
            <w:tcBorders>
              <w:top w:val="nil"/>
              <w:left w:val="nil"/>
              <w:bottom w:val="nil"/>
              <w:right w:val="nil"/>
            </w:tcBorders>
            <w:shd w:val="clear" w:color="auto" w:fill="auto"/>
            <w:noWrap/>
            <w:vAlign w:val="center"/>
            <w:hideMark/>
          </w:tcPr>
          <w:p w14:paraId="4C09A4DC"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29,5</w:t>
            </w:r>
          </w:p>
        </w:tc>
        <w:tc>
          <w:tcPr>
            <w:tcW w:w="567" w:type="dxa"/>
            <w:tcBorders>
              <w:top w:val="nil"/>
              <w:left w:val="nil"/>
              <w:bottom w:val="nil"/>
              <w:right w:val="nil"/>
            </w:tcBorders>
            <w:shd w:val="clear" w:color="auto" w:fill="auto"/>
            <w:noWrap/>
            <w:vAlign w:val="center"/>
            <w:hideMark/>
          </w:tcPr>
          <w:p w14:paraId="2906677C"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34,7</w:t>
            </w:r>
          </w:p>
        </w:tc>
        <w:tc>
          <w:tcPr>
            <w:tcW w:w="567" w:type="dxa"/>
            <w:tcBorders>
              <w:top w:val="nil"/>
              <w:left w:val="nil"/>
              <w:bottom w:val="nil"/>
              <w:right w:val="nil"/>
            </w:tcBorders>
            <w:shd w:val="clear" w:color="auto" w:fill="auto"/>
            <w:noWrap/>
            <w:vAlign w:val="center"/>
            <w:hideMark/>
          </w:tcPr>
          <w:p w14:paraId="75BCD889"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35,7</w:t>
            </w:r>
          </w:p>
        </w:tc>
        <w:tc>
          <w:tcPr>
            <w:tcW w:w="567" w:type="dxa"/>
            <w:tcBorders>
              <w:top w:val="nil"/>
              <w:left w:val="nil"/>
              <w:bottom w:val="nil"/>
              <w:right w:val="nil"/>
            </w:tcBorders>
            <w:shd w:val="clear" w:color="auto" w:fill="auto"/>
            <w:noWrap/>
            <w:vAlign w:val="center"/>
            <w:hideMark/>
          </w:tcPr>
          <w:p w14:paraId="68CBED76"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36,6</w:t>
            </w:r>
          </w:p>
        </w:tc>
        <w:tc>
          <w:tcPr>
            <w:tcW w:w="567" w:type="dxa"/>
            <w:tcBorders>
              <w:top w:val="nil"/>
              <w:left w:val="nil"/>
              <w:bottom w:val="nil"/>
              <w:right w:val="nil"/>
            </w:tcBorders>
            <w:shd w:val="clear" w:color="auto" w:fill="auto"/>
            <w:noWrap/>
            <w:vAlign w:val="center"/>
            <w:hideMark/>
          </w:tcPr>
          <w:p w14:paraId="7261C512"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39,1</w:t>
            </w:r>
          </w:p>
        </w:tc>
        <w:tc>
          <w:tcPr>
            <w:tcW w:w="567" w:type="dxa"/>
            <w:tcBorders>
              <w:top w:val="nil"/>
              <w:left w:val="nil"/>
              <w:bottom w:val="nil"/>
              <w:right w:val="nil"/>
            </w:tcBorders>
            <w:shd w:val="clear" w:color="auto" w:fill="auto"/>
            <w:noWrap/>
            <w:vAlign w:val="center"/>
            <w:hideMark/>
          </w:tcPr>
          <w:p w14:paraId="2BD23163"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40,5</w:t>
            </w:r>
          </w:p>
        </w:tc>
        <w:tc>
          <w:tcPr>
            <w:tcW w:w="567" w:type="dxa"/>
            <w:tcBorders>
              <w:top w:val="nil"/>
              <w:left w:val="nil"/>
              <w:bottom w:val="nil"/>
              <w:right w:val="nil"/>
            </w:tcBorders>
            <w:shd w:val="clear" w:color="auto" w:fill="auto"/>
            <w:noWrap/>
            <w:vAlign w:val="center"/>
            <w:hideMark/>
          </w:tcPr>
          <w:p w14:paraId="39BD6188" w14:textId="77777777" w:rsidR="008126FD" w:rsidRPr="00D92E20" w:rsidRDefault="008126FD" w:rsidP="008126FD">
            <w:pPr>
              <w:spacing w:after="0" w:line="240" w:lineRule="auto"/>
              <w:jc w:val="center"/>
              <w:rPr>
                <w:rFonts w:cs="Arial"/>
                <w:b/>
                <w:bCs/>
                <w:color w:val="000000"/>
                <w:sz w:val="16"/>
                <w:szCs w:val="16"/>
              </w:rPr>
            </w:pPr>
            <w:r w:rsidRPr="00D92E20">
              <w:rPr>
                <w:rFonts w:cs="Arial"/>
                <w:b/>
                <w:bCs/>
                <w:color w:val="000000"/>
                <w:sz w:val="16"/>
                <w:szCs w:val="16"/>
              </w:rPr>
              <w:t>51,0</w:t>
            </w:r>
          </w:p>
        </w:tc>
      </w:tr>
      <w:tr w:rsidR="008126FD" w:rsidRPr="00D92E20" w14:paraId="64B19760"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6853106A"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55A991D1"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654BDA9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2A0CA5C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4240602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27,4</w:t>
            </w:r>
          </w:p>
        </w:tc>
        <w:tc>
          <w:tcPr>
            <w:tcW w:w="567" w:type="dxa"/>
            <w:tcBorders>
              <w:top w:val="nil"/>
              <w:left w:val="nil"/>
              <w:bottom w:val="nil"/>
              <w:right w:val="nil"/>
            </w:tcBorders>
            <w:shd w:val="clear" w:color="auto" w:fill="auto"/>
            <w:noWrap/>
            <w:vAlign w:val="center"/>
            <w:hideMark/>
          </w:tcPr>
          <w:p w14:paraId="3AB51C4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26,5</w:t>
            </w:r>
          </w:p>
        </w:tc>
        <w:tc>
          <w:tcPr>
            <w:tcW w:w="567" w:type="dxa"/>
            <w:tcBorders>
              <w:top w:val="nil"/>
              <w:left w:val="nil"/>
              <w:bottom w:val="nil"/>
              <w:right w:val="nil"/>
            </w:tcBorders>
            <w:shd w:val="clear" w:color="auto" w:fill="auto"/>
            <w:noWrap/>
            <w:vAlign w:val="center"/>
            <w:hideMark/>
          </w:tcPr>
          <w:p w14:paraId="510B539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30,6</w:t>
            </w:r>
          </w:p>
        </w:tc>
        <w:tc>
          <w:tcPr>
            <w:tcW w:w="567" w:type="dxa"/>
            <w:tcBorders>
              <w:top w:val="nil"/>
              <w:left w:val="nil"/>
              <w:bottom w:val="nil"/>
              <w:right w:val="nil"/>
            </w:tcBorders>
            <w:shd w:val="clear" w:color="auto" w:fill="auto"/>
            <w:noWrap/>
            <w:vAlign w:val="center"/>
            <w:hideMark/>
          </w:tcPr>
          <w:p w14:paraId="3A91D83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0820771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6085A7A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34,4</w:t>
            </w:r>
          </w:p>
        </w:tc>
        <w:tc>
          <w:tcPr>
            <w:tcW w:w="567" w:type="dxa"/>
            <w:tcBorders>
              <w:top w:val="nil"/>
              <w:left w:val="nil"/>
              <w:bottom w:val="nil"/>
              <w:right w:val="nil"/>
            </w:tcBorders>
            <w:shd w:val="clear" w:color="auto" w:fill="auto"/>
            <w:noWrap/>
            <w:vAlign w:val="center"/>
            <w:hideMark/>
          </w:tcPr>
          <w:p w14:paraId="027D02D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34,6</w:t>
            </w:r>
          </w:p>
        </w:tc>
        <w:tc>
          <w:tcPr>
            <w:tcW w:w="567" w:type="dxa"/>
            <w:tcBorders>
              <w:top w:val="nil"/>
              <w:left w:val="nil"/>
              <w:bottom w:val="nil"/>
              <w:right w:val="nil"/>
            </w:tcBorders>
            <w:shd w:val="clear" w:color="auto" w:fill="auto"/>
            <w:noWrap/>
            <w:vAlign w:val="center"/>
            <w:hideMark/>
          </w:tcPr>
          <w:p w14:paraId="10E2B7C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43,0</w:t>
            </w:r>
          </w:p>
        </w:tc>
      </w:tr>
      <w:tr w:rsidR="008126FD" w:rsidRPr="00D92E20" w14:paraId="3AB69168"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0C092A4D"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56A8791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40,0</w:t>
            </w:r>
          </w:p>
        </w:tc>
        <w:tc>
          <w:tcPr>
            <w:tcW w:w="567" w:type="dxa"/>
            <w:tcBorders>
              <w:top w:val="nil"/>
              <w:left w:val="nil"/>
              <w:bottom w:val="nil"/>
              <w:right w:val="nil"/>
            </w:tcBorders>
            <w:shd w:val="clear" w:color="auto" w:fill="auto"/>
            <w:noWrap/>
            <w:vAlign w:val="center"/>
            <w:hideMark/>
          </w:tcPr>
          <w:p w14:paraId="1839DB7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39,1</w:t>
            </w:r>
          </w:p>
        </w:tc>
        <w:tc>
          <w:tcPr>
            <w:tcW w:w="567" w:type="dxa"/>
            <w:tcBorders>
              <w:top w:val="nil"/>
              <w:left w:val="nil"/>
              <w:bottom w:val="nil"/>
              <w:right w:val="nil"/>
            </w:tcBorders>
            <w:shd w:val="clear" w:color="auto" w:fill="auto"/>
            <w:noWrap/>
            <w:vAlign w:val="center"/>
            <w:hideMark/>
          </w:tcPr>
          <w:p w14:paraId="7EA45C7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36,5</w:t>
            </w:r>
          </w:p>
        </w:tc>
        <w:tc>
          <w:tcPr>
            <w:tcW w:w="567" w:type="dxa"/>
            <w:tcBorders>
              <w:top w:val="nil"/>
              <w:left w:val="nil"/>
              <w:bottom w:val="nil"/>
              <w:right w:val="nil"/>
            </w:tcBorders>
            <w:shd w:val="clear" w:color="auto" w:fill="auto"/>
            <w:noWrap/>
            <w:vAlign w:val="center"/>
            <w:hideMark/>
          </w:tcPr>
          <w:p w14:paraId="027BEF9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67A41E4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1E2B0F4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74F69E3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34217CE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39,5</w:t>
            </w:r>
          </w:p>
        </w:tc>
        <w:tc>
          <w:tcPr>
            <w:tcW w:w="567" w:type="dxa"/>
            <w:tcBorders>
              <w:top w:val="nil"/>
              <w:left w:val="nil"/>
              <w:bottom w:val="nil"/>
              <w:right w:val="nil"/>
            </w:tcBorders>
            <w:shd w:val="clear" w:color="auto" w:fill="auto"/>
            <w:noWrap/>
            <w:vAlign w:val="center"/>
            <w:hideMark/>
          </w:tcPr>
          <w:p w14:paraId="03C07AD1"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0A34447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44,5</w:t>
            </w:r>
          </w:p>
        </w:tc>
        <w:tc>
          <w:tcPr>
            <w:tcW w:w="567" w:type="dxa"/>
            <w:tcBorders>
              <w:top w:val="nil"/>
              <w:left w:val="nil"/>
              <w:bottom w:val="nil"/>
              <w:right w:val="nil"/>
            </w:tcBorders>
            <w:shd w:val="clear" w:color="auto" w:fill="auto"/>
            <w:noWrap/>
            <w:vAlign w:val="center"/>
            <w:hideMark/>
          </w:tcPr>
          <w:p w14:paraId="12329CD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71,1</w:t>
            </w:r>
          </w:p>
        </w:tc>
      </w:tr>
      <w:tr w:rsidR="008126FD" w:rsidRPr="00D92E20" w14:paraId="2FA85C73"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08F52551"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3FA5426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36,8</w:t>
            </w:r>
          </w:p>
        </w:tc>
        <w:tc>
          <w:tcPr>
            <w:tcW w:w="567" w:type="dxa"/>
            <w:tcBorders>
              <w:top w:val="nil"/>
              <w:left w:val="nil"/>
              <w:bottom w:val="nil"/>
              <w:right w:val="nil"/>
            </w:tcBorders>
            <w:shd w:val="clear" w:color="auto" w:fill="auto"/>
            <w:noWrap/>
            <w:vAlign w:val="center"/>
            <w:hideMark/>
          </w:tcPr>
          <w:p w14:paraId="41F2640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37,5</w:t>
            </w:r>
          </w:p>
        </w:tc>
        <w:tc>
          <w:tcPr>
            <w:tcW w:w="567" w:type="dxa"/>
            <w:tcBorders>
              <w:top w:val="nil"/>
              <w:left w:val="nil"/>
              <w:bottom w:val="nil"/>
              <w:right w:val="nil"/>
            </w:tcBorders>
            <w:shd w:val="clear" w:color="auto" w:fill="auto"/>
            <w:noWrap/>
            <w:vAlign w:val="center"/>
            <w:hideMark/>
          </w:tcPr>
          <w:p w14:paraId="0AF45A3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5B363C4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4AB4895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0B0615B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45,1</w:t>
            </w:r>
          </w:p>
        </w:tc>
        <w:tc>
          <w:tcPr>
            <w:tcW w:w="567" w:type="dxa"/>
            <w:tcBorders>
              <w:top w:val="nil"/>
              <w:left w:val="nil"/>
              <w:bottom w:val="nil"/>
              <w:right w:val="nil"/>
            </w:tcBorders>
            <w:shd w:val="clear" w:color="auto" w:fill="auto"/>
            <w:noWrap/>
            <w:vAlign w:val="center"/>
            <w:hideMark/>
          </w:tcPr>
          <w:p w14:paraId="037AF28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47,2</w:t>
            </w:r>
          </w:p>
        </w:tc>
        <w:tc>
          <w:tcPr>
            <w:tcW w:w="567" w:type="dxa"/>
            <w:tcBorders>
              <w:top w:val="nil"/>
              <w:left w:val="nil"/>
              <w:bottom w:val="nil"/>
              <w:right w:val="nil"/>
            </w:tcBorders>
            <w:shd w:val="clear" w:color="auto" w:fill="auto"/>
            <w:noWrap/>
            <w:vAlign w:val="center"/>
            <w:hideMark/>
          </w:tcPr>
          <w:p w14:paraId="1EB70CF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6F795D7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51,8</w:t>
            </w:r>
          </w:p>
        </w:tc>
        <w:tc>
          <w:tcPr>
            <w:tcW w:w="567" w:type="dxa"/>
            <w:tcBorders>
              <w:top w:val="nil"/>
              <w:left w:val="nil"/>
              <w:bottom w:val="nil"/>
              <w:right w:val="nil"/>
            </w:tcBorders>
            <w:shd w:val="clear" w:color="auto" w:fill="auto"/>
            <w:noWrap/>
            <w:vAlign w:val="center"/>
            <w:hideMark/>
          </w:tcPr>
          <w:p w14:paraId="1E0349C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7F31AC3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67,1</w:t>
            </w:r>
          </w:p>
        </w:tc>
      </w:tr>
      <w:tr w:rsidR="008126FD" w:rsidRPr="00D92E20" w14:paraId="1C61382B" w14:textId="77777777" w:rsidTr="008126FD">
        <w:trPr>
          <w:trHeight w:val="480"/>
        </w:trPr>
        <w:tc>
          <w:tcPr>
            <w:tcW w:w="3402" w:type="dxa"/>
            <w:tcBorders>
              <w:top w:val="nil"/>
              <w:left w:val="nil"/>
              <w:bottom w:val="nil"/>
              <w:right w:val="single" w:sz="4" w:space="0" w:color="auto"/>
            </w:tcBorders>
            <w:shd w:val="clear" w:color="auto" w:fill="auto"/>
            <w:vAlign w:val="center"/>
            <w:hideMark/>
          </w:tcPr>
          <w:p w14:paraId="68EF7088"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w:t>
            </w:r>
            <w:r w:rsidRPr="00D92E2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44BCF98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w:t>
            </w:r>
          </w:p>
        </w:tc>
        <w:tc>
          <w:tcPr>
            <w:tcW w:w="567" w:type="dxa"/>
            <w:tcBorders>
              <w:top w:val="nil"/>
              <w:left w:val="nil"/>
              <w:bottom w:val="nil"/>
              <w:right w:val="nil"/>
            </w:tcBorders>
            <w:shd w:val="clear" w:color="auto" w:fill="auto"/>
            <w:noWrap/>
            <w:vAlign w:val="center"/>
            <w:hideMark/>
          </w:tcPr>
          <w:p w14:paraId="20BEA8D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19,3</w:t>
            </w:r>
          </w:p>
        </w:tc>
        <w:tc>
          <w:tcPr>
            <w:tcW w:w="567" w:type="dxa"/>
            <w:tcBorders>
              <w:top w:val="nil"/>
              <w:left w:val="nil"/>
              <w:bottom w:val="nil"/>
              <w:right w:val="nil"/>
            </w:tcBorders>
            <w:shd w:val="clear" w:color="auto" w:fill="auto"/>
            <w:noWrap/>
            <w:vAlign w:val="center"/>
            <w:hideMark/>
          </w:tcPr>
          <w:p w14:paraId="4D60C57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16,7</w:t>
            </w:r>
          </w:p>
        </w:tc>
        <w:tc>
          <w:tcPr>
            <w:tcW w:w="567" w:type="dxa"/>
            <w:tcBorders>
              <w:top w:val="nil"/>
              <w:left w:val="nil"/>
              <w:bottom w:val="nil"/>
              <w:right w:val="nil"/>
            </w:tcBorders>
            <w:shd w:val="clear" w:color="auto" w:fill="auto"/>
            <w:noWrap/>
            <w:vAlign w:val="center"/>
            <w:hideMark/>
          </w:tcPr>
          <w:p w14:paraId="1483E29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2297659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19,7</w:t>
            </w:r>
          </w:p>
        </w:tc>
        <w:tc>
          <w:tcPr>
            <w:tcW w:w="567" w:type="dxa"/>
            <w:tcBorders>
              <w:top w:val="nil"/>
              <w:left w:val="nil"/>
              <w:bottom w:val="nil"/>
              <w:right w:val="nil"/>
            </w:tcBorders>
            <w:shd w:val="clear" w:color="auto" w:fill="auto"/>
            <w:noWrap/>
            <w:vAlign w:val="center"/>
            <w:hideMark/>
          </w:tcPr>
          <w:p w14:paraId="2521ED7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219F8EE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0139EEE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25,3</w:t>
            </w:r>
          </w:p>
        </w:tc>
        <w:tc>
          <w:tcPr>
            <w:tcW w:w="567" w:type="dxa"/>
            <w:tcBorders>
              <w:top w:val="nil"/>
              <w:left w:val="nil"/>
              <w:bottom w:val="nil"/>
              <w:right w:val="nil"/>
            </w:tcBorders>
            <w:shd w:val="clear" w:color="auto" w:fill="auto"/>
            <w:noWrap/>
            <w:vAlign w:val="center"/>
            <w:hideMark/>
          </w:tcPr>
          <w:p w14:paraId="268E526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29,0</w:t>
            </w:r>
          </w:p>
        </w:tc>
        <w:tc>
          <w:tcPr>
            <w:tcW w:w="567" w:type="dxa"/>
            <w:tcBorders>
              <w:top w:val="nil"/>
              <w:left w:val="nil"/>
              <w:bottom w:val="nil"/>
              <w:right w:val="nil"/>
            </w:tcBorders>
            <w:shd w:val="clear" w:color="auto" w:fill="auto"/>
            <w:noWrap/>
            <w:vAlign w:val="center"/>
            <w:hideMark/>
          </w:tcPr>
          <w:p w14:paraId="3CFD293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30,0</w:t>
            </w:r>
          </w:p>
        </w:tc>
        <w:tc>
          <w:tcPr>
            <w:tcW w:w="567" w:type="dxa"/>
            <w:tcBorders>
              <w:top w:val="nil"/>
              <w:left w:val="nil"/>
              <w:bottom w:val="nil"/>
              <w:right w:val="nil"/>
            </w:tcBorders>
            <w:shd w:val="clear" w:color="auto" w:fill="auto"/>
            <w:noWrap/>
            <w:vAlign w:val="center"/>
            <w:hideMark/>
          </w:tcPr>
          <w:p w14:paraId="5724085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36,1</w:t>
            </w:r>
          </w:p>
        </w:tc>
      </w:tr>
      <w:tr w:rsidR="008126FD" w:rsidRPr="00D92E20" w14:paraId="1A05504C" w14:textId="77777777" w:rsidTr="008126FD">
        <w:trPr>
          <w:trHeight w:val="480"/>
        </w:trPr>
        <w:tc>
          <w:tcPr>
            <w:tcW w:w="3402" w:type="dxa"/>
            <w:tcBorders>
              <w:top w:val="nil"/>
              <w:left w:val="nil"/>
              <w:bottom w:val="nil"/>
              <w:right w:val="single" w:sz="4" w:space="0" w:color="auto"/>
            </w:tcBorders>
            <w:shd w:val="clear" w:color="auto" w:fill="auto"/>
            <w:vAlign w:val="center"/>
            <w:hideMark/>
          </w:tcPr>
          <w:p w14:paraId="58B48A6F"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212FA2B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3B82DB0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2619F92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25,6</w:t>
            </w:r>
          </w:p>
        </w:tc>
        <w:tc>
          <w:tcPr>
            <w:tcW w:w="567" w:type="dxa"/>
            <w:tcBorders>
              <w:top w:val="nil"/>
              <w:left w:val="nil"/>
              <w:bottom w:val="nil"/>
              <w:right w:val="nil"/>
            </w:tcBorders>
            <w:shd w:val="clear" w:color="auto" w:fill="auto"/>
            <w:noWrap/>
            <w:vAlign w:val="center"/>
            <w:hideMark/>
          </w:tcPr>
          <w:p w14:paraId="4D793EC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3F6AA67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79822B2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11BF63C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7663514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37,7</w:t>
            </w:r>
          </w:p>
        </w:tc>
        <w:tc>
          <w:tcPr>
            <w:tcW w:w="567" w:type="dxa"/>
            <w:tcBorders>
              <w:top w:val="nil"/>
              <w:left w:val="nil"/>
              <w:bottom w:val="nil"/>
              <w:right w:val="nil"/>
            </w:tcBorders>
            <w:shd w:val="clear" w:color="auto" w:fill="auto"/>
            <w:noWrap/>
            <w:vAlign w:val="center"/>
            <w:hideMark/>
          </w:tcPr>
          <w:p w14:paraId="5B332E3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55820C1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42,6</w:t>
            </w:r>
          </w:p>
        </w:tc>
        <w:tc>
          <w:tcPr>
            <w:tcW w:w="567" w:type="dxa"/>
            <w:tcBorders>
              <w:top w:val="nil"/>
              <w:left w:val="nil"/>
              <w:bottom w:val="nil"/>
              <w:right w:val="nil"/>
            </w:tcBorders>
            <w:shd w:val="clear" w:color="auto" w:fill="auto"/>
            <w:noWrap/>
            <w:vAlign w:val="center"/>
            <w:hideMark/>
          </w:tcPr>
          <w:p w14:paraId="79179D9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51,8</w:t>
            </w:r>
          </w:p>
        </w:tc>
      </w:tr>
      <w:tr w:rsidR="008126FD" w:rsidRPr="00D92E20" w14:paraId="5982085F"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58E62E21"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11847C8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22A95CD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565CA21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26,7</w:t>
            </w:r>
          </w:p>
        </w:tc>
        <w:tc>
          <w:tcPr>
            <w:tcW w:w="567" w:type="dxa"/>
            <w:tcBorders>
              <w:top w:val="nil"/>
              <w:left w:val="nil"/>
              <w:bottom w:val="nil"/>
              <w:right w:val="nil"/>
            </w:tcBorders>
            <w:shd w:val="clear" w:color="auto" w:fill="auto"/>
            <w:noWrap/>
            <w:vAlign w:val="center"/>
            <w:hideMark/>
          </w:tcPr>
          <w:p w14:paraId="3AC3265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28,9</w:t>
            </w:r>
          </w:p>
        </w:tc>
        <w:tc>
          <w:tcPr>
            <w:tcW w:w="567" w:type="dxa"/>
            <w:tcBorders>
              <w:top w:val="nil"/>
              <w:left w:val="nil"/>
              <w:bottom w:val="nil"/>
              <w:right w:val="nil"/>
            </w:tcBorders>
            <w:shd w:val="clear" w:color="auto" w:fill="auto"/>
            <w:noWrap/>
            <w:vAlign w:val="center"/>
            <w:hideMark/>
          </w:tcPr>
          <w:p w14:paraId="6BA2DD9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27,0</w:t>
            </w:r>
          </w:p>
        </w:tc>
        <w:tc>
          <w:tcPr>
            <w:tcW w:w="567" w:type="dxa"/>
            <w:tcBorders>
              <w:top w:val="nil"/>
              <w:left w:val="nil"/>
              <w:bottom w:val="nil"/>
              <w:right w:val="nil"/>
            </w:tcBorders>
            <w:shd w:val="clear" w:color="auto" w:fill="auto"/>
            <w:noWrap/>
            <w:vAlign w:val="center"/>
            <w:hideMark/>
          </w:tcPr>
          <w:p w14:paraId="621B47E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4BA2AB0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3A892A21"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31,6</w:t>
            </w:r>
          </w:p>
        </w:tc>
        <w:tc>
          <w:tcPr>
            <w:tcW w:w="567" w:type="dxa"/>
            <w:tcBorders>
              <w:top w:val="nil"/>
              <w:left w:val="nil"/>
              <w:bottom w:val="nil"/>
              <w:right w:val="nil"/>
            </w:tcBorders>
            <w:shd w:val="clear" w:color="auto" w:fill="auto"/>
            <w:noWrap/>
            <w:vAlign w:val="center"/>
            <w:hideMark/>
          </w:tcPr>
          <w:p w14:paraId="3B21F8F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32,7</w:t>
            </w:r>
          </w:p>
        </w:tc>
        <w:tc>
          <w:tcPr>
            <w:tcW w:w="567" w:type="dxa"/>
            <w:tcBorders>
              <w:top w:val="nil"/>
              <w:left w:val="nil"/>
              <w:bottom w:val="nil"/>
              <w:right w:val="nil"/>
            </w:tcBorders>
            <w:shd w:val="clear" w:color="auto" w:fill="auto"/>
            <w:noWrap/>
            <w:vAlign w:val="center"/>
            <w:hideMark/>
          </w:tcPr>
          <w:p w14:paraId="215A33A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1C7BEEB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44,2</w:t>
            </w:r>
          </w:p>
        </w:tc>
      </w:tr>
      <w:tr w:rsidR="008126FD" w:rsidRPr="00D92E20" w14:paraId="6070CB32" w14:textId="77777777" w:rsidTr="008126FD">
        <w:trPr>
          <w:trHeight w:val="480"/>
        </w:trPr>
        <w:tc>
          <w:tcPr>
            <w:tcW w:w="3402" w:type="dxa"/>
            <w:tcBorders>
              <w:top w:val="nil"/>
              <w:left w:val="nil"/>
              <w:bottom w:val="nil"/>
              <w:right w:val="single" w:sz="4" w:space="0" w:color="auto"/>
            </w:tcBorders>
            <w:shd w:val="clear" w:color="auto" w:fill="auto"/>
            <w:vAlign w:val="center"/>
            <w:hideMark/>
          </w:tcPr>
          <w:p w14:paraId="6C880431"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3915CA4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29,1</w:t>
            </w:r>
          </w:p>
        </w:tc>
        <w:tc>
          <w:tcPr>
            <w:tcW w:w="567" w:type="dxa"/>
            <w:tcBorders>
              <w:top w:val="nil"/>
              <w:left w:val="nil"/>
              <w:bottom w:val="nil"/>
              <w:right w:val="nil"/>
            </w:tcBorders>
            <w:shd w:val="clear" w:color="auto" w:fill="auto"/>
            <w:noWrap/>
            <w:vAlign w:val="center"/>
            <w:hideMark/>
          </w:tcPr>
          <w:p w14:paraId="13FDF70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0F9F32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5FF2CAF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0060E90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20D88B1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30,3</w:t>
            </w:r>
          </w:p>
        </w:tc>
        <w:tc>
          <w:tcPr>
            <w:tcW w:w="567" w:type="dxa"/>
            <w:tcBorders>
              <w:top w:val="nil"/>
              <w:left w:val="nil"/>
              <w:bottom w:val="nil"/>
              <w:right w:val="nil"/>
            </w:tcBorders>
            <w:shd w:val="clear" w:color="auto" w:fill="auto"/>
            <w:noWrap/>
            <w:vAlign w:val="center"/>
            <w:hideMark/>
          </w:tcPr>
          <w:p w14:paraId="2E5C80C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2DC5BDA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34,5</w:t>
            </w:r>
          </w:p>
        </w:tc>
        <w:tc>
          <w:tcPr>
            <w:tcW w:w="567" w:type="dxa"/>
            <w:tcBorders>
              <w:top w:val="nil"/>
              <w:left w:val="nil"/>
              <w:bottom w:val="nil"/>
              <w:right w:val="nil"/>
            </w:tcBorders>
            <w:shd w:val="clear" w:color="auto" w:fill="auto"/>
            <w:noWrap/>
            <w:vAlign w:val="center"/>
            <w:hideMark/>
          </w:tcPr>
          <w:p w14:paraId="16092AE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37,6</w:t>
            </w:r>
          </w:p>
        </w:tc>
        <w:tc>
          <w:tcPr>
            <w:tcW w:w="567" w:type="dxa"/>
            <w:tcBorders>
              <w:top w:val="nil"/>
              <w:left w:val="nil"/>
              <w:bottom w:val="nil"/>
              <w:right w:val="nil"/>
            </w:tcBorders>
            <w:shd w:val="clear" w:color="auto" w:fill="auto"/>
            <w:noWrap/>
            <w:vAlign w:val="center"/>
            <w:hideMark/>
          </w:tcPr>
          <w:p w14:paraId="78BE953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4270120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49,9</w:t>
            </w:r>
          </w:p>
        </w:tc>
      </w:tr>
      <w:tr w:rsidR="008126FD" w:rsidRPr="00D92E20" w14:paraId="12EAC8D4"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62301487"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6990774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663DB34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68131FE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24,8</w:t>
            </w:r>
          </w:p>
        </w:tc>
        <w:tc>
          <w:tcPr>
            <w:tcW w:w="567" w:type="dxa"/>
            <w:tcBorders>
              <w:top w:val="nil"/>
              <w:left w:val="nil"/>
              <w:bottom w:val="nil"/>
              <w:right w:val="nil"/>
            </w:tcBorders>
            <w:shd w:val="clear" w:color="auto" w:fill="auto"/>
            <w:noWrap/>
            <w:vAlign w:val="center"/>
            <w:hideMark/>
          </w:tcPr>
          <w:p w14:paraId="40BCBA5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23455D0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370E523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3B76150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3C1174B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36,4</w:t>
            </w:r>
          </w:p>
        </w:tc>
        <w:tc>
          <w:tcPr>
            <w:tcW w:w="567" w:type="dxa"/>
            <w:tcBorders>
              <w:top w:val="nil"/>
              <w:left w:val="nil"/>
              <w:bottom w:val="nil"/>
              <w:right w:val="nil"/>
            </w:tcBorders>
            <w:shd w:val="clear" w:color="auto" w:fill="auto"/>
            <w:noWrap/>
            <w:vAlign w:val="center"/>
            <w:hideMark/>
          </w:tcPr>
          <w:p w14:paraId="04B7CC7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A2C340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39,9</w:t>
            </w:r>
          </w:p>
        </w:tc>
        <w:tc>
          <w:tcPr>
            <w:tcW w:w="567" w:type="dxa"/>
            <w:tcBorders>
              <w:top w:val="nil"/>
              <w:left w:val="nil"/>
              <w:bottom w:val="nil"/>
              <w:right w:val="nil"/>
            </w:tcBorders>
            <w:shd w:val="clear" w:color="auto" w:fill="auto"/>
            <w:noWrap/>
            <w:vAlign w:val="center"/>
            <w:hideMark/>
          </w:tcPr>
          <w:p w14:paraId="2CD56E0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50,0</w:t>
            </w:r>
          </w:p>
        </w:tc>
      </w:tr>
      <w:tr w:rsidR="008126FD" w:rsidRPr="00D92E20" w14:paraId="587A321D" w14:textId="77777777" w:rsidTr="00705162">
        <w:trPr>
          <w:trHeight w:val="300"/>
        </w:trPr>
        <w:tc>
          <w:tcPr>
            <w:tcW w:w="3402" w:type="dxa"/>
            <w:tcBorders>
              <w:top w:val="nil"/>
              <w:left w:val="nil"/>
              <w:bottom w:val="nil"/>
              <w:right w:val="single" w:sz="4" w:space="0" w:color="auto"/>
            </w:tcBorders>
            <w:shd w:val="clear" w:color="auto" w:fill="auto"/>
            <w:vAlign w:val="center"/>
            <w:hideMark/>
          </w:tcPr>
          <w:p w14:paraId="54272F07" w14:textId="28347C46"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I – Ubytování, stravování</w:t>
            </w:r>
            <w:r w:rsidR="00705162" w:rsidRPr="00D92E20">
              <w:rPr>
                <w:rFonts w:cs="Arial"/>
                <w:color w:val="000000"/>
                <w:sz w:val="16"/>
                <w:szCs w:val="16"/>
              </w:rPr>
              <w:t xml:space="preserve"> </w:t>
            </w:r>
            <w:r w:rsidRPr="00D92E20">
              <w:rPr>
                <w:rFonts w:cs="Arial"/>
                <w:color w:val="000000"/>
                <w:sz w:val="16"/>
                <w:szCs w:val="16"/>
              </w:rPr>
              <w:t>a pohostinství</w:t>
            </w:r>
          </w:p>
        </w:tc>
        <w:tc>
          <w:tcPr>
            <w:tcW w:w="567" w:type="dxa"/>
            <w:tcBorders>
              <w:top w:val="nil"/>
              <w:left w:val="nil"/>
              <w:bottom w:val="nil"/>
              <w:right w:val="nil"/>
            </w:tcBorders>
            <w:shd w:val="clear" w:color="auto" w:fill="auto"/>
            <w:noWrap/>
            <w:vAlign w:val="center"/>
            <w:hideMark/>
          </w:tcPr>
          <w:p w14:paraId="7E43FA5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0E8549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3C02157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22,6</w:t>
            </w:r>
          </w:p>
        </w:tc>
        <w:tc>
          <w:tcPr>
            <w:tcW w:w="567" w:type="dxa"/>
            <w:tcBorders>
              <w:top w:val="nil"/>
              <w:left w:val="nil"/>
              <w:bottom w:val="nil"/>
              <w:right w:val="nil"/>
            </w:tcBorders>
            <w:shd w:val="clear" w:color="auto" w:fill="auto"/>
            <w:noWrap/>
            <w:vAlign w:val="center"/>
            <w:hideMark/>
          </w:tcPr>
          <w:p w14:paraId="36FE9D0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60DAAF6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408782B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29AE9C3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28,0</w:t>
            </w:r>
          </w:p>
        </w:tc>
        <w:tc>
          <w:tcPr>
            <w:tcW w:w="567" w:type="dxa"/>
            <w:tcBorders>
              <w:top w:val="nil"/>
              <w:left w:val="nil"/>
              <w:bottom w:val="nil"/>
              <w:right w:val="nil"/>
            </w:tcBorders>
            <w:shd w:val="clear" w:color="auto" w:fill="auto"/>
            <w:noWrap/>
            <w:vAlign w:val="center"/>
            <w:hideMark/>
          </w:tcPr>
          <w:p w14:paraId="2AAAEB5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7A13B69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29,9</w:t>
            </w:r>
          </w:p>
        </w:tc>
        <w:tc>
          <w:tcPr>
            <w:tcW w:w="567" w:type="dxa"/>
            <w:tcBorders>
              <w:top w:val="nil"/>
              <w:left w:val="nil"/>
              <w:bottom w:val="nil"/>
              <w:right w:val="nil"/>
            </w:tcBorders>
            <w:shd w:val="clear" w:color="auto" w:fill="auto"/>
            <w:noWrap/>
            <w:vAlign w:val="center"/>
            <w:hideMark/>
          </w:tcPr>
          <w:p w14:paraId="615058A1"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30,8</w:t>
            </w:r>
          </w:p>
        </w:tc>
        <w:tc>
          <w:tcPr>
            <w:tcW w:w="567" w:type="dxa"/>
            <w:tcBorders>
              <w:top w:val="nil"/>
              <w:left w:val="nil"/>
              <w:bottom w:val="nil"/>
              <w:right w:val="nil"/>
            </w:tcBorders>
            <w:shd w:val="clear" w:color="auto" w:fill="auto"/>
            <w:noWrap/>
            <w:vAlign w:val="center"/>
            <w:hideMark/>
          </w:tcPr>
          <w:p w14:paraId="626504E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41,5</w:t>
            </w:r>
          </w:p>
        </w:tc>
      </w:tr>
      <w:tr w:rsidR="008126FD" w:rsidRPr="00D92E20" w14:paraId="3B9A1697"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62E169B6"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7CA1498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528E94C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26,1</w:t>
            </w:r>
          </w:p>
        </w:tc>
        <w:tc>
          <w:tcPr>
            <w:tcW w:w="567" w:type="dxa"/>
            <w:tcBorders>
              <w:top w:val="nil"/>
              <w:left w:val="nil"/>
              <w:bottom w:val="nil"/>
              <w:right w:val="nil"/>
            </w:tcBorders>
            <w:shd w:val="clear" w:color="auto" w:fill="auto"/>
            <w:noWrap/>
            <w:vAlign w:val="center"/>
            <w:hideMark/>
          </w:tcPr>
          <w:p w14:paraId="42EECDA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5E53F8A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5675E91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047CF95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23,1</w:t>
            </w:r>
          </w:p>
        </w:tc>
        <w:tc>
          <w:tcPr>
            <w:tcW w:w="567" w:type="dxa"/>
            <w:tcBorders>
              <w:top w:val="nil"/>
              <w:left w:val="nil"/>
              <w:bottom w:val="nil"/>
              <w:right w:val="nil"/>
            </w:tcBorders>
            <w:shd w:val="clear" w:color="auto" w:fill="auto"/>
            <w:noWrap/>
            <w:vAlign w:val="center"/>
            <w:hideMark/>
          </w:tcPr>
          <w:p w14:paraId="497574F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23,8</w:t>
            </w:r>
          </w:p>
        </w:tc>
        <w:tc>
          <w:tcPr>
            <w:tcW w:w="567" w:type="dxa"/>
            <w:tcBorders>
              <w:top w:val="nil"/>
              <w:left w:val="nil"/>
              <w:bottom w:val="nil"/>
              <w:right w:val="nil"/>
            </w:tcBorders>
            <w:shd w:val="clear" w:color="auto" w:fill="auto"/>
            <w:noWrap/>
            <w:vAlign w:val="center"/>
            <w:hideMark/>
          </w:tcPr>
          <w:p w14:paraId="3A14E7B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24,7</w:t>
            </w:r>
          </w:p>
        </w:tc>
        <w:tc>
          <w:tcPr>
            <w:tcW w:w="567" w:type="dxa"/>
            <w:tcBorders>
              <w:top w:val="nil"/>
              <w:left w:val="nil"/>
              <w:bottom w:val="nil"/>
              <w:right w:val="nil"/>
            </w:tcBorders>
            <w:shd w:val="clear" w:color="auto" w:fill="auto"/>
            <w:noWrap/>
            <w:vAlign w:val="center"/>
            <w:hideMark/>
          </w:tcPr>
          <w:p w14:paraId="4F0A5C5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5B84DE3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134E3D8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26,0</w:t>
            </w:r>
          </w:p>
        </w:tc>
      </w:tr>
      <w:tr w:rsidR="008126FD" w:rsidRPr="00D92E20" w14:paraId="5C3D5480"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21617673"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3309DA3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1C0551E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29,6</w:t>
            </w:r>
          </w:p>
        </w:tc>
        <w:tc>
          <w:tcPr>
            <w:tcW w:w="567" w:type="dxa"/>
            <w:tcBorders>
              <w:top w:val="nil"/>
              <w:left w:val="nil"/>
              <w:bottom w:val="nil"/>
              <w:right w:val="nil"/>
            </w:tcBorders>
            <w:shd w:val="clear" w:color="auto" w:fill="auto"/>
            <w:noWrap/>
            <w:vAlign w:val="center"/>
            <w:hideMark/>
          </w:tcPr>
          <w:p w14:paraId="132440F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23,7</w:t>
            </w:r>
          </w:p>
        </w:tc>
        <w:tc>
          <w:tcPr>
            <w:tcW w:w="567" w:type="dxa"/>
            <w:tcBorders>
              <w:top w:val="nil"/>
              <w:left w:val="nil"/>
              <w:bottom w:val="nil"/>
              <w:right w:val="nil"/>
            </w:tcBorders>
            <w:shd w:val="clear" w:color="auto" w:fill="auto"/>
            <w:noWrap/>
            <w:vAlign w:val="center"/>
            <w:hideMark/>
          </w:tcPr>
          <w:p w14:paraId="70DE38F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26,6</w:t>
            </w:r>
          </w:p>
        </w:tc>
        <w:tc>
          <w:tcPr>
            <w:tcW w:w="567" w:type="dxa"/>
            <w:tcBorders>
              <w:top w:val="nil"/>
              <w:left w:val="nil"/>
              <w:bottom w:val="nil"/>
              <w:right w:val="nil"/>
            </w:tcBorders>
            <w:shd w:val="clear" w:color="auto" w:fill="auto"/>
            <w:noWrap/>
            <w:vAlign w:val="center"/>
            <w:hideMark/>
          </w:tcPr>
          <w:p w14:paraId="183B929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4073ECF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28,3</w:t>
            </w:r>
          </w:p>
        </w:tc>
        <w:tc>
          <w:tcPr>
            <w:tcW w:w="567" w:type="dxa"/>
            <w:tcBorders>
              <w:top w:val="nil"/>
              <w:left w:val="nil"/>
              <w:bottom w:val="nil"/>
              <w:right w:val="nil"/>
            </w:tcBorders>
            <w:shd w:val="clear" w:color="auto" w:fill="auto"/>
            <w:noWrap/>
            <w:vAlign w:val="center"/>
            <w:hideMark/>
          </w:tcPr>
          <w:p w14:paraId="3A57BE51"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32CEE6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7DC3FD5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29,4</w:t>
            </w:r>
          </w:p>
        </w:tc>
        <w:tc>
          <w:tcPr>
            <w:tcW w:w="567" w:type="dxa"/>
            <w:tcBorders>
              <w:top w:val="nil"/>
              <w:left w:val="nil"/>
              <w:bottom w:val="nil"/>
              <w:right w:val="nil"/>
            </w:tcBorders>
            <w:shd w:val="clear" w:color="auto" w:fill="auto"/>
            <w:noWrap/>
            <w:vAlign w:val="center"/>
            <w:hideMark/>
          </w:tcPr>
          <w:p w14:paraId="62DA53A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30,9</w:t>
            </w:r>
          </w:p>
        </w:tc>
        <w:tc>
          <w:tcPr>
            <w:tcW w:w="567" w:type="dxa"/>
            <w:tcBorders>
              <w:top w:val="nil"/>
              <w:left w:val="nil"/>
              <w:bottom w:val="nil"/>
              <w:right w:val="nil"/>
            </w:tcBorders>
            <w:shd w:val="clear" w:color="auto" w:fill="auto"/>
            <w:noWrap/>
            <w:vAlign w:val="center"/>
            <w:hideMark/>
          </w:tcPr>
          <w:p w14:paraId="6CC853A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30,2</w:t>
            </w:r>
          </w:p>
        </w:tc>
      </w:tr>
      <w:tr w:rsidR="008126FD" w:rsidRPr="00D92E20" w14:paraId="5D27C71E"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37DFAD02"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1AFCFEE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20,3</w:t>
            </w:r>
          </w:p>
        </w:tc>
        <w:tc>
          <w:tcPr>
            <w:tcW w:w="567" w:type="dxa"/>
            <w:tcBorders>
              <w:top w:val="nil"/>
              <w:left w:val="nil"/>
              <w:bottom w:val="nil"/>
              <w:right w:val="nil"/>
            </w:tcBorders>
            <w:shd w:val="clear" w:color="auto" w:fill="auto"/>
            <w:noWrap/>
            <w:vAlign w:val="center"/>
            <w:hideMark/>
          </w:tcPr>
          <w:p w14:paraId="76CB508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20,1</w:t>
            </w:r>
          </w:p>
        </w:tc>
        <w:tc>
          <w:tcPr>
            <w:tcW w:w="567" w:type="dxa"/>
            <w:tcBorders>
              <w:top w:val="nil"/>
              <w:left w:val="nil"/>
              <w:bottom w:val="nil"/>
              <w:right w:val="nil"/>
            </w:tcBorders>
            <w:shd w:val="clear" w:color="auto" w:fill="auto"/>
            <w:noWrap/>
            <w:vAlign w:val="center"/>
            <w:hideMark/>
          </w:tcPr>
          <w:p w14:paraId="70DC89B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13,9</w:t>
            </w:r>
          </w:p>
        </w:tc>
        <w:tc>
          <w:tcPr>
            <w:tcW w:w="567" w:type="dxa"/>
            <w:tcBorders>
              <w:top w:val="nil"/>
              <w:left w:val="nil"/>
              <w:bottom w:val="nil"/>
              <w:right w:val="nil"/>
            </w:tcBorders>
            <w:shd w:val="clear" w:color="auto" w:fill="auto"/>
            <w:noWrap/>
            <w:vAlign w:val="center"/>
            <w:hideMark/>
          </w:tcPr>
          <w:p w14:paraId="579BAF9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14,7</w:t>
            </w:r>
          </w:p>
        </w:tc>
        <w:tc>
          <w:tcPr>
            <w:tcW w:w="567" w:type="dxa"/>
            <w:tcBorders>
              <w:top w:val="nil"/>
              <w:left w:val="nil"/>
              <w:bottom w:val="nil"/>
              <w:right w:val="nil"/>
            </w:tcBorders>
            <w:shd w:val="clear" w:color="auto" w:fill="auto"/>
            <w:noWrap/>
            <w:vAlign w:val="center"/>
            <w:hideMark/>
          </w:tcPr>
          <w:p w14:paraId="0AACB8D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14,0</w:t>
            </w:r>
          </w:p>
        </w:tc>
        <w:tc>
          <w:tcPr>
            <w:tcW w:w="567" w:type="dxa"/>
            <w:tcBorders>
              <w:top w:val="nil"/>
              <w:left w:val="nil"/>
              <w:bottom w:val="nil"/>
              <w:right w:val="nil"/>
            </w:tcBorders>
            <w:shd w:val="clear" w:color="auto" w:fill="auto"/>
            <w:noWrap/>
            <w:vAlign w:val="center"/>
            <w:hideMark/>
          </w:tcPr>
          <w:p w14:paraId="1F3B8FF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16,3</w:t>
            </w:r>
          </w:p>
        </w:tc>
        <w:tc>
          <w:tcPr>
            <w:tcW w:w="567" w:type="dxa"/>
            <w:tcBorders>
              <w:top w:val="nil"/>
              <w:left w:val="nil"/>
              <w:bottom w:val="nil"/>
              <w:right w:val="nil"/>
            </w:tcBorders>
            <w:shd w:val="clear" w:color="auto" w:fill="auto"/>
            <w:noWrap/>
            <w:vAlign w:val="center"/>
            <w:hideMark/>
          </w:tcPr>
          <w:p w14:paraId="4B0E75E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16,5</w:t>
            </w:r>
          </w:p>
        </w:tc>
        <w:tc>
          <w:tcPr>
            <w:tcW w:w="567" w:type="dxa"/>
            <w:tcBorders>
              <w:top w:val="nil"/>
              <w:left w:val="nil"/>
              <w:bottom w:val="nil"/>
              <w:right w:val="nil"/>
            </w:tcBorders>
            <w:shd w:val="clear" w:color="auto" w:fill="auto"/>
            <w:noWrap/>
            <w:vAlign w:val="center"/>
            <w:hideMark/>
          </w:tcPr>
          <w:p w14:paraId="04CE1F3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15,7</w:t>
            </w:r>
          </w:p>
        </w:tc>
        <w:tc>
          <w:tcPr>
            <w:tcW w:w="567" w:type="dxa"/>
            <w:tcBorders>
              <w:top w:val="nil"/>
              <w:left w:val="nil"/>
              <w:bottom w:val="nil"/>
              <w:right w:val="nil"/>
            </w:tcBorders>
            <w:shd w:val="clear" w:color="auto" w:fill="auto"/>
            <w:noWrap/>
            <w:vAlign w:val="center"/>
            <w:hideMark/>
          </w:tcPr>
          <w:p w14:paraId="728F99C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17,4</w:t>
            </w:r>
          </w:p>
        </w:tc>
        <w:tc>
          <w:tcPr>
            <w:tcW w:w="567" w:type="dxa"/>
            <w:tcBorders>
              <w:top w:val="nil"/>
              <w:left w:val="nil"/>
              <w:bottom w:val="nil"/>
              <w:right w:val="nil"/>
            </w:tcBorders>
            <w:shd w:val="clear" w:color="auto" w:fill="auto"/>
            <w:noWrap/>
            <w:vAlign w:val="center"/>
            <w:hideMark/>
          </w:tcPr>
          <w:p w14:paraId="0A0C491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145D5F9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24,3</w:t>
            </w:r>
          </w:p>
        </w:tc>
      </w:tr>
      <w:tr w:rsidR="008126FD" w:rsidRPr="00D92E20" w14:paraId="46C3E7DC" w14:textId="77777777" w:rsidTr="00705162">
        <w:trPr>
          <w:trHeight w:val="300"/>
        </w:trPr>
        <w:tc>
          <w:tcPr>
            <w:tcW w:w="3402" w:type="dxa"/>
            <w:tcBorders>
              <w:top w:val="nil"/>
              <w:left w:val="nil"/>
              <w:bottom w:val="nil"/>
              <w:right w:val="single" w:sz="4" w:space="0" w:color="auto"/>
            </w:tcBorders>
            <w:shd w:val="clear" w:color="auto" w:fill="auto"/>
            <w:vAlign w:val="center"/>
            <w:hideMark/>
          </w:tcPr>
          <w:p w14:paraId="5A0E9F64" w14:textId="5E9071CA"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M – Profesní, vědecké a technické</w:t>
            </w:r>
            <w:r w:rsidR="00705162" w:rsidRPr="00D92E20">
              <w:rPr>
                <w:rFonts w:cs="Arial"/>
                <w:color w:val="000000"/>
                <w:sz w:val="16"/>
                <w:szCs w:val="16"/>
              </w:rPr>
              <w:t xml:space="preserve"> </w:t>
            </w:r>
            <w:r w:rsidRPr="00D92E20">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7E05A2D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3944A79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20,2</w:t>
            </w:r>
          </w:p>
        </w:tc>
        <w:tc>
          <w:tcPr>
            <w:tcW w:w="567" w:type="dxa"/>
            <w:tcBorders>
              <w:top w:val="nil"/>
              <w:left w:val="nil"/>
              <w:bottom w:val="nil"/>
              <w:right w:val="nil"/>
            </w:tcBorders>
            <w:shd w:val="clear" w:color="auto" w:fill="auto"/>
            <w:noWrap/>
            <w:vAlign w:val="center"/>
            <w:hideMark/>
          </w:tcPr>
          <w:p w14:paraId="19DEEA9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17,8</w:t>
            </w:r>
          </w:p>
        </w:tc>
        <w:tc>
          <w:tcPr>
            <w:tcW w:w="567" w:type="dxa"/>
            <w:tcBorders>
              <w:top w:val="nil"/>
              <w:left w:val="nil"/>
              <w:bottom w:val="nil"/>
              <w:right w:val="nil"/>
            </w:tcBorders>
            <w:shd w:val="clear" w:color="auto" w:fill="auto"/>
            <w:noWrap/>
            <w:vAlign w:val="center"/>
            <w:hideMark/>
          </w:tcPr>
          <w:p w14:paraId="17DB1B7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19,4</w:t>
            </w:r>
          </w:p>
        </w:tc>
        <w:tc>
          <w:tcPr>
            <w:tcW w:w="567" w:type="dxa"/>
            <w:tcBorders>
              <w:top w:val="nil"/>
              <w:left w:val="nil"/>
              <w:bottom w:val="nil"/>
              <w:right w:val="nil"/>
            </w:tcBorders>
            <w:shd w:val="clear" w:color="auto" w:fill="auto"/>
            <w:noWrap/>
            <w:vAlign w:val="center"/>
            <w:hideMark/>
          </w:tcPr>
          <w:p w14:paraId="4BB9984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18,3</w:t>
            </w:r>
          </w:p>
        </w:tc>
        <w:tc>
          <w:tcPr>
            <w:tcW w:w="567" w:type="dxa"/>
            <w:tcBorders>
              <w:top w:val="nil"/>
              <w:left w:val="nil"/>
              <w:bottom w:val="nil"/>
              <w:right w:val="nil"/>
            </w:tcBorders>
            <w:shd w:val="clear" w:color="auto" w:fill="auto"/>
            <w:noWrap/>
            <w:vAlign w:val="center"/>
            <w:hideMark/>
          </w:tcPr>
          <w:p w14:paraId="2A145CF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21,1</w:t>
            </w:r>
          </w:p>
        </w:tc>
        <w:tc>
          <w:tcPr>
            <w:tcW w:w="567" w:type="dxa"/>
            <w:tcBorders>
              <w:top w:val="nil"/>
              <w:left w:val="nil"/>
              <w:bottom w:val="nil"/>
              <w:right w:val="nil"/>
            </w:tcBorders>
            <w:shd w:val="clear" w:color="auto" w:fill="auto"/>
            <w:noWrap/>
            <w:vAlign w:val="center"/>
            <w:hideMark/>
          </w:tcPr>
          <w:p w14:paraId="6A3E98B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7E7668E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21,8</w:t>
            </w:r>
          </w:p>
        </w:tc>
        <w:tc>
          <w:tcPr>
            <w:tcW w:w="567" w:type="dxa"/>
            <w:tcBorders>
              <w:top w:val="nil"/>
              <w:left w:val="nil"/>
              <w:bottom w:val="nil"/>
              <w:right w:val="nil"/>
            </w:tcBorders>
            <w:shd w:val="clear" w:color="auto" w:fill="auto"/>
            <w:noWrap/>
            <w:vAlign w:val="center"/>
            <w:hideMark/>
          </w:tcPr>
          <w:p w14:paraId="1FA3EC8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22,5</w:t>
            </w:r>
          </w:p>
        </w:tc>
        <w:tc>
          <w:tcPr>
            <w:tcW w:w="567" w:type="dxa"/>
            <w:tcBorders>
              <w:top w:val="nil"/>
              <w:left w:val="nil"/>
              <w:bottom w:val="nil"/>
              <w:right w:val="nil"/>
            </w:tcBorders>
            <w:shd w:val="clear" w:color="auto" w:fill="auto"/>
            <w:noWrap/>
            <w:vAlign w:val="center"/>
            <w:hideMark/>
          </w:tcPr>
          <w:p w14:paraId="6EB65CF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23,0</w:t>
            </w:r>
          </w:p>
        </w:tc>
        <w:tc>
          <w:tcPr>
            <w:tcW w:w="567" w:type="dxa"/>
            <w:tcBorders>
              <w:top w:val="nil"/>
              <w:left w:val="nil"/>
              <w:bottom w:val="nil"/>
              <w:right w:val="nil"/>
            </w:tcBorders>
            <w:shd w:val="clear" w:color="auto" w:fill="auto"/>
            <w:noWrap/>
            <w:vAlign w:val="center"/>
            <w:hideMark/>
          </w:tcPr>
          <w:p w14:paraId="651A8DE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27,6</w:t>
            </w:r>
          </w:p>
        </w:tc>
      </w:tr>
      <w:tr w:rsidR="008126FD" w:rsidRPr="00D92E20" w14:paraId="6A01A253" w14:textId="77777777" w:rsidTr="00705162">
        <w:trPr>
          <w:trHeight w:val="300"/>
        </w:trPr>
        <w:tc>
          <w:tcPr>
            <w:tcW w:w="3402" w:type="dxa"/>
            <w:tcBorders>
              <w:top w:val="nil"/>
              <w:left w:val="nil"/>
              <w:bottom w:val="nil"/>
              <w:right w:val="single" w:sz="4" w:space="0" w:color="auto"/>
            </w:tcBorders>
            <w:shd w:val="clear" w:color="auto" w:fill="auto"/>
            <w:vAlign w:val="center"/>
            <w:hideMark/>
          </w:tcPr>
          <w:p w14:paraId="64A2BB2F" w14:textId="41D7D056"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 činnosti</w:t>
            </w:r>
          </w:p>
        </w:tc>
        <w:tc>
          <w:tcPr>
            <w:tcW w:w="567" w:type="dxa"/>
            <w:tcBorders>
              <w:top w:val="nil"/>
              <w:left w:val="nil"/>
              <w:bottom w:val="nil"/>
              <w:right w:val="nil"/>
            </w:tcBorders>
            <w:shd w:val="clear" w:color="auto" w:fill="auto"/>
            <w:noWrap/>
            <w:vAlign w:val="center"/>
            <w:hideMark/>
          </w:tcPr>
          <w:p w14:paraId="51F3F93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37,8</w:t>
            </w:r>
          </w:p>
        </w:tc>
        <w:tc>
          <w:tcPr>
            <w:tcW w:w="567" w:type="dxa"/>
            <w:tcBorders>
              <w:top w:val="nil"/>
              <w:left w:val="nil"/>
              <w:bottom w:val="nil"/>
              <w:right w:val="nil"/>
            </w:tcBorders>
            <w:shd w:val="clear" w:color="auto" w:fill="auto"/>
            <w:noWrap/>
            <w:vAlign w:val="center"/>
            <w:hideMark/>
          </w:tcPr>
          <w:p w14:paraId="17AD094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6449AF2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31,1</w:t>
            </w:r>
          </w:p>
        </w:tc>
        <w:tc>
          <w:tcPr>
            <w:tcW w:w="567" w:type="dxa"/>
            <w:tcBorders>
              <w:top w:val="nil"/>
              <w:left w:val="nil"/>
              <w:bottom w:val="nil"/>
              <w:right w:val="nil"/>
            </w:tcBorders>
            <w:shd w:val="clear" w:color="auto" w:fill="auto"/>
            <w:noWrap/>
            <w:vAlign w:val="center"/>
            <w:hideMark/>
          </w:tcPr>
          <w:p w14:paraId="79D1342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36,1</w:t>
            </w:r>
          </w:p>
        </w:tc>
        <w:tc>
          <w:tcPr>
            <w:tcW w:w="567" w:type="dxa"/>
            <w:tcBorders>
              <w:top w:val="nil"/>
              <w:left w:val="nil"/>
              <w:bottom w:val="nil"/>
              <w:right w:val="nil"/>
            </w:tcBorders>
            <w:shd w:val="clear" w:color="auto" w:fill="auto"/>
            <w:noWrap/>
            <w:vAlign w:val="center"/>
            <w:hideMark/>
          </w:tcPr>
          <w:p w14:paraId="69CA6C7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15B1241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48,2</w:t>
            </w:r>
          </w:p>
        </w:tc>
        <w:tc>
          <w:tcPr>
            <w:tcW w:w="567" w:type="dxa"/>
            <w:tcBorders>
              <w:top w:val="nil"/>
              <w:left w:val="nil"/>
              <w:bottom w:val="nil"/>
              <w:right w:val="nil"/>
            </w:tcBorders>
            <w:shd w:val="clear" w:color="auto" w:fill="auto"/>
            <w:noWrap/>
            <w:vAlign w:val="center"/>
            <w:hideMark/>
          </w:tcPr>
          <w:p w14:paraId="47C386E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331A933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1D8DD21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48,6</w:t>
            </w:r>
          </w:p>
        </w:tc>
        <w:tc>
          <w:tcPr>
            <w:tcW w:w="567" w:type="dxa"/>
            <w:tcBorders>
              <w:top w:val="nil"/>
              <w:left w:val="nil"/>
              <w:bottom w:val="nil"/>
              <w:right w:val="nil"/>
            </w:tcBorders>
            <w:shd w:val="clear" w:color="auto" w:fill="auto"/>
            <w:noWrap/>
            <w:vAlign w:val="center"/>
            <w:hideMark/>
          </w:tcPr>
          <w:p w14:paraId="64C25A0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49,7</w:t>
            </w:r>
          </w:p>
        </w:tc>
        <w:tc>
          <w:tcPr>
            <w:tcW w:w="567" w:type="dxa"/>
            <w:tcBorders>
              <w:top w:val="nil"/>
              <w:left w:val="nil"/>
              <w:bottom w:val="nil"/>
              <w:right w:val="nil"/>
            </w:tcBorders>
            <w:shd w:val="clear" w:color="auto" w:fill="auto"/>
            <w:noWrap/>
            <w:vAlign w:val="center"/>
            <w:hideMark/>
          </w:tcPr>
          <w:p w14:paraId="0F05BBC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56,9</w:t>
            </w:r>
          </w:p>
        </w:tc>
      </w:tr>
      <w:tr w:rsidR="008126FD" w:rsidRPr="00D92E20" w14:paraId="475E315D" w14:textId="77777777" w:rsidTr="008126FD">
        <w:trPr>
          <w:trHeight w:val="480"/>
        </w:trPr>
        <w:tc>
          <w:tcPr>
            <w:tcW w:w="3402" w:type="dxa"/>
            <w:tcBorders>
              <w:top w:val="nil"/>
              <w:left w:val="nil"/>
              <w:bottom w:val="nil"/>
              <w:right w:val="single" w:sz="4" w:space="0" w:color="auto"/>
            </w:tcBorders>
            <w:shd w:val="clear" w:color="auto" w:fill="auto"/>
            <w:vAlign w:val="center"/>
            <w:hideMark/>
          </w:tcPr>
          <w:p w14:paraId="5BBD2C9B"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03652A1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5B0BE6B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29,5</w:t>
            </w:r>
          </w:p>
        </w:tc>
        <w:tc>
          <w:tcPr>
            <w:tcW w:w="567" w:type="dxa"/>
            <w:tcBorders>
              <w:top w:val="nil"/>
              <w:left w:val="nil"/>
              <w:bottom w:val="nil"/>
              <w:right w:val="nil"/>
            </w:tcBorders>
            <w:shd w:val="clear" w:color="auto" w:fill="auto"/>
            <w:noWrap/>
            <w:vAlign w:val="center"/>
            <w:hideMark/>
          </w:tcPr>
          <w:p w14:paraId="729F66E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24,5</w:t>
            </w:r>
          </w:p>
        </w:tc>
        <w:tc>
          <w:tcPr>
            <w:tcW w:w="567" w:type="dxa"/>
            <w:tcBorders>
              <w:top w:val="nil"/>
              <w:left w:val="nil"/>
              <w:bottom w:val="nil"/>
              <w:right w:val="nil"/>
            </w:tcBorders>
            <w:shd w:val="clear" w:color="auto" w:fill="auto"/>
            <w:noWrap/>
            <w:vAlign w:val="center"/>
            <w:hideMark/>
          </w:tcPr>
          <w:p w14:paraId="683AA27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2C78DD8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26,3</w:t>
            </w:r>
          </w:p>
        </w:tc>
        <w:tc>
          <w:tcPr>
            <w:tcW w:w="567" w:type="dxa"/>
            <w:tcBorders>
              <w:top w:val="nil"/>
              <w:left w:val="nil"/>
              <w:bottom w:val="nil"/>
              <w:right w:val="nil"/>
            </w:tcBorders>
            <w:shd w:val="clear" w:color="auto" w:fill="auto"/>
            <w:noWrap/>
            <w:vAlign w:val="center"/>
            <w:hideMark/>
          </w:tcPr>
          <w:p w14:paraId="33D7FD8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31,5</w:t>
            </w:r>
          </w:p>
        </w:tc>
        <w:tc>
          <w:tcPr>
            <w:tcW w:w="567" w:type="dxa"/>
            <w:tcBorders>
              <w:top w:val="nil"/>
              <w:left w:val="nil"/>
              <w:bottom w:val="nil"/>
              <w:right w:val="nil"/>
            </w:tcBorders>
            <w:shd w:val="clear" w:color="auto" w:fill="auto"/>
            <w:noWrap/>
            <w:vAlign w:val="center"/>
            <w:hideMark/>
          </w:tcPr>
          <w:p w14:paraId="0027052F"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30,7</w:t>
            </w:r>
          </w:p>
        </w:tc>
        <w:tc>
          <w:tcPr>
            <w:tcW w:w="567" w:type="dxa"/>
            <w:tcBorders>
              <w:top w:val="nil"/>
              <w:left w:val="nil"/>
              <w:bottom w:val="nil"/>
              <w:right w:val="nil"/>
            </w:tcBorders>
            <w:shd w:val="clear" w:color="auto" w:fill="auto"/>
            <w:noWrap/>
            <w:vAlign w:val="center"/>
            <w:hideMark/>
          </w:tcPr>
          <w:p w14:paraId="73FE925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0840411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34,0</w:t>
            </w:r>
          </w:p>
        </w:tc>
        <w:tc>
          <w:tcPr>
            <w:tcW w:w="567" w:type="dxa"/>
            <w:tcBorders>
              <w:top w:val="nil"/>
              <w:left w:val="nil"/>
              <w:bottom w:val="nil"/>
              <w:right w:val="nil"/>
            </w:tcBorders>
            <w:shd w:val="clear" w:color="auto" w:fill="auto"/>
            <w:noWrap/>
            <w:vAlign w:val="center"/>
            <w:hideMark/>
          </w:tcPr>
          <w:p w14:paraId="240EB80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35,5</w:t>
            </w:r>
          </w:p>
        </w:tc>
        <w:tc>
          <w:tcPr>
            <w:tcW w:w="567" w:type="dxa"/>
            <w:tcBorders>
              <w:top w:val="nil"/>
              <w:left w:val="nil"/>
              <w:bottom w:val="nil"/>
              <w:right w:val="nil"/>
            </w:tcBorders>
            <w:shd w:val="clear" w:color="auto" w:fill="auto"/>
            <w:noWrap/>
            <w:vAlign w:val="center"/>
            <w:hideMark/>
          </w:tcPr>
          <w:p w14:paraId="63B58FE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44,9</w:t>
            </w:r>
          </w:p>
        </w:tc>
      </w:tr>
      <w:tr w:rsidR="008126FD" w:rsidRPr="00D92E20" w14:paraId="3CF6C9D5"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03988937"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0DD4C0F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27,1</w:t>
            </w:r>
          </w:p>
        </w:tc>
        <w:tc>
          <w:tcPr>
            <w:tcW w:w="567" w:type="dxa"/>
            <w:tcBorders>
              <w:top w:val="nil"/>
              <w:left w:val="nil"/>
              <w:bottom w:val="nil"/>
              <w:right w:val="nil"/>
            </w:tcBorders>
            <w:shd w:val="clear" w:color="auto" w:fill="auto"/>
            <w:noWrap/>
            <w:vAlign w:val="center"/>
            <w:hideMark/>
          </w:tcPr>
          <w:p w14:paraId="35FAE61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27,3</w:t>
            </w:r>
          </w:p>
        </w:tc>
        <w:tc>
          <w:tcPr>
            <w:tcW w:w="567" w:type="dxa"/>
            <w:tcBorders>
              <w:top w:val="nil"/>
              <w:left w:val="nil"/>
              <w:bottom w:val="nil"/>
              <w:right w:val="nil"/>
            </w:tcBorders>
            <w:shd w:val="clear" w:color="auto" w:fill="auto"/>
            <w:noWrap/>
            <w:vAlign w:val="center"/>
            <w:hideMark/>
          </w:tcPr>
          <w:p w14:paraId="7559186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21,7</w:t>
            </w:r>
          </w:p>
        </w:tc>
        <w:tc>
          <w:tcPr>
            <w:tcW w:w="567" w:type="dxa"/>
            <w:tcBorders>
              <w:top w:val="nil"/>
              <w:left w:val="nil"/>
              <w:bottom w:val="nil"/>
              <w:right w:val="nil"/>
            </w:tcBorders>
            <w:shd w:val="clear" w:color="auto" w:fill="auto"/>
            <w:noWrap/>
            <w:vAlign w:val="center"/>
            <w:hideMark/>
          </w:tcPr>
          <w:p w14:paraId="760B1045"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25,2</w:t>
            </w:r>
          </w:p>
        </w:tc>
        <w:tc>
          <w:tcPr>
            <w:tcW w:w="567" w:type="dxa"/>
            <w:tcBorders>
              <w:top w:val="nil"/>
              <w:left w:val="nil"/>
              <w:bottom w:val="nil"/>
              <w:right w:val="nil"/>
            </w:tcBorders>
            <w:shd w:val="clear" w:color="auto" w:fill="auto"/>
            <w:noWrap/>
            <w:vAlign w:val="center"/>
            <w:hideMark/>
          </w:tcPr>
          <w:p w14:paraId="217C1EE1"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31B9624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2FFCDF2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130A3B2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0A8B37E9"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19EC8DB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36,0</w:t>
            </w:r>
          </w:p>
        </w:tc>
        <w:tc>
          <w:tcPr>
            <w:tcW w:w="567" w:type="dxa"/>
            <w:tcBorders>
              <w:top w:val="nil"/>
              <w:left w:val="nil"/>
              <w:bottom w:val="nil"/>
              <w:right w:val="nil"/>
            </w:tcBorders>
            <w:shd w:val="clear" w:color="auto" w:fill="auto"/>
            <w:noWrap/>
            <w:vAlign w:val="center"/>
            <w:hideMark/>
          </w:tcPr>
          <w:p w14:paraId="23061F9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43,3</w:t>
            </w:r>
          </w:p>
        </w:tc>
      </w:tr>
      <w:tr w:rsidR="008126FD" w:rsidRPr="00D92E20" w14:paraId="0A38C105"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62A9D262"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27F8E9E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25,9</w:t>
            </w:r>
          </w:p>
        </w:tc>
        <w:tc>
          <w:tcPr>
            <w:tcW w:w="567" w:type="dxa"/>
            <w:tcBorders>
              <w:top w:val="nil"/>
              <w:left w:val="nil"/>
              <w:bottom w:val="nil"/>
              <w:right w:val="nil"/>
            </w:tcBorders>
            <w:shd w:val="clear" w:color="auto" w:fill="auto"/>
            <w:noWrap/>
            <w:vAlign w:val="center"/>
            <w:hideMark/>
          </w:tcPr>
          <w:p w14:paraId="1332C0E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26,1</w:t>
            </w:r>
          </w:p>
        </w:tc>
        <w:tc>
          <w:tcPr>
            <w:tcW w:w="567" w:type="dxa"/>
            <w:tcBorders>
              <w:top w:val="nil"/>
              <w:left w:val="nil"/>
              <w:bottom w:val="nil"/>
              <w:right w:val="nil"/>
            </w:tcBorders>
            <w:shd w:val="clear" w:color="auto" w:fill="auto"/>
            <w:noWrap/>
            <w:vAlign w:val="center"/>
            <w:hideMark/>
          </w:tcPr>
          <w:p w14:paraId="1D2014C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22,3</w:t>
            </w:r>
          </w:p>
        </w:tc>
        <w:tc>
          <w:tcPr>
            <w:tcW w:w="567" w:type="dxa"/>
            <w:tcBorders>
              <w:top w:val="nil"/>
              <w:left w:val="nil"/>
              <w:bottom w:val="nil"/>
              <w:right w:val="nil"/>
            </w:tcBorders>
            <w:shd w:val="clear" w:color="auto" w:fill="auto"/>
            <w:noWrap/>
            <w:vAlign w:val="center"/>
            <w:hideMark/>
          </w:tcPr>
          <w:p w14:paraId="72CAA1A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25,5</w:t>
            </w:r>
          </w:p>
        </w:tc>
        <w:tc>
          <w:tcPr>
            <w:tcW w:w="567" w:type="dxa"/>
            <w:tcBorders>
              <w:top w:val="nil"/>
              <w:left w:val="nil"/>
              <w:bottom w:val="nil"/>
              <w:right w:val="nil"/>
            </w:tcBorders>
            <w:shd w:val="clear" w:color="auto" w:fill="auto"/>
            <w:noWrap/>
            <w:vAlign w:val="center"/>
            <w:hideMark/>
          </w:tcPr>
          <w:p w14:paraId="62A7C7A6"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59A318A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29,7</w:t>
            </w:r>
          </w:p>
        </w:tc>
        <w:tc>
          <w:tcPr>
            <w:tcW w:w="567" w:type="dxa"/>
            <w:tcBorders>
              <w:top w:val="nil"/>
              <w:left w:val="nil"/>
              <w:bottom w:val="nil"/>
              <w:right w:val="nil"/>
            </w:tcBorders>
            <w:shd w:val="clear" w:color="auto" w:fill="auto"/>
            <w:noWrap/>
            <w:vAlign w:val="center"/>
            <w:hideMark/>
          </w:tcPr>
          <w:p w14:paraId="60F48C7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30,4</w:t>
            </w:r>
          </w:p>
        </w:tc>
        <w:tc>
          <w:tcPr>
            <w:tcW w:w="567" w:type="dxa"/>
            <w:tcBorders>
              <w:top w:val="nil"/>
              <w:left w:val="nil"/>
              <w:bottom w:val="nil"/>
              <w:right w:val="nil"/>
            </w:tcBorders>
            <w:shd w:val="clear" w:color="auto" w:fill="auto"/>
            <w:noWrap/>
            <w:vAlign w:val="center"/>
            <w:hideMark/>
          </w:tcPr>
          <w:p w14:paraId="20BE738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4561B20B"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33,7</w:t>
            </w:r>
          </w:p>
        </w:tc>
        <w:tc>
          <w:tcPr>
            <w:tcW w:w="567" w:type="dxa"/>
            <w:tcBorders>
              <w:top w:val="nil"/>
              <w:left w:val="nil"/>
              <w:bottom w:val="nil"/>
              <w:right w:val="nil"/>
            </w:tcBorders>
            <w:shd w:val="clear" w:color="auto" w:fill="auto"/>
            <w:noWrap/>
            <w:vAlign w:val="center"/>
            <w:hideMark/>
          </w:tcPr>
          <w:p w14:paraId="4FF820D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35,2</w:t>
            </w:r>
          </w:p>
        </w:tc>
        <w:tc>
          <w:tcPr>
            <w:tcW w:w="567" w:type="dxa"/>
            <w:tcBorders>
              <w:top w:val="nil"/>
              <w:left w:val="nil"/>
              <w:bottom w:val="nil"/>
              <w:right w:val="nil"/>
            </w:tcBorders>
            <w:shd w:val="clear" w:color="auto" w:fill="auto"/>
            <w:noWrap/>
            <w:vAlign w:val="center"/>
            <w:hideMark/>
          </w:tcPr>
          <w:p w14:paraId="7D10D7E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59,7</w:t>
            </w:r>
          </w:p>
        </w:tc>
      </w:tr>
      <w:tr w:rsidR="008126FD" w:rsidRPr="00D92E20" w14:paraId="5806C05B" w14:textId="77777777" w:rsidTr="00705162">
        <w:trPr>
          <w:trHeight w:val="300"/>
        </w:trPr>
        <w:tc>
          <w:tcPr>
            <w:tcW w:w="3402" w:type="dxa"/>
            <w:tcBorders>
              <w:top w:val="nil"/>
              <w:left w:val="nil"/>
              <w:bottom w:val="nil"/>
              <w:right w:val="single" w:sz="4" w:space="0" w:color="auto"/>
            </w:tcBorders>
            <w:shd w:val="clear" w:color="auto" w:fill="auto"/>
            <w:vAlign w:val="center"/>
            <w:hideMark/>
          </w:tcPr>
          <w:p w14:paraId="3E51A486" w14:textId="62203D49" w:rsidR="008126FD" w:rsidRPr="00D92E20" w:rsidRDefault="008126FD" w:rsidP="00705162">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w:t>
            </w:r>
            <w:r w:rsidR="00705162" w:rsidRPr="00D92E20">
              <w:rPr>
                <w:rFonts w:cs="Arial"/>
                <w:color w:val="000000"/>
                <w:sz w:val="16"/>
                <w:szCs w:val="16"/>
              </w:rPr>
              <w:t xml:space="preserve"> </w:t>
            </w:r>
            <w:r w:rsidRPr="00D92E20">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5D217C0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23,9</w:t>
            </w:r>
          </w:p>
        </w:tc>
        <w:tc>
          <w:tcPr>
            <w:tcW w:w="567" w:type="dxa"/>
            <w:tcBorders>
              <w:top w:val="nil"/>
              <w:left w:val="nil"/>
              <w:bottom w:val="nil"/>
              <w:right w:val="nil"/>
            </w:tcBorders>
            <w:shd w:val="clear" w:color="auto" w:fill="auto"/>
            <w:noWrap/>
            <w:vAlign w:val="center"/>
            <w:hideMark/>
          </w:tcPr>
          <w:p w14:paraId="689EE53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22,7</w:t>
            </w:r>
          </w:p>
        </w:tc>
        <w:tc>
          <w:tcPr>
            <w:tcW w:w="567" w:type="dxa"/>
            <w:tcBorders>
              <w:top w:val="nil"/>
              <w:left w:val="nil"/>
              <w:bottom w:val="nil"/>
              <w:right w:val="nil"/>
            </w:tcBorders>
            <w:shd w:val="clear" w:color="auto" w:fill="auto"/>
            <w:noWrap/>
            <w:vAlign w:val="center"/>
            <w:hideMark/>
          </w:tcPr>
          <w:p w14:paraId="32CD3BD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18,4</w:t>
            </w:r>
          </w:p>
        </w:tc>
        <w:tc>
          <w:tcPr>
            <w:tcW w:w="567" w:type="dxa"/>
            <w:tcBorders>
              <w:top w:val="nil"/>
              <w:left w:val="nil"/>
              <w:bottom w:val="nil"/>
              <w:right w:val="nil"/>
            </w:tcBorders>
            <w:shd w:val="clear" w:color="auto" w:fill="auto"/>
            <w:noWrap/>
            <w:vAlign w:val="center"/>
            <w:hideMark/>
          </w:tcPr>
          <w:p w14:paraId="067C6E9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20,9</w:t>
            </w:r>
          </w:p>
        </w:tc>
        <w:tc>
          <w:tcPr>
            <w:tcW w:w="567" w:type="dxa"/>
            <w:tcBorders>
              <w:top w:val="nil"/>
              <w:left w:val="nil"/>
              <w:bottom w:val="nil"/>
              <w:right w:val="nil"/>
            </w:tcBorders>
            <w:shd w:val="clear" w:color="auto" w:fill="auto"/>
            <w:noWrap/>
            <w:vAlign w:val="center"/>
            <w:hideMark/>
          </w:tcPr>
          <w:p w14:paraId="6EAA2F2D"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20,5</w:t>
            </w:r>
          </w:p>
        </w:tc>
        <w:tc>
          <w:tcPr>
            <w:tcW w:w="567" w:type="dxa"/>
            <w:tcBorders>
              <w:top w:val="nil"/>
              <w:left w:val="nil"/>
              <w:bottom w:val="nil"/>
              <w:right w:val="nil"/>
            </w:tcBorders>
            <w:shd w:val="clear" w:color="auto" w:fill="auto"/>
            <w:noWrap/>
            <w:vAlign w:val="center"/>
            <w:hideMark/>
          </w:tcPr>
          <w:p w14:paraId="11E0B94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24,1</w:t>
            </w:r>
          </w:p>
        </w:tc>
        <w:tc>
          <w:tcPr>
            <w:tcW w:w="567" w:type="dxa"/>
            <w:tcBorders>
              <w:top w:val="nil"/>
              <w:left w:val="nil"/>
              <w:bottom w:val="nil"/>
              <w:right w:val="nil"/>
            </w:tcBorders>
            <w:shd w:val="clear" w:color="auto" w:fill="auto"/>
            <w:noWrap/>
            <w:vAlign w:val="center"/>
            <w:hideMark/>
          </w:tcPr>
          <w:p w14:paraId="753089D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24,6</w:t>
            </w:r>
          </w:p>
        </w:tc>
        <w:tc>
          <w:tcPr>
            <w:tcW w:w="567" w:type="dxa"/>
            <w:tcBorders>
              <w:top w:val="nil"/>
              <w:left w:val="nil"/>
              <w:bottom w:val="nil"/>
              <w:right w:val="nil"/>
            </w:tcBorders>
            <w:shd w:val="clear" w:color="auto" w:fill="auto"/>
            <w:noWrap/>
            <w:vAlign w:val="center"/>
            <w:hideMark/>
          </w:tcPr>
          <w:p w14:paraId="622608E0"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24,4</w:t>
            </w:r>
          </w:p>
        </w:tc>
        <w:tc>
          <w:tcPr>
            <w:tcW w:w="567" w:type="dxa"/>
            <w:tcBorders>
              <w:top w:val="nil"/>
              <w:left w:val="nil"/>
              <w:bottom w:val="nil"/>
              <w:right w:val="nil"/>
            </w:tcBorders>
            <w:shd w:val="clear" w:color="auto" w:fill="auto"/>
            <w:noWrap/>
            <w:vAlign w:val="center"/>
            <w:hideMark/>
          </w:tcPr>
          <w:p w14:paraId="682F63B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26,8</w:t>
            </w:r>
          </w:p>
        </w:tc>
        <w:tc>
          <w:tcPr>
            <w:tcW w:w="567" w:type="dxa"/>
            <w:tcBorders>
              <w:top w:val="nil"/>
              <w:left w:val="nil"/>
              <w:bottom w:val="nil"/>
              <w:right w:val="nil"/>
            </w:tcBorders>
            <w:shd w:val="clear" w:color="auto" w:fill="auto"/>
            <w:noWrap/>
            <w:vAlign w:val="center"/>
            <w:hideMark/>
          </w:tcPr>
          <w:p w14:paraId="7D109A3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00F87E0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34,1</w:t>
            </w:r>
          </w:p>
        </w:tc>
      </w:tr>
      <w:tr w:rsidR="008126FD" w:rsidRPr="00D92E20" w14:paraId="3EB67DA0" w14:textId="77777777" w:rsidTr="008126FD">
        <w:trPr>
          <w:trHeight w:val="300"/>
        </w:trPr>
        <w:tc>
          <w:tcPr>
            <w:tcW w:w="3402" w:type="dxa"/>
            <w:tcBorders>
              <w:top w:val="nil"/>
              <w:left w:val="nil"/>
              <w:bottom w:val="nil"/>
              <w:right w:val="single" w:sz="4" w:space="0" w:color="auto"/>
            </w:tcBorders>
            <w:shd w:val="clear" w:color="auto" w:fill="auto"/>
            <w:vAlign w:val="center"/>
            <w:hideMark/>
          </w:tcPr>
          <w:p w14:paraId="160E54A7" w14:textId="77777777" w:rsidR="008126FD" w:rsidRPr="00D92E20" w:rsidRDefault="008126FD" w:rsidP="008126FD">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3ED257B2"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267B170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23,9</w:t>
            </w:r>
          </w:p>
        </w:tc>
        <w:tc>
          <w:tcPr>
            <w:tcW w:w="567" w:type="dxa"/>
            <w:tcBorders>
              <w:top w:val="nil"/>
              <w:left w:val="nil"/>
              <w:bottom w:val="nil"/>
              <w:right w:val="nil"/>
            </w:tcBorders>
            <w:shd w:val="clear" w:color="auto" w:fill="auto"/>
            <w:noWrap/>
            <w:vAlign w:val="center"/>
            <w:hideMark/>
          </w:tcPr>
          <w:p w14:paraId="5B2EB5A4"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21,3</w:t>
            </w:r>
          </w:p>
        </w:tc>
        <w:tc>
          <w:tcPr>
            <w:tcW w:w="567" w:type="dxa"/>
            <w:tcBorders>
              <w:top w:val="nil"/>
              <w:left w:val="nil"/>
              <w:bottom w:val="nil"/>
              <w:right w:val="nil"/>
            </w:tcBorders>
            <w:shd w:val="clear" w:color="auto" w:fill="auto"/>
            <w:noWrap/>
            <w:vAlign w:val="center"/>
            <w:hideMark/>
          </w:tcPr>
          <w:p w14:paraId="29FB2F78"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2458CEBC"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23,5</w:t>
            </w:r>
          </w:p>
        </w:tc>
        <w:tc>
          <w:tcPr>
            <w:tcW w:w="567" w:type="dxa"/>
            <w:tcBorders>
              <w:top w:val="nil"/>
              <w:left w:val="nil"/>
              <w:bottom w:val="nil"/>
              <w:right w:val="nil"/>
            </w:tcBorders>
            <w:shd w:val="clear" w:color="auto" w:fill="auto"/>
            <w:noWrap/>
            <w:vAlign w:val="center"/>
            <w:hideMark/>
          </w:tcPr>
          <w:p w14:paraId="7DFFC85A"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58B61E87"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28,1</w:t>
            </w:r>
          </w:p>
        </w:tc>
        <w:tc>
          <w:tcPr>
            <w:tcW w:w="567" w:type="dxa"/>
            <w:tcBorders>
              <w:top w:val="nil"/>
              <w:left w:val="nil"/>
              <w:bottom w:val="nil"/>
              <w:right w:val="nil"/>
            </w:tcBorders>
            <w:shd w:val="clear" w:color="auto" w:fill="auto"/>
            <w:noWrap/>
            <w:vAlign w:val="center"/>
            <w:hideMark/>
          </w:tcPr>
          <w:p w14:paraId="5DBE085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5E53EA7E"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29,8</w:t>
            </w:r>
          </w:p>
        </w:tc>
        <w:tc>
          <w:tcPr>
            <w:tcW w:w="567" w:type="dxa"/>
            <w:tcBorders>
              <w:top w:val="nil"/>
              <w:left w:val="nil"/>
              <w:bottom w:val="nil"/>
              <w:right w:val="nil"/>
            </w:tcBorders>
            <w:shd w:val="clear" w:color="auto" w:fill="auto"/>
            <w:noWrap/>
            <w:vAlign w:val="center"/>
            <w:hideMark/>
          </w:tcPr>
          <w:p w14:paraId="5457D6A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31,3</w:t>
            </w:r>
          </w:p>
        </w:tc>
        <w:tc>
          <w:tcPr>
            <w:tcW w:w="567" w:type="dxa"/>
            <w:tcBorders>
              <w:top w:val="nil"/>
              <w:left w:val="nil"/>
              <w:bottom w:val="nil"/>
              <w:right w:val="nil"/>
            </w:tcBorders>
            <w:shd w:val="clear" w:color="auto" w:fill="auto"/>
            <w:noWrap/>
            <w:vAlign w:val="center"/>
            <w:hideMark/>
          </w:tcPr>
          <w:p w14:paraId="48D21683" w14:textId="77777777" w:rsidR="008126FD" w:rsidRPr="00D92E20" w:rsidRDefault="008126FD" w:rsidP="008126FD">
            <w:pPr>
              <w:spacing w:after="0" w:line="240" w:lineRule="auto"/>
              <w:jc w:val="center"/>
              <w:rPr>
                <w:rFonts w:cs="Arial"/>
                <w:color w:val="000000"/>
                <w:sz w:val="16"/>
                <w:szCs w:val="16"/>
              </w:rPr>
            </w:pPr>
            <w:r w:rsidRPr="00D92E20">
              <w:rPr>
                <w:rFonts w:cs="Arial"/>
                <w:color w:val="000000"/>
                <w:sz w:val="16"/>
                <w:szCs w:val="16"/>
              </w:rPr>
              <w:t>40,6</w:t>
            </w:r>
          </w:p>
        </w:tc>
      </w:tr>
    </w:tbl>
    <w:p w14:paraId="79FE3B63" w14:textId="77777777" w:rsidR="008126FD" w:rsidRPr="00D92E20" w:rsidRDefault="008126FD" w:rsidP="008126FD">
      <w:pPr>
        <w:spacing w:before="120"/>
        <w:rPr>
          <w:sz w:val="16"/>
        </w:rPr>
      </w:pPr>
      <w:r w:rsidRPr="00D92E20">
        <w:rPr>
          <w:sz w:val="16"/>
        </w:rPr>
        <w:t>Zdroj: ČSÚ</w:t>
      </w:r>
    </w:p>
    <w:p w14:paraId="2939441F" w14:textId="77777777" w:rsidR="008126FD" w:rsidRPr="00D92E20" w:rsidRDefault="008126FD" w:rsidP="00BA6B4E">
      <w:pPr>
        <w:spacing w:before="120" w:after="120"/>
        <w:jc w:val="both"/>
      </w:pPr>
      <w:r w:rsidRPr="00D92E20">
        <w:t xml:space="preserve">Z pohledu </w:t>
      </w:r>
      <w:r w:rsidRPr="00D92E20">
        <w:rPr>
          <w:b/>
        </w:rPr>
        <w:t>územního členění</w:t>
      </w:r>
      <w:r w:rsidRPr="00D92E20">
        <w:t xml:space="preserve"> bylo v roce 2020 nejvíce případů pracovní neschopnosti na 100 pojištěnců hlášeno v Libereckém (</w:t>
      </w:r>
      <w:r w:rsidR="00013A43" w:rsidRPr="00D92E20">
        <w:t>64),</w:t>
      </w:r>
      <w:r w:rsidRPr="00D92E20">
        <w:t xml:space="preserve"> Moravskoslezském (</w:t>
      </w:r>
      <w:r w:rsidR="00013A43" w:rsidRPr="00D92E20">
        <w:t>60</w:t>
      </w:r>
      <w:r w:rsidRPr="00D92E20">
        <w:t xml:space="preserve">) </w:t>
      </w:r>
      <w:r w:rsidR="00013A43" w:rsidRPr="00D92E20">
        <w:t xml:space="preserve">a Zlínském </w:t>
      </w:r>
      <w:r w:rsidRPr="00D92E20">
        <w:t>kraji</w:t>
      </w:r>
      <w:r w:rsidR="00013A43" w:rsidRPr="00D92E20">
        <w:t xml:space="preserve"> (59)</w:t>
      </w:r>
      <w:r w:rsidRPr="00D92E20">
        <w:t xml:space="preserve">. Jak již bylo zmíněno výše, průměr za Českou republiku činil </w:t>
      </w:r>
      <w:r w:rsidR="00013A43" w:rsidRPr="00D92E20">
        <w:t>51</w:t>
      </w:r>
      <w:r w:rsidRPr="00D92E20">
        <w:t xml:space="preserve"> případů, přičemž podprůměrné hodnoty vykazovaly následující 2 kraje: Hlavní město Praha (</w:t>
      </w:r>
      <w:r w:rsidR="00013A43" w:rsidRPr="00D92E20">
        <w:t>39</w:t>
      </w:r>
      <w:r w:rsidRPr="00D92E20">
        <w:t>) a Jihomoravský kraj (</w:t>
      </w:r>
      <w:r w:rsidR="00013A43" w:rsidRPr="00D92E20">
        <w:t>49</w:t>
      </w:r>
      <w:r w:rsidRPr="00D92E20">
        <w:t xml:space="preserve">). Rozdíl dvou extrémních krajů představoval </w:t>
      </w:r>
      <w:r w:rsidR="00013A43" w:rsidRPr="00D92E20">
        <w:t>25</w:t>
      </w:r>
      <w:r w:rsidRPr="00D92E20">
        <w:t xml:space="preserve"> případů pracovní neschopnosti na 100 pojištěnců. Hodnoty tohoto sledovaného ukazatele oproti </w:t>
      </w:r>
      <w:r w:rsidR="00013A43" w:rsidRPr="00D92E20">
        <w:t>roku</w:t>
      </w:r>
      <w:r w:rsidRPr="00D92E20">
        <w:t xml:space="preserve"> 2019 meziročně vzrostly ve všech krajích, což je patrné z grafu 2.</w:t>
      </w:r>
      <w:r w:rsidR="004C5ABF" w:rsidRPr="00D92E20">
        <w:t>6</w:t>
      </w:r>
      <w:r w:rsidRPr="00D92E20">
        <w:t>. Nejvíce v</w:t>
      </w:r>
      <w:r w:rsidR="004C5ABF" w:rsidRPr="00D92E20">
        <w:t>e</w:t>
      </w:r>
      <w:r w:rsidRPr="00D92E20">
        <w:t> </w:t>
      </w:r>
      <w:r w:rsidR="004C5ABF" w:rsidRPr="00D92E20">
        <w:t>Zlínském</w:t>
      </w:r>
      <w:r w:rsidRPr="00D92E20">
        <w:t xml:space="preserve"> (+</w:t>
      </w:r>
      <w:r w:rsidR="004C5ABF" w:rsidRPr="00D92E20">
        <w:t>18</w:t>
      </w:r>
      <w:r w:rsidRPr="00D92E20">
        <w:t>) a v Moravskoslezském kraji (+</w:t>
      </w:r>
      <w:r w:rsidR="004C5ABF" w:rsidRPr="00D92E20">
        <w:t>17</w:t>
      </w:r>
      <w:r w:rsidRPr="00D92E20">
        <w:t>). Na</w:t>
      </w:r>
      <w:r w:rsidR="004C5ABF" w:rsidRPr="00D92E20">
        <w:t>opak nejnižší nárůst zaznamenala Praha</w:t>
      </w:r>
      <w:r w:rsidRPr="00D92E20">
        <w:t xml:space="preserve"> (+</w:t>
      </w:r>
      <w:r w:rsidR="004C5ABF" w:rsidRPr="00D92E20">
        <w:t>5</w:t>
      </w:r>
      <w:r w:rsidRPr="00D92E20">
        <w:t>).</w:t>
      </w:r>
    </w:p>
    <w:p w14:paraId="14F7162E" w14:textId="77777777" w:rsidR="008126FD" w:rsidRPr="00D92E20" w:rsidRDefault="008126FD" w:rsidP="00BA6B4E">
      <w:pPr>
        <w:spacing w:before="120" w:after="120"/>
        <w:jc w:val="both"/>
      </w:pPr>
      <w:r w:rsidRPr="00D92E20">
        <w:lastRenderedPageBreak/>
        <w:t xml:space="preserve">Rozdíly v počtu případů dočasné pracovní neschopnosti dle územního členění jsou značně ovlivněny strukturou zaměstnanosti, charakterem převažující ekonomické činnosti a mírou nezaměstnanosti v daném regionu. Je nutno zohlednit též </w:t>
      </w:r>
      <w:r w:rsidRPr="00D92E20">
        <w:rPr>
          <w:b/>
        </w:rPr>
        <w:t>metodiku zpracování dat, kdy rozlišení dle krajů a okresů vychází z údaje o sídle útvaru</w:t>
      </w:r>
      <w:r w:rsidRPr="00D92E20">
        <w:t>, který vede evidenci mezd zaměstnavateli osoby v pracovní neschopnosti.</w:t>
      </w:r>
    </w:p>
    <w:p w14:paraId="28E0347E" w14:textId="77777777" w:rsidR="00013A43" w:rsidRPr="00D92E20" w:rsidRDefault="00013A43" w:rsidP="008126FD">
      <w:pPr>
        <w:jc w:val="both"/>
        <w:rPr>
          <w:b/>
          <w:spacing w:val="-7"/>
        </w:rPr>
      </w:pPr>
      <w:r w:rsidRPr="00D92E20">
        <w:rPr>
          <w:b/>
          <w:spacing w:val="-7"/>
        </w:rPr>
        <w:t>Graf 2.6: Nově hlášené případy dočasné pracovní neschopnosti na 100 pojištěnců podle krajů ČR, 2019 a 2020</w:t>
      </w:r>
    </w:p>
    <w:p w14:paraId="3C4A9CD7" w14:textId="77777777" w:rsidR="00013A43" w:rsidRPr="00D92E20" w:rsidRDefault="00013A43" w:rsidP="008126FD">
      <w:pPr>
        <w:jc w:val="both"/>
        <w:rPr>
          <w:b/>
          <w:spacing w:val="-7"/>
        </w:rPr>
      </w:pPr>
      <w:r w:rsidRPr="00D92E20">
        <w:rPr>
          <w:noProof/>
        </w:rPr>
        <w:drawing>
          <wp:inline distT="0" distB="0" distL="0" distR="0" wp14:anchorId="632578BB" wp14:editId="3083078A">
            <wp:extent cx="6115050" cy="2895600"/>
            <wp:effectExtent l="0" t="0" r="0" b="0"/>
            <wp:docPr id="24" name="Graf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56FC07F" w14:textId="77777777" w:rsidR="00013A43" w:rsidRPr="00D92E20" w:rsidRDefault="00013A43" w:rsidP="00BA6B4E">
      <w:pPr>
        <w:spacing w:before="120" w:after="120"/>
        <w:rPr>
          <w:sz w:val="16"/>
        </w:rPr>
      </w:pPr>
      <w:r w:rsidRPr="00D92E20">
        <w:rPr>
          <w:sz w:val="16"/>
        </w:rPr>
        <w:t>Zdroj: ČSÚ</w:t>
      </w:r>
    </w:p>
    <w:p w14:paraId="40B46A2A" w14:textId="77777777" w:rsidR="00E404AC" w:rsidRPr="00D92E20" w:rsidRDefault="00B0095F" w:rsidP="00684AA4">
      <w:pPr>
        <w:pStyle w:val="Seznam"/>
        <w:jc w:val="both"/>
        <w:rPr>
          <w:b/>
          <w:spacing w:val="-6"/>
        </w:rPr>
      </w:pPr>
      <w:r w:rsidRPr="00D92E20">
        <w:rPr>
          <w:b/>
          <w:spacing w:val="-6"/>
        </w:rPr>
        <w:t>Tab. 2.3: Nově hlášené případy dočasné pracovní neschopnosti na 100 pojištěnců podle krajů ČR, 2010–2020</w:t>
      </w:r>
    </w:p>
    <w:tbl>
      <w:tblPr>
        <w:tblW w:w="9627" w:type="dxa"/>
        <w:tblCellMar>
          <w:left w:w="70" w:type="dxa"/>
          <w:right w:w="70" w:type="dxa"/>
        </w:tblCellMar>
        <w:tblLook w:val="04A0" w:firstRow="1" w:lastRow="0" w:firstColumn="1" w:lastColumn="0" w:noHBand="0" w:noVBand="1"/>
      </w:tblPr>
      <w:tblGrid>
        <w:gridCol w:w="1960"/>
        <w:gridCol w:w="697"/>
        <w:gridCol w:w="697"/>
        <w:gridCol w:w="697"/>
        <w:gridCol w:w="697"/>
        <w:gridCol w:w="697"/>
        <w:gridCol w:w="697"/>
        <w:gridCol w:w="697"/>
        <w:gridCol w:w="697"/>
        <w:gridCol w:w="697"/>
        <w:gridCol w:w="697"/>
        <w:gridCol w:w="697"/>
      </w:tblGrid>
      <w:tr w:rsidR="00B0095F" w:rsidRPr="00D92E20" w14:paraId="6DBAC428" w14:textId="77777777" w:rsidTr="00B0095F">
        <w:trPr>
          <w:trHeight w:val="300"/>
        </w:trPr>
        <w:tc>
          <w:tcPr>
            <w:tcW w:w="1960" w:type="dxa"/>
            <w:tcBorders>
              <w:top w:val="single" w:sz="4" w:space="0" w:color="auto"/>
              <w:left w:val="nil"/>
              <w:bottom w:val="single" w:sz="4" w:space="0" w:color="auto"/>
              <w:right w:val="single" w:sz="4" w:space="0" w:color="auto"/>
            </w:tcBorders>
            <w:shd w:val="clear" w:color="000000" w:fill="F5DADD"/>
            <w:noWrap/>
            <w:vAlign w:val="center"/>
            <w:hideMark/>
          </w:tcPr>
          <w:p w14:paraId="6459A84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Kraj ČR</w:t>
            </w:r>
          </w:p>
        </w:tc>
        <w:tc>
          <w:tcPr>
            <w:tcW w:w="697" w:type="dxa"/>
            <w:tcBorders>
              <w:top w:val="single" w:sz="4" w:space="0" w:color="auto"/>
              <w:left w:val="nil"/>
              <w:bottom w:val="single" w:sz="4" w:space="0" w:color="auto"/>
              <w:right w:val="nil"/>
            </w:tcBorders>
            <w:shd w:val="clear" w:color="000000" w:fill="F5DADD"/>
            <w:noWrap/>
            <w:vAlign w:val="center"/>
            <w:hideMark/>
          </w:tcPr>
          <w:p w14:paraId="5E9A39A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2010</w:t>
            </w:r>
          </w:p>
        </w:tc>
        <w:tc>
          <w:tcPr>
            <w:tcW w:w="697" w:type="dxa"/>
            <w:tcBorders>
              <w:top w:val="single" w:sz="4" w:space="0" w:color="auto"/>
              <w:left w:val="nil"/>
              <w:bottom w:val="single" w:sz="4" w:space="0" w:color="auto"/>
              <w:right w:val="nil"/>
            </w:tcBorders>
            <w:shd w:val="clear" w:color="000000" w:fill="F5DADD"/>
            <w:noWrap/>
            <w:vAlign w:val="center"/>
            <w:hideMark/>
          </w:tcPr>
          <w:p w14:paraId="5DA3D2C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2011</w:t>
            </w:r>
          </w:p>
        </w:tc>
        <w:tc>
          <w:tcPr>
            <w:tcW w:w="697" w:type="dxa"/>
            <w:tcBorders>
              <w:top w:val="single" w:sz="4" w:space="0" w:color="auto"/>
              <w:left w:val="nil"/>
              <w:bottom w:val="single" w:sz="4" w:space="0" w:color="auto"/>
              <w:right w:val="nil"/>
            </w:tcBorders>
            <w:shd w:val="clear" w:color="000000" w:fill="F5DADD"/>
            <w:noWrap/>
            <w:vAlign w:val="center"/>
            <w:hideMark/>
          </w:tcPr>
          <w:p w14:paraId="70D90A5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2012</w:t>
            </w:r>
          </w:p>
        </w:tc>
        <w:tc>
          <w:tcPr>
            <w:tcW w:w="697" w:type="dxa"/>
            <w:tcBorders>
              <w:top w:val="single" w:sz="4" w:space="0" w:color="auto"/>
              <w:left w:val="nil"/>
              <w:bottom w:val="single" w:sz="4" w:space="0" w:color="auto"/>
              <w:right w:val="nil"/>
            </w:tcBorders>
            <w:shd w:val="clear" w:color="000000" w:fill="F5DADD"/>
            <w:noWrap/>
            <w:vAlign w:val="center"/>
            <w:hideMark/>
          </w:tcPr>
          <w:p w14:paraId="516E3F03"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2013</w:t>
            </w:r>
          </w:p>
        </w:tc>
        <w:tc>
          <w:tcPr>
            <w:tcW w:w="697" w:type="dxa"/>
            <w:tcBorders>
              <w:top w:val="single" w:sz="4" w:space="0" w:color="auto"/>
              <w:left w:val="nil"/>
              <w:bottom w:val="single" w:sz="4" w:space="0" w:color="auto"/>
              <w:right w:val="nil"/>
            </w:tcBorders>
            <w:shd w:val="clear" w:color="000000" w:fill="F5DADD"/>
            <w:noWrap/>
            <w:vAlign w:val="center"/>
            <w:hideMark/>
          </w:tcPr>
          <w:p w14:paraId="0D7431B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2014</w:t>
            </w:r>
          </w:p>
        </w:tc>
        <w:tc>
          <w:tcPr>
            <w:tcW w:w="697" w:type="dxa"/>
            <w:tcBorders>
              <w:top w:val="single" w:sz="4" w:space="0" w:color="auto"/>
              <w:left w:val="nil"/>
              <w:bottom w:val="single" w:sz="4" w:space="0" w:color="auto"/>
              <w:right w:val="nil"/>
            </w:tcBorders>
            <w:shd w:val="clear" w:color="000000" w:fill="F5DADD"/>
            <w:noWrap/>
            <w:vAlign w:val="center"/>
            <w:hideMark/>
          </w:tcPr>
          <w:p w14:paraId="3DA48C0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2015</w:t>
            </w:r>
          </w:p>
        </w:tc>
        <w:tc>
          <w:tcPr>
            <w:tcW w:w="697" w:type="dxa"/>
            <w:tcBorders>
              <w:top w:val="single" w:sz="4" w:space="0" w:color="auto"/>
              <w:left w:val="nil"/>
              <w:bottom w:val="single" w:sz="4" w:space="0" w:color="auto"/>
              <w:right w:val="nil"/>
            </w:tcBorders>
            <w:shd w:val="clear" w:color="000000" w:fill="F5DADD"/>
            <w:noWrap/>
            <w:vAlign w:val="center"/>
            <w:hideMark/>
          </w:tcPr>
          <w:p w14:paraId="6C9CD21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2016</w:t>
            </w:r>
          </w:p>
        </w:tc>
        <w:tc>
          <w:tcPr>
            <w:tcW w:w="697" w:type="dxa"/>
            <w:tcBorders>
              <w:top w:val="single" w:sz="4" w:space="0" w:color="auto"/>
              <w:left w:val="nil"/>
              <w:bottom w:val="single" w:sz="4" w:space="0" w:color="auto"/>
              <w:right w:val="nil"/>
            </w:tcBorders>
            <w:shd w:val="clear" w:color="000000" w:fill="F5DADD"/>
            <w:noWrap/>
            <w:vAlign w:val="center"/>
            <w:hideMark/>
          </w:tcPr>
          <w:p w14:paraId="5735A01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2017</w:t>
            </w:r>
          </w:p>
        </w:tc>
        <w:tc>
          <w:tcPr>
            <w:tcW w:w="697" w:type="dxa"/>
            <w:tcBorders>
              <w:top w:val="single" w:sz="4" w:space="0" w:color="auto"/>
              <w:left w:val="nil"/>
              <w:bottom w:val="single" w:sz="4" w:space="0" w:color="auto"/>
              <w:right w:val="nil"/>
            </w:tcBorders>
            <w:shd w:val="clear" w:color="000000" w:fill="F5DADD"/>
            <w:noWrap/>
            <w:vAlign w:val="center"/>
            <w:hideMark/>
          </w:tcPr>
          <w:p w14:paraId="3F4C62D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2018</w:t>
            </w:r>
          </w:p>
        </w:tc>
        <w:tc>
          <w:tcPr>
            <w:tcW w:w="697" w:type="dxa"/>
            <w:tcBorders>
              <w:top w:val="single" w:sz="4" w:space="0" w:color="auto"/>
              <w:left w:val="nil"/>
              <w:bottom w:val="single" w:sz="4" w:space="0" w:color="auto"/>
              <w:right w:val="nil"/>
            </w:tcBorders>
            <w:shd w:val="clear" w:color="000000" w:fill="F5DADD"/>
            <w:noWrap/>
            <w:vAlign w:val="center"/>
            <w:hideMark/>
          </w:tcPr>
          <w:p w14:paraId="7079621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2019</w:t>
            </w:r>
          </w:p>
        </w:tc>
        <w:tc>
          <w:tcPr>
            <w:tcW w:w="697" w:type="dxa"/>
            <w:tcBorders>
              <w:top w:val="single" w:sz="4" w:space="0" w:color="auto"/>
              <w:left w:val="nil"/>
              <w:bottom w:val="single" w:sz="4" w:space="0" w:color="auto"/>
              <w:right w:val="nil"/>
            </w:tcBorders>
            <w:shd w:val="clear" w:color="000000" w:fill="F5DADD"/>
            <w:noWrap/>
            <w:vAlign w:val="center"/>
            <w:hideMark/>
          </w:tcPr>
          <w:p w14:paraId="7BB51A31"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2020</w:t>
            </w:r>
          </w:p>
        </w:tc>
      </w:tr>
      <w:tr w:rsidR="00B0095F" w:rsidRPr="00D92E20" w14:paraId="12D385F8"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1042433" w14:textId="77777777" w:rsidR="00B0095F" w:rsidRPr="00D92E20" w:rsidRDefault="00B0095F" w:rsidP="00B0095F">
            <w:pPr>
              <w:spacing w:after="0" w:line="240" w:lineRule="auto"/>
              <w:rPr>
                <w:rFonts w:cs="Arial"/>
                <w:b/>
                <w:bCs/>
                <w:color w:val="000000"/>
                <w:sz w:val="16"/>
                <w:szCs w:val="16"/>
              </w:rPr>
            </w:pPr>
            <w:r w:rsidRPr="00D92E20">
              <w:rPr>
                <w:rFonts w:cs="Arial"/>
                <w:b/>
                <w:bCs/>
                <w:color w:val="000000"/>
                <w:sz w:val="16"/>
                <w:szCs w:val="16"/>
              </w:rPr>
              <w:t>ČR celkem</w:t>
            </w:r>
          </w:p>
        </w:tc>
        <w:tc>
          <w:tcPr>
            <w:tcW w:w="697" w:type="dxa"/>
            <w:tcBorders>
              <w:top w:val="nil"/>
              <w:left w:val="nil"/>
              <w:bottom w:val="nil"/>
              <w:right w:val="nil"/>
            </w:tcBorders>
            <w:shd w:val="clear" w:color="auto" w:fill="auto"/>
            <w:noWrap/>
            <w:vAlign w:val="center"/>
            <w:hideMark/>
          </w:tcPr>
          <w:p w14:paraId="06ED8123"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30,7</w:t>
            </w:r>
          </w:p>
        </w:tc>
        <w:tc>
          <w:tcPr>
            <w:tcW w:w="697" w:type="dxa"/>
            <w:tcBorders>
              <w:top w:val="nil"/>
              <w:left w:val="nil"/>
              <w:bottom w:val="nil"/>
              <w:right w:val="nil"/>
            </w:tcBorders>
            <w:shd w:val="clear" w:color="auto" w:fill="auto"/>
            <w:noWrap/>
            <w:vAlign w:val="center"/>
            <w:hideMark/>
          </w:tcPr>
          <w:p w14:paraId="607FCF90"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30,1</w:t>
            </w:r>
          </w:p>
        </w:tc>
        <w:tc>
          <w:tcPr>
            <w:tcW w:w="697" w:type="dxa"/>
            <w:tcBorders>
              <w:top w:val="nil"/>
              <w:left w:val="nil"/>
              <w:bottom w:val="nil"/>
              <w:right w:val="nil"/>
            </w:tcBorders>
            <w:shd w:val="clear" w:color="auto" w:fill="auto"/>
            <w:noWrap/>
            <w:vAlign w:val="center"/>
            <w:hideMark/>
          </w:tcPr>
          <w:p w14:paraId="224ABBD4"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27,4</w:t>
            </w:r>
          </w:p>
        </w:tc>
        <w:tc>
          <w:tcPr>
            <w:tcW w:w="697" w:type="dxa"/>
            <w:tcBorders>
              <w:top w:val="nil"/>
              <w:left w:val="nil"/>
              <w:bottom w:val="nil"/>
              <w:right w:val="nil"/>
            </w:tcBorders>
            <w:shd w:val="clear" w:color="auto" w:fill="auto"/>
            <w:noWrap/>
            <w:vAlign w:val="center"/>
            <w:hideMark/>
          </w:tcPr>
          <w:p w14:paraId="281478CD"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30,0</w:t>
            </w:r>
          </w:p>
        </w:tc>
        <w:tc>
          <w:tcPr>
            <w:tcW w:w="697" w:type="dxa"/>
            <w:tcBorders>
              <w:top w:val="nil"/>
              <w:left w:val="nil"/>
              <w:bottom w:val="nil"/>
              <w:right w:val="nil"/>
            </w:tcBorders>
            <w:shd w:val="clear" w:color="auto" w:fill="auto"/>
            <w:noWrap/>
            <w:vAlign w:val="center"/>
            <w:hideMark/>
          </w:tcPr>
          <w:p w14:paraId="346B2092"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29,5</w:t>
            </w:r>
          </w:p>
        </w:tc>
        <w:tc>
          <w:tcPr>
            <w:tcW w:w="697" w:type="dxa"/>
            <w:tcBorders>
              <w:top w:val="nil"/>
              <w:left w:val="nil"/>
              <w:bottom w:val="nil"/>
              <w:right w:val="nil"/>
            </w:tcBorders>
            <w:shd w:val="clear" w:color="auto" w:fill="auto"/>
            <w:noWrap/>
            <w:vAlign w:val="center"/>
            <w:hideMark/>
          </w:tcPr>
          <w:p w14:paraId="0CCD618D"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34,7</w:t>
            </w:r>
          </w:p>
        </w:tc>
        <w:tc>
          <w:tcPr>
            <w:tcW w:w="697" w:type="dxa"/>
            <w:tcBorders>
              <w:top w:val="nil"/>
              <w:left w:val="nil"/>
              <w:bottom w:val="nil"/>
              <w:right w:val="nil"/>
            </w:tcBorders>
            <w:shd w:val="clear" w:color="auto" w:fill="auto"/>
            <w:noWrap/>
            <w:vAlign w:val="center"/>
            <w:hideMark/>
          </w:tcPr>
          <w:p w14:paraId="3E240FE7"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35,7</w:t>
            </w:r>
          </w:p>
        </w:tc>
        <w:tc>
          <w:tcPr>
            <w:tcW w:w="697" w:type="dxa"/>
            <w:tcBorders>
              <w:top w:val="nil"/>
              <w:left w:val="nil"/>
              <w:bottom w:val="nil"/>
              <w:right w:val="nil"/>
            </w:tcBorders>
            <w:shd w:val="clear" w:color="auto" w:fill="auto"/>
            <w:noWrap/>
            <w:vAlign w:val="center"/>
            <w:hideMark/>
          </w:tcPr>
          <w:p w14:paraId="0882D4CF"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36,6</w:t>
            </w:r>
          </w:p>
        </w:tc>
        <w:tc>
          <w:tcPr>
            <w:tcW w:w="697" w:type="dxa"/>
            <w:tcBorders>
              <w:top w:val="nil"/>
              <w:left w:val="nil"/>
              <w:bottom w:val="nil"/>
              <w:right w:val="nil"/>
            </w:tcBorders>
            <w:shd w:val="clear" w:color="auto" w:fill="auto"/>
            <w:noWrap/>
            <w:vAlign w:val="center"/>
            <w:hideMark/>
          </w:tcPr>
          <w:p w14:paraId="1E2AAC0B"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39,1</w:t>
            </w:r>
          </w:p>
        </w:tc>
        <w:tc>
          <w:tcPr>
            <w:tcW w:w="697" w:type="dxa"/>
            <w:tcBorders>
              <w:top w:val="nil"/>
              <w:left w:val="nil"/>
              <w:bottom w:val="nil"/>
              <w:right w:val="nil"/>
            </w:tcBorders>
            <w:shd w:val="clear" w:color="auto" w:fill="auto"/>
            <w:noWrap/>
            <w:vAlign w:val="center"/>
            <w:hideMark/>
          </w:tcPr>
          <w:p w14:paraId="6616E73A"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40,5</w:t>
            </w:r>
          </w:p>
        </w:tc>
        <w:tc>
          <w:tcPr>
            <w:tcW w:w="697" w:type="dxa"/>
            <w:tcBorders>
              <w:top w:val="nil"/>
              <w:left w:val="nil"/>
              <w:bottom w:val="nil"/>
              <w:right w:val="nil"/>
            </w:tcBorders>
            <w:shd w:val="clear" w:color="auto" w:fill="auto"/>
            <w:noWrap/>
            <w:vAlign w:val="center"/>
            <w:hideMark/>
          </w:tcPr>
          <w:p w14:paraId="17B195FB" w14:textId="77777777" w:rsidR="00B0095F" w:rsidRPr="00D92E20" w:rsidRDefault="00B0095F" w:rsidP="00B0095F">
            <w:pPr>
              <w:spacing w:after="0" w:line="240" w:lineRule="auto"/>
              <w:jc w:val="center"/>
              <w:rPr>
                <w:rFonts w:cs="Arial"/>
                <w:b/>
                <w:bCs/>
                <w:color w:val="000000"/>
                <w:sz w:val="16"/>
                <w:szCs w:val="16"/>
              </w:rPr>
            </w:pPr>
            <w:r w:rsidRPr="00D92E20">
              <w:rPr>
                <w:rFonts w:cs="Arial"/>
                <w:b/>
                <w:bCs/>
                <w:color w:val="000000"/>
                <w:sz w:val="16"/>
                <w:szCs w:val="16"/>
              </w:rPr>
              <w:t>51,0</w:t>
            </w:r>
          </w:p>
        </w:tc>
      </w:tr>
      <w:tr w:rsidR="00B0095F" w:rsidRPr="00D92E20" w14:paraId="01FB752B"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57C72F05"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97" w:type="dxa"/>
            <w:tcBorders>
              <w:top w:val="nil"/>
              <w:left w:val="nil"/>
              <w:bottom w:val="nil"/>
              <w:right w:val="nil"/>
            </w:tcBorders>
            <w:shd w:val="clear" w:color="auto" w:fill="auto"/>
            <w:noWrap/>
            <w:vAlign w:val="center"/>
            <w:hideMark/>
          </w:tcPr>
          <w:p w14:paraId="0F63A7F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29,2</w:t>
            </w:r>
          </w:p>
        </w:tc>
        <w:tc>
          <w:tcPr>
            <w:tcW w:w="697" w:type="dxa"/>
            <w:tcBorders>
              <w:top w:val="nil"/>
              <w:left w:val="nil"/>
              <w:bottom w:val="nil"/>
              <w:right w:val="nil"/>
            </w:tcBorders>
            <w:shd w:val="clear" w:color="auto" w:fill="auto"/>
            <w:noWrap/>
            <w:vAlign w:val="center"/>
            <w:hideMark/>
          </w:tcPr>
          <w:p w14:paraId="7D2E62D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28,4</w:t>
            </w:r>
          </w:p>
        </w:tc>
        <w:tc>
          <w:tcPr>
            <w:tcW w:w="697" w:type="dxa"/>
            <w:tcBorders>
              <w:top w:val="nil"/>
              <w:left w:val="nil"/>
              <w:bottom w:val="nil"/>
              <w:right w:val="nil"/>
            </w:tcBorders>
            <w:shd w:val="clear" w:color="auto" w:fill="auto"/>
            <w:noWrap/>
            <w:vAlign w:val="center"/>
            <w:hideMark/>
          </w:tcPr>
          <w:p w14:paraId="779315AA"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23,8</w:t>
            </w:r>
          </w:p>
        </w:tc>
        <w:tc>
          <w:tcPr>
            <w:tcW w:w="697" w:type="dxa"/>
            <w:tcBorders>
              <w:top w:val="nil"/>
              <w:left w:val="nil"/>
              <w:bottom w:val="nil"/>
              <w:right w:val="nil"/>
            </w:tcBorders>
            <w:shd w:val="clear" w:color="auto" w:fill="auto"/>
            <w:noWrap/>
            <w:vAlign w:val="center"/>
            <w:hideMark/>
          </w:tcPr>
          <w:p w14:paraId="60B31E41"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25,7</w:t>
            </w:r>
          </w:p>
        </w:tc>
        <w:tc>
          <w:tcPr>
            <w:tcW w:w="697" w:type="dxa"/>
            <w:tcBorders>
              <w:top w:val="nil"/>
              <w:left w:val="nil"/>
              <w:bottom w:val="nil"/>
              <w:right w:val="nil"/>
            </w:tcBorders>
            <w:shd w:val="clear" w:color="auto" w:fill="auto"/>
            <w:noWrap/>
            <w:vAlign w:val="center"/>
            <w:hideMark/>
          </w:tcPr>
          <w:p w14:paraId="529C9B6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25,8</w:t>
            </w:r>
          </w:p>
        </w:tc>
        <w:tc>
          <w:tcPr>
            <w:tcW w:w="697" w:type="dxa"/>
            <w:tcBorders>
              <w:top w:val="nil"/>
              <w:left w:val="nil"/>
              <w:bottom w:val="nil"/>
              <w:right w:val="nil"/>
            </w:tcBorders>
            <w:shd w:val="clear" w:color="auto" w:fill="auto"/>
            <w:noWrap/>
            <w:vAlign w:val="center"/>
            <w:hideMark/>
          </w:tcPr>
          <w:p w14:paraId="5D03691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29,4</w:t>
            </w:r>
          </w:p>
        </w:tc>
        <w:tc>
          <w:tcPr>
            <w:tcW w:w="697" w:type="dxa"/>
            <w:tcBorders>
              <w:top w:val="nil"/>
              <w:left w:val="nil"/>
              <w:bottom w:val="nil"/>
              <w:right w:val="nil"/>
            </w:tcBorders>
            <w:shd w:val="clear" w:color="auto" w:fill="auto"/>
            <w:noWrap/>
            <w:vAlign w:val="center"/>
            <w:hideMark/>
          </w:tcPr>
          <w:p w14:paraId="66E32537"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30,1</w:t>
            </w:r>
          </w:p>
        </w:tc>
        <w:tc>
          <w:tcPr>
            <w:tcW w:w="697" w:type="dxa"/>
            <w:tcBorders>
              <w:top w:val="nil"/>
              <w:left w:val="nil"/>
              <w:bottom w:val="nil"/>
              <w:right w:val="nil"/>
            </w:tcBorders>
            <w:shd w:val="clear" w:color="auto" w:fill="auto"/>
            <w:noWrap/>
            <w:vAlign w:val="center"/>
            <w:hideMark/>
          </w:tcPr>
          <w:p w14:paraId="33179FF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30,3</w:t>
            </w:r>
          </w:p>
        </w:tc>
        <w:tc>
          <w:tcPr>
            <w:tcW w:w="697" w:type="dxa"/>
            <w:tcBorders>
              <w:top w:val="nil"/>
              <w:left w:val="nil"/>
              <w:bottom w:val="nil"/>
              <w:right w:val="nil"/>
            </w:tcBorders>
            <w:shd w:val="clear" w:color="auto" w:fill="auto"/>
            <w:noWrap/>
            <w:vAlign w:val="center"/>
            <w:hideMark/>
          </w:tcPr>
          <w:p w14:paraId="2C60EA0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31,9</w:t>
            </w:r>
          </w:p>
        </w:tc>
        <w:tc>
          <w:tcPr>
            <w:tcW w:w="697" w:type="dxa"/>
            <w:tcBorders>
              <w:top w:val="nil"/>
              <w:left w:val="nil"/>
              <w:bottom w:val="nil"/>
              <w:right w:val="nil"/>
            </w:tcBorders>
            <w:shd w:val="clear" w:color="auto" w:fill="auto"/>
            <w:noWrap/>
            <w:vAlign w:val="center"/>
            <w:hideMark/>
          </w:tcPr>
          <w:p w14:paraId="1CFDD3F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50B9C65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38,8</w:t>
            </w:r>
          </w:p>
        </w:tc>
      </w:tr>
      <w:tr w:rsidR="00B0095F" w:rsidRPr="00D92E20" w14:paraId="65794476"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6CA9983"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97" w:type="dxa"/>
            <w:tcBorders>
              <w:top w:val="nil"/>
              <w:left w:val="nil"/>
              <w:bottom w:val="nil"/>
              <w:right w:val="nil"/>
            </w:tcBorders>
            <w:shd w:val="clear" w:color="auto" w:fill="auto"/>
            <w:noWrap/>
            <w:vAlign w:val="center"/>
            <w:hideMark/>
          </w:tcPr>
          <w:p w14:paraId="456FF47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32,2</w:t>
            </w:r>
          </w:p>
        </w:tc>
        <w:tc>
          <w:tcPr>
            <w:tcW w:w="697" w:type="dxa"/>
            <w:tcBorders>
              <w:top w:val="nil"/>
              <w:left w:val="nil"/>
              <w:bottom w:val="nil"/>
              <w:right w:val="nil"/>
            </w:tcBorders>
            <w:shd w:val="clear" w:color="auto" w:fill="auto"/>
            <w:noWrap/>
            <w:vAlign w:val="center"/>
            <w:hideMark/>
          </w:tcPr>
          <w:p w14:paraId="730304D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55DED85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611D9EA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485B3BF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6F1926E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32F695D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38,0</w:t>
            </w:r>
          </w:p>
        </w:tc>
        <w:tc>
          <w:tcPr>
            <w:tcW w:w="697" w:type="dxa"/>
            <w:tcBorders>
              <w:top w:val="nil"/>
              <w:left w:val="nil"/>
              <w:bottom w:val="nil"/>
              <w:right w:val="nil"/>
            </w:tcBorders>
            <w:shd w:val="clear" w:color="auto" w:fill="auto"/>
            <w:noWrap/>
            <w:vAlign w:val="center"/>
            <w:hideMark/>
          </w:tcPr>
          <w:p w14:paraId="38DFCAE6"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7C77B94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42,1</w:t>
            </w:r>
          </w:p>
        </w:tc>
        <w:tc>
          <w:tcPr>
            <w:tcW w:w="697" w:type="dxa"/>
            <w:tcBorders>
              <w:top w:val="nil"/>
              <w:left w:val="nil"/>
              <w:bottom w:val="nil"/>
              <w:right w:val="nil"/>
            </w:tcBorders>
            <w:shd w:val="clear" w:color="auto" w:fill="auto"/>
            <w:noWrap/>
            <w:vAlign w:val="center"/>
            <w:hideMark/>
          </w:tcPr>
          <w:p w14:paraId="180D1126"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43,4</w:t>
            </w:r>
          </w:p>
        </w:tc>
        <w:tc>
          <w:tcPr>
            <w:tcW w:w="697" w:type="dxa"/>
            <w:tcBorders>
              <w:top w:val="nil"/>
              <w:left w:val="nil"/>
              <w:bottom w:val="nil"/>
              <w:right w:val="nil"/>
            </w:tcBorders>
            <w:shd w:val="clear" w:color="auto" w:fill="auto"/>
            <w:noWrap/>
            <w:vAlign w:val="center"/>
            <w:hideMark/>
          </w:tcPr>
          <w:p w14:paraId="4857A59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52,9</w:t>
            </w:r>
          </w:p>
        </w:tc>
      </w:tr>
      <w:tr w:rsidR="00B0095F" w:rsidRPr="00D92E20" w14:paraId="210F9474"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8444731"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97" w:type="dxa"/>
            <w:tcBorders>
              <w:top w:val="nil"/>
              <w:left w:val="nil"/>
              <w:bottom w:val="nil"/>
              <w:right w:val="nil"/>
            </w:tcBorders>
            <w:shd w:val="clear" w:color="auto" w:fill="auto"/>
            <w:noWrap/>
            <w:vAlign w:val="center"/>
            <w:hideMark/>
          </w:tcPr>
          <w:p w14:paraId="6E6C2B51"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32,3</w:t>
            </w:r>
          </w:p>
        </w:tc>
        <w:tc>
          <w:tcPr>
            <w:tcW w:w="697" w:type="dxa"/>
            <w:tcBorders>
              <w:top w:val="nil"/>
              <w:left w:val="nil"/>
              <w:bottom w:val="nil"/>
              <w:right w:val="nil"/>
            </w:tcBorders>
            <w:shd w:val="clear" w:color="auto" w:fill="auto"/>
            <w:noWrap/>
            <w:vAlign w:val="center"/>
            <w:hideMark/>
          </w:tcPr>
          <w:p w14:paraId="46C6C0D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51E06F57"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2A1C2CC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15EEB5C6"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33,0</w:t>
            </w:r>
          </w:p>
        </w:tc>
        <w:tc>
          <w:tcPr>
            <w:tcW w:w="697" w:type="dxa"/>
            <w:tcBorders>
              <w:top w:val="nil"/>
              <w:left w:val="nil"/>
              <w:bottom w:val="nil"/>
              <w:right w:val="nil"/>
            </w:tcBorders>
            <w:shd w:val="clear" w:color="auto" w:fill="auto"/>
            <w:noWrap/>
            <w:vAlign w:val="center"/>
            <w:hideMark/>
          </w:tcPr>
          <w:p w14:paraId="01C01A7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39,3</w:t>
            </w:r>
          </w:p>
        </w:tc>
        <w:tc>
          <w:tcPr>
            <w:tcW w:w="697" w:type="dxa"/>
            <w:tcBorders>
              <w:top w:val="nil"/>
              <w:left w:val="nil"/>
              <w:bottom w:val="nil"/>
              <w:right w:val="nil"/>
            </w:tcBorders>
            <w:shd w:val="clear" w:color="auto" w:fill="auto"/>
            <w:noWrap/>
            <w:vAlign w:val="center"/>
            <w:hideMark/>
          </w:tcPr>
          <w:p w14:paraId="41C4F1A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3B78192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41,1</w:t>
            </w:r>
          </w:p>
        </w:tc>
        <w:tc>
          <w:tcPr>
            <w:tcW w:w="697" w:type="dxa"/>
            <w:tcBorders>
              <w:top w:val="nil"/>
              <w:left w:val="nil"/>
              <w:bottom w:val="nil"/>
              <w:right w:val="nil"/>
            </w:tcBorders>
            <w:shd w:val="clear" w:color="auto" w:fill="auto"/>
            <w:noWrap/>
            <w:vAlign w:val="center"/>
            <w:hideMark/>
          </w:tcPr>
          <w:p w14:paraId="096A749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43,3</w:t>
            </w:r>
          </w:p>
        </w:tc>
        <w:tc>
          <w:tcPr>
            <w:tcW w:w="697" w:type="dxa"/>
            <w:tcBorders>
              <w:top w:val="nil"/>
              <w:left w:val="nil"/>
              <w:bottom w:val="nil"/>
              <w:right w:val="nil"/>
            </w:tcBorders>
            <w:shd w:val="clear" w:color="auto" w:fill="auto"/>
            <w:noWrap/>
            <w:vAlign w:val="center"/>
            <w:hideMark/>
          </w:tcPr>
          <w:p w14:paraId="54089DC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6998AC1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55,8</w:t>
            </w:r>
          </w:p>
        </w:tc>
      </w:tr>
      <w:tr w:rsidR="00B0095F" w:rsidRPr="00D92E20" w14:paraId="28924A07"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6DBED74B"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97" w:type="dxa"/>
            <w:tcBorders>
              <w:top w:val="nil"/>
              <w:left w:val="nil"/>
              <w:bottom w:val="nil"/>
              <w:right w:val="nil"/>
            </w:tcBorders>
            <w:shd w:val="clear" w:color="auto" w:fill="auto"/>
            <w:noWrap/>
            <w:vAlign w:val="center"/>
            <w:hideMark/>
          </w:tcPr>
          <w:p w14:paraId="4D56381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33,8</w:t>
            </w:r>
          </w:p>
        </w:tc>
        <w:tc>
          <w:tcPr>
            <w:tcW w:w="697" w:type="dxa"/>
            <w:tcBorders>
              <w:top w:val="nil"/>
              <w:left w:val="nil"/>
              <w:bottom w:val="nil"/>
              <w:right w:val="nil"/>
            </w:tcBorders>
            <w:shd w:val="clear" w:color="auto" w:fill="auto"/>
            <w:noWrap/>
            <w:vAlign w:val="center"/>
            <w:hideMark/>
          </w:tcPr>
          <w:p w14:paraId="7FB23D6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34,4</w:t>
            </w:r>
          </w:p>
        </w:tc>
        <w:tc>
          <w:tcPr>
            <w:tcW w:w="697" w:type="dxa"/>
            <w:tcBorders>
              <w:top w:val="nil"/>
              <w:left w:val="nil"/>
              <w:bottom w:val="nil"/>
              <w:right w:val="nil"/>
            </w:tcBorders>
            <w:shd w:val="clear" w:color="auto" w:fill="auto"/>
            <w:noWrap/>
            <w:vAlign w:val="center"/>
            <w:hideMark/>
          </w:tcPr>
          <w:p w14:paraId="73EA154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33,7</w:t>
            </w:r>
          </w:p>
        </w:tc>
        <w:tc>
          <w:tcPr>
            <w:tcW w:w="697" w:type="dxa"/>
            <w:tcBorders>
              <w:top w:val="nil"/>
              <w:left w:val="nil"/>
              <w:bottom w:val="nil"/>
              <w:right w:val="nil"/>
            </w:tcBorders>
            <w:shd w:val="clear" w:color="auto" w:fill="auto"/>
            <w:noWrap/>
            <w:vAlign w:val="center"/>
            <w:hideMark/>
          </w:tcPr>
          <w:p w14:paraId="763EE04A"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35,6</w:t>
            </w:r>
          </w:p>
        </w:tc>
        <w:tc>
          <w:tcPr>
            <w:tcW w:w="697" w:type="dxa"/>
            <w:tcBorders>
              <w:top w:val="nil"/>
              <w:left w:val="nil"/>
              <w:bottom w:val="nil"/>
              <w:right w:val="nil"/>
            </w:tcBorders>
            <w:shd w:val="clear" w:color="auto" w:fill="auto"/>
            <w:noWrap/>
            <w:vAlign w:val="center"/>
            <w:hideMark/>
          </w:tcPr>
          <w:p w14:paraId="652F6A3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6709EEF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42,5</w:t>
            </w:r>
          </w:p>
        </w:tc>
        <w:tc>
          <w:tcPr>
            <w:tcW w:w="697" w:type="dxa"/>
            <w:tcBorders>
              <w:top w:val="nil"/>
              <w:left w:val="nil"/>
              <w:bottom w:val="nil"/>
              <w:right w:val="nil"/>
            </w:tcBorders>
            <w:shd w:val="clear" w:color="auto" w:fill="auto"/>
            <w:noWrap/>
            <w:vAlign w:val="center"/>
            <w:hideMark/>
          </w:tcPr>
          <w:p w14:paraId="032205D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4B46460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43,8</w:t>
            </w:r>
          </w:p>
        </w:tc>
        <w:tc>
          <w:tcPr>
            <w:tcW w:w="697" w:type="dxa"/>
            <w:tcBorders>
              <w:top w:val="nil"/>
              <w:left w:val="nil"/>
              <w:bottom w:val="nil"/>
              <w:right w:val="nil"/>
            </w:tcBorders>
            <w:shd w:val="clear" w:color="auto" w:fill="auto"/>
            <w:noWrap/>
            <w:vAlign w:val="center"/>
            <w:hideMark/>
          </w:tcPr>
          <w:p w14:paraId="61F9FE6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46,1</w:t>
            </w:r>
          </w:p>
        </w:tc>
        <w:tc>
          <w:tcPr>
            <w:tcW w:w="697" w:type="dxa"/>
            <w:tcBorders>
              <w:top w:val="nil"/>
              <w:left w:val="nil"/>
              <w:bottom w:val="nil"/>
              <w:right w:val="nil"/>
            </w:tcBorders>
            <w:shd w:val="clear" w:color="auto" w:fill="auto"/>
            <w:noWrap/>
            <w:vAlign w:val="center"/>
            <w:hideMark/>
          </w:tcPr>
          <w:p w14:paraId="4EA156D6"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46,4</w:t>
            </w:r>
          </w:p>
        </w:tc>
        <w:tc>
          <w:tcPr>
            <w:tcW w:w="697" w:type="dxa"/>
            <w:tcBorders>
              <w:top w:val="nil"/>
              <w:left w:val="nil"/>
              <w:bottom w:val="nil"/>
              <w:right w:val="nil"/>
            </w:tcBorders>
            <w:shd w:val="clear" w:color="auto" w:fill="auto"/>
            <w:noWrap/>
            <w:vAlign w:val="center"/>
            <w:hideMark/>
          </w:tcPr>
          <w:p w14:paraId="1E8D2A0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56,1</w:t>
            </w:r>
          </w:p>
        </w:tc>
      </w:tr>
      <w:tr w:rsidR="00B0095F" w:rsidRPr="00D92E20" w14:paraId="1628DC7C"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0F2EAF36"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97" w:type="dxa"/>
            <w:tcBorders>
              <w:top w:val="nil"/>
              <w:left w:val="nil"/>
              <w:bottom w:val="nil"/>
              <w:right w:val="nil"/>
            </w:tcBorders>
            <w:shd w:val="clear" w:color="auto" w:fill="auto"/>
            <w:noWrap/>
            <w:vAlign w:val="center"/>
            <w:hideMark/>
          </w:tcPr>
          <w:p w14:paraId="0D0454B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32,3</w:t>
            </w:r>
          </w:p>
        </w:tc>
        <w:tc>
          <w:tcPr>
            <w:tcW w:w="697" w:type="dxa"/>
            <w:tcBorders>
              <w:top w:val="nil"/>
              <w:left w:val="nil"/>
              <w:bottom w:val="nil"/>
              <w:right w:val="nil"/>
            </w:tcBorders>
            <w:shd w:val="clear" w:color="auto" w:fill="auto"/>
            <w:noWrap/>
            <w:vAlign w:val="center"/>
            <w:hideMark/>
          </w:tcPr>
          <w:p w14:paraId="7A33408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32,3</w:t>
            </w:r>
          </w:p>
        </w:tc>
        <w:tc>
          <w:tcPr>
            <w:tcW w:w="697" w:type="dxa"/>
            <w:tcBorders>
              <w:top w:val="nil"/>
              <w:left w:val="nil"/>
              <w:bottom w:val="nil"/>
              <w:right w:val="nil"/>
            </w:tcBorders>
            <w:shd w:val="clear" w:color="auto" w:fill="auto"/>
            <w:noWrap/>
            <w:vAlign w:val="center"/>
            <w:hideMark/>
          </w:tcPr>
          <w:p w14:paraId="1B407163"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31,4</w:t>
            </w:r>
          </w:p>
        </w:tc>
        <w:tc>
          <w:tcPr>
            <w:tcW w:w="697" w:type="dxa"/>
            <w:tcBorders>
              <w:top w:val="nil"/>
              <w:left w:val="nil"/>
              <w:bottom w:val="nil"/>
              <w:right w:val="nil"/>
            </w:tcBorders>
            <w:shd w:val="clear" w:color="auto" w:fill="auto"/>
            <w:noWrap/>
            <w:vAlign w:val="center"/>
            <w:hideMark/>
          </w:tcPr>
          <w:p w14:paraId="124AA8BA"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33,4</w:t>
            </w:r>
          </w:p>
        </w:tc>
        <w:tc>
          <w:tcPr>
            <w:tcW w:w="697" w:type="dxa"/>
            <w:tcBorders>
              <w:top w:val="nil"/>
              <w:left w:val="nil"/>
              <w:bottom w:val="nil"/>
              <w:right w:val="nil"/>
            </w:tcBorders>
            <w:shd w:val="clear" w:color="auto" w:fill="auto"/>
            <w:noWrap/>
            <w:vAlign w:val="center"/>
            <w:hideMark/>
          </w:tcPr>
          <w:p w14:paraId="55379F2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34,3</w:t>
            </w:r>
          </w:p>
        </w:tc>
        <w:tc>
          <w:tcPr>
            <w:tcW w:w="697" w:type="dxa"/>
            <w:tcBorders>
              <w:top w:val="nil"/>
              <w:left w:val="nil"/>
              <w:bottom w:val="nil"/>
              <w:right w:val="nil"/>
            </w:tcBorders>
            <w:shd w:val="clear" w:color="auto" w:fill="auto"/>
            <w:noWrap/>
            <w:vAlign w:val="center"/>
            <w:hideMark/>
          </w:tcPr>
          <w:p w14:paraId="51E205E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6709E54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40,8</w:t>
            </w:r>
          </w:p>
        </w:tc>
        <w:tc>
          <w:tcPr>
            <w:tcW w:w="697" w:type="dxa"/>
            <w:tcBorders>
              <w:top w:val="nil"/>
              <w:left w:val="nil"/>
              <w:bottom w:val="nil"/>
              <w:right w:val="nil"/>
            </w:tcBorders>
            <w:shd w:val="clear" w:color="auto" w:fill="auto"/>
            <w:noWrap/>
            <w:vAlign w:val="center"/>
            <w:hideMark/>
          </w:tcPr>
          <w:p w14:paraId="01ADDDF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40,7</w:t>
            </w:r>
          </w:p>
        </w:tc>
        <w:tc>
          <w:tcPr>
            <w:tcW w:w="697" w:type="dxa"/>
            <w:tcBorders>
              <w:top w:val="nil"/>
              <w:left w:val="nil"/>
              <w:bottom w:val="nil"/>
              <w:right w:val="nil"/>
            </w:tcBorders>
            <w:shd w:val="clear" w:color="auto" w:fill="auto"/>
            <w:noWrap/>
            <w:vAlign w:val="center"/>
            <w:hideMark/>
          </w:tcPr>
          <w:p w14:paraId="0629FCC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44,7</w:t>
            </w:r>
          </w:p>
        </w:tc>
        <w:tc>
          <w:tcPr>
            <w:tcW w:w="697" w:type="dxa"/>
            <w:tcBorders>
              <w:top w:val="nil"/>
              <w:left w:val="nil"/>
              <w:bottom w:val="nil"/>
              <w:right w:val="nil"/>
            </w:tcBorders>
            <w:shd w:val="clear" w:color="auto" w:fill="auto"/>
            <w:noWrap/>
            <w:vAlign w:val="center"/>
            <w:hideMark/>
          </w:tcPr>
          <w:p w14:paraId="13D3AEF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45,6</w:t>
            </w:r>
          </w:p>
        </w:tc>
        <w:tc>
          <w:tcPr>
            <w:tcW w:w="697" w:type="dxa"/>
            <w:tcBorders>
              <w:top w:val="nil"/>
              <w:left w:val="nil"/>
              <w:bottom w:val="nil"/>
              <w:right w:val="nil"/>
            </w:tcBorders>
            <w:shd w:val="clear" w:color="auto" w:fill="auto"/>
            <w:noWrap/>
            <w:vAlign w:val="center"/>
            <w:hideMark/>
          </w:tcPr>
          <w:p w14:paraId="3AEC4BE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52,9</w:t>
            </w:r>
          </w:p>
        </w:tc>
      </w:tr>
      <w:tr w:rsidR="00B0095F" w:rsidRPr="00D92E20" w14:paraId="76EFBC19"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89F5112"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97" w:type="dxa"/>
            <w:tcBorders>
              <w:top w:val="nil"/>
              <w:left w:val="nil"/>
              <w:bottom w:val="nil"/>
              <w:right w:val="nil"/>
            </w:tcBorders>
            <w:shd w:val="clear" w:color="auto" w:fill="auto"/>
            <w:noWrap/>
            <w:vAlign w:val="center"/>
            <w:hideMark/>
          </w:tcPr>
          <w:p w14:paraId="52F5F91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30,0</w:t>
            </w:r>
          </w:p>
        </w:tc>
        <w:tc>
          <w:tcPr>
            <w:tcW w:w="697" w:type="dxa"/>
            <w:tcBorders>
              <w:top w:val="nil"/>
              <w:left w:val="nil"/>
              <w:bottom w:val="nil"/>
              <w:right w:val="nil"/>
            </w:tcBorders>
            <w:shd w:val="clear" w:color="auto" w:fill="auto"/>
            <w:noWrap/>
            <w:vAlign w:val="center"/>
            <w:hideMark/>
          </w:tcPr>
          <w:p w14:paraId="4161506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4D574F7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28,0</w:t>
            </w:r>
          </w:p>
        </w:tc>
        <w:tc>
          <w:tcPr>
            <w:tcW w:w="697" w:type="dxa"/>
            <w:tcBorders>
              <w:top w:val="nil"/>
              <w:left w:val="nil"/>
              <w:bottom w:val="nil"/>
              <w:right w:val="nil"/>
            </w:tcBorders>
            <w:shd w:val="clear" w:color="auto" w:fill="auto"/>
            <w:noWrap/>
            <w:vAlign w:val="center"/>
            <w:hideMark/>
          </w:tcPr>
          <w:p w14:paraId="2990A1A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2C97906A"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4D8C042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36,1</w:t>
            </w:r>
          </w:p>
        </w:tc>
        <w:tc>
          <w:tcPr>
            <w:tcW w:w="697" w:type="dxa"/>
            <w:tcBorders>
              <w:top w:val="nil"/>
              <w:left w:val="nil"/>
              <w:bottom w:val="nil"/>
              <w:right w:val="nil"/>
            </w:tcBorders>
            <w:shd w:val="clear" w:color="auto" w:fill="auto"/>
            <w:noWrap/>
            <w:vAlign w:val="center"/>
            <w:hideMark/>
          </w:tcPr>
          <w:p w14:paraId="0F89321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38,2</w:t>
            </w:r>
          </w:p>
        </w:tc>
        <w:tc>
          <w:tcPr>
            <w:tcW w:w="697" w:type="dxa"/>
            <w:tcBorders>
              <w:top w:val="nil"/>
              <w:left w:val="nil"/>
              <w:bottom w:val="nil"/>
              <w:right w:val="nil"/>
            </w:tcBorders>
            <w:shd w:val="clear" w:color="auto" w:fill="auto"/>
            <w:noWrap/>
            <w:vAlign w:val="center"/>
            <w:hideMark/>
          </w:tcPr>
          <w:p w14:paraId="1D53DDA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356BDB3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05C67F2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2B08429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55,0</w:t>
            </w:r>
          </w:p>
        </w:tc>
      </w:tr>
      <w:tr w:rsidR="00B0095F" w:rsidRPr="00D92E20" w14:paraId="06620123"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66100716"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97" w:type="dxa"/>
            <w:tcBorders>
              <w:top w:val="nil"/>
              <w:left w:val="nil"/>
              <w:bottom w:val="nil"/>
              <w:right w:val="nil"/>
            </w:tcBorders>
            <w:shd w:val="clear" w:color="auto" w:fill="auto"/>
            <w:noWrap/>
            <w:vAlign w:val="center"/>
            <w:hideMark/>
          </w:tcPr>
          <w:p w14:paraId="0FECC883"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32,8</w:t>
            </w:r>
          </w:p>
        </w:tc>
        <w:tc>
          <w:tcPr>
            <w:tcW w:w="697" w:type="dxa"/>
            <w:tcBorders>
              <w:top w:val="nil"/>
              <w:left w:val="nil"/>
              <w:bottom w:val="nil"/>
              <w:right w:val="nil"/>
            </w:tcBorders>
            <w:shd w:val="clear" w:color="auto" w:fill="auto"/>
            <w:noWrap/>
            <w:vAlign w:val="center"/>
            <w:hideMark/>
          </w:tcPr>
          <w:p w14:paraId="09D5043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32,5</w:t>
            </w:r>
          </w:p>
        </w:tc>
        <w:tc>
          <w:tcPr>
            <w:tcW w:w="697" w:type="dxa"/>
            <w:tcBorders>
              <w:top w:val="nil"/>
              <w:left w:val="nil"/>
              <w:bottom w:val="nil"/>
              <w:right w:val="nil"/>
            </w:tcBorders>
            <w:shd w:val="clear" w:color="auto" w:fill="auto"/>
            <w:noWrap/>
            <w:vAlign w:val="center"/>
            <w:hideMark/>
          </w:tcPr>
          <w:p w14:paraId="4C0E5A9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5DB517D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35,7</w:t>
            </w:r>
          </w:p>
        </w:tc>
        <w:tc>
          <w:tcPr>
            <w:tcW w:w="697" w:type="dxa"/>
            <w:tcBorders>
              <w:top w:val="nil"/>
              <w:left w:val="nil"/>
              <w:bottom w:val="nil"/>
              <w:right w:val="nil"/>
            </w:tcBorders>
            <w:shd w:val="clear" w:color="auto" w:fill="auto"/>
            <w:noWrap/>
            <w:vAlign w:val="center"/>
            <w:hideMark/>
          </w:tcPr>
          <w:p w14:paraId="07603833"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34,8</w:t>
            </w:r>
          </w:p>
        </w:tc>
        <w:tc>
          <w:tcPr>
            <w:tcW w:w="697" w:type="dxa"/>
            <w:tcBorders>
              <w:top w:val="nil"/>
              <w:left w:val="nil"/>
              <w:bottom w:val="nil"/>
              <w:right w:val="nil"/>
            </w:tcBorders>
            <w:shd w:val="clear" w:color="auto" w:fill="auto"/>
            <w:noWrap/>
            <w:vAlign w:val="center"/>
            <w:hideMark/>
          </w:tcPr>
          <w:p w14:paraId="1158ACA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40,4</w:t>
            </w:r>
          </w:p>
        </w:tc>
        <w:tc>
          <w:tcPr>
            <w:tcW w:w="697" w:type="dxa"/>
            <w:tcBorders>
              <w:top w:val="nil"/>
              <w:left w:val="nil"/>
              <w:bottom w:val="nil"/>
              <w:right w:val="nil"/>
            </w:tcBorders>
            <w:shd w:val="clear" w:color="auto" w:fill="auto"/>
            <w:noWrap/>
            <w:vAlign w:val="center"/>
            <w:hideMark/>
          </w:tcPr>
          <w:p w14:paraId="11E38DD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61C5DD9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44,3</w:t>
            </w:r>
          </w:p>
        </w:tc>
        <w:tc>
          <w:tcPr>
            <w:tcW w:w="697" w:type="dxa"/>
            <w:tcBorders>
              <w:top w:val="nil"/>
              <w:left w:val="nil"/>
              <w:bottom w:val="nil"/>
              <w:right w:val="nil"/>
            </w:tcBorders>
            <w:shd w:val="clear" w:color="auto" w:fill="auto"/>
            <w:noWrap/>
            <w:vAlign w:val="center"/>
            <w:hideMark/>
          </w:tcPr>
          <w:p w14:paraId="7ED25A7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48,1</w:t>
            </w:r>
          </w:p>
        </w:tc>
        <w:tc>
          <w:tcPr>
            <w:tcW w:w="697" w:type="dxa"/>
            <w:tcBorders>
              <w:top w:val="nil"/>
              <w:left w:val="nil"/>
              <w:bottom w:val="nil"/>
              <w:right w:val="nil"/>
            </w:tcBorders>
            <w:shd w:val="clear" w:color="auto" w:fill="auto"/>
            <w:noWrap/>
            <w:vAlign w:val="center"/>
            <w:hideMark/>
          </w:tcPr>
          <w:p w14:paraId="66E68AE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49,8</w:t>
            </w:r>
          </w:p>
        </w:tc>
        <w:tc>
          <w:tcPr>
            <w:tcW w:w="697" w:type="dxa"/>
            <w:tcBorders>
              <w:top w:val="nil"/>
              <w:left w:val="nil"/>
              <w:bottom w:val="nil"/>
              <w:right w:val="nil"/>
            </w:tcBorders>
            <w:shd w:val="clear" w:color="auto" w:fill="auto"/>
            <w:noWrap/>
            <w:vAlign w:val="center"/>
            <w:hideMark/>
          </w:tcPr>
          <w:p w14:paraId="356BDF4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63,7</w:t>
            </w:r>
          </w:p>
        </w:tc>
      </w:tr>
      <w:tr w:rsidR="00B0095F" w:rsidRPr="00D92E20" w14:paraId="60B411BD"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8D25ABA"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97" w:type="dxa"/>
            <w:tcBorders>
              <w:top w:val="nil"/>
              <w:left w:val="nil"/>
              <w:bottom w:val="nil"/>
              <w:right w:val="nil"/>
            </w:tcBorders>
            <w:shd w:val="clear" w:color="auto" w:fill="auto"/>
            <w:noWrap/>
            <w:vAlign w:val="center"/>
            <w:hideMark/>
          </w:tcPr>
          <w:p w14:paraId="38EF888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58569A8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30,7</w:t>
            </w:r>
          </w:p>
        </w:tc>
        <w:tc>
          <w:tcPr>
            <w:tcW w:w="697" w:type="dxa"/>
            <w:tcBorders>
              <w:top w:val="nil"/>
              <w:left w:val="nil"/>
              <w:bottom w:val="nil"/>
              <w:right w:val="nil"/>
            </w:tcBorders>
            <w:shd w:val="clear" w:color="auto" w:fill="auto"/>
            <w:noWrap/>
            <w:vAlign w:val="center"/>
            <w:hideMark/>
          </w:tcPr>
          <w:p w14:paraId="0D724EC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75453B86"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7C0980F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30,2</w:t>
            </w:r>
          </w:p>
        </w:tc>
        <w:tc>
          <w:tcPr>
            <w:tcW w:w="697" w:type="dxa"/>
            <w:tcBorders>
              <w:top w:val="nil"/>
              <w:left w:val="nil"/>
              <w:bottom w:val="nil"/>
              <w:right w:val="nil"/>
            </w:tcBorders>
            <w:shd w:val="clear" w:color="auto" w:fill="auto"/>
            <w:noWrap/>
            <w:vAlign w:val="center"/>
            <w:hideMark/>
          </w:tcPr>
          <w:p w14:paraId="13A52BD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428ED1A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7C0E06F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40,6</w:t>
            </w:r>
          </w:p>
        </w:tc>
        <w:tc>
          <w:tcPr>
            <w:tcW w:w="697" w:type="dxa"/>
            <w:tcBorders>
              <w:top w:val="nil"/>
              <w:left w:val="nil"/>
              <w:bottom w:val="nil"/>
              <w:right w:val="nil"/>
            </w:tcBorders>
            <w:shd w:val="clear" w:color="auto" w:fill="auto"/>
            <w:noWrap/>
            <w:vAlign w:val="center"/>
            <w:hideMark/>
          </w:tcPr>
          <w:p w14:paraId="412E82B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44,0</w:t>
            </w:r>
          </w:p>
        </w:tc>
        <w:tc>
          <w:tcPr>
            <w:tcW w:w="697" w:type="dxa"/>
            <w:tcBorders>
              <w:top w:val="nil"/>
              <w:left w:val="nil"/>
              <w:bottom w:val="nil"/>
              <w:right w:val="nil"/>
            </w:tcBorders>
            <w:shd w:val="clear" w:color="auto" w:fill="auto"/>
            <w:noWrap/>
            <w:vAlign w:val="center"/>
            <w:hideMark/>
          </w:tcPr>
          <w:p w14:paraId="3059242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45,7</w:t>
            </w:r>
          </w:p>
        </w:tc>
        <w:tc>
          <w:tcPr>
            <w:tcW w:w="697" w:type="dxa"/>
            <w:tcBorders>
              <w:top w:val="nil"/>
              <w:left w:val="nil"/>
              <w:bottom w:val="nil"/>
              <w:right w:val="nil"/>
            </w:tcBorders>
            <w:shd w:val="clear" w:color="auto" w:fill="auto"/>
            <w:noWrap/>
            <w:vAlign w:val="center"/>
            <w:hideMark/>
          </w:tcPr>
          <w:p w14:paraId="66CCFA8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58,2</w:t>
            </w:r>
          </w:p>
        </w:tc>
      </w:tr>
      <w:tr w:rsidR="00B0095F" w:rsidRPr="00D92E20" w14:paraId="42CC30AE"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71973CC"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97" w:type="dxa"/>
            <w:tcBorders>
              <w:top w:val="nil"/>
              <w:left w:val="nil"/>
              <w:bottom w:val="nil"/>
              <w:right w:val="nil"/>
            </w:tcBorders>
            <w:shd w:val="clear" w:color="auto" w:fill="auto"/>
            <w:noWrap/>
            <w:vAlign w:val="center"/>
            <w:hideMark/>
          </w:tcPr>
          <w:p w14:paraId="267C47C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30,6</w:t>
            </w:r>
          </w:p>
        </w:tc>
        <w:tc>
          <w:tcPr>
            <w:tcW w:w="697" w:type="dxa"/>
            <w:tcBorders>
              <w:top w:val="nil"/>
              <w:left w:val="nil"/>
              <w:bottom w:val="nil"/>
              <w:right w:val="nil"/>
            </w:tcBorders>
            <w:shd w:val="clear" w:color="auto" w:fill="auto"/>
            <w:noWrap/>
            <w:vAlign w:val="center"/>
            <w:hideMark/>
          </w:tcPr>
          <w:p w14:paraId="08DA8213"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30,6</w:t>
            </w:r>
          </w:p>
        </w:tc>
        <w:tc>
          <w:tcPr>
            <w:tcW w:w="697" w:type="dxa"/>
            <w:tcBorders>
              <w:top w:val="nil"/>
              <w:left w:val="nil"/>
              <w:bottom w:val="nil"/>
              <w:right w:val="nil"/>
            </w:tcBorders>
            <w:shd w:val="clear" w:color="auto" w:fill="auto"/>
            <w:noWrap/>
            <w:vAlign w:val="center"/>
            <w:hideMark/>
          </w:tcPr>
          <w:p w14:paraId="41BCD22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28,5</w:t>
            </w:r>
          </w:p>
        </w:tc>
        <w:tc>
          <w:tcPr>
            <w:tcW w:w="697" w:type="dxa"/>
            <w:tcBorders>
              <w:top w:val="nil"/>
              <w:left w:val="nil"/>
              <w:bottom w:val="nil"/>
              <w:right w:val="nil"/>
            </w:tcBorders>
            <w:shd w:val="clear" w:color="auto" w:fill="auto"/>
            <w:noWrap/>
            <w:vAlign w:val="center"/>
            <w:hideMark/>
          </w:tcPr>
          <w:p w14:paraId="03D6949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5A0FDCD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30,5</w:t>
            </w:r>
          </w:p>
        </w:tc>
        <w:tc>
          <w:tcPr>
            <w:tcW w:w="697" w:type="dxa"/>
            <w:tcBorders>
              <w:top w:val="nil"/>
              <w:left w:val="nil"/>
              <w:bottom w:val="nil"/>
              <w:right w:val="nil"/>
            </w:tcBorders>
            <w:shd w:val="clear" w:color="auto" w:fill="auto"/>
            <w:noWrap/>
            <w:vAlign w:val="center"/>
            <w:hideMark/>
          </w:tcPr>
          <w:p w14:paraId="2D99135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36,6</w:t>
            </w:r>
          </w:p>
        </w:tc>
        <w:tc>
          <w:tcPr>
            <w:tcW w:w="697" w:type="dxa"/>
            <w:tcBorders>
              <w:top w:val="nil"/>
              <w:left w:val="nil"/>
              <w:bottom w:val="nil"/>
              <w:right w:val="nil"/>
            </w:tcBorders>
            <w:shd w:val="clear" w:color="auto" w:fill="auto"/>
            <w:noWrap/>
            <w:vAlign w:val="center"/>
            <w:hideMark/>
          </w:tcPr>
          <w:p w14:paraId="64875FD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37,3</w:t>
            </w:r>
          </w:p>
        </w:tc>
        <w:tc>
          <w:tcPr>
            <w:tcW w:w="697" w:type="dxa"/>
            <w:tcBorders>
              <w:top w:val="nil"/>
              <w:left w:val="nil"/>
              <w:bottom w:val="nil"/>
              <w:right w:val="nil"/>
            </w:tcBorders>
            <w:shd w:val="clear" w:color="auto" w:fill="auto"/>
            <w:noWrap/>
            <w:vAlign w:val="center"/>
            <w:hideMark/>
          </w:tcPr>
          <w:p w14:paraId="3873E11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38,5</w:t>
            </w:r>
          </w:p>
        </w:tc>
        <w:tc>
          <w:tcPr>
            <w:tcW w:w="697" w:type="dxa"/>
            <w:tcBorders>
              <w:top w:val="nil"/>
              <w:left w:val="nil"/>
              <w:bottom w:val="nil"/>
              <w:right w:val="nil"/>
            </w:tcBorders>
            <w:shd w:val="clear" w:color="auto" w:fill="auto"/>
            <w:noWrap/>
            <w:vAlign w:val="center"/>
            <w:hideMark/>
          </w:tcPr>
          <w:p w14:paraId="50900FF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41,8</w:t>
            </w:r>
          </w:p>
        </w:tc>
        <w:tc>
          <w:tcPr>
            <w:tcW w:w="697" w:type="dxa"/>
            <w:tcBorders>
              <w:top w:val="nil"/>
              <w:left w:val="nil"/>
              <w:bottom w:val="nil"/>
              <w:right w:val="nil"/>
            </w:tcBorders>
            <w:shd w:val="clear" w:color="auto" w:fill="auto"/>
            <w:noWrap/>
            <w:vAlign w:val="center"/>
            <w:hideMark/>
          </w:tcPr>
          <w:p w14:paraId="41C16F4A"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42,9</w:t>
            </w:r>
          </w:p>
        </w:tc>
        <w:tc>
          <w:tcPr>
            <w:tcW w:w="697" w:type="dxa"/>
            <w:tcBorders>
              <w:top w:val="nil"/>
              <w:left w:val="nil"/>
              <w:bottom w:val="nil"/>
              <w:right w:val="nil"/>
            </w:tcBorders>
            <w:shd w:val="clear" w:color="auto" w:fill="auto"/>
            <w:noWrap/>
            <w:vAlign w:val="center"/>
            <w:hideMark/>
          </w:tcPr>
          <w:p w14:paraId="34D74DB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54,1</w:t>
            </w:r>
          </w:p>
        </w:tc>
      </w:tr>
      <w:tr w:rsidR="00B0095F" w:rsidRPr="00D92E20" w14:paraId="5EF84AB9"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E745196" w14:textId="77777777" w:rsidR="00B0095F" w:rsidRPr="00D92E20" w:rsidRDefault="004C0F5E" w:rsidP="00B0095F">
            <w:pPr>
              <w:spacing w:after="0" w:line="240" w:lineRule="auto"/>
              <w:ind w:firstLineChars="100" w:firstLine="160"/>
              <w:rPr>
                <w:rFonts w:cs="Arial"/>
                <w:color w:val="000000"/>
                <w:sz w:val="16"/>
                <w:szCs w:val="16"/>
              </w:rPr>
            </w:pPr>
            <w:r w:rsidRPr="00D92E20">
              <w:rPr>
                <w:rFonts w:cs="Arial"/>
                <w:color w:val="000000"/>
                <w:sz w:val="16"/>
                <w:szCs w:val="16"/>
              </w:rPr>
              <w:t xml:space="preserve">Kraj </w:t>
            </w:r>
            <w:r w:rsidR="00B0095F" w:rsidRPr="00D92E20">
              <w:rPr>
                <w:rFonts w:cs="Arial"/>
                <w:color w:val="000000"/>
                <w:sz w:val="16"/>
                <w:szCs w:val="16"/>
              </w:rPr>
              <w:t>Vysočina</w:t>
            </w:r>
          </w:p>
        </w:tc>
        <w:tc>
          <w:tcPr>
            <w:tcW w:w="697" w:type="dxa"/>
            <w:tcBorders>
              <w:top w:val="nil"/>
              <w:left w:val="nil"/>
              <w:bottom w:val="nil"/>
              <w:right w:val="nil"/>
            </w:tcBorders>
            <w:shd w:val="clear" w:color="auto" w:fill="auto"/>
            <w:noWrap/>
            <w:vAlign w:val="center"/>
            <w:hideMark/>
          </w:tcPr>
          <w:p w14:paraId="3F6AC12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31,7</w:t>
            </w:r>
          </w:p>
        </w:tc>
        <w:tc>
          <w:tcPr>
            <w:tcW w:w="697" w:type="dxa"/>
            <w:tcBorders>
              <w:top w:val="nil"/>
              <w:left w:val="nil"/>
              <w:bottom w:val="nil"/>
              <w:right w:val="nil"/>
            </w:tcBorders>
            <w:shd w:val="clear" w:color="auto" w:fill="auto"/>
            <w:noWrap/>
            <w:vAlign w:val="center"/>
            <w:hideMark/>
          </w:tcPr>
          <w:p w14:paraId="7D81EBC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30,9</w:t>
            </w:r>
          </w:p>
        </w:tc>
        <w:tc>
          <w:tcPr>
            <w:tcW w:w="697" w:type="dxa"/>
            <w:tcBorders>
              <w:top w:val="nil"/>
              <w:left w:val="nil"/>
              <w:bottom w:val="nil"/>
              <w:right w:val="nil"/>
            </w:tcBorders>
            <w:shd w:val="clear" w:color="auto" w:fill="auto"/>
            <w:noWrap/>
            <w:vAlign w:val="center"/>
            <w:hideMark/>
          </w:tcPr>
          <w:p w14:paraId="7C4045D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28,7</w:t>
            </w:r>
          </w:p>
        </w:tc>
        <w:tc>
          <w:tcPr>
            <w:tcW w:w="697" w:type="dxa"/>
            <w:tcBorders>
              <w:top w:val="nil"/>
              <w:left w:val="nil"/>
              <w:bottom w:val="nil"/>
              <w:right w:val="nil"/>
            </w:tcBorders>
            <w:shd w:val="clear" w:color="auto" w:fill="auto"/>
            <w:noWrap/>
            <w:vAlign w:val="center"/>
            <w:hideMark/>
          </w:tcPr>
          <w:p w14:paraId="48C3C9E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32,1</w:t>
            </w:r>
          </w:p>
        </w:tc>
        <w:tc>
          <w:tcPr>
            <w:tcW w:w="697" w:type="dxa"/>
            <w:tcBorders>
              <w:top w:val="nil"/>
              <w:left w:val="nil"/>
              <w:bottom w:val="nil"/>
              <w:right w:val="nil"/>
            </w:tcBorders>
            <w:shd w:val="clear" w:color="auto" w:fill="auto"/>
            <w:noWrap/>
            <w:vAlign w:val="center"/>
            <w:hideMark/>
          </w:tcPr>
          <w:p w14:paraId="1A26894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31,1</w:t>
            </w:r>
          </w:p>
        </w:tc>
        <w:tc>
          <w:tcPr>
            <w:tcW w:w="697" w:type="dxa"/>
            <w:tcBorders>
              <w:top w:val="nil"/>
              <w:left w:val="nil"/>
              <w:bottom w:val="nil"/>
              <w:right w:val="nil"/>
            </w:tcBorders>
            <w:shd w:val="clear" w:color="auto" w:fill="auto"/>
            <w:noWrap/>
            <w:vAlign w:val="center"/>
            <w:hideMark/>
          </w:tcPr>
          <w:p w14:paraId="536E20A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42E7335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38,3</w:t>
            </w:r>
          </w:p>
        </w:tc>
        <w:tc>
          <w:tcPr>
            <w:tcW w:w="697" w:type="dxa"/>
            <w:tcBorders>
              <w:top w:val="nil"/>
              <w:left w:val="nil"/>
              <w:bottom w:val="nil"/>
              <w:right w:val="nil"/>
            </w:tcBorders>
            <w:shd w:val="clear" w:color="auto" w:fill="auto"/>
            <w:noWrap/>
            <w:vAlign w:val="center"/>
            <w:hideMark/>
          </w:tcPr>
          <w:p w14:paraId="3AA9121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39,2</w:t>
            </w:r>
          </w:p>
        </w:tc>
        <w:tc>
          <w:tcPr>
            <w:tcW w:w="697" w:type="dxa"/>
            <w:tcBorders>
              <w:top w:val="nil"/>
              <w:left w:val="nil"/>
              <w:bottom w:val="nil"/>
              <w:right w:val="nil"/>
            </w:tcBorders>
            <w:shd w:val="clear" w:color="auto" w:fill="auto"/>
            <w:noWrap/>
            <w:vAlign w:val="center"/>
            <w:hideMark/>
          </w:tcPr>
          <w:p w14:paraId="03286191"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42,2</w:t>
            </w:r>
          </w:p>
        </w:tc>
        <w:tc>
          <w:tcPr>
            <w:tcW w:w="697" w:type="dxa"/>
            <w:tcBorders>
              <w:top w:val="nil"/>
              <w:left w:val="nil"/>
              <w:bottom w:val="nil"/>
              <w:right w:val="nil"/>
            </w:tcBorders>
            <w:shd w:val="clear" w:color="auto" w:fill="auto"/>
            <w:noWrap/>
            <w:vAlign w:val="center"/>
            <w:hideMark/>
          </w:tcPr>
          <w:p w14:paraId="3F339D4A"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42,8</w:t>
            </w:r>
          </w:p>
        </w:tc>
        <w:tc>
          <w:tcPr>
            <w:tcW w:w="697" w:type="dxa"/>
            <w:tcBorders>
              <w:top w:val="nil"/>
              <w:left w:val="nil"/>
              <w:bottom w:val="nil"/>
              <w:right w:val="nil"/>
            </w:tcBorders>
            <w:shd w:val="clear" w:color="auto" w:fill="auto"/>
            <w:noWrap/>
            <w:vAlign w:val="center"/>
            <w:hideMark/>
          </w:tcPr>
          <w:p w14:paraId="3A2600C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57,4</w:t>
            </w:r>
          </w:p>
        </w:tc>
      </w:tr>
      <w:tr w:rsidR="00B0095F" w:rsidRPr="00D92E20" w14:paraId="512F85A8"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76578E25"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97" w:type="dxa"/>
            <w:tcBorders>
              <w:top w:val="nil"/>
              <w:left w:val="nil"/>
              <w:bottom w:val="nil"/>
              <w:right w:val="nil"/>
            </w:tcBorders>
            <w:shd w:val="clear" w:color="auto" w:fill="auto"/>
            <w:noWrap/>
            <w:vAlign w:val="center"/>
            <w:hideMark/>
          </w:tcPr>
          <w:p w14:paraId="17F513B6"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29,7</w:t>
            </w:r>
          </w:p>
        </w:tc>
        <w:tc>
          <w:tcPr>
            <w:tcW w:w="697" w:type="dxa"/>
            <w:tcBorders>
              <w:top w:val="nil"/>
              <w:left w:val="nil"/>
              <w:bottom w:val="nil"/>
              <w:right w:val="nil"/>
            </w:tcBorders>
            <w:shd w:val="clear" w:color="auto" w:fill="auto"/>
            <w:noWrap/>
            <w:vAlign w:val="center"/>
            <w:hideMark/>
          </w:tcPr>
          <w:p w14:paraId="3001E0B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28,8</w:t>
            </w:r>
          </w:p>
        </w:tc>
        <w:tc>
          <w:tcPr>
            <w:tcW w:w="697" w:type="dxa"/>
            <w:tcBorders>
              <w:top w:val="nil"/>
              <w:left w:val="nil"/>
              <w:bottom w:val="nil"/>
              <w:right w:val="nil"/>
            </w:tcBorders>
            <w:shd w:val="clear" w:color="auto" w:fill="auto"/>
            <w:noWrap/>
            <w:vAlign w:val="center"/>
            <w:hideMark/>
          </w:tcPr>
          <w:p w14:paraId="5317B8A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26,8</w:t>
            </w:r>
          </w:p>
        </w:tc>
        <w:tc>
          <w:tcPr>
            <w:tcW w:w="697" w:type="dxa"/>
            <w:tcBorders>
              <w:top w:val="nil"/>
              <w:left w:val="nil"/>
              <w:bottom w:val="nil"/>
              <w:right w:val="nil"/>
            </w:tcBorders>
            <w:shd w:val="clear" w:color="auto" w:fill="auto"/>
            <w:noWrap/>
            <w:vAlign w:val="center"/>
            <w:hideMark/>
          </w:tcPr>
          <w:p w14:paraId="5012F00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29,6</w:t>
            </w:r>
          </w:p>
        </w:tc>
        <w:tc>
          <w:tcPr>
            <w:tcW w:w="697" w:type="dxa"/>
            <w:tcBorders>
              <w:top w:val="nil"/>
              <w:left w:val="nil"/>
              <w:bottom w:val="nil"/>
              <w:right w:val="nil"/>
            </w:tcBorders>
            <w:shd w:val="clear" w:color="auto" w:fill="auto"/>
            <w:noWrap/>
            <w:vAlign w:val="center"/>
            <w:hideMark/>
          </w:tcPr>
          <w:p w14:paraId="018DFEF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3F7B818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33,5</w:t>
            </w:r>
          </w:p>
        </w:tc>
        <w:tc>
          <w:tcPr>
            <w:tcW w:w="697" w:type="dxa"/>
            <w:tcBorders>
              <w:top w:val="nil"/>
              <w:left w:val="nil"/>
              <w:bottom w:val="nil"/>
              <w:right w:val="nil"/>
            </w:tcBorders>
            <w:shd w:val="clear" w:color="auto" w:fill="auto"/>
            <w:noWrap/>
            <w:vAlign w:val="center"/>
            <w:hideMark/>
          </w:tcPr>
          <w:p w14:paraId="0025078B"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34,2</w:t>
            </w:r>
          </w:p>
        </w:tc>
        <w:tc>
          <w:tcPr>
            <w:tcW w:w="697" w:type="dxa"/>
            <w:tcBorders>
              <w:top w:val="nil"/>
              <w:left w:val="nil"/>
              <w:bottom w:val="nil"/>
              <w:right w:val="nil"/>
            </w:tcBorders>
            <w:shd w:val="clear" w:color="auto" w:fill="auto"/>
            <w:noWrap/>
            <w:vAlign w:val="center"/>
            <w:hideMark/>
          </w:tcPr>
          <w:p w14:paraId="279F02D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35,4</w:t>
            </w:r>
          </w:p>
        </w:tc>
        <w:tc>
          <w:tcPr>
            <w:tcW w:w="697" w:type="dxa"/>
            <w:tcBorders>
              <w:top w:val="nil"/>
              <w:left w:val="nil"/>
              <w:bottom w:val="nil"/>
              <w:right w:val="nil"/>
            </w:tcBorders>
            <w:shd w:val="clear" w:color="auto" w:fill="auto"/>
            <w:noWrap/>
            <w:vAlign w:val="center"/>
            <w:hideMark/>
          </w:tcPr>
          <w:p w14:paraId="1A3DA7F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37,8</w:t>
            </w:r>
          </w:p>
        </w:tc>
        <w:tc>
          <w:tcPr>
            <w:tcW w:w="697" w:type="dxa"/>
            <w:tcBorders>
              <w:top w:val="nil"/>
              <w:left w:val="nil"/>
              <w:bottom w:val="nil"/>
              <w:right w:val="nil"/>
            </w:tcBorders>
            <w:shd w:val="clear" w:color="auto" w:fill="auto"/>
            <w:noWrap/>
            <w:vAlign w:val="center"/>
            <w:hideMark/>
          </w:tcPr>
          <w:p w14:paraId="4A60674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38,9</w:t>
            </w:r>
          </w:p>
        </w:tc>
        <w:tc>
          <w:tcPr>
            <w:tcW w:w="697" w:type="dxa"/>
            <w:tcBorders>
              <w:top w:val="nil"/>
              <w:left w:val="nil"/>
              <w:bottom w:val="nil"/>
              <w:right w:val="nil"/>
            </w:tcBorders>
            <w:shd w:val="clear" w:color="auto" w:fill="auto"/>
            <w:noWrap/>
            <w:vAlign w:val="center"/>
            <w:hideMark/>
          </w:tcPr>
          <w:p w14:paraId="6F66AE0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48,6</w:t>
            </w:r>
          </w:p>
        </w:tc>
      </w:tr>
      <w:tr w:rsidR="00B0095F" w:rsidRPr="00D92E20" w14:paraId="40F22C5C"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7275793"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97" w:type="dxa"/>
            <w:tcBorders>
              <w:top w:val="nil"/>
              <w:left w:val="nil"/>
              <w:bottom w:val="nil"/>
              <w:right w:val="nil"/>
            </w:tcBorders>
            <w:shd w:val="clear" w:color="auto" w:fill="auto"/>
            <w:noWrap/>
            <w:vAlign w:val="center"/>
            <w:hideMark/>
          </w:tcPr>
          <w:p w14:paraId="2B57583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28,2</w:t>
            </w:r>
          </w:p>
        </w:tc>
        <w:tc>
          <w:tcPr>
            <w:tcW w:w="697" w:type="dxa"/>
            <w:tcBorders>
              <w:top w:val="nil"/>
              <w:left w:val="nil"/>
              <w:bottom w:val="nil"/>
              <w:right w:val="nil"/>
            </w:tcBorders>
            <w:shd w:val="clear" w:color="auto" w:fill="auto"/>
            <w:noWrap/>
            <w:vAlign w:val="center"/>
            <w:hideMark/>
          </w:tcPr>
          <w:p w14:paraId="50DF8666"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26,7</w:t>
            </w:r>
          </w:p>
        </w:tc>
        <w:tc>
          <w:tcPr>
            <w:tcW w:w="697" w:type="dxa"/>
            <w:tcBorders>
              <w:top w:val="nil"/>
              <w:left w:val="nil"/>
              <w:bottom w:val="nil"/>
              <w:right w:val="nil"/>
            </w:tcBorders>
            <w:shd w:val="clear" w:color="auto" w:fill="auto"/>
            <w:noWrap/>
            <w:vAlign w:val="center"/>
            <w:hideMark/>
          </w:tcPr>
          <w:p w14:paraId="2A33EA2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25,4</w:t>
            </w:r>
          </w:p>
        </w:tc>
        <w:tc>
          <w:tcPr>
            <w:tcW w:w="697" w:type="dxa"/>
            <w:tcBorders>
              <w:top w:val="nil"/>
              <w:left w:val="nil"/>
              <w:bottom w:val="nil"/>
              <w:right w:val="nil"/>
            </w:tcBorders>
            <w:shd w:val="clear" w:color="auto" w:fill="auto"/>
            <w:noWrap/>
            <w:vAlign w:val="center"/>
            <w:hideMark/>
          </w:tcPr>
          <w:p w14:paraId="24AA674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27,3</w:t>
            </w:r>
          </w:p>
        </w:tc>
        <w:tc>
          <w:tcPr>
            <w:tcW w:w="697" w:type="dxa"/>
            <w:tcBorders>
              <w:top w:val="nil"/>
              <w:left w:val="nil"/>
              <w:bottom w:val="nil"/>
              <w:right w:val="nil"/>
            </w:tcBorders>
            <w:shd w:val="clear" w:color="auto" w:fill="auto"/>
            <w:noWrap/>
            <w:vAlign w:val="center"/>
            <w:hideMark/>
          </w:tcPr>
          <w:p w14:paraId="384906D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26,1</w:t>
            </w:r>
          </w:p>
        </w:tc>
        <w:tc>
          <w:tcPr>
            <w:tcW w:w="697" w:type="dxa"/>
            <w:tcBorders>
              <w:top w:val="nil"/>
              <w:left w:val="nil"/>
              <w:bottom w:val="nil"/>
              <w:right w:val="nil"/>
            </w:tcBorders>
            <w:shd w:val="clear" w:color="auto" w:fill="auto"/>
            <w:noWrap/>
            <w:vAlign w:val="center"/>
            <w:hideMark/>
          </w:tcPr>
          <w:p w14:paraId="6497CC67"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32,7</w:t>
            </w:r>
          </w:p>
        </w:tc>
        <w:tc>
          <w:tcPr>
            <w:tcW w:w="697" w:type="dxa"/>
            <w:tcBorders>
              <w:top w:val="nil"/>
              <w:left w:val="nil"/>
              <w:bottom w:val="nil"/>
              <w:right w:val="nil"/>
            </w:tcBorders>
            <w:shd w:val="clear" w:color="auto" w:fill="auto"/>
            <w:noWrap/>
            <w:vAlign w:val="center"/>
            <w:hideMark/>
          </w:tcPr>
          <w:p w14:paraId="2E89800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34,0</w:t>
            </w:r>
          </w:p>
        </w:tc>
        <w:tc>
          <w:tcPr>
            <w:tcW w:w="697" w:type="dxa"/>
            <w:tcBorders>
              <w:top w:val="nil"/>
              <w:left w:val="nil"/>
              <w:bottom w:val="nil"/>
              <w:right w:val="nil"/>
            </w:tcBorders>
            <w:shd w:val="clear" w:color="auto" w:fill="auto"/>
            <w:noWrap/>
            <w:vAlign w:val="center"/>
            <w:hideMark/>
          </w:tcPr>
          <w:p w14:paraId="6C00987A"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35,2</w:t>
            </w:r>
          </w:p>
        </w:tc>
        <w:tc>
          <w:tcPr>
            <w:tcW w:w="697" w:type="dxa"/>
            <w:tcBorders>
              <w:top w:val="nil"/>
              <w:left w:val="nil"/>
              <w:bottom w:val="nil"/>
              <w:right w:val="nil"/>
            </w:tcBorders>
            <w:shd w:val="clear" w:color="auto" w:fill="auto"/>
            <w:noWrap/>
            <w:vAlign w:val="center"/>
            <w:hideMark/>
          </w:tcPr>
          <w:p w14:paraId="6DE672A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3CC99E6D"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39,5</w:t>
            </w:r>
          </w:p>
        </w:tc>
        <w:tc>
          <w:tcPr>
            <w:tcW w:w="697" w:type="dxa"/>
            <w:tcBorders>
              <w:top w:val="nil"/>
              <w:left w:val="nil"/>
              <w:bottom w:val="nil"/>
              <w:right w:val="nil"/>
            </w:tcBorders>
            <w:shd w:val="clear" w:color="auto" w:fill="auto"/>
            <w:noWrap/>
            <w:vAlign w:val="center"/>
            <w:hideMark/>
          </w:tcPr>
          <w:p w14:paraId="1DCF9E21"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55,3</w:t>
            </w:r>
          </w:p>
        </w:tc>
      </w:tr>
      <w:tr w:rsidR="00B0095F" w:rsidRPr="00D92E20" w14:paraId="5D483365"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259C8D21"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97" w:type="dxa"/>
            <w:tcBorders>
              <w:top w:val="nil"/>
              <w:left w:val="nil"/>
              <w:bottom w:val="nil"/>
              <w:right w:val="nil"/>
            </w:tcBorders>
            <w:shd w:val="clear" w:color="auto" w:fill="auto"/>
            <w:noWrap/>
            <w:vAlign w:val="center"/>
            <w:hideMark/>
          </w:tcPr>
          <w:p w14:paraId="01DEFE5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30,8</w:t>
            </w:r>
          </w:p>
        </w:tc>
        <w:tc>
          <w:tcPr>
            <w:tcW w:w="697" w:type="dxa"/>
            <w:tcBorders>
              <w:top w:val="nil"/>
              <w:left w:val="nil"/>
              <w:bottom w:val="nil"/>
              <w:right w:val="nil"/>
            </w:tcBorders>
            <w:shd w:val="clear" w:color="auto" w:fill="auto"/>
            <w:noWrap/>
            <w:vAlign w:val="center"/>
            <w:hideMark/>
          </w:tcPr>
          <w:p w14:paraId="62CEF5F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28,9</w:t>
            </w:r>
          </w:p>
        </w:tc>
        <w:tc>
          <w:tcPr>
            <w:tcW w:w="697" w:type="dxa"/>
            <w:tcBorders>
              <w:top w:val="nil"/>
              <w:left w:val="nil"/>
              <w:bottom w:val="nil"/>
              <w:right w:val="nil"/>
            </w:tcBorders>
            <w:shd w:val="clear" w:color="auto" w:fill="auto"/>
            <w:noWrap/>
            <w:vAlign w:val="center"/>
            <w:hideMark/>
          </w:tcPr>
          <w:p w14:paraId="38BDDED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27,0</w:t>
            </w:r>
          </w:p>
        </w:tc>
        <w:tc>
          <w:tcPr>
            <w:tcW w:w="697" w:type="dxa"/>
            <w:tcBorders>
              <w:top w:val="nil"/>
              <w:left w:val="nil"/>
              <w:bottom w:val="nil"/>
              <w:right w:val="nil"/>
            </w:tcBorders>
            <w:shd w:val="clear" w:color="auto" w:fill="auto"/>
            <w:noWrap/>
            <w:vAlign w:val="center"/>
            <w:hideMark/>
          </w:tcPr>
          <w:p w14:paraId="671AC91A"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29,9</w:t>
            </w:r>
          </w:p>
        </w:tc>
        <w:tc>
          <w:tcPr>
            <w:tcW w:w="697" w:type="dxa"/>
            <w:tcBorders>
              <w:top w:val="nil"/>
              <w:left w:val="nil"/>
              <w:bottom w:val="nil"/>
              <w:right w:val="nil"/>
            </w:tcBorders>
            <w:shd w:val="clear" w:color="auto" w:fill="auto"/>
            <w:noWrap/>
            <w:vAlign w:val="center"/>
            <w:hideMark/>
          </w:tcPr>
          <w:p w14:paraId="09A1D2F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29,0</w:t>
            </w:r>
          </w:p>
        </w:tc>
        <w:tc>
          <w:tcPr>
            <w:tcW w:w="697" w:type="dxa"/>
            <w:tcBorders>
              <w:top w:val="nil"/>
              <w:left w:val="nil"/>
              <w:bottom w:val="nil"/>
              <w:right w:val="nil"/>
            </w:tcBorders>
            <w:shd w:val="clear" w:color="auto" w:fill="auto"/>
            <w:noWrap/>
            <w:vAlign w:val="center"/>
            <w:hideMark/>
          </w:tcPr>
          <w:p w14:paraId="20275CD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35,5</w:t>
            </w:r>
          </w:p>
        </w:tc>
        <w:tc>
          <w:tcPr>
            <w:tcW w:w="697" w:type="dxa"/>
            <w:tcBorders>
              <w:top w:val="nil"/>
              <w:left w:val="nil"/>
              <w:bottom w:val="nil"/>
              <w:right w:val="nil"/>
            </w:tcBorders>
            <w:shd w:val="clear" w:color="auto" w:fill="auto"/>
            <w:noWrap/>
            <w:vAlign w:val="center"/>
            <w:hideMark/>
          </w:tcPr>
          <w:p w14:paraId="2121A1C3"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224780C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37,6</w:t>
            </w:r>
          </w:p>
        </w:tc>
        <w:tc>
          <w:tcPr>
            <w:tcW w:w="697" w:type="dxa"/>
            <w:tcBorders>
              <w:top w:val="nil"/>
              <w:left w:val="nil"/>
              <w:bottom w:val="nil"/>
              <w:right w:val="nil"/>
            </w:tcBorders>
            <w:shd w:val="clear" w:color="auto" w:fill="auto"/>
            <w:noWrap/>
            <w:vAlign w:val="center"/>
            <w:hideMark/>
          </w:tcPr>
          <w:p w14:paraId="2C23D19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39,1</w:t>
            </w:r>
          </w:p>
        </w:tc>
        <w:tc>
          <w:tcPr>
            <w:tcW w:w="697" w:type="dxa"/>
            <w:tcBorders>
              <w:top w:val="nil"/>
              <w:left w:val="nil"/>
              <w:bottom w:val="nil"/>
              <w:right w:val="nil"/>
            </w:tcBorders>
            <w:shd w:val="clear" w:color="auto" w:fill="auto"/>
            <w:noWrap/>
            <w:vAlign w:val="center"/>
            <w:hideMark/>
          </w:tcPr>
          <w:p w14:paraId="752D823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41,3</w:t>
            </w:r>
          </w:p>
        </w:tc>
        <w:tc>
          <w:tcPr>
            <w:tcW w:w="697" w:type="dxa"/>
            <w:tcBorders>
              <w:top w:val="nil"/>
              <w:left w:val="nil"/>
              <w:bottom w:val="nil"/>
              <w:right w:val="nil"/>
            </w:tcBorders>
            <w:shd w:val="clear" w:color="auto" w:fill="auto"/>
            <w:noWrap/>
            <w:vAlign w:val="center"/>
            <w:hideMark/>
          </w:tcPr>
          <w:p w14:paraId="6DEAA1A5"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59,2</w:t>
            </w:r>
          </w:p>
        </w:tc>
      </w:tr>
      <w:tr w:rsidR="00B0095F" w:rsidRPr="00D92E20" w14:paraId="067173F3" w14:textId="77777777" w:rsidTr="00B0095F">
        <w:trPr>
          <w:trHeight w:val="300"/>
        </w:trPr>
        <w:tc>
          <w:tcPr>
            <w:tcW w:w="1960" w:type="dxa"/>
            <w:tcBorders>
              <w:top w:val="nil"/>
              <w:left w:val="nil"/>
              <w:bottom w:val="nil"/>
              <w:right w:val="single" w:sz="4" w:space="0" w:color="auto"/>
            </w:tcBorders>
            <w:shd w:val="clear" w:color="auto" w:fill="auto"/>
            <w:noWrap/>
            <w:vAlign w:val="center"/>
            <w:hideMark/>
          </w:tcPr>
          <w:p w14:paraId="35E89EA8" w14:textId="77777777" w:rsidR="00B0095F" w:rsidRPr="00D92E20" w:rsidRDefault="00B0095F" w:rsidP="00B0095F">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97" w:type="dxa"/>
            <w:tcBorders>
              <w:top w:val="nil"/>
              <w:left w:val="nil"/>
              <w:bottom w:val="nil"/>
              <w:right w:val="nil"/>
            </w:tcBorders>
            <w:shd w:val="clear" w:color="auto" w:fill="auto"/>
            <w:noWrap/>
            <w:vAlign w:val="center"/>
            <w:hideMark/>
          </w:tcPr>
          <w:p w14:paraId="381B5B43"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32,0</w:t>
            </w:r>
          </w:p>
        </w:tc>
        <w:tc>
          <w:tcPr>
            <w:tcW w:w="697" w:type="dxa"/>
            <w:tcBorders>
              <w:top w:val="nil"/>
              <w:left w:val="nil"/>
              <w:bottom w:val="nil"/>
              <w:right w:val="nil"/>
            </w:tcBorders>
            <w:shd w:val="clear" w:color="auto" w:fill="auto"/>
            <w:noWrap/>
            <w:vAlign w:val="center"/>
            <w:hideMark/>
          </w:tcPr>
          <w:p w14:paraId="0C88F714"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31,7</w:t>
            </w:r>
          </w:p>
        </w:tc>
        <w:tc>
          <w:tcPr>
            <w:tcW w:w="697" w:type="dxa"/>
            <w:tcBorders>
              <w:top w:val="nil"/>
              <w:left w:val="nil"/>
              <w:bottom w:val="nil"/>
              <w:right w:val="nil"/>
            </w:tcBorders>
            <w:shd w:val="clear" w:color="auto" w:fill="auto"/>
            <w:noWrap/>
            <w:vAlign w:val="center"/>
            <w:hideMark/>
          </w:tcPr>
          <w:p w14:paraId="7D7B76A8"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28,3</w:t>
            </w:r>
          </w:p>
        </w:tc>
        <w:tc>
          <w:tcPr>
            <w:tcW w:w="697" w:type="dxa"/>
            <w:tcBorders>
              <w:top w:val="nil"/>
              <w:left w:val="nil"/>
              <w:bottom w:val="nil"/>
              <w:right w:val="nil"/>
            </w:tcBorders>
            <w:shd w:val="clear" w:color="auto" w:fill="auto"/>
            <w:noWrap/>
            <w:vAlign w:val="center"/>
            <w:hideMark/>
          </w:tcPr>
          <w:p w14:paraId="0483F44F"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31,5</w:t>
            </w:r>
          </w:p>
        </w:tc>
        <w:tc>
          <w:tcPr>
            <w:tcW w:w="697" w:type="dxa"/>
            <w:tcBorders>
              <w:top w:val="nil"/>
              <w:left w:val="nil"/>
              <w:bottom w:val="nil"/>
              <w:right w:val="nil"/>
            </w:tcBorders>
            <w:shd w:val="clear" w:color="auto" w:fill="auto"/>
            <w:noWrap/>
            <w:vAlign w:val="center"/>
            <w:hideMark/>
          </w:tcPr>
          <w:p w14:paraId="5540361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30,4</w:t>
            </w:r>
          </w:p>
        </w:tc>
        <w:tc>
          <w:tcPr>
            <w:tcW w:w="697" w:type="dxa"/>
            <w:tcBorders>
              <w:top w:val="nil"/>
              <w:left w:val="nil"/>
              <w:bottom w:val="nil"/>
              <w:right w:val="nil"/>
            </w:tcBorders>
            <w:shd w:val="clear" w:color="auto" w:fill="auto"/>
            <w:noWrap/>
            <w:vAlign w:val="center"/>
            <w:hideMark/>
          </w:tcPr>
          <w:p w14:paraId="1B68F85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36,0</w:t>
            </w:r>
          </w:p>
        </w:tc>
        <w:tc>
          <w:tcPr>
            <w:tcW w:w="697" w:type="dxa"/>
            <w:tcBorders>
              <w:top w:val="nil"/>
              <w:left w:val="nil"/>
              <w:bottom w:val="nil"/>
              <w:right w:val="nil"/>
            </w:tcBorders>
            <w:shd w:val="clear" w:color="auto" w:fill="auto"/>
            <w:noWrap/>
            <w:vAlign w:val="center"/>
            <w:hideMark/>
          </w:tcPr>
          <w:p w14:paraId="250ADF9E"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37,5</w:t>
            </w:r>
          </w:p>
        </w:tc>
        <w:tc>
          <w:tcPr>
            <w:tcW w:w="697" w:type="dxa"/>
            <w:tcBorders>
              <w:top w:val="nil"/>
              <w:left w:val="nil"/>
              <w:bottom w:val="nil"/>
              <w:right w:val="nil"/>
            </w:tcBorders>
            <w:shd w:val="clear" w:color="auto" w:fill="auto"/>
            <w:noWrap/>
            <w:vAlign w:val="center"/>
            <w:hideMark/>
          </w:tcPr>
          <w:p w14:paraId="2D317FF9"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38,4</w:t>
            </w:r>
          </w:p>
        </w:tc>
        <w:tc>
          <w:tcPr>
            <w:tcW w:w="697" w:type="dxa"/>
            <w:tcBorders>
              <w:top w:val="nil"/>
              <w:left w:val="nil"/>
              <w:bottom w:val="nil"/>
              <w:right w:val="nil"/>
            </w:tcBorders>
            <w:shd w:val="clear" w:color="auto" w:fill="auto"/>
            <w:noWrap/>
            <w:vAlign w:val="center"/>
            <w:hideMark/>
          </w:tcPr>
          <w:p w14:paraId="5F07498C"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41,4</w:t>
            </w:r>
          </w:p>
        </w:tc>
        <w:tc>
          <w:tcPr>
            <w:tcW w:w="697" w:type="dxa"/>
            <w:tcBorders>
              <w:top w:val="nil"/>
              <w:left w:val="nil"/>
              <w:bottom w:val="nil"/>
              <w:right w:val="nil"/>
            </w:tcBorders>
            <w:shd w:val="clear" w:color="auto" w:fill="auto"/>
            <w:noWrap/>
            <w:vAlign w:val="center"/>
            <w:hideMark/>
          </w:tcPr>
          <w:p w14:paraId="359D74C0"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43,1</w:t>
            </w:r>
          </w:p>
        </w:tc>
        <w:tc>
          <w:tcPr>
            <w:tcW w:w="697" w:type="dxa"/>
            <w:tcBorders>
              <w:top w:val="nil"/>
              <w:left w:val="nil"/>
              <w:bottom w:val="nil"/>
              <w:right w:val="nil"/>
            </w:tcBorders>
            <w:shd w:val="clear" w:color="auto" w:fill="auto"/>
            <w:noWrap/>
            <w:vAlign w:val="center"/>
            <w:hideMark/>
          </w:tcPr>
          <w:p w14:paraId="7494AB02" w14:textId="77777777" w:rsidR="00B0095F" w:rsidRPr="00D92E20" w:rsidRDefault="00B0095F" w:rsidP="00B0095F">
            <w:pPr>
              <w:spacing w:after="0" w:line="240" w:lineRule="auto"/>
              <w:jc w:val="center"/>
              <w:rPr>
                <w:rFonts w:cs="Arial"/>
                <w:color w:val="000000"/>
                <w:sz w:val="16"/>
                <w:szCs w:val="16"/>
              </w:rPr>
            </w:pPr>
            <w:r w:rsidRPr="00D92E20">
              <w:rPr>
                <w:rFonts w:cs="Arial"/>
                <w:color w:val="000000"/>
                <w:sz w:val="16"/>
                <w:szCs w:val="16"/>
              </w:rPr>
              <w:t>59,7</w:t>
            </w:r>
          </w:p>
        </w:tc>
      </w:tr>
    </w:tbl>
    <w:p w14:paraId="4979ED72" w14:textId="43D161DA" w:rsidR="00B0095F" w:rsidRPr="00D92E20" w:rsidRDefault="00B0095F" w:rsidP="00B0095F">
      <w:pPr>
        <w:spacing w:before="120"/>
        <w:rPr>
          <w:sz w:val="16"/>
        </w:rPr>
      </w:pPr>
      <w:r w:rsidRPr="00D92E20">
        <w:rPr>
          <w:sz w:val="16"/>
        </w:rPr>
        <w:t>Zdroj: ČSÚ</w:t>
      </w:r>
    </w:p>
    <w:p w14:paraId="40D78C46" w14:textId="77777777" w:rsidR="009208D0" w:rsidRPr="00D92E20" w:rsidRDefault="009208D0" w:rsidP="009208D0">
      <w:pPr>
        <w:spacing w:before="120" w:after="120"/>
        <w:jc w:val="both"/>
      </w:pPr>
      <w:r w:rsidRPr="00D92E20">
        <w:t xml:space="preserve">Dalším členícím kritériem je </w:t>
      </w:r>
      <w:r w:rsidRPr="00D92E20">
        <w:rPr>
          <w:b/>
        </w:rPr>
        <w:t>velikost podniku</w:t>
      </w:r>
      <w:r w:rsidRPr="00D92E20">
        <w:t xml:space="preserve">. V relativním pojetí při přepočtu na 100 pojištěnců dominovaly středně velké podniky, které mají 100–249 zaměstnanců spolu s velkými firmami zaměstnávající </w:t>
      </w:r>
      <w:r w:rsidRPr="00D92E20">
        <w:br/>
        <w:t xml:space="preserve">250–499 osob. Obě kategorie během roku 2020 shodně zaznamenaly 58 případů pracovních neschopností v přepočtu na 100 pojištěnců. Daleko méně případů pracovní neschopnosti vykázaly firmy mající do 50 zaměstnanců, kde na 100 pojištěnců připadlo 42 hlášení. A zcela nejméně případů bylo zaznamenáno </w:t>
      </w:r>
      <w:r w:rsidRPr="00D92E20">
        <w:lastRenderedPageBreak/>
        <w:t>u OSVČ, a sice 19 na 100 nemocensky pojištěných OSVČ. Zde je nutné mít na paměti, že nemocenské dávky jsou vypláceny až od 15. dne pracovní neschopnosti (do té doby vyplácí náhradu mzdy zaměstnavatel), a proto se OSVČ nevyplatí při krátkodobější nemoci nastupovat do pracovní neschopnosti.</w:t>
      </w:r>
    </w:p>
    <w:p w14:paraId="69697D45" w14:textId="77777777" w:rsidR="009208D0" w:rsidRPr="00D92E20" w:rsidRDefault="009208D0" w:rsidP="009208D0">
      <w:pPr>
        <w:spacing w:before="120" w:after="120"/>
        <w:jc w:val="both"/>
      </w:pPr>
      <w:r w:rsidRPr="00D92E20">
        <w:t xml:space="preserve">Dalším kritériem, podle kterého lze hodnotit pracovní neschopnost nemocensky pojištěných, je rozdělení na </w:t>
      </w:r>
      <w:r w:rsidRPr="00D92E20">
        <w:rPr>
          <w:b/>
        </w:rPr>
        <w:t xml:space="preserve">podniky domácí vs. </w:t>
      </w:r>
      <w:r w:rsidRPr="00D92E20">
        <w:t xml:space="preserve">podniky </w:t>
      </w:r>
      <w:r w:rsidRPr="00D92E20">
        <w:rPr>
          <w:b/>
        </w:rPr>
        <w:t>pod zahraniční kontrolou</w:t>
      </w:r>
      <w:r w:rsidRPr="00D92E20">
        <w:t>. Např. v nefinančních podnicích pod zahraniční kontrolou v roce 2020 připadlo na 100 nemocensky pojištěných 60 nahlášených případů v porovnání s 50 případy v domácích nefinančních podnicích. Pracovní neschopnost zaměstnanců v domácích podnicích však trvala v průměru o necelých 6 dní déle (43 dnů) než u podniků pod zahraniční kontrolou (37 dnů).</w:t>
      </w:r>
    </w:p>
    <w:p w14:paraId="659702C8" w14:textId="77777777" w:rsidR="0048385E" w:rsidRPr="00D92E20" w:rsidRDefault="0048385E" w:rsidP="00BA6B4E">
      <w:pPr>
        <w:pStyle w:val="Nadpis3"/>
        <w:numPr>
          <w:ilvl w:val="2"/>
          <w:numId w:val="21"/>
        </w:numPr>
        <w:spacing w:after="120"/>
        <w:ind w:left="709"/>
        <w:jc w:val="both"/>
      </w:pPr>
      <w:bookmarkStart w:id="9" w:name="_Toc70676750"/>
      <w:bookmarkStart w:id="10" w:name="_Toc70676872"/>
      <w:bookmarkStart w:id="11" w:name="_Toc70933090"/>
      <w:bookmarkStart w:id="12" w:name="_Toc70933155"/>
      <w:bookmarkStart w:id="13" w:name="_Toc70948573"/>
      <w:bookmarkStart w:id="14" w:name="_Toc70948602"/>
      <w:bookmarkStart w:id="15" w:name="_Toc70948631"/>
      <w:bookmarkStart w:id="16" w:name="_Toc70948675"/>
      <w:bookmarkStart w:id="17" w:name="_Toc70948904"/>
      <w:bookmarkStart w:id="18" w:name="_Toc54262801"/>
      <w:bookmarkStart w:id="19" w:name="_Toc70950130"/>
      <w:bookmarkEnd w:id="9"/>
      <w:bookmarkEnd w:id="10"/>
      <w:bookmarkEnd w:id="11"/>
      <w:bookmarkEnd w:id="12"/>
      <w:bookmarkEnd w:id="13"/>
      <w:bookmarkEnd w:id="14"/>
      <w:bookmarkEnd w:id="15"/>
      <w:bookmarkEnd w:id="16"/>
      <w:bookmarkEnd w:id="17"/>
      <w:r w:rsidRPr="00D92E20">
        <w:t>Délka trvání dočasné pracovní neschopnosti</w:t>
      </w:r>
      <w:bookmarkEnd w:id="18"/>
      <w:bookmarkEnd w:id="19"/>
    </w:p>
    <w:p w14:paraId="6D52A0B9" w14:textId="77777777" w:rsidR="0048385E" w:rsidRPr="00D92E20" w:rsidRDefault="0048385E" w:rsidP="00BA6B4E">
      <w:pPr>
        <w:spacing w:before="120" w:after="120"/>
        <w:jc w:val="both"/>
      </w:pPr>
      <w:r w:rsidRPr="00D92E20">
        <w:t>Pro posouzení vývoje pracovní neschopnosti je důležité nejen zjištění, jak často zaměstnanci do pracovní neschopnosti nastupují, ale i to, jak dlouho v pracovní neschopnosti zůstávají.</w:t>
      </w:r>
    </w:p>
    <w:p w14:paraId="15ECD2E5" w14:textId="77777777" w:rsidR="0048385E" w:rsidRPr="00D92E20" w:rsidRDefault="0048385E" w:rsidP="00BA6B4E">
      <w:pPr>
        <w:pStyle w:val="Box1"/>
        <w:spacing w:before="120" w:after="120"/>
        <w:ind w:left="0"/>
        <w:contextualSpacing w:val="0"/>
        <w:jc w:val="both"/>
        <w:rPr>
          <w:b/>
          <w:i/>
        </w:rPr>
      </w:pPr>
      <w:r w:rsidRPr="00D92E20">
        <w:rPr>
          <w:b/>
          <w:i/>
        </w:rPr>
        <w:t>Počet kalendářních dnů dočasné pracovní neschopnosti</w:t>
      </w:r>
      <w:r w:rsidRPr="00D92E20">
        <w:rPr>
          <w:i/>
        </w:rPr>
        <w:t xml:space="preserve"> – ukazatel udává celkový počet kalendářních dnů, po které byli v daném období (roce) nemocensky pojištění zaměstnanci práce neschopni z příčin uvedených v „Rozhodnutí o dočasné pracovní neschopnosti“. Počet kalendářních dnů strávených v pracovní neschopnosti je zjišťován na základě hlášení o vzniku a ukončení pracovní neschopnosti. Do počtu případů a počtu kalendářních dnů pracovní neschopnosti patří i pracovní neschopnost vzniklá po zániku pojištění v tzv. ochranné lhůtě sedmi kalendářních dnů.</w:t>
      </w:r>
    </w:p>
    <w:p w14:paraId="39634E12" w14:textId="77777777" w:rsidR="0048385E" w:rsidRPr="00D92E20" w:rsidRDefault="0048385E" w:rsidP="0048385E">
      <w:pPr>
        <w:pStyle w:val="Box1"/>
        <w:ind w:left="0"/>
        <w:jc w:val="both"/>
        <w:rPr>
          <w:i/>
        </w:rPr>
      </w:pPr>
      <w:r w:rsidRPr="00D92E20">
        <w:rPr>
          <w:b/>
          <w:i/>
        </w:rPr>
        <w:t>Průměrná délka trvání pracovní neschopnosti ve dnech</w:t>
      </w:r>
      <w:r w:rsidRPr="00D92E20">
        <w:rPr>
          <w:i/>
        </w:rPr>
        <w:t xml:space="preserve"> – ukazatel vyjadřuje, kolik kalendářních dnů pracovní neschopnosti v průměru připadá na jeden nově hlášený případ pracovní neschopnosti. </w:t>
      </w:r>
    </w:p>
    <w:p w14:paraId="31B6C8D4" w14:textId="77777777" w:rsidR="0048385E" w:rsidRPr="00D92E20" w:rsidRDefault="0048385E" w:rsidP="0048385E">
      <w:pPr>
        <w:pStyle w:val="Box1"/>
        <w:ind w:left="0"/>
        <w:jc w:val="both"/>
        <w:rPr>
          <w:i/>
          <w:u w:val="single"/>
        </w:rPr>
      </w:pPr>
      <w:r w:rsidRPr="00D92E20">
        <w:rPr>
          <w:i/>
          <w:u w:val="single"/>
        </w:rPr>
        <w:t>Způsob výpočtu:</w:t>
      </w:r>
    </w:p>
    <w:p w14:paraId="4C434103" w14:textId="77777777" w:rsidR="0048385E" w:rsidRPr="00D92E20" w:rsidRDefault="0048385E" w:rsidP="00BA6B4E">
      <w:pPr>
        <w:pStyle w:val="Box1"/>
        <w:spacing w:before="120" w:after="120"/>
        <w:ind w:left="0"/>
        <w:contextualSpacing w:val="0"/>
        <w:jc w:val="both"/>
        <w:rPr>
          <w:i/>
        </w:rPr>
      </w:pPr>
      <w:r w:rsidRPr="00D92E20">
        <w:rPr>
          <w:i/>
        </w:rPr>
        <w:t>Průměrná délka trvání pracovní neschopnosti ve dnech = počet kalendářních dnů dočasné pracovní neschopnosti / počet nově hlášených případů dočasné pracovní neschopnosti.</w:t>
      </w:r>
    </w:p>
    <w:p w14:paraId="4B21DB51" w14:textId="77777777" w:rsidR="0048385E" w:rsidRPr="00D92E20" w:rsidRDefault="0048385E" w:rsidP="00BA6B4E">
      <w:pPr>
        <w:spacing w:before="120" w:after="120"/>
        <w:jc w:val="both"/>
      </w:pPr>
      <w:r w:rsidRPr="00D92E20">
        <w:t>Počet kalendářních dnů dočasné pracovní neschopnosti</w:t>
      </w:r>
      <w:r w:rsidRPr="00D92E20">
        <w:rPr>
          <w:b/>
        </w:rPr>
        <w:t xml:space="preserve"> </w:t>
      </w:r>
      <w:r w:rsidRPr="00D92E20">
        <w:t xml:space="preserve">meziročně vzrostl z </w:t>
      </w:r>
      <w:r w:rsidR="00461B62" w:rsidRPr="00D92E20">
        <w:t>81 205</w:t>
      </w:r>
      <w:r w:rsidRPr="00D92E20">
        <w:t xml:space="preserve"> tis. prostonaných dnů v </w:t>
      </w:r>
      <w:r w:rsidR="00461B62" w:rsidRPr="00D92E20">
        <w:t>roce</w:t>
      </w:r>
      <w:r w:rsidRPr="00D92E20">
        <w:t xml:space="preserve"> 2019 na </w:t>
      </w:r>
      <w:r w:rsidR="00461B62" w:rsidRPr="00D92E20">
        <w:t>94 246</w:t>
      </w:r>
      <w:r w:rsidRPr="00D92E20">
        <w:t xml:space="preserve"> tis. dnů v</w:t>
      </w:r>
      <w:r w:rsidR="00461B62" w:rsidRPr="00D92E20">
        <w:t xml:space="preserve"> roce </w:t>
      </w:r>
      <w:r w:rsidRPr="00D92E20">
        <w:t>2020 (tj. o 1</w:t>
      </w:r>
      <w:r w:rsidR="00461B62" w:rsidRPr="00D92E20">
        <w:t>6</w:t>
      </w:r>
      <w:r w:rsidRPr="00D92E20">
        <w:t xml:space="preserve"> %). Nárůst ve výši </w:t>
      </w:r>
      <w:r w:rsidR="00461B62" w:rsidRPr="00D92E20">
        <w:t>13</w:t>
      </w:r>
      <w:r w:rsidRPr="00D92E20">
        <w:t xml:space="preserve"> mil. dnů je nebývalý. Trend je obdobný jako u počtu nově hlášených případů. Téměř veškerý nárůst počtu kalendářních dnů připadá na vrub nemocem (+</w:t>
      </w:r>
      <w:r w:rsidR="00461B62" w:rsidRPr="00D92E20">
        <w:t>12,3</w:t>
      </w:r>
      <w:r w:rsidRPr="00D92E20">
        <w:t xml:space="preserve"> mil.). Počty dnů pracovní neschopnosti pro mimopracovní úrazy vzrostly o </w:t>
      </w:r>
      <w:r w:rsidR="00461B62" w:rsidRPr="00D92E20">
        <w:t>603</w:t>
      </w:r>
      <w:r w:rsidRPr="00D92E20">
        <w:t xml:space="preserve"> tis., pro pracovní úrazy </w:t>
      </w:r>
      <w:r w:rsidR="00461B62" w:rsidRPr="00D92E20">
        <w:t>o 52</w:t>
      </w:r>
      <w:r w:rsidRPr="00D92E20">
        <w:t xml:space="preserve"> tis.</w:t>
      </w:r>
    </w:p>
    <w:p w14:paraId="0C194611" w14:textId="77777777" w:rsidR="00EA098E" w:rsidRPr="00D92E20" w:rsidRDefault="0048385E" w:rsidP="00BA6B4E">
      <w:pPr>
        <w:spacing w:after="0"/>
        <w:jc w:val="both"/>
        <w:rPr>
          <w:b/>
        </w:rPr>
      </w:pPr>
      <w:r w:rsidRPr="00D92E20">
        <w:rPr>
          <w:b/>
        </w:rPr>
        <w:t>Tab. 2.4: Kalendářní dny dočasné pracovní neschopnosti podle příčiny a pohlaví, 2010–2020 (v tis.)</w:t>
      </w:r>
    </w:p>
    <w:tbl>
      <w:tblPr>
        <w:tblW w:w="9591" w:type="dxa"/>
        <w:tblCellMar>
          <w:left w:w="70" w:type="dxa"/>
          <w:right w:w="70" w:type="dxa"/>
        </w:tblCellMar>
        <w:tblLook w:val="04A0" w:firstRow="1" w:lastRow="0" w:firstColumn="1" w:lastColumn="0" w:noHBand="0" w:noVBand="1"/>
      </w:tblPr>
      <w:tblGrid>
        <w:gridCol w:w="735"/>
        <w:gridCol w:w="737"/>
        <w:gridCol w:w="736"/>
        <w:gridCol w:w="736"/>
        <w:gridCol w:w="736"/>
        <w:gridCol w:w="736"/>
        <w:gridCol w:w="736"/>
        <w:gridCol w:w="754"/>
        <w:gridCol w:w="737"/>
        <w:gridCol w:w="737"/>
        <w:gridCol w:w="737"/>
        <w:gridCol w:w="737"/>
        <w:gridCol w:w="737"/>
      </w:tblGrid>
      <w:tr w:rsidR="0048385E" w:rsidRPr="00D92E20" w14:paraId="022C4014" w14:textId="77777777" w:rsidTr="00461B62">
        <w:trPr>
          <w:trHeight w:val="300"/>
        </w:trPr>
        <w:tc>
          <w:tcPr>
            <w:tcW w:w="735" w:type="dxa"/>
            <w:vMerge w:val="restart"/>
            <w:tcBorders>
              <w:top w:val="single" w:sz="4" w:space="0" w:color="auto"/>
              <w:left w:val="nil"/>
              <w:bottom w:val="nil"/>
              <w:right w:val="single" w:sz="4" w:space="0" w:color="auto"/>
            </w:tcBorders>
            <w:shd w:val="clear" w:color="000000" w:fill="F5DADD"/>
            <w:vAlign w:val="center"/>
            <w:hideMark/>
          </w:tcPr>
          <w:p w14:paraId="40A1A5DC"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single" w:sz="4" w:space="0" w:color="auto"/>
            </w:tcBorders>
            <w:shd w:val="clear" w:color="000000" w:fill="F2DBDB"/>
            <w:vAlign w:val="center"/>
            <w:hideMark/>
          </w:tcPr>
          <w:p w14:paraId="1464BECB" w14:textId="77777777" w:rsidR="0048385E" w:rsidRPr="00D92E20" w:rsidRDefault="0048385E" w:rsidP="0048385E">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77F82B5D"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podle pohlaví</w:t>
            </w:r>
          </w:p>
        </w:tc>
        <w:tc>
          <w:tcPr>
            <w:tcW w:w="736" w:type="dxa"/>
            <w:vMerge w:val="restart"/>
            <w:tcBorders>
              <w:top w:val="single" w:sz="4" w:space="0" w:color="auto"/>
              <w:left w:val="single" w:sz="4" w:space="0" w:color="auto"/>
              <w:right w:val="single" w:sz="4" w:space="0" w:color="auto"/>
            </w:tcBorders>
            <w:shd w:val="clear" w:color="000000" w:fill="F2DBDB"/>
            <w:vAlign w:val="center"/>
            <w:hideMark/>
          </w:tcPr>
          <w:p w14:paraId="06A482C7"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Pro nemoc</w:t>
            </w:r>
          </w:p>
        </w:tc>
        <w:tc>
          <w:tcPr>
            <w:tcW w:w="1472" w:type="dxa"/>
            <w:gridSpan w:val="2"/>
            <w:tcBorders>
              <w:top w:val="single" w:sz="4" w:space="0" w:color="auto"/>
              <w:left w:val="nil"/>
              <w:bottom w:val="single" w:sz="4" w:space="0" w:color="auto"/>
              <w:right w:val="single" w:sz="4" w:space="0" w:color="auto"/>
            </w:tcBorders>
            <w:shd w:val="clear" w:color="000000" w:fill="F2DBDB"/>
            <w:vAlign w:val="center"/>
            <w:hideMark/>
          </w:tcPr>
          <w:p w14:paraId="7039C6A9"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single" w:sz="4" w:space="0" w:color="auto"/>
            </w:tcBorders>
            <w:shd w:val="clear" w:color="000000" w:fill="F2DBDB"/>
            <w:vAlign w:val="center"/>
            <w:hideMark/>
          </w:tcPr>
          <w:p w14:paraId="73872E56"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nil"/>
              <w:bottom w:val="single" w:sz="4" w:space="0" w:color="auto"/>
              <w:right w:val="single" w:sz="4" w:space="0" w:color="auto"/>
            </w:tcBorders>
            <w:shd w:val="clear" w:color="000000" w:fill="F2DBDB"/>
            <w:vAlign w:val="center"/>
            <w:hideMark/>
          </w:tcPr>
          <w:p w14:paraId="24099DA4"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single" w:sz="4" w:space="0" w:color="auto"/>
              <w:right w:val="single" w:sz="4" w:space="0" w:color="auto"/>
            </w:tcBorders>
            <w:shd w:val="clear" w:color="000000" w:fill="F2DBDB"/>
            <w:vAlign w:val="center"/>
            <w:hideMark/>
          </w:tcPr>
          <w:p w14:paraId="1FF174EC"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nil"/>
              <w:bottom w:val="single" w:sz="4" w:space="0" w:color="auto"/>
            </w:tcBorders>
            <w:shd w:val="clear" w:color="000000" w:fill="F2DBDB"/>
            <w:vAlign w:val="center"/>
            <w:hideMark/>
          </w:tcPr>
          <w:p w14:paraId="0D1F3B22"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podle pohlaví</w:t>
            </w:r>
          </w:p>
        </w:tc>
      </w:tr>
      <w:tr w:rsidR="0048385E" w:rsidRPr="00D92E20" w14:paraId="40A212C5" w14:textId="77777777" w:rsidTr="003F7F34">
        <w:trPr>
          <w:trHeight w:val="300"/>
        </w:trPr>
        <w:tc>
          <w:tcPr>
            <w:tcW w:w="735" w:type="dxa"/>
            <w:vMerge/>
            <w:tcBorders>
              <w:top w:val="single" w:sz="4" w:space="0" w:color="auto"/>
              <w:left w:val="nil"/>
              <w:bottom w:val="nil"/>
              <w:right w:val="single" w:sz="4" w:space="0" w:color="auto"/>
            </w:tcBorders>
            <w:vAlign w:val="center"/>
            <w:hideMark/>
          </w:tcPr>
          <w:p w14:paraId="76A2DFA2" w14:textId="77777777" w:rsidR="0048385E" w:rsidRPr="00D92E20" w:rsidRDefault="0048385E" w:rsidP="0048385E">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single" w:sz="4" w:space="0" w:color="auto"/>
            </w:tcBorders>
            <w:vAlign w:val="center"/>
            <w:hideMark/>
          </w:tcPr>
          <w:p w14:paraId="616A35AD" w14:textId="77777777" w:rsidR="0048385E" w:rsidRPr="00D92E20" w:rsidRDefault="0048385E" w:rsidP="0048385E">
            <w:pPr>
              <w:spacing w:after="0" w:line="240" w:lineRule="auto"/>
              <w:rPr>
                <w:rFonts w:cs="Arial"/>
                <w:b/>
                <w:bCs/>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429A06F0"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2A08FDE7"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ženy</w:t>
            </w:r>
          </w:p>
        </w:tc>
        <w:tc>
          <w:tcPr>
            <w:tcW w:w="736" w:type="dxa"/>
            <w:vMerge/>
            <w:tcBorders>
              <w:left w:val="single" w:sz="4" w:space="0" w:color="auto"/>
              <w:bottom w:val="single" w:sz="4" w:space="0" w:color="000000"/>
              <w:right w:val="single" w:sz="4" w:space="0" w:color="auto"/>
            </w:tcBorders>
            <w:vAlign w:val="center"/>
            <w:hideMark/>
          </w:tcPr>
          <w:p w14:paraId="36016328" w14:textId="77777777" w:rsidR="0048385E" w:rsidRPr="00D92E20" w:rsidRDefault="0048385E" w:rsidP="0048385E">
            <w:pPr>
              <w:spacing w:after="0" w:line="240" w:lineRule="auto"/>
              <w:rPr>
                <w:rFonts w:cs="Arial"/>
                <w:color w:val="000000"/>
                <w:sz w:val="16"/>
                <w:szCs w:val="16"/>
              </w:rPr>
            </w:pPr>
          </w:p>
        </w:tc>
        <w:tc>
          <w:tcPr>
            <w:tcW w:w="736" w:type="dxa"/>
            <w:tcBorders>
              <w:top w:val="nil"/>
              <w:left w:val="nil"/>
              <w:bottom w:val="single" w:sz="4" w:space="0" w:color="auto"/>
              <w:right w:val="single" w:sz="4" w:space="0" w:color="auto"/>
            </w:tcBorders>
            <w:shd w:val="clear" w:color="000000" w:fill="F2DBDB"/>
            <w:vAlign w:val="center"/>
            <w:hideMark/>
          </w:tcPr>
          <w:p w14:paraId="6E45C002"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04E3FBB3"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single" w:sz="4" w:space="0" w:color="auto"/>
            </w:tcBorders>
            <w:vAlign w:val="center"/>
            <w:hideMark/>
          </w:tcPr>
          <w:p w14:paraId="393BB5F4" w14:textId="77777777" w:rsidR="0048385E" w:rsidRPr="00D92E20" w:rsidRDefault="0048385E" w:rsidP="0048385E">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42C026C2"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609BC780"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single" w:sz="4" w:space="0" w:color="auto"/>
              <w:bottom w:val="single" w:sz="4" w:space="0" w:color="000000"/>
              <w:right w:val="single" w:sz="4" w:space="0" w:color="auto"/>
            </w:tcBorders>
            <w:vAlign w:val="center"/>
            <w:hideMark/>
          </w:tcPr>
          <w:p w14:paraId="53417056" w14:textId="77777777" w:rsidR="0048385E" w:rsidRPr="00D92E20" w:rsidRDefault="0048385E" w:rsidP="0048385E">
            <w:pPr>
              <w:spacing w:after="0" w:line="240" w:lineRule="auto"/>
              <w:rPr>
                <w:rFonts w:cs="Arial"/>
                <w:color w:val="000000"/>
                <w:sz w:val="16"/>
                <w:szCs w:val="16"/>
              </w:rPr>
            </w:pPr>
          </w:p>
        </w:tc>
        <w:tc>
          <w:tcPr>
            <w:tcW w:w="737" w:type="dxa"/>
            <w:tcBorders>
              <w:top w:val="nil"/>
              <w:left w:val="nil"/>
              <w:bottom w:val="single" w:sz="4" w:space="0" w:color="auto"/>
              <w:right w:val="single" w:sz="4" w:space="0" w:color="auto"/>
            </w:tcBorders>
            <w:shd w:val="clear" w:color="000000" w:fill="F2DBDB"/>
            <w:vAlign w:val="center"/>
            <w:hideMark/>
          </w:tcPr>
          <w:p w14:paraId="107F703B"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04014ADF"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ženy</w:t>
            </w:r>
          </w:p>
        </w:tc>
      </w:tr>
      <w:tr w:rsidR="0048385E" w:rsidRPr="00D92E20" w14:paraId="4696E6BE" w14:textId="77777777" w:rsidTr="003F7F34">
        <w:trPr>
          <w:trHeight w:val="300"/>
        </w:trPr>
        <w:tc>
          <w:tcPr>
            <w:tcW w:w="735" w:type="dxa"/>
            <w:tcBorders>
              <w:top w:val="single" w:sz="4" w:space="0" w:color="auto"/>
              <w:left w:val="nil"/>
              <w:bottom w:val="nil"/>
              <w:right w:val="single" w:sz="4" w:space="0" w:color="auto"/>
            </w:tcBorders>
            <w:shd w:val="clear" w:color="auto" w:fill="auto"/>
            <w:vAlign w:val="center"/>
            <w:hideMark/>
          </w:tcPr>
          <w:p w14:paraId="24B6ED87"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2010</w:t>
            </w:r>
          </w:p>
        </w:tc>
        <w:tc>
          <w:tcPr>
            <w:tcW w:w="737" w:type="dxa"/>
            <w:tcBorders>
              <w:top w:val="single" w:sz="4" w:space="0" w:color="auto"/>
              <w:left w:val="nil"/>
              <w:bottom w:val="nil"/>
              <w:right w:val="nil"/>
            </w:tcBorders>
            <w:shd w:val="clear" w:color="auto" w:fill="auto"/>
            <w:vAlign w:val="center"/>
            <w:hideMark/>
          </w:tcPr>
          <w:p w14:paraId="18C3255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59 208</w:t>
            </w:r>
          </w:p>
        </w:tc>
        <w:tc>
          <w:tcPr>
            <w:tcW w:w="736" w:type="dxa"/>
            <w:tcBorders>
              <w:top w:val="single" w:sz="4" w:space="0" w:color="auto"/>
              <w:left w:val="nil"/>
              <w:bottom w:val="nil"/>
              <w:right w:val="nil"/>
            </w:tcBorders>
            <w:shd w:val="clear" w:color="auto" w:fill="auto"/>
            <w:vAlign w:val="center"/>
            <w:hideMark/>
          </w:tcPr>
          <w:p w14:paraId="117C578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28 008</w:t>
            </w:r>
          </w:p>
        </w:tc>
        <w:tc>
          <w:tcPr>
            <w:tcW w:w="736" w:type="dxa"/>
            <w:tcBorders>
              <w:top w:val="single" w:sz="4" w:space="0" w:color="auto"/>
              <w:left w:val="nil"/>
              <w:bottom w:val="nil"/>
              <w:right w:val="nil"/>
            </w:tcBorders>
            <w:shd w:val="clear" w:color="auto" w:fill="auto"/>
            <w:vAlign w:val="center"/>
            <w:hideMark/>
          </w:tcPr>
          <w:p w14:paraId="6A3645C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31 200</w:t>
            </w:r>
          </w:p>
        </w:tc>
        <w:tc>
          <w:tcPr>
            <w:tcW w:w="736" w:type="dxa"/>
            <w:tcBorders>
              <w:top w:val="single" w:sz="4" w:space="0" w:color="auto"/>
              <w:left w:val="single" w:sz="4" w:space="0" w:color="auto"/>
              <w:bottom w:val="nil"/>
              <w:right w:val="nil"/>
            </w:tcBorders>
            <w:shd w:val="clear" w:color="auto" w:fill="auto"/>
            <w:vAlign w:val="center"/>
            <w:hideMark/>
          </w:tcPr>
          <w:p w14:paraId="3F1FF9E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51 668</w:t>
            </w:r>
          </w:p>
        </w:tc>
        <w:tc>
          <w:tcPr>
            <w:tcW w:w="736" w:type="dxa"/>
            <w:tcBorders>
              <w:top w:val="single" w:sz="4" w:space="0" w:color="auto"/>
              <w:left w:val="nil"/>
              <w:bottom w:val="nil"/>
              <w:right w:val="nil"/>
            </w:tcBorders>
            <w:shd w:val="clear" w:color="auto" w:fill="auto"/>
            <w:vAlign w:val="center"/>
            <w:hideMark/>
          </w:tcPr>
          <w:p w14:paraId="48C2CA2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22 892</w:t>
            </w:r>
          </w:p>
        </w:tc>
        <w:tc>
          <w:tcPr>
            <w:tcW w:w="736" w:type="dxa"/>
            <w:tcBorders>
              <w:top w:val="single" w:sz="4" w:space="0" w:color="auto"/>
              <w:left w:val="nil"/>
              <w:bottom w:val="nil"/>
              <w:right w:val="single" w:sz="4" w:space="0" w:color="auto"/>
            </w:tcBorders>
            <w:shd w:val="clear" w:color="auto" w:fill="auto"/>
            <w:vAlign w:val="center"/>
            <w:hideMark/>
          </w:tcPr>
          <w:p w14:paraId="73D19BE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28 777</w:t>
            </w:r>
          </w:p>
        </w:tc>
        <w:tc>
          <w:tcPr>
            <w:tcW w:w="754" w:type="dxa"/>
            <w:tcBorders>
              <w:top w:val="single" w:sz="4" w:space="0" w:color="auto"/>
              <w:left w:val="nil"/>
              <w:bottom w:val="nil"/>
              <w:right w:val="nil"/>
            </w:tcBorders>
            <w:shd w:val="clear" w:color="auto" w:fill="auto"/>
            <w:vAlign w:val="center"/>
            <w:hideMark/>
          </w:tcPr>
          <w:p w14:paraId="4B5691B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2 693</w:t>
            </w:r>
          </w:p>
        </w:tc>
        <w:tc>
          <w:tcPr>
            <w:tcW w:w="737" w:type="dxa"/>
            <w:tcBorders>
              <w:top w:val="single" w:sz="4" w:space="0" w:color="auto"/>
              <w:left w:val="nil"/>
              <w:bottom w:val="nil"/>
              <w:right w:val="nil"/>
            </w:tcBorders>
            <w:shd w:val="clear" w:color="auto" w:fill="auto"/>
            <w:vAlign w:val="center"/>
            <w:hideMark/>
          </w:tcPr>
          <w:p w14:paraId="5320ADC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1 925</w:t>
            </w:r>
          </w:p>
        </w:tc>
        <w:tc>
          <w:tcPr>
            <w:tcW w:w="737" w:type="dxa"/>
            <w:tcBorders>
              <w:top w:val="single" w:sz="4" w:space="0" w:color="auto"/>
              <w:left w:val="nil"/>
              <w:bottom w:val="nil"/>
              <w:right w:val="single" w:sz="4" w:space="0" w:color="auto"/>
            </w:tcBorders>
            <w:shd w:val="clear" w:color="auto" w:fill="auto"/>
            <w:vAlign w:val="center"/>
            <w:hideMark/>
          </w:tcPr>
          <w:p w14:paraId="27B7DA7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767</w:t>
            </w:r>
          </w:p>
        </w:tc>
        <w:tc>
          <w:tcPr>
            <w:tcW w:w="737" w:type="dxa"/>
            <w:tcBorders>
              <w:top w:val="single" w:sz="4" w:space="0" w:color="auto"/>
              <w:left w:val="nil"/>
              <w:bottom w:val="nil"/>
              <w:right w:val="nil"/>
            </w:tcBorders>
            <w:shd w:val="clear" w:color="auto" w:fill="auto"/>
            <w:vAlign w:val="center"/>
            <w:hideMark/>
          </w:tcPr>
          <w:p w14:paraId="534547B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4 848</w:t>
            </w:r>
          </w:p>
        </w:tc>
        <w:tc>
          <w:tcPr>
            <w:tcW w:w="737" w:type="dxa"/>
            <w:tcBorders>
              <w:top w:val="single" w:sz="4" w:space="0" w:color="auto"/>
              <w:left w:val="nil"/>
              <w:bottom w:val="nil"/>
              <w:right w:val="nil"/>
            </w:tcBorders>
            <w:shd w:val="clear" w:color="auto" w:fill="auto"/>
            <w:vAlign w:val="center"/>
            <w:hideMark/>
          </w:tcPr>
          <w:p w14:paraId="23DD500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3 192</w:t>
            </w:r>
          </w:p>
        </w:tc>
        <w:tc>
          <w:tcPr>
            <w:tcW w:w="737" w:type="dxa"/>
            <w:tcBorders>
              <w:top w:val="single" w:sz="4" w:space="0" w:color="auto"/>
              <w:left w:val="nil"/>
              <w:right w:val="nil"/>
            </w:tcBorders>
            <w:shd w:val="clear" w:color="auto" w:fill="auto"/>
            <w:vAlign w:val="center"/>
            <w:hideMark/>
          </w:tcPr>
          <w:p w14:paraId="7C543C3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1 656</w:t>
            </w:r>
          </w:p>
        </w:tc>
      </w:tr>
      <w:tr w:rsidR="0048385E" w:rsidRPr="00D92E20" w14:paraId="7A5E1111" w14:textId="77777777" w:rsidTr="00461B62">
        <w:trPr>
          <w:trHeight w:val="300"/>
        </w:trPr>
        <w:tc>
          <w:tcPr>
            <w:tcW w:w="735" w:type="dxa"/>
            <w:tcBorders>
              <w:top w:val="nil"/>
              <w:left w:val="nil"/>
              <w:bottom w:val="nil"/>
              <w:right w:val="single" w:sz="4" w:space="0" w:color="auto"/>
            </w:tcBorders>
            <w:shd w:val="clear" w:color="auto" w:fill="auto"/>
            <w:vAlign w:val="center"/>
            <w:hideMark/>
          </w:tcPr>
          <w:p w14:paraId="261EDC12"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nil"/>
              <w:left w:val="nil"/>
              <w:bottom w:val="nil"/>
              <w:right w:val="nil"/>
            </w:tcBorders>
            <w:shd w:val="clear" w:color="auto" w:fill="auto"/>
            <w:vAlign w:val="center"/>
            <w:hideMark/>
          </w:tcPr>
          <w:p w14:paraId="08ED583D"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55 924</w:t>
            </w:r>
          </w:p>
        </w:tc>
        <w:tc>
          <w:tcPr>
            <w:tcW w:w="736" w:type="dxa"/>
            <w:tcBorders>
              <w:top w:val="nil"/>
              <w:left w:val="nil"/>
              <w:bottom w:val="nil"/>
              <w:right w:val="nil"/>
            </w:tcBorders>
            <w:shd w:val="clear" w:color="auto" w:fill="auto"/>
            <w:vAlign w:val="center"/>
            <w:hideMark/>
          </w:tcPr>
          <w:p w14:paraId="145ECA6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25 996</w:t>
            </w:r>
          </w:p>
        </w:tc>
        <w:tc>
          <w:tcPr>
            <w:tcW w:w="736" w:type="dxa"/>
            <w:tcBorders>
              <w:top w:val="nil"/>
              <w:left w:val="nil"/>
              <w:bottom w:val="nil"/>
              <w:right w:val="nil"/>
            </w:tcBorders>
            <w:shd w:val="clear" w:color="auto" w:fill="auto"/>
            <w:vAlign w:val="center"/>
            <w:hideMark/>
          </w:tcPr>
          <w:p w14:paraId="13873AF1"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29 928</w:t>
            </w:r>
          </w:p>
        </w:tc>
        <w:tc>
          <w:tcPr>
            <w:tcW w:w="736" w:type="dxa"/>
            <w:tcBorders>
              <w:top w:val="nil"/>
              <w:left w:val="single" w:sz="4" w:space="0" w:color="auto"/>
              <w:bottom w:val="nil"/>
              <w:right w:val="nil"/>
            </w:tcBorders>
            <w:shd w:val="clear" w:color="auto" w:fill="auto"/>
            <w:vAlign w:val="center"/>
            <w:hideMark/>
          </w:tcPr>
          <w:p w14:paraId="45ECF682"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48 774</w:t>
            </w:r>
          </w:p>
        </w:tc>
        <w:tc>
          <w:tcPr>
            <w:tcW w:w="736" w:type="dxa"/>
            <w:tcBorders>
              <w:top w:val="nil"/>
              <w:left w:val="nil"/>
              <w:bottom w:val="nil"/>
              <w:right w:val="nil"/>
            </w:tcBorders>
            <w:shd w:val="clear" w:color="auto" w:fill="auto"/>
            <w:vAlign w:val="center"/>
            <w:hideMark/>
          </w:tcPr>
          <w:p w14:paraId="2EB9B397"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21 150</w:t>
            </w:r>
          </w:p>
        </w:tc>
        <w:tc>
          <w:tcPr>
            <w:tcW w:w="736" w:type="dxa"/>
            <w:tcBorders>
              <w:top w:val="nil"/>
              <w:left w:val="nil"/>
              <w:bottom w:val="nil"/>
              <w:right w:val="single" w:sz="4" w:space="0" w:color="auto"/>
            </w:tcBorders>
            <w:shd w:val="clear" w:color="auto" w:fill="auto"/>
            <w:vAlign w:val="center"/>
            <w:hideMark/>
          </w:tcPr>
          <w:p w14:paraId="252B83F2"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27 624</w:t>
            </w:r>
          </w:p>
        </w:tc>
        <w:tc>
          <w:tcPr>
            <w:tcW w:w="754" w:type="dxa"/>
            <w:tcBorders>
              <w:top w:val="nil"/>
              <w:left w:val="nil"/>
              <w:bottom w:val="nil"/>
              <w:right w:val="nil"/>
            </w:tcBorders>
            <w:shd w:val="clear" w:color="auto" w:fill="auto"/>
            <w:vAlign w:val="center"/>
            <w:hideMark/>
          </w:tcPr>
          <w:p w14:paraId="1171977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2 593</w:t>
            </w:r>
          </w:p>
        </w:tc>
        <w:tc>
          <w:tcPr>
            <w:tcW w:w="737" w:type="dxa"/>
            <w:tcBorders>
              <w:top w:val="nil"/>
              <w:left w:val="nil"/>
              <w:bottom w:val="nil"/>
              <w:right w:val="nil"/>
            </w:tcBorders>
            <w:shd w:val="clear" w:color="auto" w:fill="auto"/>
            <w:vAlign w:val="center"/>
            <w:hideMark/>
          </w:tcPr>
          <w:p w14:paraId="4DCC345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1 851</w:t>
            </w:r>
          </w:p>
        </w:tc>
        <w:tc>
          <w:tcPr>
            <w:tcW w:w="737" w:type="dxa"/>
            <w:tcBorders>
              <w:top w:val="nil"/>
              <w:left w:val="nil"/>
              <w:bottom w:val="nil"/>
              <w:right w:val="single" w:sz="4" w:space="0" w:color="auto"/>
            </w:tcBorders>
            <w:shd w:val="clear" w:color="auto" w:fill="auto"/>
            <w:vAlign w:val="center"/>
            <w:hideMark/>
          </w:tcPr>
          <w:p w14:paraId="2E013A2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741</w:t>
            </w:r>
          </w:p>
        </w:tc>
        <w:tc>
          <w:tcPr>
            <w:tcW w:w="737" w:type="dxa"/>
            <w:tcBorders>
              <w:top w:val="nil"/>
              <w:left w:val="nil"/>
              <w:bottom w:val="nil"/>
              <w:right w:val="nil"/>
            </w:tcBorders>
            <w:shd w:val="clear" w:color="auto" w:fill="auto"/>
            <w:vAlign w:val="center"/>
            <w:hideMark/>
          </w:tcPr>
          <w:p w14:paraId="00210C1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4 558</w:t>
            </w:r>
          </w:p>
        </w:tc>
        <w:tc>
          <w:tcPr>
            <w:tcW w:w="737" w:type="dxa"/>
            <w:tcBorders>
              <w:top w:val="nil"/>
              <w:left w:val="nil"/>
              <w:bottom w:val="nil"/>
              <w:right w:val="nil"/>
            </w:tcBorders>
            <w:shd w:val="clear" w:color="auto" w:fill="auto"/>
            <w:vAlign w:val="center"/>
            <w:hideMark/>
          </w:tcPr>
          <w:p w14:paraId="0ED995FE"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2 995</w:t>
            </w:r>
          </w:p>
        </w:tc>
        <w:tc>
          <w:tcPr>
            <w:tcW w:w="737" w:type="dxa"/>
            <w:tcBorders>
              <w:left w:val="nil"/>
              <w:bottom w:val="nil"/>
              <w:right w:val="nil"/>
            </w:tcBorders>
            <w:shd w:val="clear" w:color="auto" w:fill="auto"/>
            <w:vAlign w:val="center"/>
            <w:hideMark/>
          </w:tcPr>
          <w:p w14:paraId="4C5BD743"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1 563</w:t>
            </w:r>
          </w:p>
        </w:tc>
      </w:tr>
      <w:tr w:rsidR="0048385E" w:rsidRPr="00D92E20" w14:paraId="7AFDC618"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05C1A287"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nil"/>
              <w:bottom w:val="nil"/>
              <w:right w:val="nil"/>
            </w:tcBorders>
            <w:shd w:val="clear" w:color="auto" w:fill="auto"/>
            <w:vAlign w:val="center"/>
            <w:hideMark/>
          </w:tcPr>
          <w:p w14:paraId="7084D78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56 493</w:t>
            </w:r>
          </w:p>
        </w:tc>
        <w:tc>
          <w:tcPr>
            <w:tcW w:w="736" w:type="dxa"/>
            <w:tcBorders>
              <w:top w:val="nil"/>
              <w:left w:val="nil"/>
              <w:bottom w:val="nil"/>
              <w:right w:val="nil"/>
            </w:tcBorders>
            <w:shd w:val="clear" w:color="auto" w:fill="auto"/>
            <w:vAlign w:val="center"/>
            <w:hideMark/>
          </w:tcPr>
          <w:p w14:paraId="334C4E2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26 190</w:t>
            </w:r>
          </w:p>
        </w:tc>
        <w:tc>
          <w:tcPr>
            <w:tcW w:w="736" w:type="dxa"/>
            <w:tcBorders>
              <w:top w:val="nil"/>
              <w:left w:val="nil"/>
              <w:bottom w:val="nil"/>
              <w:right w:val="nil"/>
            </w:tcBorders>
            <w:shd w:val="clear" w:color="auto" w:fill="auto"/>
            <w:vAlign w:val="center"/>
            <w:hideMark/>
          </w:tcPr>
          <w:p w14:paraId="115DE89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30 303</w:t>
            </w:r>
          </w:p>
        </w:tc>
        <w:tc>
          <w:tcPr>
            <w:tcW w:w="736" w:type="dxa"/>
            <w:tcBorders>
              <w:top w:val="nil"/>
              <w:left w:val="single" w:sz="4" w:space="0" w:color="auto"/>
              <w:bottom w:val="nil"/>
              <w:right w:val="nil"/>
            </w:tcBorders>
            <w:shd w:val="clear" w:color="auto" w:fill="auto"/>
            <w:vAlign w:val="center"/>
            <w:hideMark/>
          </w:tcPr>
          <w:p w14:paraId="5AB0767E"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47 683</w:t>
            </w:r>
          </w:p>
        </w:tc>
        <w:tc>
          <w:tcPr>
            <w:tcW w:w="736" w:type="dxa"/>
            <w:tcBorders>
              <w:top w:val="nil"/>
              <w:left w:val="nil"/>
              <w:bottom w:val="nil"/>
              <w:right w:val="nil"/>
            </w:tcBorders>
            <w:shd w:val="clear" w:color="auto" w:fill="auto"/>
            <w:vAlign w:val="center"/>
            <w:hideMark/>
          </w:tcPr>
          <w:p w14:paraId="3EBE9BDC"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20 344</w:t>
            </w:r>
          </w:p>
        </w:tc>
        <w:tc>
          <w:tcPr>
            <w:tcW w:w="736" w:type="dxa"/>
            <w:tcBorders>
              <w:top w:val="nil"/>
              <w:left w:val="nil"/>
              <w:bottom w:val="nil"/>
              <w:right w:val="single" w:sz="4" w:space="0" w:color="auto"/>
            </w:tcBorders>
            <w:shd w:val="clear" w:color="auto" w:fill="auto"/>
            <w:vAlign w:val="center"/>
            <w:hideMark/>
          </w:tcPr>
          <w:p w14:paraId="316E29D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27 340</w:t>
            </w:r>
          </w:p>
        </w:tc>
        <w:tc>
          <w:tcPr>
            <w:tcW w:w="754" w:type="dxa"/>
            <w:tcBorders>
              <w:top w:val="nil"/>
              <w:left w:val="nil"/>
              <w:bottom w:val="nil"/>
              <w:right w:val="nil"/>
            </w:tcBorders>
            <w:shd w:val="clear" w:color="auto" w:fill="auto"/>
            <w:vAlign w:val="center"/>
            <w:hideMark/>
          </w:tcPr>
          <w:p w14:paraId="6A477ADC"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2 423</w:t>
            </w:r>
          </w:p>
        </w:tc>
        <w:tc>
          <w:tcPr>
            <w:tcW w:w="737" w:type="dxa"/>
            <w:tcBorders>
              <w:top w:val="nil"/>
              <w:left w:val="nil"/>
              <w:bottom w:val="nil"/>
              <w:right w:val="nil"/>
            </w:tcBorders>
            <w:shd w:val="clear" w:color="auto" w:fill="auto"/>
            <w:vAlign w:val="center"/>
            <w:hideMark/>
          </w:tcPr>
          <w:p w14:paraId="534149C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1 738</w:t>
            </w:r>
          </w:p>
        </w:tc>
        <w:tc>
          <w:tcPr>
            <w:tcW w:w="737" w:type="dxa"/>
            <w:tcBorders>
              <w:top w:val="nil"/>
              <w:left w:val="nil"/>
              <w:bottom w:val="nil"/>
              <w:right w:val="single" w:sz="4" w:space="0" w:color="auto"/>
            </w:tcBorders>
            <w:shd w:val="clear" w:color="auto" w:fill="auto"/>
            <w:vAlign w:val="center"/>
            <w:hideMark/>
          </w:tcPr>
          <w:p w14:paraId="0AB71FF2"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686</w:t>
            </w:r>
          </w:p>
        </w:tc>
        <w:tc>
          <w:tcPr>
            <w:tcW w:w="737" w:type="dxa"/>
            <w:tcBorders>
              <w:top w:val="nil"/>
              <w:left w:val="nil"/>
              <w:bottom w:val="nil"/>
              <w:right w:val="nil"/>
            </w:tcBorders>
            <w:shd w:val="clear" w:color="auto" w:fill="auto"/>
            <w:vAlign w:val="center"/>
            <w:hideMark/>
          </w:tcPr>
          <w:p w14:paraId="2E514E8C"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6 386</w:t>
            </w:r>
          </w:p>
        </w:tc>
        <w:tc>
          <w:tcPr>
            <w:tcW w:w="737" w:type="dxa"/>
            <w:tcBorders>
              <w:top w:val="nil"/>
              <w:left w:val="nil"/>
              <w:bottom w:val="nil"/>
              <w:right w:val="nil"/>
            </w:tcBorders>
            <w:shd w:val="clear" w:color="auto" w:fill="auto"/>
            <w:vAlign w:val="center"/>
            <w:hideMark/>
          </w:tcPr>
          <w:p w14:paraId="003F1D37"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4 109</w:t>
            </w:r>
          </w:p>
        </w:tc>
        <w:tc>
          <w:tcPr>
            <w:tcW w:w="737" w:type="dxa"/>
            <w:tcBorders>
              <w:top w:val="nil"/>
              <w:left w:val="nil"/>
              <w:bottom w:val="nil"/>
              <w:right w:val="nil"/>
            </w:tcBorders>
            <w:shd w:val="clear" w:color="auto" w:fill="auto"/>
            <w:vAlign w:val="center"/>
            <w:hideMark/>
          </w:tcPr>
          <w:p w14:paraId="10507DFB"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2 278</w:t>
            </w:r>
          </w:p>
        </w:tc>
      </w:tr>
      <w:tr w:rsidR="0048385E" w:rsidRPr="00D92E20" w14:paraId="4B1D7E83"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74A592F7"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nil"/>
              <w:bottom w:val="nil"/>
              <w:right w:val="nil"/>
            </w:tcBorders>
            <w:shd w:val="clear" w:color="auto" w:fill="auto"/>
            <w:vAlign w:val="center"/>
            <w:hideMark/>
          </w:tcPr>
          <w:p w14:paraId="0F03F0B7"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58 587</w:t>
            </w:r>
          </w:p>
        </w:tc>
        <w:tc>
          <w:tcPr>
            <w:tcW w:w="736" w:type="dxa"/>
            <w:tcBorders>
              <w:top w:val="nil"/>
              <w:left w:val="nil"/>
              <w:bottom w:val="nil"/>
              <w:right w:val="nil"/>
            </w:tcBorders>
            <w:shd w:val="clear" w:color="auto" w:fill="auto"/>
            <w:vAlign w:val="center"/>
            <w:hideMark/>
          </w:tcPr>
          <w:p w14:paraId="25364E03"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27 024</w:t>
            </w:r>
          </w:p>
        </w:tc>
        <w:tc>
          <w:tcPr>
            <w:tcW w:w="736" w:type="dxa"/>
            <w:tcBorders>
              <w:top w:val="nil"/>
              <w:left w:val="nil"/>
              <w:bottom w:val="nil"/>
              <w:right w:val="nil"/>
            </w:tcBorders>
            <w:shd w:val="clear" w:color="auto" w:fill="auto"/>
            <w:vAlign w:val="center"/>
            <w:hideMark/>
          </w:tcPr>
          <w:p w14:paraId="2F5B7F0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31 563</w:t>
            </w:r>
          </w:p>
        </w:tc>
        <w:tc>
          <w:tcPr>
            <w:tcW w:w="736" w:type="dxa"/>
            <w:tcBorders>
              <w:top w:val="nil"/>
              <w:left w:val="single" w:sz="4" w:space="0" w:color="auto"/>
              <w:bottom w:val="nil"/>
              <w:right w:val="nil"/>
            </w:tcBorders>
            <w:shd w:val="clear" w:color="auto" w:fill="auto"/>
            <w:vAlign w:val="center"/>
            <w:hideMark/>
          </w:tcPr>
          <w:p w14:paraId="6425741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49 582</w:t>
            </w:r>
          </w:p>
        </w:tc>
        <w:tc>
          <w:tcPr>
            <w:tcW w:w="736" w:type="dxa"/>
            <w:tcBorders>
              <w:top w:val="nil"/>
              <w:left w:val="nil"/>
              <w:bottom w:val="nil"/>
              <w:right w:val="nil"/>
            </w:tcBorders>
            <w:shd w:val="clear" w:color="auto" w:fill="auto"/>
            <w:vAlign w:val="center"/>
            <w:hideMark/>
          </w:tcPr>
          <w:p w14:paraId="0BE30E1E"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21 147</w:t>
            </w:r>
          </w:p>
        </w:tc>
        <w:tc>
          <w:tcPr>
            <w:tcW w:w="736" w:type="dxa"/>
            <w:tcBorders>
              <w:top w:val="nil"/>
              <w:left w:val="nil"/>
              <w:bottom w:val="nil"/>
              <w:right w:val="single" w:sz="4" w:space="0" w:color="auto"/>
            </w:tcBorders>
            <w:shd w:val="clear" w:color="auto" w:fill="auto"/>
            <w:vAlign w:val="center"/>
            <w:hideMark/>
          </w:tcPr>
          <w:p w14:paraId="20A1492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28 435</w:t>
            </w:r>
          </w:p>
        </w:tc>
        <w:tc>
          <w:tcPr>
            <w:tcW w:w="754" w:type="dxa"/>
            <w:tcBorders>
              <w:top w:val="nil"/>
              <w:left w:val="nil"/>
              <w:bottom w:val="nil"/>
              <w:right w:val="nil"/>
            </w:tcBorders>
            <w:shd w:val="clear" w:color="auto" w:fill="auto"/>
            <w:vAlign w:val="center"/>
            <w:hideMark/>
          </w:tcPr>
          <w:p w14:paraId="667F1B4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2 392</w:t>
            </w:r>
          </w:p>
        </w:tc>
        <w:tc>
          <w:tcPr>
            <w:tcW w:w="737" w:type="dxa"/>
            <w:tcBorders>
              <w:top w:val="nil"/>
              <w:left w:val="nil"/>
              <w:bottom w:val="nil"/>
              <w:right w:val="nil"/>
            </w:tcBorders>
            <w:shd w:val="clear" w:color="auto" w:fill="auto"/>
            <w:vAlign w:val="center"/>
            <w:hideMark/>
          </w:tcPr>
          <w:p w14:paraId="3545632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1 689</w:t>
            </w:r>
          </w:p>
        </w:tc>
        <w:tc>
          <w:tcPr>
            <w:tcW w:w="737" w:type="dxa"/>
            <w:tcBorders>
              <w:top w:val="nil"/>
              <w:left w:val="nil"/>
              <w:bottom w:val="nil"/>
              <w:right w:val="single" w:sz="4" w:space="0" w:color="auto"/>
            </w:tcBorders>
            <w:shd w:val="clear" w:color="auto" w:fill="auto"/>
            <w:vAlign w:val="center"/>
            <w:hideMark/>
          </w:tcPr>
          <w:p w14:paraId="41F9C781"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702</w:t>
            </w:r>
          </w:p>
        </w:tc>
        <w:tc>
          <w:tcPr>
            <w:tcW w:w="737" w:type="dxa"/>
            <w:tcBorders>
              <w:top w:val="nil"/>
              <w:left w:val="nil"/>
              <w:bottom w:val="nil"/>
              <w:right w:val="nil"/>
            </w:tcBorders>
            <w:shd w:val="clear" w:color="auto" w:fill="auto"/>
            <w:vAlign w:val="center"/>
            <w:hideMark/>
          </w:tcPr>
          <w:p w14:paraId="26676EC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6 613</w:t>
            </w:r>
          </w:p>
        </w:tc>
        <w:tc>
          <w:tcPr>
            <w:tcW w:w="737" w:type="dxa"/>
            <w:tcBorders>
              <w:top w:val="nil"/>
              <w:left w:val="nil"/>
              <w:bottom w:val="nil"/>
              <w:right w:val="nil"/>
            </w:tcBorders>
            <w:shd w:val="clear" w:color="auto" w:fill="auto"/>
            <w:vAlign w:val="center"/>
            <w:hideMark/>
          </w:tcPr>
          <w:p w14:paraId="691112F1"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4 188</w:t>
            </w:r>
          </w:p>
        </w:tc>
        <w:tc>
          <w:tcPr>
            <w:tcW w:w="737" w:type="dxa"/>
            <w:tcBorders>
              <w:top w:val="nil"/>
              <w:left w:val="nil"/>
              <w:bottom w:val="nil"/>
              <w:right w:val="nil"/>
            </w:tcBorders>
            <w:shd w:val="clear" w:color="auto" w:fill="auto"/>
            <w:vAlign w:val="center"/>
            <w:hideMark/>
          </w:tcPr>
          <w:p w14:paraId="4F109B2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2 425</w:t>
            </w:r>
          </w:p>
        </w:tc>
      </w:tr>
      <w:tr w:rsidR="0048385E" w:rsidRPr="00D92E20" w14:paraId="0A244595"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458B42C7"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nil"/>
              <w:bottom w:val="nil"/>
              <w:right w:val="nil"/>
            </w:tcBorders>
            <w:shd w:val="clear" w:color="auto" w:fill="auto"/>
            <w:vAlign w:val="center"/>
            <w:hideMark/>
          </w:tcPr>
          <w:p w14:paraId="0A8DA84F"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60 235</w:t>
            </w:r>
          </w:p>
        </w:tc>
        <w:tc>
          <w:tcPr>
            <w:tcW w:w="736" w:type="dxa"/>
            <w:tcBorders>
              <w:top w:val="nil"/>
              <w:left w:val="nil"/>
              <w:bottom w:val="nil"/>
              <w:right w:val="nil"/>
            </w:tcBorders>
            <w:shd w:val="clear" w:color="auto" w:fill="auto"/>
            <w:vAlign w:val="center"/>
            <w:hideMark/>
          </w:tcPr>
          <w:p w14:paraId="777E944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27 429</w:t>
            </w:r>
          </w:p>
        </w:tc>
        <w:tc>
          <w:tcPr>
            <w:tcW w:w="736" w:type="dxa"/>
            <w:tcBorders>
              <w:top w:val="nil"/>
              <w:left w:val="nil"/>
              <w:bottom w:val="nil"/>
              <w:right w:val="nil"/>
            </w:tcBorders>
            <w:shd w:val="clear" w:color="auto" w:fill="auto"/>
            <w:vAlign w:val="center"/>
            <w:hideMark/>
          </w:tcPr>
          <w:p w14:paraId="4E0B166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32 806</w:t>
            </w:r>
          </w:p>
        </w:tc>
        <w:tc>
          <w:tcPr>
            <w:tcW w:w="736" w:type="dxa"/>
            <w:tcBorders>
              <w:top w:val="nil"/>
              <w:left w:val="single" w:sz="4" w:space="0" w:color="auto"/>
              <w:bottom w:val="nil"/>
              <w:right w:val="nil"/>
            </w:tcBorders>
            <w:shd w:val="clear" w:color="auto" w:fill="auto"/>
            <w:vAlign w:val="center"/>
            <w:hideMark/>
          </w:tcPr>
          <w:p w14:paraId="1A67204C"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51 093</w:t>
            </w:r>
          </w:p>
        </w:tc>
        <w:tc>
          <w:tcPr>
            <w:tcW w:w="736" w:type="dxa"/>
            <w:tcBorders>
              <w:top w:val="nil"/>
              <w:left w:val="nil"/>
              <w:bottom w:val="nil"/>
              <w:right w:val="nil"/>
            </w:tcBorders>
            <w:shd w:val="clear" w:color="auto" w:fill="auto"/>
            <w:vAlign w:val="center"/>
            <w:hideMark/>
          </w:tcPr>
          <w:p w14:paraId="014EC3E7"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21 441</w:t>
            </w:r>
          </w:p>
        </w:tc>
        <w:tc>
          <w:tcPr>
            <w:tcW w:w="736" w:type="dxa"/>
            <w:tcBorders>
              <w:top w:val="nil"/>
              <w:left w:val="nil"/>
              <w:bottom w:val="nil"/>
              <w:right w:val="single" w:sz="4" w:space="0" w:color="auto"/>
            </w:tcBorders>
            <w:shd w:val="clear" w:color="auto" w:fill="auto"/>
            <w:vAlign w:val="center"/>
            <w:hideMark/>
          </w:tcPr>
          <w:p w14:paraId="45BE228D"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29 652</w:t>
            </w:r>
          </w:p>
        </w:tc>
        <w:tc>
          <w:tcPr>
            <w:tcW w:w="754" w:type="dxa"/>
            <w:tcBorders>
              <w:top w:val="nil"/>
              <w:left w:val="nil"/>
              <w:bottom w:val="nil"/>
              <w:right w:val="nil"/>
            </w:tcBorders>
            <w:shd w:val="clear" w:color="auto" w:fill="auto"/>
            <w:vAlign w:val="center"/>
            <w:hideMark/>
          </w:tcPr>
          <w:p w14:paraId="2A40467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2 447</w:t>
            </w:r>
          </w:p>
        </w:tc>
        <w:tc>
          <w:tcPr>
            <w:tcW w:w="737" w:type="dxa"/>
            <w:tcBorders>
              <w:top w:val="nil"/>
              <w:left w:val="nil"/>
              <w:bottom w:val="nil"/>
              <w:right w:val="nil"/>
            </w:tcBorders>
            <w:shd w:val="clear" w:color="auto" w:fill="auto"/>
            <w:vAlign w:val="center"/>
            <w:hideMark/>
          </w:tcPr>
          <w:p w14:paraId="7EDB9D2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1 723</w:t>
            </w:r>
          </w:p>
        </w:tc>
        <w:tc>
          <w:tcPr>
            <w:tcW w:w="737" w:type="dxa"/>
            <w:tcBorders>
              <w:top w:val="nil"/>
              <w:left w:val="nil"/>
              <w:bottom w:val="nil"/>
              <w:right w:val="single" w:sz="4" w:space="0" w:color="auto"/>
            </w:tcBorders>
            <w:shd w:val="clear" w:color="auto" w:fill="auto"/>
            <w:vAlign w:val="center"/>
            <w:hideMark/>
          </w:tcPr>
          <w:p w14:paraId="4A2949F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724</w:t>
            </w:r>
          </w:p>
        </w:tc>
        <w:tc>
          <w:tcPr>
            <w:tcW w:w="737" w:type="dxa"/>
            <w:tcBorders>
              <w:top w:val="nil"/>
              <w:left w:val="nil"/>
              <w:bottom w:val="nil"/>
              <w:right w:val="nil"/>
            </w:tcBorders>
            <w:shd w:val="clear" w:color="auto" w:fill="auto"/>
            <w:vAlign w:val="center"/>
            <w:hideMark/>
          </w:tcPr>
          <w:p w14:paraId="2D0796B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6 695</w:t>
            </w:r>
          </w:p>
        </w:tc>
        <w:tc>
          <w:tcPr>
            <w:tcW w:w="737" w:type="dxa"/>
            <w:tcBorders>
              <w:top w:val="nil"/>
              <w:left w:val="nil"/>
              <w:bottom w:val="nil"/>
              <w:right w:val="nil"/>
            </w:tcBorders>
            <w:shd w:val="clear" w:color="auto" w:fill="auto"/>
            <w:vAlign w:val="center"/>
            <w:hideMark/>
          </w:tcPr>
          <w:p w14:paraId="172DF2B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4 265</w:t>
            </w:r>
          </w:p>
        </w:tc>
        <w:tc>
          <w:tcPr>
            <w:tcW w:w="737" w:type="dxa"/>
            <w:tcBorders>
              <w:top w:val="nil"/>
              <w:left w:val="nil"/>
              <w:bottom w:val="nil"/>
              <w:right w:val="nil"/>
            </w:tcBorders>
            <w:shd w:val="clear" w:color="auto" w:fill="auto"/>
            <w:vAlign w:val="center"/>
            <w:hideMark/>
          </w:tcPr>
          <w:p w14:paraId="58C49F6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2 431</w:t>
            </w:r>
          </w:p>
        </w:tc>
      </w:tr>
      <w:tr w:rsidR="0048385E" w:rsidRPr="00D92E20" w14:paraId="30696A73"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2C8E0EB7"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nil"/>
              <w:bottom w:val="nil"/>
              <w:right w:val="nil"/>
            </w:tcBorders>
            <w:shd w:val="clear" w:color="auto" w:fill="auto"/>
            <w:vAlign w:val="center"/>
            <w:hideMark/>
          </w:tcPr>
          <w:p w14:paraId="60D7550D"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66 817</w:t>
            </w:r>
          </w:p>
        </w:tc>
        <w:tc>
          <w:tcPr>
            <w:tcW w:w="736" w:type="dxa"/>
            <w:tcBorders>
              <w:top w:val="nil"/>
              <w:left w:val="nil"/>
              <w:bottom w:val="nil"/>
              <w:right w:val="nil"/>
            </w:tcBorders>
            <w:shd w:val="clear" w:color="auto" w:fill="auto"/>
            <w:vAlign w:val="center"/>
            <w:hideMark/>
          </w:tcPr>
          <w:p w14:paraId="3FE6B401"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30 473</w:t>
            </w:r>
          </w:p>
        </w:tc>
        <w:tc>
          <w:tcPr>
            <w:tcW w:w="736" w:type="dxa"/>
            <w:tcBorders>
              <w:top w:val="nil"/>
              <w:left w:val="nil"/>
              <w:bottom w:val="nil"/>
              <w:right w:val="nil"/>
            </w:tcBorders>
            <w:shd w:val="clear" w:color="auto" w:fill="auto"/>
            <w:vAlign w:val="center"/>
            <w:hideMark/>
          </w:tcPr>
          <w:p w14:paraId="109473DE"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36 345</w:t>
            </w:r>
          </w:p>
        </w:tc>
        <w:tc>
          <w:tcPr>
            <w:tcW w:w="736" w:type="dxa"/>
            <w:tcBorders>
              <w:top w:val="nil"/>
              <w:left w:val="single" w:sz="4" w:space="0" w:color="auto"/>
              <w:bottom w:val="nil"/>
              <w:right w:val="nil"/>
            </w:tcBorders>
            <w:shd w:val="clear" w:color="auto" w:fill="auto"/>
            <w:vAlign w:val="center"/>
            <w:hideMark/>
          </w:tcPr>
          <w:p w14:paraId="2A2DB58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57 013</w:t>
            </w:r>
          </w:p>
        </w:tc>
        <w:tc>
          <w:tcPr>
            <w:tcW w:w="736" w:type="dxa"/>
            <w:tcBorders>
              <w:top w:val="nil"/>
              <w:left w:val="nil"/>
              <w:bottom w:val="nil"/>
              <w:right w:val="nil"/>
            </w:tcBorders>
            <w:shd w:val="clear" w:color="auto" w:fill="auto"/>
            <w:vAlign w:val="center"/>
            <w:hideMark/>
          </w:tcPr>
          <w:p w14:paraId="369A10D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24 152</w:t>
            </w:r>
          </w:p>
        </w:tc>
        <w:tc>
          <w:tcPr>
            <w:tcW w:w="736" w:type="dxa"/>
            <w:tcBorders>
              <w:top w:val="nil"/>
              <w:left w:val="nil"/>
              <w:bottom w:val="nil"/>
              <w:right w:val="single" w:sz="4" w:space="0" w:color="auto"/>
            </w:tcBorders>
            <w:shd w:val="clear" w:color="auto" w:fill="auto"/>
            <w:vAlign w:val="center"/>
            <w:hideMark/>
          </w:tcPr>
          <w:p w14:paraId="4F854AFE"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32 861</w:t>
            </w:r>
          </w:p>
        </w:tc>
        <w:tc>
          <w:tcPr>
            <w:tcW w:w="754" w:type="dxa"/>
            <w:tcBorders>
              <w:top w:val="nil"/>
              <w:left w:val="nil"/>
              <w:bottom w:val="nil"/>
              <w:right w:val="nil"/>
            </w:tcBorders>
            <w:shd w:val="clear" w:color="auto" w:fill="auto"/>
            <w:vAlign w:val="center"/>
            <w:hideMark/>
          </w:tcPr>
          <w:p w14:paraId="479ADD4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2 569</w:t>
            </w:r>
          </w:p>
        </w:tc>
        <w:tc>
          <w:tcPr>
            <w:tcW w:w="737" w:type="dxa"/>
            <w:tcBorders>
              <w:top w:val="nil"/>
              <w:left w:val="nil"/>
              <w:bottom w:val="nil"/>
              <w:right w:val="nil"/>
            </w:tcBorders>
            <w:shd w:val="clear" w:color="auto" w:fill="auto"/>
            <w:vAlign w:val="center"/>
            <w:hideMark/>
          </w:tcPr>
          <w:p w14:paraId="1B27889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1 775</w:t>
            </w:r>
          </w:p>
        </w:tc>
        <w:tc>
          <w:tcPr>
            <w:tcW w:w="737" w:type="dxa"/>
            <w:tcBorders>
              <w:top w:val="nil"/>
              <w:left w:val="nil"/>
              <w:bottom w:val="nil"/>
              <w:right w:val="single" w:sz="4" w:space="0" w:color="auto"/>
            </w:tcBorders>
            <w:shd w:val="clear" w:color="auto" w:fill="auto"/>
            <w:vAlign w:val="center"/>
            <w:hideMark/>
          </w:tcPr>
          <w:p w14:paraId="56AFF19B"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794</w:t>
            </w:r>
          </w:p>
        </w:tc>
        <w:tc>
          <w:tcPr>
            <w:tcW w:w="737" w:type="dxa"/>
            <w:tcBorders>
              <w:top w:val="nil"/>
              <w:left w:val="nil"/>
              <w:bottom w:val="nil"/>
              <w:right w:val="nil"/>
            </w:tcBorders>
            <w:shd w:val="clear" w:color="auto" w:fill="auto"/>
            <w:vAlign w:val="center"/>
            <w:hideMark/>
          </w:tcPr>
          <w:p w14:paraId="36D49E9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7 236</w:t>
            </w:r>
          </w:p>
        </w:tc>
        <w:tc>
          <w:tcPr>
            <w:tcW w:w="737" w:type="dxa"/>
            <w:tcBorders>
              <w:top w:val="nil"/>
              <w:left w:val="nil"/>
              <w:bottom w:val="nil"/>
              <w:right w:val="nil"/>
            </w:tcBorders>
            <w:shd w:val="clear" w:color="auto" w:fill="auto"/>
            <w:vAlign w:val="center"/>
            <w:hideMark/>
          </w:tcPr>
          <w:p w14:paraId="15D544E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4 546</w:t>
            </w:r>
          </w:p>
        </w:tc>
        <w:tc>
          <w:tcPr>
            <w:tcW w:w="737" w:type="dxa"/>
            <w:tcBorders>
              <w:top w:val="nil"/>
              <w:left w:val="nil"/>
              <w:bottom w:val="nil"/>
              <w:right w:val="nil"/>
            </w:tcBorders>
            <w:shd w:val="clear" w:color="auto" w:fill="auto"/>
            <w:vAlign w:val="center"/>
            <w:hideMark/>
          </w:tcPr>
          <w:p w14:paraId="31C0116E"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2 689</w:t>
            </w:r>
          </w:p>
        </w:tc>
      </w:tr>
      <w:tr w:rsidR="0048385E" w:rsidRPr="00D92E20" w14:paraId="42551B74"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57258E2D"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nil"/>
              <w:bottom w:val="nil"/>
              <w:right w:val="nil"/>
            </w:tcBorders>
            <w:shd w:val="clear" w:color="auto" w:fill="auto"/>
            <w:vAlign w:val="center"/>
            <w:hideMark/>
          </w:tcPr>
          <w:p w14:paraId="56CC2A5D"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70 252</w:t>
            </w:r>
          </w:p>
        </w:tc>
        <w:tc>
          <w:tcPr>
            <w:tcW w:w="736" w:type="dxa"/>
            <w:tcBorders>
              <w:top w:val="nil"/>
              <w:left w:val="nil"/>
              <w:bottom w:val="nil"/>
              <w:right w:val="nil"/>
            </w:tcBorders>
            <w:shd w:val="clear" w:color="auto" w:fill="auto"/>
            <w:vAlign w:val="center"/>
            <w:hideMark/>
          </w:tcPr>
          <w:p w14:paraId="71821FB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31 874</w:t>
            </w:r>
          </w:p>
        </w:tc>
        <w:tc>
          <w:tcPr>
            <w:tcW w:w="736" w:type="dxa"/>
            <w:tcBorders>
              <w:top w:val="nil"/>
              <w:left w:val="nil"/>
              <w:bottom w:val="nil"/>
              <w:right w:val="nil"/>
            </w:tcBorders>
            <w:shd w:val="clear" w:color="auto" w:fill="auto"/>
            <w:vAlign w:val="center"/>
            <w:hideMark/>
          </w:tcPr>
          <w:p w14:paraId="2807282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38 378</w:t>
            </w:r>
          </w:p>
        </w:tc>
        <w:tc>
          <w:tcPr>
            <w:tcW w:w="736" w:type="dxa"/>
            <w:tcBorders>
              <w:top w:val="nil"/>
              <w:left w:val="single" w:sz="4" w:space="0" w:color="auto"/>
              <w:bottom w:val="nil"/>
              <w:right w:val="nil"/>
            </w:tcBorders>
            <w:shd w:val="clear" w:color="auto" w:fill="auto"/>
            <w:vAlign w:val="center"/>
            <w:hideMark/>
          </w:tcPr>
          <w:p w14:paraId="359BA85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60 094</w:t>
            </w:r>
          </w:p>
        </w:tc>
        <w:tc>
          <w:tcPr>
            <w:tcW w:w="736" w:type="dxa"/>
            <w:tcBorders>
              <w:top w:val="nil"/>
              <w:left w:val="nil"/>
              <w:bottom w:val="nil"/>
              <w:right w:val="nil"/>
            </w:tcBorders>
            <w:shd w:val="clear" w:color="auto" w:fill="auto"/>
            <w:vAlign w:val="center"/>
            <w:hideMark/>
          </w:tcPr>
          <w:p w14:paraId="2F962BCF"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25 396</w:t>
            </w:r>
          </w:p>
        </w:tc>
        <w:tc>
          <w:tcPr>
            <w:tcW w:w="736" w:type="dxa"/>
            <w:tcBorders>
              <w:top w:val="nil"/>
              <w:left w:val="nil"/>
              <w:bottom w:val="nil"/>
              <w:right w:val="single" w:sz="4" w:space="0" w:color="auto"/>
            </w:tcBorders>
            <w:shd w:val="clear" w:color="auto" w:fill="auto"/>
            <w:vAlign w:val="center"/>
            <w:hideMark/>
          </w:tcPr>
          <w:p w14:paraId="2F1B76FF"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34 697</w:t>
            </w:r>
          </w:p>
        </w:tc>
        <w:tc>
          <w:tcPr>
            <w:tcW w:w="754" w:type="dxa"/>
            <w:tcBorders>
              <w:top w:val="nil"/>
              <w:left w:val="nil"/>
              <w:bottom w:val="nil"/>
              <w:right w:val="nil"/>
            </w:tcBorders>
            <w:shd w:val="clear" w:color="auto" w:fill="auto"/>
            <w:vAlign w:val="center"/>
            <w:hideMark/>
          </w:tcPr>
          <w:p w14:paraId="4BB0E37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2 575</w:t>
            </w:r>
          </w:p>
        </w:tc>
        <w:tc>
          <w:tcPr>
            <w:tcW w:w="737" w:type="dxa"/>
            <w:tcBorders>
              <w:top w:val="nil"/>
              <w:left w:val="nil"/>
              <w:bottom w:val="nil"/>
              <w:right w:val="nil"/>
            </w:tcBorders>
            <w:shd w:val="clear" w:color="auto" w:fill="auto"/>
            <w:vAlign w:val="center"/>
            <w:hideMark/>
          </w:tcPr>
          <w:p w14:paraId="5C13030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1 761</w:t>
            </w:r>
          </w:p>
        </w:tc>
        <w:tc>
          <w:tcPr>
            <w:tcW w:w="737" w:type="dxa"/>
            <w:tcBorders>
              <w:top w:val="nil"/>
              <w:left w:val="nil"/>
              <w:bottom w:val="nil"/>
              <w:right w:val="single" w:sz="4" w:space="0" w:color="auto"/>
            </w:tcBorders>
            <w:shd w:val="clear" w:color="auto" w:fill="auto"/>
            <w:vAlign w:val="center"/>
            <w:hideMark/>
          </w:tcPr>
          <w:p w14:paraId="60670EBC"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814</w:t>
            </w:r>
          </w:p>
        </w:tc>
        <w:tc>
          <w:tcPr>
            <w:tcW w:w="737" w:type="dxa"/>
            <w:tcBorders>
              <w:top w:val="nil"/>
              <w:left w:val="nil"/>
              <w:bottom w:val="nil"/>
              <w:right w:val="nil"/>
            </w:tcBorders>
            <w:shd w:val="clear" w:color="auto" w:fill="auto"/>
            <w:vAlign w:val="center"/>
            <w:hideMark/>
          </w:tcPr>
          <w:p w14:paraId="6CAD262D"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7 583</w:t>
            </w:r>
          </w:p>
        </w:tc>
        <w:tc>
          <w:tcPr>
            <w:tcW w:w="737" w:type="dxa"/>
            <w:tcBorders>
              <w:top w:val="nil"/>
              <w:left w:val="nil"/>
              <w:bottom w:val="nil"/>
              <w:right w:val="nil"/>
            </w:tcBorders>
            <w:shd w:val="clear" w:color="auto" w:fill="auto"/>
            <w:vAlign w:val="center"/>
            <w:hideMark/>
          </w:tcPr>
          <w:p w14:paraId="499E6B0F"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4 717</w:t>
            </w:r>
          </w:p>
        </w:tc>
        <w:tc>
          <w:tcPr>
            <w:tcW w:w="737" w:type="dxa"/>
            <w:tcBorders>
              <w:top w:val="nil"/>
              <w:left w:val="nil"/>
              <w:bottom w:val="nil"/>
              <w:right w:val="nil"/>
            </w:tcBorders>
            <w:shd w:val="clear" w:color="auto" w:fill="auto"/>
            <w:vAlign w:val="center"/>
            <w:hideMark/>
          </w:tcPr>
          <w:p w14:paraId="5D7DE8B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2 866</w:t>
            </w:r>
          </w:p>
        </w:tc>
      </w:tr>
      <w:tr w:rsidR="0048385E" w:rsidRPr="00D92E20" w14:paraId="6914002C"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560B17B7"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nil"/>
              <w:bottom w:val="nil"/>
              <w:right w:val="nil"/>
            </w:tcBorders>
            <w:shd w:val="clear" w:color="auto" w:fill="auto"/>
            <w:vAlign w:val="center"/>
            <w:hideMark/>
          </w:tcPr>
          <w:p w14:paraId="0299BAE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72 678</w:t>
            </w:r>
          </w:p>
        </w:tc>
        <w:tc>
          <w:tcPr>
            <w:tcW w:w="736" w:type="dxa"/>
            <w:tcBorders>
              <w:top w:val="nil"/>
              <w:left w:val="nil"/>
              <w:bottom w:val="nil"/>
              <w:right w:val="nil"/>
            </w:tcBorders>
            <w:shd w:val="clear" w:color="auto" w:fill="auto"/>
            <w:vAlign w:val="center"/>
            <w:hideMark/>
          </w:tcPr>
          <w:p w14:paraId="5EA2CC5C"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33 089</w:t>
            </w:r>
          </w:p>
        </w:tc>
        <w:tc>
          <w:tcPr>
            <w:tcW w:w="736" w:type="dxa"/>
            <w:tcBorders>
              <w:top w:val="nil"/>
              <w:left w:val="nil"/>
              <w:bottom w:val="nil"/>
              <w:right w:val="nil"/>
            </w:tcBorders>
            <w:shd w:val="clear" w:color="auto" w:fill="auto"/>
            <w:vAlign w:val="center"/>
            <w:hideMark/>
          </w:tcPr>
          <w:p w14:paraId="2686CCF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39 588</w:t>
            </w:r>
          </w:p>
        </w:tc>
        <w:tc>
          <w:tcPr>
            <w:tcW w:w="736" w:type="dxa"/>
            <w:tcBorders>
              <w:top w:val="nil"/>
              <w:left w:val="single" w:sz="4" w:space="0" w:color="auto"/>
              <w:bottom w:val="nil"/>
              <w:right w:val="nil"/>
            </w:tcBorders>
            <w:shd w:val="clear" w:color="auto" w:fill="auto"/>
            <w:vAlign w:val="center"/>
            <w:hideMark/>
          </w:tcPr>
          <w:p w14:paraId="1C725E5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62 113</w:t>
            </w:r>
          </w:p>
        </w:tc>
        <w:tc>
          <w:tcPr>
            <w:tcW w:w="736" w:type="dxa"/>
            <w:tcBorders>
              <w:top w:val="nil"/>
              <w:left w:val="nil"/>
              <w:bottom w:val="nil"/>
              <w:right w:val="nil"/>
            </w:tcBorders>
            <w:shd w:val="clear" w:color="auto" w:fill="auto"/>
            <w:vAlign w:val="center"/>
            <w:hideMark/>
          </w:tcPr>
          <w:p w14:paraId="6A9A59C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26 463</w:t>
            </w:r>
          </w:p>
        </w:tc>
        <w:tc>
          <w:tcPr>
            <w:tcW w:w="736" w:type="dxa"/>
            <w:tcBorders>
              <w:top w:val="nil"/>
              <w:left w:val="nil"/>
              <w:bottom w:val="nil"/>
              <w:right w:val="single" w:sz="4" w:space="0" w:color="auto"/>
            </w:tcBorders>
            <w:shd w:val="clear" w:color="auto" w:fill="auto"/>
            <w:vAlign w:val="center"/>
            <w:hideMark/>
          </w:tcPr>
          <w:p w14:paraId="3E72A173"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35 650</w:t>
            </w:r>
          </w:p>
        </w:tc>
        <w:tc>
          <w:tcPr>
            <w:tcW w:w="754" w:type="dxa"/>
            <w:tcBorders>
              <w:top w:val="nil"/>
              <w:left w:val="nil"/>
              <w:bottom w:val="nil"/>
              <w:right w:val="nil"/>
            </w:tcBorders>
            <w:shd w:val="clear" w:color="auto" w:fill="auto"/>
            <w:vAlign w:val="center"/>
            <w:hideMark/>
          </w:tcPr>
          <w:p w14:paraId="4EA88C2C"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2 583</w:t>
            </w:r>
          </w:p>
        </w:tc>
        <w:tc>
          <w:tcPr>
            <w:tcW w:w="737" w:type="dxa"/>
            <w:tcBorders>
              <w:top w:val="nil"/>
              <w:left w:val="nil"/>
              <w:bottom w:val="nil"/>
              <w:right w:val="nil"/>
            </w:tcBorders>
            <w:shd w:val="clear" w:color="auto" w:fill="auto"/>
            <w:vAlign w:val="center"/>
            <w:hideMark/>
          </w:tcPr>
          <w:p w14:paraId="33165432"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1 765</w:t>
            </w:r>
          </w:p>
        </w:tc>
        <w:tc>
          <w:tcPr>
            <w:tcW w:w="737" w:type="dxa"/>
            <w:tcBorders>
              <w:top w:val="nil"/>
              <w:left w:val="nil"/>
              <w:bottom w:val="nil"/>
              <w:right w:val="single" w:sz="4" w:space="0" w:color="auto"/>
            </w:tcBorders>
            <w:shd w:val="clear" w:color="auto" w:fill="auto"/>
            <w:vAlign w:val="center"/>
            <w:hideMark/>
          </w:tcPr>
          <w:p w14:paraId="7AA8BE5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818</w:t>
            </w:r>
          </w:p>
        </w:tc>
        <w:tc>
          <w:tcPr>
            <w:tcW w:w="737" w:type="dxa"/>
            <w:tcBorders>
              <w:top w:val="nil"/>
              <w:left w:val="nil"/>
              <w:bottom w:val="nil"/>
              <w:right w:val="nil"/>
            </w:tcBorders>
            <w:shd w:val="clear" w:color="auto" w:fill="auto"/>
            <w:vAlign w:val="center"/>
            <w:hideMark/>
          </w:tcPr>
          <w:p w14:paraId="369A974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7 982</w:t>
            </w:r>
          </w:p>
        </w:tc>
        <w:tc>
          <w:tcPr>
            <w:tcW w:w="737" w:type="dxa"/>
            <w:tcBorders>
              <w:top w:val="nil"/>
              <w:left w:val="nil"/>
              <w:bottom w:val="nil"/>
              <w:right w:val="nil"/>
            </w:tcBorders>
            <w:shd w:val="clear" w:color="auto" w:fill="auto"/>
            <w:vAlign w:val="center"/>
            <w:hideMark/>
          </w:tcPr>
          <w:p w14:paraId="63A93A1B"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4 862</w:t>
            </w:r>
          </w:p>
        </w:tc>
        <w:tc>
          <w:tcPr>
            <w:tcW w:w="737" w:type="dxa"/>
            <w:tcBorders>
              <w:top w:val="nil"/>
              <w:left w:val="nil"/>
              <w:bottom w:val="nil"/>
              <w:right w:val="nil"/>
            </w:tcBorders>
            <w:shd w:val="clear" w:color="auto" w:fill="auto"/>
            <w:vAlign w:val="center"/>
            <w:hideMark/>
          </w:tcPr>
          <w:p w14:paraId="6E26FF1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3 120</w:t>
            </w:r>
          </w:p>
        </w:tc>
      </w:tr>
      <w:tr w:rsidR="0048385E" w:rsidRPr="00D92E20" w14:paraId="24C88A49"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3F577F76"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nil"/>
              <w:bottom w:val="nil"/>
              <w:right w:val="nil"/>
            </w:tcBorders>
            <w:shd w:val="clear" w:color="auto" w:fill="auto"/>
            <w:vAlign w:val="center"/>
            <w:hideMark/>
          </w:tcPr>
          <w:p w14:paraId="1AC1A5C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77 158</w:t>
            </w:r>
          </w:p>
        </w:tc>
        <w:tc>
          <w:tcPr>
            <w:tcW w:w="736" w:type="dxa"/>
            <w:tcBorders>
              <w:top w:val="nil"/>
              <w:left w:val="nil"/>
              <w:bottom w:val="nil"/>
              <w:right w:val="nil"/>
            </w:tcBorders>
            <w:shd w:val="clear" w:color="auto" w:fill="auto"/>
            <w:vAlign w:val="center"/>
            <w:hideMark/>
          </w:tcPr>
          <w:p w14:paraId="1201FAA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35 223</w:t>
            </w:r>
          </w:p>
        </w:tc>
        <w:tc>
          <w:tcPr>
            <w:tcW w:w="736" w:type="dxa"/>
            <w:tcBorders>
              <w:top w:val="nil"/>
              <w:left w:val="nil"/>
              <w:bottom w:val="nil"/>
              <w:right w:val="nil"/>
            </w:tcBorders>
            <w:shd w:val="clear" w:color="auto" w:fill="auto"/>
            <w:vAlign w:val="center"/>
            <w:hideMark/>
          </w:tcPr>
          <w:p w14:paraId="70F9519F"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41 934</w:t>
            </w:r>
          </w:p>
        </w:tc>
        <w:tc>
          <w:tcPr>
            <w:tcW w:w="736" w:type="dxa"/>
            <w:tcBorders>
              <w:top w:val="nil"/>
              <w:left w:val="single" w:sz="4" w:space="0" w:color="auto"/>
              <w:bottom w:val="nil"/>
              <w:right w:val="nil"/>
            </w:tcBorders>
            <w:shd w:val="clear" w:color="auto" w:fill="auto"/>
            <w:vAlign w:val="center"/>
            <w:hideMark/>
          </w:tcPr>
          <w:p w14:paraId="27BD3E1E"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66 223</w:t>
            </w:r>
          </w:p>
        </w:tc>
        <w:tc>
          <w:tcPr>
            <w:tcW w:w="736" w:type="dxa"/>
            <w:tcBorders>
              <w:top w:val="nil"/>
              <w:left w:val="nil"/>
              <w:bottom w:val="nil"/>
              <w:right w:val="nil"/>
            </w:tcBorders>
            <w:shd w:val="clear" w:color="auto" w:fill="auto"/>
            <w:vAlign w:val="center"/>
            <w:hideMark/>
          </w:tcPr>
          <w:p w14:paraId="2204DA6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28 379</w:t>
            </w:r>
          </w:p>
        </w:tc>
        <w:tc>
          <w:tcPr>
            <w:tcW w:w="736" w:type="dxa"/>
            <w:tcBorders>
              <w:top w:val="nil"/>
              <w:left w:val="nil"/>
              <w:bottom w:val="nil"/>
              <w:right w:val="single" w:sz="4" w:space="0" w:color="auto"/>
            </w:tcBorders>
            <w:shd w:val="clear" w:color="auto" w:fill="auto"/>
            <w:vAlign w:val="center"/>
            <w:hideMark/>
          </w:tcPr>
          <w:p w14:paraId="2F3B11D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37 845</w:t>
            </w:r>
          </w:p>
        </w:tc>
        <w:tc>
          <w:tcPr>
            <w:tcW w:w="754" w:type="dxa"/>
            <w:tcBorders>
              <w:top w:val="nil"/>
              <w:left w:val="nil"/>
              <w:bottom w:val="nil"/>
              <w:right w:val="nil"/>
            </w:tcBorders>
            <w:shd w:val="clear" w:color="auto" w:fill="auto"/>
            <w:vAlign w:val="center"/>
            <w:hideMark/>
          </w:tcPr>
          <w:p w14:paraId="0827FA9D"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2 571</w:t>
            </w:r>
          </w:p>
        </w:tc>
        <w:tc>
          <w:tcPr>
            <w:tcW w:w="737" w:type="dxa"/>
            <w:tcBorders>
              <w:top w:val="nil"/>
              <w:left w:val="nil"/>
              <w:bottom w:val="nil"/>
              <w:right w:val="nil"/>
            </w:tcBorders>
            <w:shd w:val="clear" w:color="auto" w:fill="auto"/>
            <w:vAlign w:val="center"/>
            <w:hideMark/>
          </w:tcPr>
          <w:p w14:paraId="00C6118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1 741</w:t>
            </w:r>
          </w:p>
        </w:tc>
        <w:tc>
          <w:tcPr>
            <w:tcW w:w="737" w:type="dxa"/>
            <w:tcBorders>
              <w:top w:val="nil"/>
              <w:left w:val="nil"/>
              <w:bottom w:val="nil"/>
              <w:right w:val="single" w:sz="4" w:space="0" w:color="auto"/>
            </w:tcBorders>
            <w:shd w:val="clear" w:color="auto" w:fill="auto"/>
            <w:vAlign w:val="center"/>
            <w:hideMark/>
          </w:tcPr>
          <w:p w14:paraId="499B669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830</w:t>
            </w:r>
          </w:p>
        </w:tc>
        <w:tc>
          <w:tcPr>
            <w:tcW w:w="737" w:type="dxa"/>
            <w:tcBorders>
              <w:top w:val="nil"/>
              <w:left w:val="nil"/>
              <w:bottom w:val="nil"/>
              <w:right w:val="nil"/>
            </w:tcBorders>
            <w:shd w:val="clear" w:color="auto" w:fill="auto"/>
            <w:vAlign w:val="center"/>
            <w:hideMark/>
          </w:tcPr>
          <w:p w14:paraId="69BBCD67"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8 363</w:t>
            </w:r>
          </w:p>
        </w:tc>
        <w:tc>
          <w:tcPr>
            <w:tcW w:w="737" w:type="dxa"/>
            <w:tcBorders>
              <w:top w:val="nil"/>
              <w:left w:val="nil"/>
              <w:bottom w:val="nil"/>
              <w:right w:val="nil"/>
            </w:tcBorders>
            <w:shd w:val="clear" w:color="auto" w:fill="auto"/>
            <w:vAlign w:val="center"/>
            <w:hideMark/>
          </w:tcPr>
          <w:p w14:paraId="64C3DB3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5 104</w:t>
            </w:r>
          </w:p>
        </w:tc>
        <w:tc>
          <w:tcPr>
            <w:tcW w:w="737" w:type="dxa"/>
            <w:tcBorders>
              <w:top w:val="nil"/>
              <w:left w:val="nil"/>
              <w:bottom w:val="nil"/>
              <w:right w:val="nil"/>
            </w:tcBorders>
            <w:shd w:val="clear" w:color="auto" w:fill="auto"/>
            <w:vAlign w:val="center"/>
            <w:hideMark/>
          </w:tcPr>
          <w:p w14:paraId="48BD649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3 260</w:t>
            </w:r>
          </w:p>
        </w:tc>
      </w:tr>
      <w:tr w:rsidR="0048385E" w:rsidRPr="00D92E20" w14:paraId="0F30FE5A"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3C6DEA69"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nil"/>
              <w:bottom w:val="nil"/>
              <w:right w:val="nil"/>
            </w:tcBorders>
            <w:shd w:val="clear" w:color="auto" w:fill="auto"/>
            <w:vAlign w:val="center"/>
            <w:hideMark/>
          </w:tcPr>
          <w:p w14:paraId="5FC69A7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81 205</w:t>
            </w:r>
          </w:p>
        </w:tc>
        <w:tc>
          <w:tcPr>
            <w:tcW w:w="736" w:type="dxa"/>
            <w:tcBorders>
              <w:top w:val="nil"/>
              <w:left w:val="nil"/>
              <w:bottom w:val="nil"/>
              <w:right w:val="nil"/>
            </w:tcBorders>
            <w:shd w:val="clear" w:color="auto" w:fill="auto"/>
            <w:vAlign w:val="center"/>
            <w:hideMark/>
          </w:tcPr>
          <w:p w14:paraId="61204BF3"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37 043</w:t>
            </w:r>
          </w:p>
        </w:tc>
        <w:tc>
          <w:tcPr>
            <w:tcW w:w="736" w:type="dxa"/>
            <w:tcBorders>
              <w:top w:val="nil"/>
              <w:left w:val="nil"/>
              <w:bottom w:val="nil"/>
              <w:right w:val="nil"/>
            </w:tcBorders>
            <w:shd w:val="clear" w:color="auto" w:fill="auto"/>
            <w:vAlign w:val="center"/>
            <w:hideMark/>
          </w:tcPr>
          <w:p w14:paraId="2F0E942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44 162</w:t>
            </w:r>
          </w:p>
        </w:tc>
        <w:tc>
          <w:tcPr>
            <w:tcW w:w="736" w:type="dxa"/>
            <w:tcBorders>
              <w:top w:val="nil"/>
              <w:left w:val="single" w:sz="4" w:space="0" w:color="auto"/>
              <w:bottom w:val="nil"/>
              <w:right w:val="nil"/>
            </w:tcBorders>
            <w:shd w:val="clear" w:color="auto" w:fill="auto"/>
            <w:vAlign w:val="center"/>
            <w:hideMark/>
          </w:tcPr>
          <w:p w14:paraId="5D556A3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69 903</w:t>
            </w:r>
          </w:p>
        </w:tc>
        <w:tc>
          <w:tcPr>
            <w:tcW w:w="736" w:type="dxa"/>
            <w:tcBorders>
              <w:top w:val="nil"/>
              <w:left w:val="nil"/>
              <w:bottom w:val="nil"/>
              <w:right w:val="nil"/>
            </w:tcBorders>
            <w:shd w:val="clear" w:color="auto" w:fill="auto"/>
            <w:vAlign w:val="center"/>
            <w:hideMark/>
          </w:tcPr>
          <w:p w14:paraId="30D88A9C"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30 002</w:t>
            </w:r>
          </w:p>
        </w:tc>
        <w:tc>
          <w:tcPr>
            <w:tcW w:w="736" w:type="dxa"/>
            <w:tcBorders>
              <w:top w:val="nil"/>
              <w:left w:val="nil"/>
              <w:bottom w:val="nil"/>
              <w:right w:val="single" w:sz="4" w:space="0" w:color="auto"/>
            </w:tcBorders>
            <w:shd w:val="clear" w:color="auto" w:fill="auto"/>
            <w:vAlign w:val="center"/>
            <w:hideMark/>
          </w:tcPr>
          <w:p w14:paraId="7E4A593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39 900</w:t>
            </w:r>
          </w:p>
        </w:tc>
        <w:tc>
          <w:tcPr>
            <w:tcW w:w="754" w:type="dxa"/>
            <w:tcBorders>
              <w:top w:val="nil"/>
              <w:left w:val="nil"/>
              <w:bottom w:val="nil"/>
              <w:right w:val="nil"/>
            </w:tcBorders>
            <w:shd w:val="clear" w:color="auto" w:fill="auto"/>
            <w:vAlign w:val="center"/>
            <w:hideMark/>
          </w:tcPr>
          <w:p w14:paraId="054D64F5"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2 533</w:t>
            </w:r>
          </w:p>
        </w:tc>
        <w:tc>
          <w:tcPr>
            <w:tcW w:w="737" w:type="dxa"/>
            <w:tcBorders>
              <w:top w:val="nil"/>
              <w:left w:val="nil"/>
              <w:bottom w:val="nil"/>
              <w:right w:val="nil"/>
            </w:tcBorders>
            <w:shd w:val="clear" w:color="auto" w:fill="auto"/>
            <w:vAlign w:val="center"/>
            <w:hideMark/>
          </w:tcPr>
          <w:p w14:paraId="0526B3B2"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1 709</w:t>
            </w:r>
          </w:p>
        </w:tc>
        <w:tc>
          <w:tcPr>
            <w:tcW w:w="737" w:type="dxa"/>
            <w:tcBorders>
              <w:top w:val="nil"/>
              <w:left w:val="nil"/>
              <w:bottom w:val="nil"/>
              <w:right w:val="single" w:sz="4" w:space="0" w:color="auto"/>
            </w:tcBorders>
            <w:shd w:val="clear" w:color="auto" w:fill="auto"/>
            <w:vAlign w:val="center"/>
            <w:hideMark/>
          </w:tcPr>
          <w:p w14:paraId="38C858FB"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823</w:t>
            </w:r>
          </w:p>
        </w:tc>
        <w:tc>
          <w:tcPr>
            <w:tcW w:w="737" w:type="dxa"/>
            <w:tcBorders>
              <w:top w:val="nil"/>
              <w:left w:val="nil"/>
              <w:bottom w:val="nil"/>
              <w:right w:val="nil"/>
            </w:tcBorders>
            <w:shd w:val="clear" w:color="auto" w:fill="auto"/>
            <w:vAlign w:val="center"/>
            <w:hideMark/>
          </w:tcPr>
          <w:p w14:paraId="790A5A30"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8 770</w:t>
            </w:r>
          </w:p>
        </w:tc>
        <w:tc>
          <w:tcPr>
            <w:tcW w:w="737" w:type="dxa"/>
            <w:tcBorders>
              <w:top w:val="nil"/>
              <w:left w:val="nil"/>
              <w:bottom w:val="nil"/>
              <w:right w:val="nil"/>
            </w:tcBorders>
            <w:shd w:val="clear" w:color="auto" w:fill="auto"/>
            <w:vAlign w:val="center"/>
            <w:hideMark/>
          </w:tcPr>
          <w:p w14:paraId="1D32EECE"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5 331</w:t>
            </w:r>
          </w:p>
        </w:tc>
        <w:tc>
          <w:tcPr>
            <w:tcW w:w="737" w:type="dxa"/>
            <w:tcBorders>
              <w:top w:val="nil"/>
              <w:left w:val="nil"/>
              <w:bottom w:val="nil"/>
              <w:right w:val="nil"/>
            </w:tcBorders>
            <w:shd w:val="clear" w:color="auto" w:fill="auto"/>
            <w:vAlign w:val="center"/>
            <w:hideMark/>
          </w:tcPr>
          <w:p w14:paraId="460028FB"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3 438</w:t>
            </w:r>
          </w:p>
        </w:tc>
      </w:tr>
      <w:tr w:rsidR="0048385E" w:rsidRPr="00D92E20" w14:paraId="362816CD" w14:textId="77777777" w:rsidTr="0048385E">
        <w:trPr>
          <w:trHeight w:val="300"/>
        </w:trPr>
        <w:tc>
          <w:tcPr>
            <w:tcW w:w="735" w:type="dxa"/>
            <w:tcBorders>
              <w:top w:val="nil"/>
              <w:left w:val="nil"/>
              <w:bottom w:val="nil"/>
              <w:right w:val="single" w:sz="4" w:space="0" w:color="auto"/>
            </w:tcBorders>
            <w:shd w:val="clear" w:color="auto" w:fill="auto"/>
            <w:vAlign w:val="center"/>
            <w:hideMark/>
          </w:tcPr>
          <w:p w14:paraId="659A7C03" w14:textId="77777777" w:rsidR="0048385E" w:rsidRPr="00D92E20" w:rsidRDefault="0048385E" w:rsidP="0048385E">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72947D91"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94 246</w:t>
            </w:r>
          </w:p>
        </w:tc>
        <w:tc>
          <w:tcPr>
            <w:tcW w:w="736" w:type="dxa"/>
            <w:tcBorders>
              <w:top w:val="nil"/>
              <w:left w:val="nil"/>
              <w:bottom w:val="nil"/>
              <w:right w:val="nil"/>
            </w:tcBorders>
            <w:shd w:val="clear" w:color="auto" w:fill="auto"/>
            <w:vAlign w:val="center"/>
            <w:hideMark/>
          </w:tcPr>
          <w:p w14:paraId="45A214E4"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43 214</w:t>
            </w:r>
          </w:p>
        </w:tc>
        <w:tc>
          <w:tcPr>
            <w:tcW w:w="736" w:type="dxa"/>
            <w:tcBorders>
              <w:top w:val="nil"/>
              <w:left w:val="nil"/>
              <w:bottom w:val="nil"/>
              <w:right w:val="nil"/>
            </w:tcBorders>
            <w:shd w:val="clear" w:color="auto" w:fill="auto"/>
            <w:vAlign w:val="center"/>
            <w:hideMark/>
          </w:tcPr>
          <w:p w14:paraId="76085A59"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51 032</w:t>
            </w:r>
          </w:p>
        </w:tc>
        <w:tc>
          <w:tcPr>
            <w:tcW w:w="736" w:type="dxa"/>
            <w:tcBorders>
              <w:top w:val="nil"/>
              <w:left w:val="single" w:sz="4" w:space="0" w:color="auto"/>
              <w:bottom w:val="nil"/>
              <w:right w:val="nil"/>
            </w:tcBorders>
            <w:shd w:val="clear" w:color="auto" w:fill="auto"/>
            <w:vAlign w:val="center"/>
            <w:hideMark/>
          </w:tcPr>
          <w:p w14:paraId="397EFB4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82 287</w:t>
            </w:r>
          </w:p>
        </w:tc>
        <w:tc>
          <w:tcPr>
            <w:tcW w:w="736" w:type="dxa"/>
            <w:tcBorders>
              <w:top w:val="nil"/>
              <w:left w:val="nil"/>
              <w:bottom w:val="nil"/>
              <w:right w:val="nil"/>
            </w:tcBorders>
            <w:shd w:val="clear" w:color="auto" w:fill="auto"/>
            <w:vAlign w:val="center"/>
            <w:hideMark/>
          </w:tcPr>
          <w:p w14:paraId="577A787B"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35 854</w:t>
            </w:r>
          </w:p>
        </w:tc>
        <w:tc>
          <w:tcPr>
            <w:tcW w:w="736" w:type="dxa"/>
            <w:tcBorders>
              <w:top w:val="nil"/>
              <w:left w:val="nil"/>
              <w:bottom w:val="nil"/>
              <w:right w:val="single" w:sz="4" w:space="0" w:color="auto"/>
            </w:tcBorders>
            <w:shd w:val="clear" w:color="auto" w:fill="auto"/>
            <w:vAlign w:val="center"/>
            <w:hideMark/>
          </w:tcPr>
          <w:p w14:paraId="106CEE8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46 434</w:t>
            </w:r>
          </w:p>
        </w:tc>
        <w:tc>
          <w:tcPr>
            <w:tcW w:w="754" w:type="dxa"/>
            <w:tcBorders>
              <w:top w:val="nil"/>
              <w:left w:val="nil"/>
              <w:bottom w:val="nil"/>
              <w:right w:val="nil"/>
            </w:tcBorders>
            <w:shd w:val="clear" w:color="auto" w:fill="auto"/>
            <w:vAlign w:val="center"/>
            <w:hideMark/>
          </w:tcPr>
          <w:p w14:paraId="3E07CE2B"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2 585</w:t>
            </w:r>
          </w:p>
        </w:tc>
        <w:tc>
          <w:tcPr>
            <w:tcW w:w="737" w:type="dxa"/>
            <w:tcBorders>
              <w:top w:val="nil"/>
              <w:left w:val="nil"/>
              <w:bottom w:val="nil"/>
              <w:right w:val="nil"/>
            </w:tcBorders>
            <w:shd w:val="clear" w:color="auto" w:fill="auto"/>
            <w:vAlign w:val="center"/>
            <w:hideMark/>
          </w:tcPr>
          <w:p w14:paraId="4C7D1DA3"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1 766</w:t>
            </w:r>
          </w:p>
        </w:tc>
        <w:tc>
          <w:tcPr>
            <w:tcW w:w="737" w:type="dxa"/>
            <w:tcBorders>
              <w:top w:val="nil"/>
              <w:left w:val="nil"/>
              <w:bottom w:val="nil"/>
              <w:right w:val="single" w:sz="4" w:space="0" w:color="auto"/>
            </w:tcBorders>
            <w:shd w:val="clear" w:color="auto" w:fill="auto"/>
            <w:vAlign w:val="center"/>
            <w:hideMark/>
          </w:tcPr>
          <w:p w14:paraId="76E6E422"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819</w:t>
            </w:r>
          </w:p>
        </w:tc>
        <w:tc>
          <w:tcPr>
            <w:tcW w:w="737" w:type="dxa"/>
            <w:tcBorders>
              <w:top w:val="nil"/>
              <w:left w:val="nil"/>
              <w:bottom w:val="nil"/>
              <w:right w:val="nil"/>
            </w:tcBorders>
            <w:shd w:val="clear" w:color="auto" w:fill="auto"/>
            <w:vAlign w:val="center"/>
            <w:hideMark/>
          </w:tcPr>
          <w:p w14:paraId="12CAD81A"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9 373</w:t>
            </w:r>
          </w:p>
        </w:tc>
        <w:tc>
          <w:tcPr>
            <w:tcW w:w="737" w:type="dxa"/>
            <w:tcBorders>
              <w:top w:val="nil"/>
              <w:left w:val="nil"/>
              <w:bottom w:val="nil"/>
              <w:right w:val="nil"/>
            </w:tcBorders>
            <w:shd w:val="clear" w:color="auto" w:fill="auto"/>
            <w:vAlign w:val="center"/>
            <w:hideMark/>
          </w:tcPr>
          <w:p w14:paraId="0AD118B8"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5 594</w:t>
            </w:r>
          </w:p>
        </w:tc>
        <w:tc>
          <w:tcPr>
            <w:tcW w:w="737" w:type="dxa"/>
            <w:tcBorders>
              <w:top w:val="nil"/>
              <w:left w:val="nil"/>
              <w:bottom w:val="nil"/>
              <w:right w:val="nil"/>
            </w:tcBorders>
            <w:shd w:val="clear" w:color="auto" w:fill="auto"/>
            <w:vAlign w:val="center"/>
            <w:hideMark/>
          </w:tcPr>
          <w:p w14:paraId="12ADF1F6" w14:textId="77777777" w:rsidR="0048385E" w:rsidRPr="00D92E20" w:rsidRDefault="0048385E" w:rsidP="0048385E">
            <w:pPr>
              <w:spacing w:after="0" w:line="240" w:lineRule="auto"/>
              <w:jc w:val="right"/>
              <w:rPr>
                <w:rFonts w:cs="Arial"/>
                <w:color w:val="000000"/>
                <w:sz w:val="16"/>
                <w:szCs w:val="16"/>
              </w:rPr>
            </w:pPr>
            <w:r w:rsidRPr="00D92E20">
              <w:rPr>
                <w:rFonts w:cs="Arial"/>
                <w:color w:val="000000"/>
                <w:sz w:val="16"/>
                <w:szCs w:val="16"/>
              </w:rPr>
              <w:t>3 779</w:t>
            </w:r>
          </w:p>
        </w:tc>
      </w:tr>
    </w:tbl>
    <w:p w14:paraId="3AFF854C" w14:textId="77777777" w:rsidR="00461B62" w:rsidRPr="00D92E20" w:rsidRDefault="00461B62" w:rsidP="00BA6B4E">
      <w:pPr>
        <w:spacing w:before="120" w:after="120"/>
        <w:rPr>
          <w:sz w:val="16"/>
        </w:rPr>
      </w:pPr>
      <w:r w:rsidRPr="00D92E20">
        <w:rPr>
          <w:sz w:val="16"/>
        </w:rPr>
        <w:t>Zdroj: ČSÚ</w:t>
      </w:r>
    </w:p>
    <w:p w14:paraId="0C35C0E8" w14:textId="77777777" w:rsidR="006B6D44" w:rsidRPr="00D92E20" w:rsidRDefault="006B6D44" w:rsidP="006B6D44">
      <w:pPr>
        <w:spacing w:before="120" w:after="120"/>
        <w:jc w:val="both"/>
      </w:pPr>
      <w:r w:rsidRPr="00D92E20">
        <w:t>Většina dnů pracovní neschopnosti (87 %) je způsobena nemocí, v absolutním počtu 82 287 tis. za rok 2020. Ženy strávily v dočasné pracovní neschopnosti celkem 51 032 tis. dnů, což je o 7 819 tis. dnů více než muži. To, že ženy stráví na neschopence delší dobu, potvrzuje i dlouhodobější vývoj průměrné délky trvání dočasné pracovní neschopnosti znázorněný v tab. 2.5 či grafu 2.9.</w:t>
      </w:r>
    </w:p>
    <w:p w14:paraId="3F491DC2" w14:textId="35FCF202" w:rsidR="003F1873" w:rsidRPr="00D92E20" w:rsidRDefault="00DE263C" w:rsidP="009208D0">
      <w:pPr>
        <w:spacing w:before="120" w:after="120"/>
        <w:jc w:val="both"/>
      </w:pPr>
      <w:r w:rsidRPr="00D92E20">
        <w:lastRenderedPageBreak/>
        <w:t xml:space="preserve">Počet prostonaných dnů v jednotlivých pololetích </w:t>
      </w:r>
      <w:r w:rsidR="00982C1D" w:rsidRPr="00D92E20">
        <w:t>dokresluje tvrzení o značně vyšším počtu nahlášených případů pro nemoc během první poloviny roku.</w:t>
      </w:r>
      <w:r w:rsidRPr="00D92E20">
        <w:t xml:space="preserve"> </w:t>
      </w:r>
      <w:r w:rsidR="00982C1D" w:rsidRPr="00D92E20">
        <w:t>Největší rozdíl mezi 1. a 2. pololetím byl zaznamenán v roce 2017 a činil 4,4 mil. dnů.</w:t>
      </w:r>
      <w:r w:rsidR="000D642E" w:rsidRPr="00D92E20">
        <w:t xml:space="preserve"> Postupně se však snižoval. Ve druhém pololetí roku 2019 se počet dnů v </w:t>
      </w:r>
      <w:r w:rsidR="00705162" w:rsidRPr="00D92E20">
        <w:t>pracovní</w:t>
      </w:r>
      <w:r w:rsidR="000D642E" w:rsidRPr="00D92E20">
        <w:t xml:space="preserve"> neschopnosti zvýšil z důvodu zrušení karenční doby.</w:t>
      </w:r>
      <w:r w:rsidR="00982C1D" w:rsidRPr="00D92E20">
        <w:t xml:space="preserve"> </w:t>
      </w:r>
      <w:r w:rsidR="000D642E" w:rsidRPr="00D92E20">
        <w:t xml:space="preserve">V roce 2020 se počet dnů v pracovní neschopnosti pro nemoc v 1. a 2. pololetí lišil </w:t>
      </w:r>
      <w:r w:rsidR="003F7F34" w:rsidRPr="00D92E20">
        <w:t xml:space="preserve">pouze </w:t>
      </w:r>
      <w:r w:rsidR="000D642E" w:rsidRPr="00D92E20">
        <w:t>o 800 tis. Graf 2.7 dále značí skokový nárůst počtu kalendářních dnů pracovní neschopnosti pro nemoc mezi rok</w:t>
      </w:r>
      <w:r w:rsidR="003F7F34" w:rsidRPr="00D92E20">
        <w:t>em</w:t>
      </w:r>
      <w:r w:rsidR="000D642E" w:rsidRPr="00D92E20">
        <w:t xml:space="preserve"> 2019 a 2020</w:t>
      </w:r>
      <w:r w:rsidR="00BA6B4E" w:rsidRPr="00D92E20">
        <w:t>.</w:t>
      </w:r>
    </w:p>
    <w:p w14:paraId="73077F81" w14:textId="77777777" w:rsidR="003F1873" w:rsidRPr="00D92E20" w:rsidRDefault="003F1873" w:rsidP="00BA6B4E">
      <w:pPr>
        <w:spacing w:after="0"/>
        <w:jc w:val="both"/>
        <w:rPr>
          <w:b/>
        </w:rPr>
      </w:pPr>
      <w:r w:rsidRPr="00D92E20">
        <w:rPr>
          <w:b/>
        </w:rPr>
        <w:t>Graf 2.7: Kalendářní dny dočasné pracovní neschopnosti pro nemoc, 2015–2020</w:t>
      </w:r>
    </w:p>
    <w:p w14:paraId="01B36483" w14:textId="77777777" w:rsidR="003F1873" w:rsidRPr="00D92E20" w:rsidRDefault="003F1873" w:rsidP="00461B62">
      <w:pPr>
        <w:jc w:val="both"/>
      </w:pPr>
      <w:r w:rsidRPr="00D92E20">
        <w:rPr>
          <w:noProof/>
        </w:rPr>
        <w:drawing>
          <wp:inline distT="0" distB="0" distL="0" distR="0" wp14:anchorId="19481D3E" wp14:editId="5A3EE617">
            <wp:extent cx="6115050" cy="2628900"/>
            <wp:effectExtent l="0" t="0" r="0" b="0"/>
            <wp:docPr id="25" name="Graf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A23B7C0" w14:textId="77777777" w:rsidR="003F1873" w:rsidRPr="00D92E20" w:rsidRDefault="003F1873" w:rsidP="00BA6B4E">
      <w:pPr>
        <w:spacing w:before="120" w:after="120"/>
        <w:rPr>
          <w:sz w:val="16"/>
        </w:rPr>
      </w:pPr>
      <w:r w:rsidRPr="00D92E20">
        <w:rPr>
          <w:sz w:val="16"/>
        </w:rPr>
        <w:t>Zdroj: ČSÚ</w:t>
      </w:r>
    </w:p>
    <w:p w14:paraId="274D2981" w14:textId="4FB75F11" w:rsidR="000D642E" w:rsidRPr="00D92E20" w:rsidRDefault="000D642E" w:rsidP="00BA6B4E">
      <w:pPr>
        <w:spacing w:before="120" w:after="120"/>
        <w:jc w:val="both"/>
      </w:pPr>
      <w:r w:rsidRPr="00D92E20">
        <w:t xml:space="preserve">Při pohledu na relativní ukazatel, který ukazuje, jak dlouho v průměru </w:t>
      </w:r>
      <w:r w:rsidRPr="00D92E20">
        <w:rPr>
          <w:b/>
        </w:rPr>
        <w:t>trval 1 případ pracovní neschopnosti pro nemoc</w:t>
      </w:r>
      <w:r w:rsidRPr="00D92E20">
        <w:t>, zjistíme, že v prvním pololetí roku 2020 se tato doba oproti prvnímu pololetí předchozího roku zvýšila. Z</w:t>
      </w:r>
      <w:r w:rsidR="00767C3C" w:rsidRPr="00D92E20">
        <w:t>e</w:t>
      </w:r>
      <w:r w:rsidRPr="00D92E20">
        <w:t> 41,1 dne na 42,5 dne. Ve druhém pololetí však došlo ke zkrácení ze 40,6 dne v roce 2019 na 33,2</w:t>
      </w:r>
      <w:r w:rsidR="00B74855">
        <w:t> </w:t>
      </w:r>
      <w:r w:rsidRPr="00D92E20">
        <w:t>v roce 2020. Dá se říci, že přibylo krátkodobých pracovních neschopností z důvodu nemoci.</w:t>
      </w:r>
    </w:p>
    <w:p w14:paraId="563E01CB" w14:textId="77777777" w:rsidR="000D642E" w:rsidRPr="00D92E20" w:rsidRDefault="000D642E" w:rsidP="00BA6B4E">
      <w:pPr>
        <w:spacing w:after="0"/>
        <w:jc w:val="both"/>
        <w:rPr>
          <w:b/>
        </w:rPr>
      </w:pPr>
      <w:r w:rsidRPr="00D92E20">
        <w:rPr>
          <w:b/>
        </w:rPr>
        <w:t>Graf 2.8: Průměrná délka trvání dočasné pracovní neschopnosti pro nemoc, 2015–2020</w:t>
      </w:r>
    </w:p>
    <w:p w14:paraId="23D7B0F9" w14:textId="77777777" w:rsidR="000D642E" w:rsidRPr="00D92E20" w:rsidRDefault="000D642E" w:rsidP="00461B62">
      <w:pPr>
        <w:jc w:val="both"/>
        <w:rPr>
          <w:b/>
        </w:rPr>
      </w:pPr>
      <w:r w:rsidRPr="00D92E20">
        <w:rPr>
          <w:noProof/>
        </w:rPr>
        <w:drawing>
          <wp:inline distT="0" distB="0" distL="0" distR="0" wp14:anchorId="73B10F89" wp14:editId="4CA7617E">
            <wp:extent cx="6153150" cy="2695575"/>
            <wp:effectExtent l="0" t="0" r="0" b="9525"/>
            <wp:docPr id="26" name="Graf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4AD0D56" w14:textId="77777777" w:rsidR="000D642E" w:rsidRPr="00D92E20" w:rsidRDefault="000D642E" w:rsidP="00BA6B4E">
      <w:pPr>
        <w:spacing w:before="120" w:after="120"/>
        <w:rPr>
          <w:sz w:val="16"/>
        </w:rPr>
      </w:pPr>
      <w:r w:rsidRPr="00D92E20">
        <w:rPr>
          <w:sz w:val="16"/>
        </w:rPr>
        <w:t>Zdroj: ČSÚ</w:t>
      </w:r>
    </w:p>
    <w:p w14:paraId="0346BF77" w14:textId="3E0D435D" w:rsidR="00BA6B4E" w:rsidRPr="00D92E20" w:rsidRDefault="00461B62" w:rsidP="009208D0">
      <w:pPr>
        <w:jc w:val="both"/>
      </w:pPr>
      <w:r w:rsidRPr="00D92E20">
        <w:t xml:space="preserve">Průměrná délka trvání jednoho případu pracovní neschopnosti </w:t>
      </w:r>
      <w:r w:rsidR="00767C3C" w:rsidRPr="00D92E20">
        <w:t xml:space="preserve">ať už pro nemoc či úraz </w:t>
      </w:r>
      <w:r w:rsidRPr="00D92E20">
        <w:t xml:space="preserve">meziročně klesla </w:t>
      </w:r>
      <w:r w:rsidR="00767C3C" w:rsidRPr="00D92E20">
        <w:t>o</w:t>
      </w:r>
      <w:r w:rsidR="00BA6B4E" w:rsidRPr="00D92E20">
        <w:t> </w:t>
      </w:r>
      <w:r w:rsidR="00767C3C" w:rsidRPr="00D92E20">
        <w:t>3</w:t>
      </w:r>
      <w:r w:rsidR="00BA6B4E" w:rsidRPr="00D92E20">
        <w:t> </w:t>
      </w:r>
      <w:r w:rsidR="00767C3C" w:rsidRPr="00D92E20">
        <w:t>dny. Z</w:t>
      </w:r>
      <w:r w:rsidRPr="00D92E20">
        <w:t xml:space="preserve">e 42,4 dne v roce 2019 na 39,4 dne v roce 2020. Nachází se tak na nejnižší úrovni za posledních deset let. </w:t>
      </w:r>
      <w:r w:rsidRPr="00D92E20">
        <w:rPr>
          <w:b/>
        </w:rPr>
        <w:t>Nemoc</w:t>
      </w:r>
      <w:r w:rsidRPr="00D92E20">
        <w:t xml:space="preserve"> v roce 2020 způsobila pracovní neschopnost o průměrné délce </w:t>
      </w:r>
      <w:r w:rsidR="003F1873" w:rsidRPr="00D92E20">
        <w:t>37</w:t>
      </w:r>
      <w:r w:rsidRPr="00D92E20">
        <w:t xml:space="preserve"> dnů, neschopnost pro </w:t>
      </w:r>
      <w:r w:rsidRPr="00D92E20">
        <w:rPr>
          <w:b/>
        </w:rPr>
        <w:t>pracovní i mimopracovní úraz</w:t>
      </w:r>
      <w:r w:rsidRPr="00D92E20">
        <w:t xml:space="preserve"> trvala v průměru o 25 dnů déle.</w:t>
      </w:r>
    </w:p>
    <w:p w14:paraId="4C2BEC01" w14:textId="77777777" w:rsidR="001E0E41" w:rsidRPr="00D92E20" w:rsidRDefault="003F1873" w:rsidP="00BA6B4E">
      <w:pPr>
        <w:spacing w:after="0"/>
        <w:jc w:val="both"/>
        <w:rPr>
          <w:b/>
        </w:rPr>
      </w:pPr>
      <w:r w:rsidRPr="00D92E20">
        <w:rPr>
          <w:b/>
        </w:rPr>
        <w:lastRenderedPageBreak/>
        <w:t>Tab. 2.5: Průměrná délka trvání dočasné pracovní neschopnosti podle pohlaví, 2010–2020</w:t>
      </w:r>
    </w:p>
    <w:tbl>
      <w:tblPr>
        <w:tblW w:w="9641" w:type="dxa"/>
        <w:tblCellMar>
          <w:left w:w="70" w:type="dxa"/>
          <w:right w:w="70" w:type="dxa"/>
        </w:tblCellMar>
        <w:tblLook w:val="04A0" w:firstRow="1" w:lastRow="0" w:firstColumn="1" w:lastColumn="0" w:noHBand="0" w:noVBand="1"/>
      </w:tblPr>
      <w:tblGrid>
        <w:gridCol w:w="907"/>
        <w:gridCol w:w="794"/>
        <w:gridCol w:w="794"/>
        <w:gridCol w:w="794"/>
        <w:gridCol w:w="794"/>
        <w:gridCol w:w="794"/>
        <w:gridCol w:w="794"/>
        <w:gridCol w:w="794"/>
        <w:gridCol w:w="794"/>
        <w:gridCol w:w="794"/>
        <w:gridCol w:w="794"/>
        <w:gridCol w:w="794"/>
      </w:tblGrid>
      <w:tr w:rsidR="003F1873" w:rsidRPr="00D92E20" w14:paraId="590ED291" w14:textId="77777777" w:rsidTr="003F1873">
        <w:trPr>
          <w:trHeight w:val="300"/>
        </w:trPr>
        <w:tc>
          <w:tcPr>
            <w:tcW w:w="907" w:type="dxa"/>
            <w:tcBorders>
              <w:top w:val="single" w:sz="4" w:space="0" w:color="auto"/>
              <w:left w:val="nil"/>
              <w:bottom w:val="single" w:sz="4" w:space="0" w:color="auto"/>
              <w:right w:val="single" w:sz="4" w:space="0" w:color="auto"/>
            </w:tcBorders>
            <w:shd w:val="clear" w:color="000000" w:fill="F5DADD"/>
            <w:vAlign w:val="center"/>
            <w:hideMark/>
          </w:tcPr>
          <w:p w14:paraId="4C09CFE9" w14:textId="77777777" w:rsidR="003F1873" w:rsidRPr="00D92E20" w:rsidRDefault="003F1873" w:rsidP="003F1873">
            <w:pPr>
              <w:spacing w:after="0" w:line="240" w:lineRule="auto"/>
              <w:jc w:val="center"/>
              <w:rPr>
                <w:rFonts w:cs="Arial"/>
                <w:sz w:val="16"/>
                <w:szCs w:val="16"/>
              </w:rPr>
            </w:pPr>
            <w:r w:rsidRPr="00D92E20">
              <w:rPr>
                <w:rFonts w:cs="Arial"/>
                <w:sz w:val="16"/>
                <w:szCs w:val="16"/>
              </w:rPr>
              <w:t>Rok</w:t>
            </w:r>
          </w:p>
        </w:tc>
        <w:tc>
          <w:tcPr>
            <w:tcW w:w="794" w:type="dxa"/>
            <w:tcBorders>
              <w:top w:val="single" w:sz="4" w:space="0" w:color="auto"/>
              <w:left w:val="nil"/>
              <w:bottom w:val="single" w:sz="4" w:space="0" w:color="auto"/>
              <w:right w:val="nil"/>
            </w:tcBorders>
            <w:shd w:val="clear" w:color="000000" w:fill="F5DADD"/>
            <w:vAlign w:val="center"/>
            <w:hideMark/>
          </w:tcPr>
          <w:p w14:paraId="2F79FD8E"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2010</w:t>
            </w:r>
          </w:p>
        </w:tc>
        <w:tc>
          <w:tcPr>
            <w:tcW w:w="794" w:type="dxa"/>
            <w:tcBorders>
              <w:top w:val="single" w:sz="4" w:space="0" w:color="auto"/>
              <w:left w:val="nil"/>
              <w:bottom w:val="single" w:sz="4" w:space="0" w:color="auto"/>
              <w:right w:val="nil"/>
            </w:tcBorders>
            <w:shd w:val="clear" w:color="000000" w:fill="F5DADD"/>
            <w:vAlign w:val="center"/>
            <w:hideMark/>
          </w:tcPr>
          <w:p w14:paraId="7600F73E"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2011</w:t>
            </w:r>
          </w:p>
        </w:tc>
        <w:tc>
          <w:tcPr>
            <w:tcW w:w="794" w:type="dxa"/>
            <w:tcBorders>
              <w:top w:val="single" w:sz="4" w:space="0" w:color="auto"/>
              <w:left w:val="nil"/>
              <w:bottom w:val="single" w:sz="4" w:space="0" w:color="auto"/>
              <w:right w:val="nil"/>
            </w:tcBorders>
            <w:shd w:val="clear" w:color="000000" w:fill="F5DADD"/>
            <w:vAlign w:val="center"/>
            <w:hideMark/>
          </w:tcPr>
          <w:p w14:paraId="1E19EA61"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2012</w:t>
            </w:r>
          </w:p>
        </w:tc>
        <w:tc>
          <w:tcPr>
            <w:tcW w:w="794" w:type="dxa"/>
            <w:tcBorders>
              <w:top w:val="single" w:sz="4" w:space="0" w:color="auto"/>
              <w:left w:val="nil"/>
              <w:bottom w:val="single" w:sz="4" w:space="0" w:color="auto"/>
              <w:right w:val="nil"/>
            </w:tcBorders>
            <w:shd w:val="clear" w:color="000000" w:fill="F5DADD"/>
            <w:vAlign w:val="center"/>
            <w:hideMark/>
          </w:tcPr>
          <w:p w14:paraId="63415198"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2013</w:t>
            </w:r>
          </w:p>
        </w:tc>
        <w:tc>
          <w:tcPr>
            <w:tcW w:w="794" w:type="dxa"/>
            <w:tcBorders>
              <w:top w:val="single" w:sz="4" w:space="0" w:color="auto"/>
              <w:left w:val="nil"/>
              <w:bottom w:val="single" w:sz="4" w:space="0" w:color="auto"/>
              <w:right w:val="nil"/>
            </w:tcBorders>
            <w:shd w:val="clear" w:color="000000" w:fill="F5DADD"/>
            <w:vAlign w:val="center"/>
            <w:hideMark/>
          </w:tcPr>
          <w:p w14:paraId="5BE42390"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2014</w:t>
            </w:r>
          </w:p>
        </w:tc>
        <w:tc>
          <w:tcPr>
            <w:tcW w:w="794" w:type="dxa"/>
            <w:tcBorders>
              <w:top w:val="single" w:sz="4" w:space="0" w:color="auto"/>
              <w:left w:val="nil"/>
              <w:bottom w:val="single" w:sz="4" w:space="0" w:color="auto"/>
              <w:right w:val="nil"/>
            </w:tcBorders>
            <w:shd w:val="clear" w:color="000000" w:fill="F5DADD"/>
            <w:vAlign w:val="center"/>
            <w:hideMark/>
          </w:tcPr>
          <w:p w14:paraId="5A352201"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2015</w:t>
            </w:r>
          </w:p>
        </w:tc>
        <w:tc>
          <w:tcPr>
            <w:tcW w:w="794" w:type="dxa"/>
            <w:tcBorders>
              <w:top w:val="single" w:sz="4" w:space="0" w:color="auto"/>
              <w:left w:val="nil"/>
              <w:bottom w:val="single" w:sz="4" w:space="0" w:color="auto"/>
              <w:right w:val="nil"/>
            </w:tcBorders>
            <w:shd w:val="clear" w:color="000000" w:fill="F5DADD"/>
            <w:vAlign w:val="center"/>
            <w:hideMark/>
          </w:tcPr>
          <w:p w14:paraId="43666046"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2016</w:t>
            </w:r>
          </w:p>
        </w:tc>
        <w:tc>
          <w:tcPr>
            <w:tcW w:w="794" w:type="dxa"/>
            <w:tcBorders>
              <w:top w:val="single" w:sz="4" w:space="0" w:color="auto"/>
              <w:left w:val="nil"/>
              <w:bottom w:val="single" w:sz="4" w:space="0" w:color="auto"/>
              <w:right w:val="nil"/>
            </w:tcBorders>
            <w:shd w:val="clear" w:color="000000" w:fill="F5DADD"/>
            <w:vAlign w:val="center"/>
            <w:hideMark/>
          </w:tcPr>
          <w:p w14:paraId="49882416"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2017</w:t>
            </w:r>
          </w:p>
        </w:tc>
        <w:tc>
          <w:tcPr>
            <w:tcW w:w="794" w:type="dxa"/>
            <w:tcBorders>
              <w:top w:val="single" w:sz="4" w:space="0" w:color="auto"/>
              <w:left w:val="nil"/>
              <w:bottom w:val="single" w:sz="4" w:space="0" w:color="auto"/>
              <w:right w:val="nil"/>
            </w:tcBorders>
            <w:shd w:val="clear" w:color="000000" w:fill="F5DADD"/>
            <w:vAlign w:val="center"/>
            <w:hideMark/>
          </w:tcPr>
          <w:p w14:paraId="06DD44D9"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2018</w:t>
            </w:r>
          </w:p>
        </w:tc>
        <w:tc>
          <w:tcPr>
            <w:tcW w:w="794" w:type="dxa"/>
            <w:tcBorders>
              <w:top w:val="single" w:sz="4" w:space="0" w:color="auto"/>
              <w:left w:val="nil"/>
              <w:bottom w:val="single" w:sz="4" w:space="0" w:color="auto"/>
              <w:right w:val="nil"/>
            </w:tcBorders>
            <w:shd w:val="clear" w:color="000000" w:fill="F5DADD"/>
            <w:vAlign w:val="center"/>
            <w:hideMark/>
          </w:tcPr>
          <w:p w14:paraId="71A6FF0A" w14:textId="77777777" w:rsidR="003F1873" w:rsidRPr="00D92E20" w:rsidRDefault="003F1873" w:rsidP="003F1873">
            <w:pPr>
              <w:spacing w:after="0" w:line="240" w:lineRule="auto"/>
              <w:jc w:val="center"/>
              <w:rPr>
                <w:rFonts w:cs="Arial"/>
                <w:sz w:val="16"/>
                <w:szCs w:val="16"/>
              </w:rPr>
            </w:pPr>
            <w:r w:rsidRPr="00D92E20">
              <w:rPr>
                <w:rFonts w:cs="Arial"/>
                <w:sz w:val="16"/>
                <w:szCs w:val="16"/>
              </w:rPr>
              <w:t>2019</w:t>
            </w:r>
          </w:p>
        </w:tc>
        <w:tc>
          <w:tcPr>
            <w:tcW w:w="794" w:type="dxa"/>
            <w:tcBorders>
              <w:top w:val="single" w:sz="4" w:space="0" w:color="auto"/>
              <w:left w:val="nil"/>
              <w:bottom w:val="single" w:sz="4" w:space="0" w:color="auto"/>
              <w:right w:val="nil"/>
            </w:tcBorders>
            <w:shd w:val="clear" w:color="000000" w:fill="F5DADD"/>
            <w:vAlign w:val="center"/>
            <w:hideMark/>
          </w:tcPr>
          <w:p w14:paraId="2E93040A" w14:textId="77777777" w:rsidR="003F1873" w:rsidRPr="00D92E20" w:rsidRDefault="003F1873" w:rsidP="003F1873">
            <w:pPr>
              <w:spacing w:after="0" w:line="240" w:lineRule="auto"/>
              <w:jc w:val="center"/>
              <w:rPr>
                <w:rFonts w:cs="Arial"/>
                <w:sz w:val="16"/>
                <w:szCs w:val="16"/>
              </w:rPr>
            </w:pPr>
            <w:r w:rsidRPr="00D92E20">
              <w:rPr>
                <w:rFonts w:cs="Arial"/>
                <w:sz w:val="16"/>
                <w:szCs w:val="16"/>
              </w:rPr>
              <w:t>2020</w:t>
            </w:r>
          </w:p>
        </w:tc>
      </w:tr>
      <w:tr w:rsidR="003F1873" w:rsidRPr="00D92E20" w14:paraId="6D727CE4" w14:textId="77777777" w:rsidTr="00B606BA">
        <w:trPr>
          <w:trHeight w:val="300"/>
        </w:trPr>
        <w:tc>
          <w:tcPr>
            <w:tcW w:w="907" w:type="dxa"/>
            <w:tcBorders>
              <w:top w:val="nil"/>
              <w:left w:val="nil"/>
              <w:bottom w:val="nil"/>
              <w:right w:val="single" w:sz="4" w:space="0" w:color="auto"/>
            </w:tcBorders>
            <w:shd w:val="clear" w:color="auto" w:fill="auto"/>
            <w:noWrap/>
            <w:vAlign w:val="center"/>
            <w:hideMark/>
          </w:tcPr>
          <w:p w14:paraId="28B0E3D6" w14:textId="77777777" w:rsidR="003F1873" w:rsidRPr="00D92E20" w:rsidRDefault="003F1873" w:rsidP="00B606BA">
            <w:pPr>
              <w:spacing w:after="0" w:line="240" w:lineRule="auto"/>
              <w:rPr>
                <w:rFonts w:cs="Arial"/>
                <w:b/>
                <w:bCs/>
                <w:color w:val="000000"/>
                <w:sz w:val="16"/>
                <w:szCs w:val="16"/>
              </w:rPr>
            </w:pPr>
            <w:r w:rsidRPr="00D92E20">
              <w:rPr>
                <w:rFonts w:cs="Arial"/>
                <w:b/>
                <w:bCs/>
                <w:color w:val="000000"/>
                <w:sz w:val="16"/>
                <w:szCs w:val="16"/>
              </w:rPr>
              <w:t>Celkem</w:t>
            </w:r>
          </w:p>
        </w:tc>
        <w:tc>
          <w:tcPr>
            <w:tcW w:w="794" w:type="dxa"/>
            <w:tcBorders>
              <w:top w:val="nil"/>
              <w:left w:val="nil"/>
              <w:bottom w:val="nil"/>
              <w:right w:val="nil"/>
            </w:tcBorders>
            <w:shd w:val="clear" w:color="auto" w:fill="auto"/>
            <w:noWrap/>
            <w:vAlign w:val="center"/>
            <w:hideMark/>
          </w:tcPr>
          <w:p w14:paraId="25215672"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44,7</w:t>
            </w:r>
          </w:p>
        </w:tc>
        <w:tc>
          <w:tcPr>
            <w:tcW w:w="794" w:type="dxa"/>
            <w:tcBorders>
              <w:top w:val="nil"/>
              <w:left w:val="nil"/>
              <w:bottom w:val="nil"/>
              <w:right w:val="nil"/>
            </w:tcBorders>
            <w:shd w:val="clear" w:color="auto" w:fill="auto"/>
            <w:noWrap/>
            <w:vAlign w:val="center"/>
            <w:hideMark/>
          </w:tcPr>
          <w:p w14:paraId="0AFE14C1"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44,1</w:t>
            </w:r>
          </w:p>
        </w:tc>
        <w:tc>
          <w:tcPr>
            <w:tcW w:w="794" w:type="dxa"/>
            <w:tcBorders>
              <w:top w:val="nil"/>
              <w:left w:val="nil"/>
              <w:bottom w:val="nil"/>
              <w:right w:val="nil"/>
            </w:tcBorders>
            <w:shd w:val="clear" w:color="auto" w:fill="auto"/>
            <w:noWrap/>
            <w:vAlign w:val="center"/>
            <w:hideMark/>
          </w:tcPr>
          <w:p w14:paraId="506EF293"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46,1</w:t>
            </w:r>
          </w:p>
        </w:tc>
        <w:tc>
          <w:tcPr>
            <w:tcW w:w="794" w:type="dxa"/>
            <w:tcBorders>
              <w:top w:val="nil"/>
              <w:left w:val="nil"/>
              <w:bottom w:val="nil"/>
              <w:right w:val="nil"/>
            </w:tcBorders>
            <w:shd w:val="clear" w:color="auto" w:fill="auto"/>
            <w:noWrap/>
            <w:vAlign w:val="center"/>
            <w:hideMark/>
          </w:tcPr>
          <w:p w14:paraId="4B5CCFA9"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44,0</w:t>
            </w:r>
          </w:p>
        </w:tc>
        <w:tc>
          <w:tcPr>
            <w:tcW w:w="794" w:type="dxa"/>
            <w:tcBorders>
              <w:top w:val="nil"/>
              <w:left w:val="nil"/>
              <w:bottom w:val="nil"/>
              <w:right w:val="nil"/>
            </w:tcBorders>
            <w:shd w:val="clear" w:color="auto" w:fill="auto"/>
            <w:noWrap/>
            <w:vAlign w:val="center"/>
            <w:hideMark/>
          </w:tcPr>
          <w:p w14:paraId="42977391"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45,8</w:t>
            </w:r>
          </w:p>
        </w:tc>
        <w:tc>
          <w:tcPr>
            <w:tcW w:w="794" w:type="dxa"/>
            <w:tcBorders>
              <w:top w:val="nil"/>
              <w:left w:val="nil"/>
              <w:bottom w:val="nil"/>
              <w:right w:val="nil"/>
            </w:tcBorders>
            <w:shd w:val="clear" w:color="auto" w:fill="auto"/>
            <w:noWrap/>
            <w:vAlign w:val="center"/>
            <w:hideMark/>
          </w:tcPr>
          <w:p w14:paraId="47394E1A"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42,7</w:t>
            </w:r>
          </w:p>
        </w:tc>
        <w:tc>
          <w:tcPr>
            <w:tcW w:w="794" w:type="dxa"/>
            <w:tcBorders>
              <w:top w:val="nil"/>
              <w:left w:val="nil"/>
              <w:bottom w:val="nil"/>
              <w:right w:val="nil"/>
            </w:tcBorders>
            <w:shd w:val="clear" w:color="auto" w:fill="auto"/>
            <w:noWrap/>
            <w:vAlign w:val="center"/>
            <w:hideMark/>
          </w:tcPr>
          <w:p w14:paraId="7C761FC5"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43,0</w:t>
            </w:r>
          </w:p>
        </w:tc>
        <w:tc>
          <w:tcPr>
            <w:tcW w:w="794" w:type="dxa"/>
            <w:tcBorders>
              <w:top w:val="nil"/>
              <w:left w:val="nil"/>
              <w:bottom w:val="nil"/>
              <w:right w:val="nil"/>
            </w:tcBorders>
            <w:shd w:val="clear" w:color="auto" w:fill="auto"/>
            <w:noWrap/>
            <w:vAlign w:val="center"/>
            <w:hideMark/>
          </w:tcPr>
          <w:p w14:paraId="5AADD116"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42,6</w:t>
            </w:r>
          </w:p>
        </w:tc>
        <w:tc>
          <w:tcPr>
            <w:tcW w:w="794" w:type="dxa"/>
            <w:tcBorders>
              <w:top w:val="nil"/>
              <w:left w:val="nil"/>
              <w:bottom w:val="nil"/>
              <w:right w:val="nil"/>
            </w:tcBorders>
            <w:shd w:val="clear" w:color="auto" w:fill="auto"/>
            <w:noWrap/>
            <w:vAlign w:val="center"/>
            <w:hideMark/>
          </w:tcPr>
          <w:p w14:paraId="593B1108"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41,7</w:t>
            </w:r>
          </w:p>
        </w:tc>
        <w:tc>
          <w:tcPr>
            <w:tcW w:w="794" w:type="dxa"/>
            <w:tcBorders>
              <w:top w:val="nil"/>
              <w:left w:val="nil"/>
              <w:bottom w:val="nil"/>
              <w:right w:val="nil"/>
            </w:tcBorders>
            <w:shd w:val="clear" w:color="auto" w:fill="auto"/>
            <w:noWrap/>
            <w:vAlign w:val="center"/>
            <w:hideMark/>
          </w:tcPr>
          <w:p w14:paraId="4A094A27"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42,4</w:t>
            </w:r>
          </w:p>
        </w:tc>
        <w:tc>
          <w:tcPr>
            <w:tcW w:w="794" w:type="dxa"/>
            <w:tcBorders>
              <w:top w:val="nil"/>
              <w:left w:val="nil"/>
              <w:bottom w:val="nil"/>
              <w:right w:val="nil"/>
            </w:tcBorders>
            <w:shd w:val="clear" w:color="auto" w:fill="auto"/>
            <w:noWrap/>
            <w:vAlign w:val="center"/>
            <w:hideMark/>
          </w:tcPr>
          <w:p w14:paraId="616EA9BC" w14:textId="77777777" w:rsidR="003F1873" w:rsidRPr="00D92E20" w:rsidRDefault="003F1873" w:rsidP="003F1873">
            <w:pPr>
              <w:spacing w:after="0" w:line="240" w:lineRule="auto"/>
              <w:jc w:val="center"/>
              <w:rPr>
                <w:rFonts w:cs="Arial"/>
                <w:b/>
                <w:bCs/>
                <w:color w:val="000000"/>
                <w:sz w:val="16"/>
                <w:szCs w:val="16"/>
              </w:rPr>
            </w:pPr>
            <w:r w:rsidRPr="00D92E20">
              <w:rPr>
                <w:rFonts w:cs="Arial"/>
                <w:b/>
                <w:bCs/>
                <w:color w:val="000000"/>
                <w:sz w:val="16"/>
                <w:szCs w:val="16"/>
              </w:rPr>
              <w:t>39,4</w:t>
            </w:r>
          </w:p>
        </w:tc>
      </w:tr>
      <w:tr w:rsidR="003F1873" w:rsidRPr="00D92E20" w14:paraId="56CB0ECF" w14:textId="77777777" w:rsidTr="00B606BA">
        <w:trPr>
          <w:trHeight w:val="300"/>
        </w:trPr>
        <w:tc>
          <w:tcPr>
            <w:tcW w:w="907" w:type="dxa"/>
            <w:tcBorders>
              <w:top w:val="nil"/>
              <w:left w:val="nil"/>
              <w:bottom w:val="nil"/>
              <w:right w:val="single" w:sz="4" w:space="0" w:color="auto"/>
            </w:tcBorders>
            <w:shd w:val="clear" w:color="auto" w:fill="auto"/>
            <w:noWrap/>
            <w:vAlign w:val="center"/>
            <w:hideMark/>
          </w:tcPr>
          <w:p w14:paraId="5C2E30BC" w14:textId="77777777" w:rsidR="003F1873" w:rsidRPr="00D92E20" w:rsidRDefault="003F1873" w:rsidP="00B606BA">
            <w:pPr>
              <w:spacing w:after="0" w:line="240" w:lineRule="auto"/>
              <w:ind w:firstLineChars="100" w:firstLine="160"/>
              <w:rPr>
                <w:rFonts w:cs="Arial"/>
                <w:color w:val="000000"/>
                <w:sz w:val="16"/>
                <w:szCs w:val="16"/>
              </w:rPr>
            </w:pPr>
            <w:r w:rsidRPr="00D92E20">
              <w:rPr>
                <w:rFonts w:cs="Arial"/>
                <w:color w:val="000000"/>
                <w:sz w:val="16"/>
                <w:szCs w:val="16"/>
              </w:rPr>
              <w:t>muži</w:t>
            </w:r>
          </w:p>
        </w:tc>
        <w:tc>
          <w:tcPr>
            <w:tcW w:w="794" w:type="dxa"/>
            <w:tcBorders>
              <w:top w:val="nil"/>
              <w:left w:val="nil"/>
              <w:bottom w:val="nil"/>
              <w:right w:val="nil"/>
            </w:tcBorders>
            <w:shd w:val="clear" w:color="auto" w:fill="auto"/>
            <w:noWrap/>
            <w:vAlign w:val="center"/>
            <w:hideMark/>
          </w:tcPr>
          <w:p w14:paraId="73108A83"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5C9ECB35"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52E6A7C4"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44,1</w:t>
            </w:r>
          </w:p>
        </w:tc>
        <w:tc>
          <w:tcPr>
            <w:tcW w:w="794" w:type="dxa"/>
            <w:tcBorders>
              <w:top w:val="nil"/>
              <w:left w:val="nil"/>
              <w:bottom w:val="nil"/>
              <w:right w:val="nil"/>
            </w:tcBorders>
            <w:shd w:val="clear" w:color="auto" w:fill="auto"/>
            <w:noWrap/>
            <w:vAlign w:val="center"/>
            <w:hideMark/>
          </w:tcPr>
          <w:p w14:paraId="75BED92D"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42,3</w:t>
            </w:r>
          </w:p>
        </w:tc>
        <w:tc>
          <w:tcPr>
            <w:tcW w:w="794" w:type="dxa"/>
            <w:tcBorders>
              <w:top w:val="nil"/>
              <w:left w:val="nil"/>
              <w:bottom w:val="nil"/>
              <w:right w:val="nil"/>
            </w:tcBorders>
            <w:shd w:val="clear" w:color="auto" w:fill="auto"/>
            <w:noWrap/>
            <w:vAlign w:val="center"/>
            <w:hideMark/>
          </w:tcPr>
          <w:p w14:paraId="359E7E6C"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43,4</w:t>
            </w:r>
          </w:p>
        </w:tc>
        <w:tc>
          <w:tcPr>
            <w:tcW w:w="794" w:type="dxa"/>
            <w:tcBorders>
              <w:top w:val="nil"/>
              <w:left w:val="nil"/>
              <w:bottom w:val="nil"/>
              <w:right w:val="nil"/>
            </w:tcBorders>
            <w:shd w:val="clear" w:color="auto" w:fill="auto"/>
            <w:noWrap/>
            <w:vAlign w:val="center"/>
            <w:hideMark/>
          </w:tcPr>
          <w:p w14:paraId="1C64BE71"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40,5</w:t>
            </w:r>
          </w:p>
        </w:tc>
        <w:tc>
          <w:tcPr>
            <w:tcW w:w="794" w:type="dxa"/>
            <w:tcBorders>
              <w:top w:val="nil"/>
              <w:left w:val="nil"/>
              <w:bottom w:val="nil"/>
              <w:right w:val="nil"/>
            </w:tcBorders>
            <w:shd w:val="clear" w:color="auto" w:fill="auto"/>
            <w:noWrap/>
            <w:vAlign w:val="center"/>
            <w:hideMark/>
          </w:tcPr>
          <w:p w14:paraId="5FEABA48"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40,7</w:t>
            </w:r>
          </w:p>
        </w:tc>
        <w:tc>
          <w:tcPr>
            <w:tcW w:w="794" w:type="dxa"/>
            <w:tcBorders>
              <w:top w:val="nil"/>
              <w:left w:val="nil"/>
              <w:bottom w:val="nil"/>
              <w:right w:val="nil"/>
            </w:tcBorders>
            <w:shd w:val="clear" w:color="auto" w:fill="auto"/>
            <w:noWrap/>
            <w:vAlign w:val="center"/>
            <w:hideMark/>
          </w:tcPr>
          <w:p w14:paraId="4AF95610"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40,6</w:t>
            </w:r>
          </w:p>
        </w:tc>
        <w:tc>
          <w:tcPr>
            <w:tcW w:w="794" w:type="dxa"/>
            <w:tcBorders>
              <w:top w:val="nil"/>
              <w:left w:val="nil"/>
              <w:bottom w:val="nil"/>
              <w:right w:val="nil"/>
            </w:tcBorders>
            <w:shd w:val="clear" w:color="auto" w:fill="auto"/>
            <w:noWrap/>
            <w:vAlign w:val="center"/>
            <w:hideMark/>
          </w:tcPr>
          <w:p w14:paraId="5A6791F5"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40,3</w:t>
            </w:r>
          </w:p>
        </w:tc>
        <w:tc>
          <w:tcPr>
            <w:tcW w:w="794" w:type="dxa"/>
            <w:tcBorders>
              <w:top w:val="nil"/>
              <w:left w:val="nil"/>
              <w:bottom w:val="nil"/>
              <w:right w:val="nil"/>
            </w:tcBorders>
            <w:shd w:val="clear" w:color="auto" w:fill="auto"/>
            <w:noWrap/>
            <w:vAlign w:val="center"/>
            <w:hideMark/>
          </w:tcPr>
          <w:p w14:paraId="52573E4B"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41,1</w:t>
            </w:r>
          </w:p>
        </w:tc>
        <w:tc>
          <w:tcPr>
            <w:tcW w:w="794" w:type="dxa"/>
            <w:tcBorders>
              <w:top w:val="nil"/>
              <w:left w:val="nil"/>
              <w:bottom w:val="nil"/>
              <w:right w:val="nil"/>
            </w:tcBorders>
            <w:shd w:val="clear" w:color="auto" w:fill="auto"/>
            <w:noWrap/>
            <w:vAlign w:val="center"/>
            <w:hideMark/>
          </w:tcPr>
          <w:p w14:paraId="77FD985D"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37,8</w:t>
            </w:r>
          </w:p>
        </w:tc>
      </w:tr>
      <w:tr w:rsidR="003F1873" w:rsidRPr="00D92E20" w14:paraId="289AC08D" w14:textId="77777777" w:rsidTr="00B606BA">
        <w:trPr>
          <w:trHeight w:val="300"/>
        </w:trPr>
        <w:tc>
          <w:tcPr>
            <w:tcW w:w="907" w:type="dxa"/>
            <w:tcBorders>
              <w:top w:val="nil"/>
              <w:left w:val="nil"/>
              <w:bottom w:val="nil"/>
              <w:right w:val="single" w:sz="4" w:space="0" w:color="auto"/>
            </w:tcBorders>
            <w:shd w:val="clear" w:color="auto" w:fill="auto"/>
            <w:noWrap/>
            <w:vAlign w:val="center"/>
            <w:hideMark/>
          </w:tcPr>
          <w:p w14:paraId="4704121C" w14:textId="77777777" w:rsidR="003F1873" w:rsidRPr="00D92E20" w:rsidRDefault="003F1873" w:rsidP="00B606BA">
            <w:pPr>
              <w:spacing w:after="0" w:line="240" w:lineRule="auto"/>
              <w:ind w:firstLineChars="100" w:firstLine="160"/>
              <w:rPr>
                <w:rFonts w:cs="Arial"/>
                <w:color w:val="000000"/>
                <w:sz w:val="16"/>
                <w:szCs w:val="16"/>
              </w:rPr>
            </w:pPr>
            <w:r w:rsidRPr="00D92E20">
              <w:rPr>
                <w:rFonts w:cs="Arial"/>
                <w:color w:val="000000"/>
                <w:sz w:val="16"/>
                <w:szCs w:val="16"/>
              </w:rPr>
              <w:t>ženy</w:t>
            </w:r>
          </w:p>
        </w:tc>
        <w:tc>
          <w:tcPr>
            <w:tcW w:w="794" w:type="dxa"/>
            <w:tcBorders>
              <w:top w:val="nil"/>
              <w:left w:val="nil"/>
              <w:bottom w:val="nil"/>
              <w:right w:val="nil"/>
            </w:tcBorders>
            <w:shd w:val="clear" w:color="auto" w:fill="auto"/>
            <w:noWrap/>
            <w:vAlign w:val="center"/>
            <w:hideMark/>
          </w:tcPr>
          <w:p w14:paraId="0237A021"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45,7</w:t>
            </w:r>
          </w:p>
        </w:tc>
        <w:tc>
          <w:tcPr>
            <w:tcW w:w="794" w:type="dxa"/>
            <w:tcBorders>
              <w:top w:val="nil"/>
              <w:left w:val="nil"/>
              <w:bottom w:val="nil"/>
              <w:right w:val="nil"/>
            </w:tcBorders>
            <w:shd w:val="clear" w:color="auto" w:fill="auto"/>
            <w:noWrap/>
            <w:vAlign w:val="center"/>
            <w:hideMark/>
          </w:tcPr>
          <w:p w14:paraId="2B06D14E"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45,1</w:t>
            </w:r>
          </w:p>
        </w:tc>
        <w:tc>
          <w:tcPr>
            <w:tcW w:w="794" w:type="dxa"/>
            <w:tcBorders>
              <w:top w:val="nil"/>
              <w:left w:val="nil"/>
              <w:bottom w:val="nil"/>
              <w:right w:val="nil"/>
            </w:tcBorders>
            <w:shd w:val="clear" w:color="auto" w:fill="auto"/>
            <w:noWrap/>
            <w:vAlign w:val="center"/>
            <w:hideMark/>
          </w:tcPr>
          <w:p w14:paraId="3F986379"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47,9</w:t>
            </w:r>
          </w:p>
        </w:tc>
        <w:tc>
          <w:tcPr>
            <w:tcW w:w="794" w:type="dxa"/>
            <w:tcBorders>
              <w:top w:val="nil"/>
              <w:left w:val="nil"/>
              <w:bottom w:val="nil"/>
              <w:right w:val="nil"/>
            </w:tcBorders>
            <w:shd w:val="clear" w:color="auto" w:fill="auto"/>
            <w:noWrap/>
            <w:vAlign w:val="center"/>
            <w:hideMark/>
          </w:tcPr>
          <w:p w14:paraId="542CE409"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45,5</w:t>
            </w:r>
          </w:p>
        </w:tc>
        <w:tc>
          <w:tcPr>
            <w:tcW w:w="794" w:type="dxa"/>
            <w:tcBorders>
              <w:top w:val="nil"/>
              <w:left w:val="nil"/>
              <w:bottom w:val="nil"/>
              <w:right w:val="nil"/>
            </w:tcBorders>
            <w:shd w:val="clear" w:color="auto" w:fill="auto"/>
            <w:noWrap/>
            <w:vAlign w:val="center"/>
            <w:hideMark/>
          </w:tcPr>
          <w:p w14:paraId="59350742"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48,0</w:t>
            </w:r>
          </w:p>
        </w:tc>
        <w:tc>
          <w:tcPr>
            <w:tcW w:w="794" w:type="dxa"/>
            <w:tcBorders>
              <w:top w:val="nil"/>
              <w:left w:val="nil"/>
              <w:bottom w:val="nil"/>
              <w:right w:val="nil"/>
            </w:tcBorders>
            <w:shd w:val="clear" w:color="auto" w:fill="auto"/>
            <w:noWrap/>
            <w:vAlign w:val="center"/>
            <w:hideMark/>
          </w:tcPr>
          <w:p w14:paraId="62644E95"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44,8</w:t>
            </w:r>
          </w:p>
        </w:tc>
        <w:tc>
          <w:tcPr>
            <w:tcW w:w="794" w:type="dxa"/>
            <w:tcBorders>
              <w:top w:val="nil"/>
              <w:left w:val="nil"/>
              <w:bottom w:val="nil"/>
              <w:right w:val="nil"/>
            </w:tcBorders>
            <w:shd w:val="clear" w:color="auto" w:fill="auto"/>
            <w:noWrap/>
            <w:vAlign w:val="center"/>
            <w:hideMark/>
          </w:tcPr>
          <w:p w14:paraId="3D27A1A4"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45,2</w:t>
            </w:r>
          </w:p>
        </w:tc>
        <w:tc>
          <w:tcPr>
            <w:tcW w:w="794" w:type="dxa"/>
            <w:tcBorders>
              <w:top w:val="nil"/>
              <w:left w:val="nil"/>
              <w:bottom w:val="nil"/>
              <w:right w:val="nil"/>
            </w:tcBorders>
            <w:shd w:val="clear" w:color="auto" w:fill="auto"/>
            <w:noWrap/>
            <w:vAlign w:val="center"/>
            <w:hideMark/>
          </w:tcPr>
          <w:p w14:paraId="3470DF8E"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44,3</w:t>
            </w:r>
          </w:p>
        </w:tc>
        <w:tc>
          <w:tcPr>
            <w:tcW w:w="794" w:type="dxa"/>
            <w:tcBorders>
              <w:top w:val="nil"/>
              <w:left w:val="nil"/>
              <w:bottom w:val="nil"/>
              <w:right w:val="nil"/>
            </w:tcBorders>
            <w:shd w:val="clear" w:color="auto" w:fill="auto"/>
            <w:noWrap/>
            <w:vAlign w:val="center"/>
            <w:hideMark/>
          </w:tcPr>
          <w:p w14:paraId="693D0F4B"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43,0</w:t>
            </w:r>
          </w:p>
        </w:tc>
        <w:tc>
          <w:tcPr>
            <w:tcW w:w="794" w:type="dxa"/>
            <w:tcBorders>
              <w:top w:val="nil"/>
              <w:left w:val="nil"/>
              <w:bottom w:val="nil"/>
              <w:right w:val="nil"/>
            </w:tcBorders>
            <w:shd w:val="clear" w:color="auto" w:fill="auto"/>
            <w:noWrap/>
            <w:vAlign w:val="center"/>
            <w:hideMark/>
          </w:tcPr>
          <w:p w14:paraId="66809FBD"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43,6</w:t>
            </w:r>
          </w:p>
        </w:tc>
        <w:tc>
          <w:tcPr>
            <w:tcW w:w="794" w:type="dxa"/>
            <w:tcBorders>
              <w:top w:val="nil"/>
              <w:left w:val="nil"/>
              <w:bottom w:val="nil"/>
              <w:right w:val="nil"/>
            </w:tcBorders>
            <w:shd w:val="clear" w:color="auto" w:fill="auto"/>
            <w:noWrap/>
            <w:vAlign w:val="center"/>
            <w:hideMark/>
          </w:tcPr>
          <w:p w14:paraId="6F7CFA49" w14:textId="77777777" w:rsidR="003F1873" w:rsidRPr="00D92E20" w:rsidRDefault="003F1873" w:rsidP="00B606BA">
            <w:pPr>
              <w:spacing w:after="0" w:line="240" w:lineRule="auto"/>
              <w:jc w:val="center"/>
              <w:rPr>
                <w:rFonts w:cs="Arial"/>
                <w:color w:val="000000"/>
                <w:sz w:val="16"/>
                <w:szCs w:val="16"/>
              </w:rPr>
            </w:pPr>
            <w:r w:rsidRPr="00D92E20">
              <w:rPr>
                <w:rFonts w:cs="Arial"/>
                <w:color w:val="000000"/>
                <w:sz w:val="16"/>
                <w:szCs w:val="16"/>
              </w:rPr>
              <w:t>40,9</w:t>
            </w:r>
          </w:p>
        </w:tc>
      </w:tr>
    </w:tbl>
    <w:p w14:paraId="53D9A8C7" w14:textId="77777777" w:rsidR="003F1873" w:rsidRPr="00D92E20" w:rsidRDefault="003F1873" w:rsidP="00BA6B4E">
      <w:pPr>
        <w:spacing w:before="120" w:after="120"/>
        <w:rPr>
          <w:sz w:val="16"/>
        </w:rPr>
      </w:pPr>
      <w:r w:rsidRPr="00D92E20">
        <w:rPr>
          <w:sz w:val="16"/>
        </w:rPr>
        <w:t>Zdroj: ČSÚ</w:t>
      </w:r>
    </w:p>
    <w:p w14:paraId="602CC60A" w14:textId="77777777" w:rsidR="003F1873" w:rsidRPr="00D92E20" w:rsidRDefault="003F1873" w:rsidP="00BA6B4E">
      <w:pPr>
        <w:spacing w:after="120"/>
        <w:jc w:val="both"/>
      </w:pPr>
      <w:r w:rsidRPr="00D92E20">
        <w:t xml:space="preserve">Průměrný počet dnů pracovní neschopnosti </w:t>
      </w:r>
      <w:r w:rsidRPr="00D92E20">
        <w:rPr>
          <w:b/>
        </w:rPr>
        <w:t>u žen</w:t>
      </w:r>
      <w:r w:rsidRPr="00D92E20">
        <w:t xml:space="preserve"> meziročně klesl ze 43,6 dne v roce 2019 na 40,9 dne. </w:t>
      </w:r>
      <w:r w:rsidRPr="00D92E20">
        <w:rPr>
          <w:b/>
        </w:rPr>
        <w:t>V případě mužů</w:t>
      </w:r>
      <w:r w:rsidRPr="00D92E20">
        <w:t xml:space="preserve"> se snížil ze 41,1 dne na 37,8 dne. Ženy </w:t>
      </w:r>
      <w:r w:rsidR="00270278" w:rsidRPr="00D92E20">
        <w:t xml:space="preserve">tak </w:t>
      </w:r>
      <w:r w:rsidRPr="00D92E20">
        <w:t>byly v pracovní neschopnosti v průměru o 3 dny déle než muži.</w:t>
      </w:r>
    </w:p>
    <w:p w14:paraId="30B64F1E" w14:textId="77777777" w:rsidR="00767C3C" w:rsidRPr="00D92E20" w:rsidRDefault="00767C3C" w:rsidP="00BA6B4E">
      <w:pPr>
        <w:spacing w:after="0"/>
        <w:jc w:val="both"/>
        <w:rPr>
          <w:b/>
        </w:rPr>
      </w:pPr>
      <w:r w:rsidRPr="00D92E20">
        <w:rPr>
          <w:b/>
        </w:rPr>
        <w:t>Graf 2.9: Průměrná délka trvání dočasné pracovní neschopnosti podle pohlaví, 2010–2020</w:t>
      </w:r>
    </w:p>
    <w:p w14:paraId="5D05F170" w14:textId="77777777" w:rsidR="00767C3C" w:rsidRPr="00D92E20" w:rsidRDefault="00767C3C" w:rsidP="003F1873">
      <w:pPr>
        <w:jc w:val="both"/>
        <w:rPr>
          <w:b/>
        </w:rPr>
      </w:pPr>
      <w:r w:rsidRPr="00D92E20">
        <w:rPr>
          <w:noProof/>
        </w:rPr>
        <w:drawing>
          <wp:inline distT="0" distB="0" distL="0" distR="0" wp14:anchorId="2CA21550" wp14:editId="528DDA29">
            <wp:extent cx="6048375" cy="3228975"/>
            <wp:effectExtent l="0" t="0" r="9525" b="9525"/>
            <wp:docPr id="27" name="Graf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80C30BA" w14:textId="77777777" w:rsidR="00767C3C" w:rsidRPr="00D92E20" w:rsidRDefault="00767C3C" w:rsidP="00BA6B4E">
      <w:pPr>
        <w:spacing w:before="120" w:after="120"/>
        <w:rPr>
          <w:sz w:val="16"/>
        </w:rPr>
      </w:pPr>
      <w:r w:rsidRPr="00D92E20">
        <w:rPr>
          <w:sz w:val="16"/>
        </w:rPr>
        <w:t>Zdroj: ČSÚ</w:t>
      </w:r>
    </w:p>
    <w:p w14:paraId="16B61DA6" w14:textId="77777777" w:rsidR="003F1873" w:rsidRPr="00D92E20" w:rsidRDefault="003F1873" w:rsidP="00BA6B4E">
      <w:pPr>
        <w:spacing w:before="120" w:after="120"/>
        <w:jc w:val="both"/>
      </w:pPr>
      <w:r w:rsidRPr="00D92E20">
        <w:t>Nejvíce dnů dočasné pracovní neschopnosti bylo v </w:t>
      </w:r>
      <w:r w:rsidR="00767C3C" w:rsidRPr="00D92E20">
        <w:t>roce</w:t>
      </w:r>
      <w:r w:rsidRPr="00D92E20">
        <w:t xml:space="preserve"> 2020 zaznamenáno ve zpracovatelském průmyslu (</w:t>
      </w:r>
      <w:r w:rsidR="00767C3C" w:rsidRPr="00D92E20">
        <w:t>32 024</w:t>
      </w:r>
      <w:r w:rsidRPr="00D92E20">
        <w:t xml:space="preserve"> tis.), kde je nejvíce pojištěnců</w:t>
      </w:r>
      <w:r w:rsidR="00270278" w:rsidRPr="00D92E20">
        <w:t>,</w:t>
      </w:r>
      <w:r w:rsidRPr="00D92E20">
        <w:t xml:space="preserve"> a tím pádem také nejvyšší počet případů pracovní neschopnosti. Naopak nejnižší počet dnů pracovní neschopnosti byl hlášen v oblasti Výroba a rozvod elektřiny, plynu, tepla a klimatizovaného vzduchu (</w:t>
      </w:r>
      <w:r w:rsidR="00767C3C" w:rsidRPr="00D92E20">
        <w:t>460</w:t>
      </w:r>
      <w:r w:rsidRPr="00D92E20">
        <w:t xml:space="preserve"> tis.). Nejméně dnů pracovní neschopnosti z důvodu pracovních úrazů vykazovaly odvětvové sekce Peněžnictví a pojišťovnictví (</w:t>
      </w:r>
      <w:r w:rsidR="00767C3C" w:rsidRPr="00D92E20">
        <w:t>5,2</w:t>
      </w:r>
      <w:r w:rsidRPr="00D92E20">
        <w:t xml:space="preserve"> tis.) a Informační a komunikační činnost</w:t>
      </w:r>
      <w:r w:rsidR="00270278" w:rsidRPr="00D92E20">
        <w:t>i</w:t>
      </w:r>
      <w:r w:rsidRPr="00D92E20">
        <w:t xml:space="preserve"> (</w:t>
      </w:r>
      <w:r w:rsidR="00767C3C" w:rsidRPr="00D92E20">
        <w:t>7,6</w:t>
      </w:r>
      <w:r w:rsidRPr="00D92E20">
        <w:t> tis.).</w:t>
      </w:r>
    </w:p>
    <w:p w14:paraId="639C271E" w14:textId="77777777" w:rsidR="00BA6B4E" w:rsidRPr="00D92E20" w:rsidRDefault="00BA6B4E" w:rsidP="00BA6B4E">
      <w:pPr>
        <w:spacing w:before="120" w:after="120"/>
        <w:jc w:val="both"/>
      </w:pPr>
      <w:r w:rsidRPr="00D92E20">
        <w:t xml:space="preserve">Jak již bylo zmíněno výše, dočasná pracovní neschopnost v roce 2020 trvala v průměru 39 dnů. </w:t>
      </w:r>
      <w:r w:rsidRPr="00D92E20">
        <w:rPr>
          <w:b/>
        </w:rPr>
        <w:t xml:space="preserve">Odvětvími </w:t>
      </w:r>
      <w:r w:rsidRPr="00D92E20">
        <w:t>s průměrnou délkou trvání případu nad 45 dnů byly odvětví Ubytování, stravování a pohostinství (57 dnů), Zemědělství, lesnictví, rybářství (50 dnů), Činnosti v oblasti nemovitostí (47 dnů) a Stavebnictví (46 dnů). Přibližně poloviční doba (26 dnů) připadala na pracovní neschopnost v odvětví Informační a komunikační činnosti, což představovalo nejnižší hodnotu v rámci národního hospodářství. Dalšími odvětvími s poměrně nízkou průměrnou délkou pracovní neschopnosti bylo Vzdělávání (28 dnů). Podrobněji viz graf 2.10 a tab. 2.6.</w:t>
      </w:r>
    </w:p>
    <w:p w14:paraId="7895A47A" w14:textId="77777777" w:rsidR="00BA6B4E" w:rsidRPr="00D92E20" w:rsidRDefault="00BA6B4E">
      <w:pPr>
        <w:spacing w:after="0" w:line="240" w:lineRule="auto"/>
      </w:pPr>
      <w:r w:rsidRPr="00D92E20">
        <w:br w:type="page"/>
      </w:r>
    </w:p>
    <w:p w14:paraId="1FD3E2D2" w14:textId="77777777" w:rsidR="00767C3C" w:rsidRPr="00D92E20" w:rsidRDefault="00767C3C" w:rsidP="00BA6B4E">
      <w:pPr>
        <w:spacing w:after="0"/>
        <w:jc w:val="both"/>
        <w:rPr>
          <w:b/>
        </w:rPr>
      </w:pPr>
      <w:r w:rsidRPr="00D92E20">
        <w:rPr>
          <w:b/>
        </w:rPr>
        <w:lastRenderedPageBreak/>
        <w:t>Graf 2.10: Průměrná délka trvání dočasné pracovní neschopnosti podle odvětví (sekce CZ-NACE), 2020</w:t>
      </w:r>
    </w:p>
    <w:p w14:paraId="1EB14791" w14:textId="77777777" w:rsidR="00184B5C" w:rsidRPr="00D92E20" w:rsidRDefault="00767C3C" w:rsidP="00184B5C">
      <w:r w:rsidRPr="00D92E20">
        <w:rPr>
          <w:noProof/>
        </w:rPr>
        <w:drawing>
          <wp:inline distT="0" distB="0" distL="0" distR="0" wp14:anchorId="00D6E073" wp14:editId="4E6D54B9">
            <wp:extent cx="6120130" cy="4208145"/>
            <wp:effectExtent l="0" t="0" r="13970" b="1905"/>
            <wp:docPr id="28" name="Graf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133EC6" w14:textId="77777777" w:rsidR="00767C3C" w:rsidRPr="00D92E20" w:rsidRDefault="00767C3C" w:rsidP="00BA6B4E">
      <w:pPr>
        <w:spacing w:before="120" w:after="120"/>
        <w:rPr>
          <w:sz w:val="16"/>
        </w:rPr>
      </w:pPr>
      <w:r w:rsidRPr="00D92E20">
        <w:rPr>
          <w:sz w:val="16"/>
        </w:rPr>
        <w:t>Zdroj: ČSÚ</w:t>
      </w:r>
    </w:p>
    <w:p w14:paraId="075BF525" w14:textId="4FFAEE41" w:rsidR="0044223A" w:rsidRPr="00D92E20" w:rsidRDefault="00945181" w:rsidP="00BA6B4E">
      <w:pPr>
        <w:spacing w:after="120"/>
        <w:jc w:val="both"/>
      </w:pPr>
      <w:r w:rsidRPr="00D92E20">
        <w:t xml:space="preserve">Ve většině odvětví došlo </w:t>
      </w:r>
      <w:r w:rsidR="00270278" w:rsidRPr="00D92E20">
        <w:t xml:space="preserve">meziročně </w:t>
      </w:r>
      <w:r w:rsidRPr="00D92E20">
        <w:t xml:space="preserve">ke </w:t>
      </w:r>
      <w:r w:rsidR="00126E91" w:rsidRPr="00D92E20">
        <w:t>zkrácení</w:t>
      </w:r>
      <w:r w:rsidRPr="00D92E20">
        <w:t xml:space="preserve"> pracovní neschopnosti. Výjimku tvořilo </w:t>
      </w:r>
      <w:r w:rsidR="00767C3C" w:rsidRPr="00D92E20">
        <w:t>Ubytování, stravování a pohostinství</w:t>
      </w:r>
      <w:r w:rsidRPr="00D92E20">
        <w:t xml:space="preserve">, kde se průměrná doba trvání neschopenky </w:t>
      </w:r>
      <w:r w:rsidR="00671EEE" w:rsidRPr="00D92E20">
        <w:t xml:space="preserve">prodloužila </w:t>
      </w:r>
      <w:r w:rsidRPr="00D92E20">
        <w:t>o 2,6 dne, tj. o 5 %. Dalšími odvětvími, kde se neschopnost prodloužila</w:t>
      </w:r>
      <w:r w:rsidR="0044223A" w:rsidRPr="00D92E20">
        <w:t>,</w:t>
      </w:r>
      <w:r w:rsidRPr="00D92E20">
        <w:t xml:space="preserve"> bylo Peněžnictví a pojišťovnictví, Informační a komunikační činnosti a</w:t>
      </w:r>
      <w:r w:rsidR="006B6D44" w:rsidRPr="00D92E20">
        <w:t> </w:t>
      </w:r>
      <w:r w:rsidRPr="00D92E20">
        <w:t>Administrativní a podpůrné činnosti</w:t>
      </w:r>
      <w:r w:rsidR="00767C3C" w:rsidRPr="00D92E20">
        <w:t xml:space="preserve">. </w:t>
      </w:r>
      <w:r w:rsidR="0044223A" w:rsidRPr="00D92E20">
        <w:t>Zejména ICT činnosti a Peněžnictví má dlouhodobě níz</w:t>
      </w:r>
      <w:r w:rsidR="00CE2C2A" w:rsidRPr="00D92E20">
        <w:t>kou míru pracovní neschopnosti, které jsou na drobné meziroční výkyvy náchylnější.</w:t>
      </w:r>
    </w:p>
    <w:p w14:paraId="6DD83D4B" w14:textId="1C54D0CD" w:rsidR="00502EDF" w:rsidRPr="00D92E20" w:rsidRDefault="0044223A" w:rsidP="00BA6B4E">
      <w:pPr>
        <w:spacing w:after="120"/>
        <w:jc w:val="both"/>
      </w:pPr>
      <w:r w:rsidRPr="00D92E20">
        <w:t xml:space="preserve">Naopak k největšímu meziročnímu poklesu – o 10 dnů, tedy o pětinu – došlo v odvětví </w:t>
      </w:r>
      <w:r w:rsidRPr="00D92E20">
        <w:rPr>
          <w:b/>
        </w:rPr>
        <w:t>Zdravotní a sociální péče</w:t>
      </w:r>
      <w:r w:rsidRPr="00D92E20">
        <w:t>. Průměrná délka trvání pracovní neschopnosti činila 36 dnů, tedy o 3,</w:t>
      </w:r>
      <w:r w:rsidR="00CB1614" w:rsidRPr="00D92E20">
        <w:t>4</w:t>
      </w:r>
      <w:r w:rsidRPr="00D92E20">
        <w:t xml:space="preserve"> dne méně než byl průměr za všechna odvětví.</w:t>
      </w:r>
    </w:p>
    <w:p w14:paraId="1BB45092" w14:textId="77777777" w:rsidR="00BA6B4E" w:rsidRPr="00D92E20" w:rsidRDefault="00BA6B4E" w:rsidP="00BA6B4E">
      <w:pPr>
        <w:spacing w:after="120"/>
        <w:jc w:val="both"/>
      </w:pPr>
      <w:r w:rsidRPr="00D92E20">
        <w:t xml:space="preserve">Z hlediska </w:t>
      </w:r>
      <w:r w:rsidRPr="00D92E20">
        <w:rPr>
          <w:b/>
        </w:rPr>
        <w:t>regionálního</w:t>
      </w:r>
      <w:r w:rsidRPr="00D92E20">
        <w:t>, byla v roce 2020 nejdelší průměrná doba trvání dočasné pracovní neschopnosti zaznamenána ve Zlínském (43,5 dne) a v Moravskoslezském kraji (42,9 dne). Kraji s nejkratší délkou trvání pracovní neschopnosti byly Královéhradecký kraj a tradičně Liberecký kraj s Prahou. Tyto tři kraje shodně vykazovaly hodnotu 37 dnů. Ve všech krajích ČR (vyjma Karlovarského) hodnoty tohoto ukazatele meziročně poklesly.</w:t>
      </w:r>
    </w:p>
    <w:p w14:paraId="6F83C149" w14:textId="77777777" w:rsidR="00BA6B4E" w:rsidRPr="00D92E20" w:rsidRDefault="00BA6B4E" w:rsidP="00BA6B4E">
      <w:pPr>
        <w:spacing w:after="120"/>
        <w:jc w:val="both"/>
      </w:pPr>
      <w:r w:rsidRPr="00D92E20">
        <w:t xml:space="preserve">Z pohledu </w:t>
      </w:r>
      <w:r w:rsidRPr="00D92E20">
        <w:rPr>
          <w:b/>
        </w:rPr>
        <w:t>detailnějšího územního členění</w:t>
      </w:r>
      <w:r w:rsidRPr="00D92E20">
        <w:t xml:space="preserve"> (viz kartogram 2.1) je zřejmý větší rozptyl hodnot tohoto relativního ukazatele. Nejvyšší průměrnou délku na jeden případ v roce 2020 vykazoval okres Břeclav (50,6 dne) v Jihomoravském kraji a Vsetín (49,5 dne) ve Zlínském kraji, který se na předních místech mezi okresy s nejdelší pracovní neschopností pohybuje již několik let. Následovaly okresy Rakovník ve Středočeském kraji s 49 dny, Blansko a Hodonín (v Jihomoravském kraji), které vykazovaly průměrnou délku případu pracovní neschopnosti 48 dnů. Naopak nejkratší dobou trvání se mohl opět pochlubit okres Mladá Boleslav (32 dnů) ve Středních Čechách a královéhradecký okres Rychnov nad Kněžnou (33 dnů).</w:t>
      </w:r>
    </w:p>
    <w:p w14:paraId="2C9AFBF7" w14:textId="77777777" w:rsidR="00BA6B4E" w:rsidRPr="00D92E20" w:rsidRDefault="00BA6B4E" w:rsidP="00BA6B4E">
      <w:pPr>
        <w:spacing w:after="120"/>
        <w:jc w:val="both"/>
      </w:pPr>
    </w:p>
    <w:p w14:paraId="50C102AE" w14:textId="77777777" w:rsidR="00BA6B4E" w:rsidRPr="00D92E20" w:rsidRDefault="00BA6B4E" w:rsidP="00BA6B4E">
      <w:pPr>
        <w:spacing w:after="120"/>
        <w:jc w:val="both"/>
      </w:pPr>
    </w:p>
    <w:p w14:paraId="17909FC9" w14:textId="77777777" w:rsidR="00502EDF" w:rsidRPr="00D92E20" w:rsidRDefault="00502EDF" w:rsidP="00BA6B4E">
      <w:pPr>
        <w:spacing w:after="0"/>
        <w:jc w:val="both"/>
        <w:rPr>
          <w:b/>
          <w:spacing w:val="-5"/>
        </w:rPr>
      </w:pPr>
      <w:r w:rsidRPr="00D92E20">
        <w:rPr>
          <w:b/>
          <w:spacing w:val="-5"/>
        </w:rPr>
        <w:lastRenderedPageBreak/>
        <w:t>Tab. 2.6: Průměrná délka trvání dočasné pracovní neschopnosti podle odvětví (sekce CZ-NACE), 2010–2020</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502EDF" w:rsidRPr="00D92E20" w14:paraId="6A890C8A" w14:textId="77777777" w:rsidTr="00502EDF">
        <w:trPr>
          <w:trHeight w:val="300"/>
        </w:trPr>
        <w:tc>
          <w:tcPr>
            <w:tcW w:w="3402" w:type="dxa"/>
            <w:tcBorders>
              <w:top w:val="single" w:sz="4" w:space="0" w:color="auto"/>
              <w:left w:val="nil"/>
              <w:bottom w:val="single" w:sz="4" w:space="0" w:color="auto"/>
              <w:right w:val="single" w:sz="4" w:space="0" w:color="auto"/>
            </w:tcBorders>
            <w:shd w:val="clear" w:color="000000" w:fill="F5DADD"/>
            <w:vAlign w:val="center"/>
            <w:hideMark/>
          </w:tcPr>
          <w:p w14:paraId="224E9BF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3CC12FB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2010</w:t>
            </w:r>
          </w:p>
        </w:tc>
        <w:tc>
          <w:tcPr>
            <w:tcW w:w="567" w:type="dxa"/>
            <w:tcBorders>
              <w:top w:val="single" w:sz="4" w:space="0" w:color="auto"/>
              <w:left w:val="nil"/>
              <w:bottom w:val="single" w:sz="4" w:space="0" w:color="auto"/>
              <w:right w:val="nil"/>
            </w:tcBorders>
            <w:shd w:val="clear" w:color="000000" w:fill="F5DADD"/>
            <w:noWrap/>
            <w:vAlign w:val="center"/>
            <w:hideMark/>
          </w:tcPr>
          <w:p w14:paraId="5A4F432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2DD1508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520ACE1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0392198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16EA5EE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3848B93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58F623E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75CC6C9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3E6E0F7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1F53BD1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2020</w:t>
            </w:r>
          </w:p>
        </w:tc>
      </w:tr>
      <w:tr w:rsidR="00502EDF" w:rsidRPr="00D92E20" w14:paraId="7279222D"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26B30265" w14:textId="77777777" w:rsidR="00502EDF" w:rsidRPr="00D92E20" w:rsidRDefault="00502EDF" w:rsidP="00502EDF">
            <w:pPr>
              <w:spacing w:after="0" w:line="240" w:lineRule="auto"/>
              <w:rPr>
                <w:rFonts w:cs="Arial"/>
                <w:b/>
                <w:bCs/>
                <w:color w:val="000000"/>
                <w:sz w:val="16"/>
                <w:szCs w:val="16"/>
              </w:rPr>
            </w:pPr>
            <w:r w:rsidRPr="00D92E2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3C6FA4A0"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44,7</w:t>
            </w:r>
          </w:p>
        </w:tc>
        <w:tc>
          <w:tcPr>
            <w:tcW w:w="567" w:type="dxa"/>
            <w:tcBorders>
              <w:top w:val="nil"/>
              <w:left w:val="nil"/>
              <w:bottom w:val="nil"/>
              <w:right w:val="nil"/>
            </w:tcBorders>
            <w:shd w:val="clear" w:color="auto" w:fill="auto"/>
            <w:noWrap/>
            <w:vAlign w:val="center"/>
            <w:hideMark/>
          </w:tcPr>
          <w:p w14:paraId="220B4FFD"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44,1</w:t>
            </w:r>
          </w:p>
        </w:tc>
        <w:tc>
          <w:tcPr>
            <w:tcW w:w="567" w:type="dxa"/>
            <w:tcBorders>
              <w:top w:val="nil"/>
              <w:left w:val="nil"/>
              <w:bottom w:val="nil"/>
              <w:right w:val="nil"/>
            </w:tcBorders>
            <w:shd w:val="clear" w:color="auto" w:fill="auto"/>
            <w:noWrap/>
            <w:vAlign w:val="center"/>
            <w:hideMark/>
          </w:tcPr>
          <w:p w14:paraId="270869CA"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46,1</w:t>
            </w:r>
          </w:p>
        </w:tc>
        <w:tc>
          <w:tcPr>
            <w:tcW w:w="567" w:type="dxa"/>
            <w:tcBorders>
              <w:top w:val="nil"/>
              <w:left w:val="nil"/>
              <w:bottom w:val="nil"/>
              <w:right w:val="nil"/>
            </w:tcBorders>
            <w:shd w:val="clear" w:color="auto" w:fill="auto"/>
            <w:noWrap/>
            <w:vAlign w:val="center"/>
            <w:hideMark/>
          </w:tcPr>
          <w:p w14:paraId="08CF2BCD"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44,0</w:t>
            </w:r>
          </w:p>
        </w:tc>
        <w:tc>
          <w:tcPr>
            <w:tcW w:w="567" w:type="dxa"/>
            <w:tcBorders>
              <w:top w:val="nil"/>
              <w:left w:val="nil"/>
              <w:bottom w:val="nil"/>
              <w:right w:val="nil"/>
            </w:tcBorders>
            <w:shd w:val="clear" w:color="auto" w:fill="auto"/>
            <w:noWrap/>
            <w:vAlign w:val="center"/>
            <w:hideMark/>
          </w:tcPr>
          <w:p w14:paraId="0ECFFA8B"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45,8</w:t>
            </w:r>
          </w:p>
        </w:tc>
        <w:tc>
          <w:tcPr>
            <w:tcW w:w="567" w:type="dxa"/>
            <w:tcBorders>
              <w:top w:val="nil"/>
              <w:left w:val="nil"/>
              <w:bottom w:val="nil"/>
              <w:right w:val="nil"/>
            </w:tcBorders>
            <w:shd w:val="clear" w:color="auto" w:fill="auto"/>
            <w:noWrap/>
            <w:vAlign w:val="center"/>
            <w:hideMark/>
          </w:tcPr>
          <w:p w14:paraId="5BCB5A45"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42,7</w:t>
            </w:r>
          </w:p>
        </w:tc>
        <w:tc>
          <w:tcPr>
            <w:tcW w:w="567" w:type="dxa"/>
            <w:tcBorders>
              <w:top w:val="nil"/>
              <w:left w:val="nil"/>
              <w:bottom w:val="nil"/>
              <w:right w:val="nil"/>
            </w:tcBorders>
            <w:shd w:val="clear" w:color="auto" w:fill="auto"/>
            <w:noWrap/>
            <w:vAlign w:val="center"/>
            <w:hideMark/>
          </w:tcPr>
          <w:p w14:paraId="2352F69D"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43,0</w:t>
            </w:r>
          </w:p>
        </w:tc>
        <w:tc>
          <w:tcPr>
            <w:tcW w:w="567" w:type="dxa"/>
            <w:tcBorders>
              <w:top w:val="nil"/>
              <w:left w:val="nil"/>
              <w:bottom w:val="nil"/>
              <w:right w:val="nil"/>
            </w:tcBorders>
            <w:shd w:val="clear" w:color="auto" w:fill="auto"/>
            <w:noWrap/>
            <w:vAlign w:val="center"/>
            <w:hideMark/>
          </w:tcPr>
          <w:p w14:paraId="40CBADF1"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42,6</w:t>
            </w:r>
          </w:p>
        </w:tc>
        <w:tc>
          <w:tcPr>
            <w:tcW w:w="567" w:type="dxa"/>
            <w:tcBorders>
              <w:top w:val="nil"/>
              <w:left w:val="nil"/>
              <w:bottom w:val="nil"/>
              <w:right w:val="nil"/>
            </w:tcBorders>
            <w:shd w:val="clear" w:color="auto" w:fill="auto"/>
            <w:noWrap/>
            <w:vAlign w:val="center"/>
            <w:hideMark/>
          </w:tcPr>
          <w:p w14:paraId="60DCC646"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41,7</w:t>
            </w:r>
          </w:p>
        </w:tc>
        <w:tc>
          <w:tcPr>
            <w:tcW w:w="567" w:type="dxa"/>
            <w:tcBorders>
              <w:top w:val="nil"/>
              <w:left w:val="nil"/>
              <w:bottom w:val="nil"/>
              <w:right w:val="nil"/>
            </w:tcBorders>
            <w:shd w:val="clear" w:color="auto" w:fill="auto"/>
            <w:noWrap/>
            <w:vAlign w:val="center"/>
            <w:hideMark/>
          </w:tcPr>
          <w:p w14:paraId="10AF4F76"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42,4</w:t>
            </w:r>
          </w:p>
        </w:tc>
        <w:tc>
          <w:tcPr>
            <w:tcW w:w="567" w:type="dxa"/>
            <w:tcBorders>
              <w:top w:val="nil"/>
              <w:left w:val="nil"/>
              <w:bottom w:val="nil"/>
              <w:right w:val="nil"/>
            </w:tcBorders>
            <w:shd w:val="clear" w:color="auto" w:fill="auto"/>
            <w:noWrap/>
            <w:vAlign w:val="center"/>
            <w:hideMark/>
          </w:tcPr>
          <w:p w14:paraId="30882827" w14:textId="77777777" w:rsidR="00502EDF" w:rsidRPr="00D92E20" w:rsidRDefault="00502EDF" w:rsidP="00502EDF">
            <w:pPr>
              <w:spacing w:after="0" w:line="240" w:lineRule="auto"/>
              <w:jc w:val="center"/>
              <w:rPr>
                <w:rFonts w:cs="Arial"/>
                <w:b/>
                <w:bCs/>
                <w:color w:val="000000"/>
                <w:sz w:val="16"/>
                <w:szCs w:val="16"/>
              </w:rPr>
            </w:pPr>
            <w:r w:rsidRPr="00D92E20">
              <w:rPr>
                <w:rFonts w:cs="Arial"/>
                <w:b/>
                <w:bCs/>
                <w:color w:val="000000"/>
                <w:sz w:val="16"/>
                <w:szCs w:val="16"/>
              </w:rPr>
              <w:t>39,4</w:t>
            </w:r>
          </w:p>
        </w:tc>
      </w:tr>
      <w:tr w:rsidR="00502EDF" w:rsidRPr="00D92E20" w14:paraId="62FE7293"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2C211987"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A – Zemědělství, lesnictví a rybářství</w:t>
            </w:r>
          </w:p>
        </w:tc>
        <w:tc>
          <w:tcPr>
            <w:tcW w:w="567" w:type="dxa"/>
            <w:tcBorders>
              <w:top w:val="nil"/>
              <w:left w:val="nil"/>
              <w:bottom w:val="nil"/>
              <w:right w:val="nil"/>
            </w:tcBorders>
            <w:shd w:val="clear" w:color="auto" w:fill="auto"/>
            <w:noWrap/>
            <w:vAlign w:val="center"/>
            <w:hideMark/>
          </w:tcPr>
          <w:p w14:paraId="0CDD093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59,4</w:t>
            </w:r>
          </w:p>
        </w:tc>
        <w:tc>
          <w:tcPr>
            <w:tcW w:w="567" w:type="dxa"/>
            <w:tcBorders>
              <w:top w:val="nil"/>
              <w:left w:val="nil"/>
              <w:bottom w:val="nil"/>
              <w:right w:val="nil"/>
            </w:tcBorders>
            <w:shd w:val="clear" w:color="auto" w:fill="auto"/>
            <w:noWrap/>
            <w:vAlign w:val="center"/>
            <w:hideMark/>
          </w:tcPr>
          <w:p w14:paraId="16B74D2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60,8</w:t>
            </w:r>
          </w:p>
        </w:tc>
        <w:tc>
          <w:tcPr>
            <w:tcW w:w="567" w:type="dxa"/>
            <w:tcBorders>
              <w:top w:val="nil"/>
              <w:left w:val="nil"/>
              <w:bottom w:val="nil"/>
              <w:right w:val="nil"/>
            </w:tcBorders>
            <w:shd w:val="clear" w:color="auto" w:fill="auto"/>
            <w:noWrap/>
            <w:vAlign w:val="center"/>
            <w:hideMark/>
          </w:tcPr>
          <w:p w14:paraId="1117F0F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61,8</w:t>
            </w:r>
          </w:p>
        </w:tc>
        <w:tc>
          <w:tcPr>
            <w:tcW w:w="567" w:type="dxa"/>
            <w:tcBorders>
              <w:top w:val="nil"/>
              <w:left w:val="nil"/>
              <w:bottom w:val="nil"/>
              <w:right w:val="nil"/>
            </w:tcBorders>
            <w:shd w:val="clear" w:color="auto" w:fill="auto"/>
            <w:noWrap/>
            <w:vAlign w:val="center"/>
            <w:hideMark/>
          </w:tcPr>
          <w:p w14:paraId="5E85049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58,9</w:t>
            </w:r>
          </w:p>
        </w:tc>
        <w:tc>
          <w:tcPr>
            <w:tcW w:w="567" w:type="dxa"/>
            <w:tcBorders>
              <w:top w:val="nil"/>
              <w:left w:val="nil"/>
              <w:bottom w:val="nil"/>
              <w:right w:val="nil"/>
            </w:tcBorders>
            <w:shd w:val="clear" w:color="auto" w:fill="auto"/>
            <w:noWrap/>
            <w:vAlign w:val="center"/>
            <w:hideMark/>
          </w:tcPr>
          <w:p w14:paraId="300EA15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60,6</w:t>
            </w:r>
          </w:p>
        </w:tc>
        <w:tc>
          <w:tcPr>
            <w:tcW w:w="567" w:type="dxa"/>
            <w:tcBorders>
              <w:top w:val="nil"/>
              <w:left w:val="nil"/>
              <w:bottom w:val="nil"/>
              <w:right w:val="nil"/>
            </w:tcBorders>
            <w:shd w:val="clear" w:color="auto" w:fill="auto"/>
            <w:noWrap/>
            <w:vAlign w:val="center"/>
            <w:hideMark/>
          </w:tcPr>
          <w:p w14:paraId="3C4FC00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57,4</w:t>
            </w:r>
          </w:p>
        </w:tc>
        <w:tc>
          <w:tcPr>
            <w:tcW w:w="567" w:type="dxa"/>
            <w:tcBorders>
              <w:top w:val="nil"/>
              <w:left w:val="nil"/>
              <w:bottom w:val="nil"/>
              <w:right w:val="nil"/>
            </w:tcBorders>
            <w:shd w:val="clear" w:color="auto" w:fill="auto"/>
            <w:noWrap/>
            <w:vAlign w:val="center"/>
            <w:hideMark/>
          </w:tcPr>
          <w:p w14:paraId="5A867BF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59,0</w:t>
            </w:r>
          </w:p>
        </w:tc>
        <w:tc>
          <w:tcPr>
            <w:tcW w:w="567" w:type="dxa"/>
            <w:tcBorders>
              <w:top w:val="nil"/>
              <w:left w:val="nil"/>
              <w:bottom w:val="nil"/>
              <w:right w:val="nil"/>
            </w:tcBorders>
            <w:shd w:val="clear" w:color="auto" w:fill="auto"/>
            <w:noWrap/>
            <w:vAlign w:val="center"/>
            <w:hideMark/>
          </w:tcPr>
          <w:p w14:paraId="744ED87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57,6</w:t>
            </w:r>
          </w:p>
        </w:tc>
        <w:tc>
          <w:tcPr>
            <w:tcW w:w="567" w:type="dxa"/>
            <w:tcBorders>
              <w:top w:val="nil"/>
              <w:left w:val="nil"/>
              <w:bottom w:val="nil"/>
              <w:right w:val="nil"/>
            </w:tcBorders>
            <w:shd w:val="clear" w:color="auto" w:fill="auto"/>
            <w:noWrap/>
            <w:vAlign w:val="center"/>
            <w:hideMark/>
          </w:tcPr>
          <w:p w14:paraId="0FD36BB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55,9</w:t>
            </w:r>
          </w:p>
        </w:tc>
        <w:tc>
          <w:tcPr>
            <w:tcW w:w="567" w:type="dxa"/>
            <w:tcBorders>
              <w:top w:val="nil"/>
              <w:left w:val="nil"/>
              <w:bottom w:val="nil"/>
              <w:right w:val="nil"/>
            </w:tcBorders>
            <w:shd w:val="clear" w:color="auto" w:fill="auto"/>
            <w:noWrap/>
            <w:vAlign w:val="center"/>
            <w:hideMark/>
          </w:tcPr>
          <w:p w14:paraId="3CD7B8D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56,8</w:t>
            </w:r>
          </w:p>
        </w:tc>
        <w:tc>
          <w:tcPr>
            <w:tcW w:w="567" w:type="dxa"/>
            <w:tcBorders>
              <w:top w:val="nil"/>
              <w:left w:val="nil"/>
              <w:bottom w:val="nil"/>
              <w:right w:val="nil"/>
            </w:tcBorders>
            <w:shd w:val="clear" w:color="auto" w:fill="auto"/>
            <w:noWrap/>
            <w:vAlign w:val="center"/>
            <w:hideMark/>
          </w:tcPr>
          <w:p w14:paraId="3ADA47B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49,7</w:t>
            </w:r>
          </w:p>
        </w:tc>
      </w:tr>
      <w:tr w:rsidR="00502EDF" w:rsidRPr="00D92E20" w14:paraId="3947DDA0"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567E6098"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494C965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37,8</w:t>
            </w:r>
          </w:p>
        </w:tc>
        <w:tc>
          <w:tcPr>
            <w:tcW w:w="567" w:type="dxa"/>
            <w:tcBorders>
              <w:top w:val="nil"/>
              <w:left w:val="nil"/>
              <w:bottom w:val="nil"/>
              <w:right w:val="nil"/>
            </w:tcBorders>
            <w:shd w:val="clear" w:color="auto" w:fill="auto"/>
            <w:noWrap/>
            <w:vAlign w:val="center"/>
            <w:hideMark/>
          </w:tcPr>
          <w:p w14:paraId="1A30496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40,6</w:t>
            </w:r>
          </w:p>
        </w:tc>
        <w:tc>
          <w:tcPr>
            <w:tcW w:w="567" w:type="dxa"/>
            <w:tcBorders>
              <w:top w:val="nil"/>
              <w:left w:val="nil"/>
              <w:bottom w:val="nil"/>
              <w:right w:val="nil"/>
            </w:tcBorders>
            <w:shd w:val="clear" w:color="auto" w:fill="auto"/>
            <w:noWrap/>
            <w:vAlign w:val="center"/>
            <w:hideMark/>
          </w:tcPr>
          <w:p w14:paraId="497C6D9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4585727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2B85A1B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409AAD5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45,4</w:t>
            </w:r>
          </w:p>
        </w:tc>
        <w:tc>
          <w:tcPr>
            <w:tcW w:w="567" w:type="dxa"/>
            <w:tcBorders>
              <w:top w:val="nil"/>
              <w:left w:val="nil"/>
              <w:bottom w:val="nil"/>
              <w:right w:val="nil"/>
            </w:tcBorders>
            <w:shd w:val="clear" w:color="auto" w:fill="auto"/>
            <w:noWrap/>
            <w:vAlign w:val="center"/>
            <w:hideMark/>
          </w:tcPr>
          <w:p w14:paraId="08F7FE9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2CEE3AC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55,6</w:t>
            </w:r>
          </w:p>
        </w:tc>
        <w:tc>
          <w:tcPr>
            <w:tcW w:w="567" w:type="dxa"/>
            <w:tcBorders>
              <w:top w:val="nil"/>
              <w:left w:val="nil"/>
              <w:bottom w:val="nil"/>
              <w:right w:val="nil"/>
            </w:tcBorders>
            <w:shd w:val="clear" w:color="auto" w:fill="auto"/>
            <w:noWrap/>
            <w:vAlign w:val="center"/>
            <w:hideMark/>
          </w:tcPr>
          <w:p w14:paraId="4A52857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47,9</w:t>
            </w:r>
          </w:p>
        </w:tc>
        <w:tc>
          <w:tcPr>
            <w:tcW w:w="567" w:type="dxa"/>
            <w:tcBorders>
              <w:top w:val="nil"/>
              <w:left w:val="nil"/>
              <w:bottom w:val="nil"/>
              <w:right w:val="nil"/>
            </w:tcBorders>
            <w:shd w:val="clear" w:color="auto" w:fill="auto"/>
            <w:noWrap/>
            <w:vAlign w:val="center"/>
            <w:hideMark/>
          </w:tcPr>
          <w:p w14:paraId="5AD6180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49,4</w:t>
            </w:r>
          </w:p>
        </w:tc>
        <w:tc>
          <w:tcPr>
            <w:tcW w:w="567" w:type="dxa"/>
            <w:tcBorders>
              <w:top w:val="nil"/>
              <w:left w:val="nil"/>
              <w:bottom w:val="nil"/>
              <w:right w:val="nil"/>
            </w:tcBorders>
            <w:shd w:val="clear" w:color="auto" w:fill="auto"/>
            <w:noWrap/>
            <w:vAlign w:val="center"/>
            <w:hideMark/>
          </w:tcPr>
          <w:p w14:paraId="626434B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40,5</w:t>
            </w:r>
          </w:p>
        </w:tc>
      </w:tr>
      <w:tr w:rsidR="00502EDF" w:rsidRPr="00D92E20" w14:paraId="4D2AFF92"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150E07FD"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5655259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1B90D46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1E320BA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45,5</w:t>
            </w:r>
          </w:p>
        </w:tc>
        <w:tc>
          <w:tcPr>
            <w:tcW w:w="567" w:type="dxa"/>
            <w:tcBorders>
              <w:top w:val="nil"/>
              <w:left w:val="nil"/>
              <w:bottom w:val="nil"/>
              <w:right w:val="nil"/>
            </w:tcBorders>
            <w:shd w:val="clear" w:color="auto" w:fill="auto"/>
            <w:noWrap/>
            <w:vAlign w:val="center"/>
            <w:hideMark/>
          </w:tcPr>
          <w:p w14:paraId="00F5C60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43,7</w:t>
            </w:r>
          </w:p>
        </w:tc>
        <w:tc>
          <w:tcPr>
            <w:tcW w:w="567" w:type="dxa"/>
            <w:tcBorders>
              <w:top w:val="nil"/>
              <w:left w:val="nil"/>
              <w:bottom w:val="nil"/>
              <w:right w:val="nil"/>
            </w:tcBorders>
            <w:shd w:val="clear" w:color="auto" w:fill="auto"/>
            <w:noWrap/>
            <w:vAlign w:val="center"/>
            <w:hideMark/>
          </w:tcPr>
          <w:p w14:paraId="6FBAFBD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735D611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41,6</w:t>
            </w:r>
          </w:p>
        </w:tc>
        <w:tc>
          <w:tcPr>
            <w:tcW w:w="567" w:type="dxa"/>
            <w:tcBorders>
              <w:top w:val="nil"/>
              <w:left w:val="nil"/>
              <w:bottom w:val="nil"/>
              <w:right w:val="nil"/>
            </w:tcBorders>
            <w:shd w:val="clear" w:color="auto" w:fill="auto"/>
            <w:noWrap/>
            <w:vAlign w:val="center"/>
            <w:hideMark/>
          </w:tcPr>
          <w:p w14:paraId="6063AFD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42,4</w:t>
            </w:r>
          </w:p>
        </w:tc>
        <w:tc>
          <w:tcPr>
            <w:tcW w:w="567" w:type="dxa"/>
            <w:tcBorders>
              <w:top w:val="nil"/>
              <w:left w:val="nil"/>
              <w:bottom w:val="nil"/>
              <w:right w:val="nil"/>
            </w:tcBorders>
            <w:shd w:val="clear" w:color="auto" w:fill="auto"/>
            <w:noWrap/>
            <w:vAlign w:val="center"/>
            <w:hideMark/>
          </w:tcPr>
          <w:p w14:paraId="6B5C986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5A4F791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41,2</w:t>
            </w:r>
          </w:p>
        </w:tc>
        <w:tc>
          <w:tcPr>
            <w:tcW w:w="567" w:type="dxa"/>
            <w:tcBorders>
              <w:top w:val="nil"/>
              <w:left w:val="nil"/>
              <w:bottom w:val="nil"/>
              <w:right w:val="nil"/>
            </w:tcBorders>
            <w:shd w:val="clear" w:color="auto" w:fill="auto"/>
            <w:noWrap/>
            <w:vAlign w:val="center"/>
            <w:hideMark/>
          </w:tcPr>
          <w:p w14:paraId="35E540E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42,2</w:t>
            </w:r>
          </w:p>
        </w:tc>
        <w:tc>
          <w:tcPr>
            <w:tcW w:w="567" w:type="dxa"/>
            <w:tcBorders>
              <w:top w:val="nil"/>
              <w:left w:val="nil"/>
              <w:bottom w:val="nil"/>
              <w:right w:val="nil"/>
            </w:tcBorders>
            <w:shd w:val="clear" w:color="auto" w:fill="auto"/>
            <w:noWrap/>
            <w:vAlign w:val="center"/>
            <w:hideMark/>
          </w:tcPr>
          <w:p w14:paraId="36F76D5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39,8</w:t>
            </w:r>
          </w:p>
        </w:tc>
      </w:tr>
      <w:tr w:rsidR="00502EDF" w:rsidRPr="00D92E20" w14:paraId="3795D5D1" w14:textId="77777777" w:rsidTr="00502EDF">
        <w:trPr>
          <w:trHeight w:val="480"/>
        </w:trPr>
        <w:tc>
          <w:tcPr>
            <w:tcW w:w="3402" w:type="dxa"/>
            <w:tcBorders>
              <w:top w:val="nil"/>
              <w:left w:val="nil"/>
              <w:bottom w:val="nil"/>
              <w:right w:val="single" w:sz="4" w:space="0" w:color="auto"/>
            </w:tcBorders>
            <w:shd w:val="clear" w:color="auto" w:fill="auto"/>
            <w:vAlign w:val="center"/>
            <w:hideMark/>
          </w:tcPr>
          <w:p w14:paraId="059B50C5"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plynu, </w:t>
            </w:r>
            <w:r w:rsidRPr="00D92E20">
              <w:rPr>
                <w:rFonts w:cs="Arial"/>
                <w:color w:val="000000"/>
                <w:sz w:val="16"/>
                <w:szCs w:val="16"/>
              </w:rPr>
              <w:br/>
              <w:t xml:space="preserve">          tepla a klimatizovaného vzduchu</w:t>
            </w:r>
          </w:p>
        </w:tc>
        <w:tc>
          <w:tcPr>
            <w:tcW w:w="567" w:type="dxa"/>
            <w:tcBorders>
              <w:top w:val="nil"/>
              <w:left w:val="nil"/>
              <w:bottom w:val="nil"/>
              <w:right w:val="nil"/>
            </w:tcBorders>
            <w:shd w:val="clear" w:color="auto" w:fill="auto"/>
            <w:noWrap/>
            <w:vAlign w:val="center"/>
            <w:hideMark/>
          </w:tcPr>
          <w:p w14:paraId="3276490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7EDCFCA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7ED6058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739E40E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192C3DA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5144F20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5D05B44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41,4</w:t>
            </w:r>
          </w:p>
        </w:tc>
        <w:tc>
          <w:tcPr>
            <w:tcW w:w="567" w:type="dxa"/>
            <w:tcBorders>
              <w:top w:val="nil"/>
              <w:left w:val="nil"/>
              <w:bottom w:val="nil"/>
              <w:right w:val="nil"/>
            </w:tcBorders>
            <w:shd w:val="clear" w:color="auto" w:fill="auto"/>
            <w:noWrap/>
            <w:vAlign w:val="center"/>
            <w:hideMark/>
          </w:tcPr>
          <w:p w14:paraId="3EE221C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043666D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36,9</w:t>
            </w:r>
          </w:p>
        </w:tc>
        <w:tc>
          <w:tcPr>
            <w:tcW w:w="567" w:type="dxa"/>
            <w:tcBorders>
              <w:top w:val="nil"/>
              <w:left w:val="nil"/>
              <w:bottom w:val="nil"/>
              <w:right w:val="nil"/>
            </w:tcBorders>
            <w:shd w:val="clear" w:color="auto" w:fill="auto"/>
            <w:noWrap/>
            <w:vAlign w:val="center"/>
            <w:hideMark/>
          </w:tcPr>
          <w:p w14:paraId="3613617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38,1</w:t>
            </w:r>
          </w:p>
        </w:tc>
        <w:tc>
          <w:tcPr>
            <w:tcW w:w="567" w:type="dxa"/>
            <w:tcBorders>
              <w:top w:val="nil"/>
              <w:left w:val="nil"/>
              <w:bottom w:val="nil"/>
              <w:right w:val="nil"/>
            </w:tcBorders>
            <w:shd w:val="clear" w:color="auto" w:fill="auto"/>
            <w:noWrap/>
            <w:vAlign w:val="center"/>
            <w:hideMark/>
          </w:tcPr>
          <w:p w14:paraId="208F615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33,2</w:t>
            </w:r>
          </w:p>
        </w:tc>
      </w:tr>
      <w:tr w:rsidR="00502EDF" w:rsidRPr="00D92E20" w14:paraId="4473F322" w14:textId="77777777" w:rsidTr="00502EDF">
        <w:trPr>
          <w:trHeight w:val="480"/>
        </w:trPr>
        <w:tc>
          <w:tcPr>
            <w:tcW w:w="3402" w:type="dxa"/>
            <w:tcBorders>
              <w:top w:val="nil"/>
              <w:left w:val="nil"/>
              <w:bottom w:val="nil"/>
              <w:right w:val="single" w:sz="4" w:space="0" w:color="auto"/>
            </w:tcBorders>
            <w:shd w:val="clear" w:color="auto" w:fill="auto"/>
            <w:vAlign w:val="center"/>
            <w:hideMark/>
          </w:tcPr>
          <w:p w14:paraId="0A3887E6"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související s odpady a sanacemi</w:t>
            </w:r>
          </w:p>
        </w:tc>
        <w:tc>
          <w:tcPr>
            <w:tcW w:w="567" w:type="dxa"/>
            <w:tcBorders>
              <w:top w:val="nil"/>
              <w:left w:val="nil"/>
              <w:bottom w:val="nil"/>
              <w:right w:val="nil"/>
            </w:tcBorders>
            <w:shd w:val="clear" w:color="auto" w:fill="auto"/>
            <w:noWrap/>
            <w:vAlign w:val="center"/>
            <w:hideMark/>
          </w:tcPr>
          <w:p w14:paraId="35C2354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7682E3D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166CBE4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64CB67C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45,2</w:t>
            </w:r>
          </w:p>
        </w:tc>
        <w:tc>
          <w:tcPr>
            <w:tcW w:w="567" w:type="dxa"/>
            <w:tcBorders>
              <w:top w:val="nil"/>
              <w:left w:val="nil"/>
              <w:bottom w:val="nil"/>
              <w:right w:val="nil"/>
            </w:tcBorders>
            <w:shd w:val="clear" w:color="auto" w:fill="auto"/>
            <w:noWrap/>
            <w:vAlign w:val="center"/>
            <w:hideMark/>
          </w:tcPr>
          <w:p w14:paraId="6A5A196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1D8DA73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5E559DA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45,0</w:t>
            </w:r>
          </w:p>
        </w:tc>
        <w:tc>
          <w:tcPr>
            <w:tcW w:w="567" w:type="dxa"/>
            <w:tcBorders>
              <w:top w:val="nil"/>
              <w:left w:val="nil"/>
              <w:bottom w:val="nil"/>
              <w:right w:val="nil"/>
            </w:tcBorders>
            <w:shd w:val="clear" w:color="auto" w:fill="auto"/>
            <w:noWrap/>
            <w:vAlign w:val="center"/>
            <w:hideMark/>
          </w:tcPr>
          <w:p w14:paraId="158F2A3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052C86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44,0</w:t>
            </w:r>
          </w:p>
        </w:tc>
        <w:tc>
          <w:tcPr>
            <w:tcW w:w="567" w:type="dxa"/>
            <w:tcBorders>
              <w:top w:val="nil"/>
              <w:left w:val="nil"/>
              <w:bottom w:val="nil"/>
              <w:right w:val="nil"/>
            </w:tcBorders>
            <w:shd w:val="clear" w:color="auto" w:fill="auto"/>
            <w:noWrap/>
            <w:vAlign w:val="center"/>
            <w:hideMark/>
          </w:tcPr>
          <w:p w14:paraId="72DE39F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52633EF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41,4</w:t>
            </w:r>
          </w:p>
        </w:tc>
      </w:tr>
      <w:tr w:rsidR="00502EDF" w:rsidRPr="00D92E20" w14:paraId="4ECECA9E"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2F4331ED"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3FDF0B0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53,4</w:t>
            </w:r>
          </w:p>
        </w:tc>
        <w:tc>
          <w:tcPr>
            <w:tcW w:w="567" w:type="dxa"/>
            <w:tcBorders>
              <w:top w:val="nil"/>
              <w:left w:val="nil"/>
              <w:bottom w:val="nil"/>
              <w:right w:val="nil"/>
            </w:tcBorders>
            <w:shd w:val="clear" w:color="auto" w:fill="auto"/>
            <w:noWrap/>
            <w:vAlign w:val="center"/>
            <w:hideMark/>
          </w:tcPr>
          <w:p w14:paraId="6AB681F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59,6</w:t>
            </w:r>
          </w:p>
        </w:tc>
        <w:tc>
          <w:tcPr>
            <w:tcW w:w="567" w:type="dxa"/>
            <w:tcBorders>
              <w:top w:val="nil"/>
              <w:left w:val="nil"/>
              <w:bottom w:val="nil"/>
              <w:right w:val="nil"/>
            </w:tcBorders>
            <w:shd w:val="clear" w:color="auto" w:fill="auto"/>
            <w:noWrap/>
            <w:vAlign w:val="center"/>
            <w:hideMark/>
          </w:tcPr>
          <w:p w14:paraId="76A43DE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58,2</w:t>
            </w:r>
          </w:p>
        </w:tc>
        <w:tc>
          <w:tcPr>
            <w:tcW w:w="567" w:type="dxa"/>
            <w:tcBorders>
              <w:top w:val="nil"/>
              <w:left w:val="nil"/>
              <w:bottom w:val="nil"/>
              <w:right w:val="nil"/>
            </w:tcBorders>
            <w:shd w:val="clear" w:color="auto" w:fill="auto"/>
            <w:noWrap/>
            <w:vAlign w:val="center"/>
            <w:hideMark/>
          </w:tcPr>
          <w:p w14:paraId="15E71BE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57,1</w:t>
            </w:r>
          </w:p>
        </w:tc>
        <w:tc>
          <w:tcPr>
            <w:tcW w:w="567" w:type="dxa"/>
            <w:tcBorders>
              <w:top w:val="nil"/>
              <w:left w:val="nil"/>
              <w:bottom w:val="nil"/>
              <w:right w:val="nil"/>
            </w:tcBorders>
            <w:shd w:val="clear" w:color="auto" w:fill="auto"/>
            <w:noWrap/>
            <w:vAlign w:val="center"/>
            <w:hideMark/>
          </w:tcPr>
          <w:p w14:paraId="5E26899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59,3</w:t>
            </w:r>
          </w:p>
        </w:tc>
        <w:tc>
          <w:tcPr>
            <w:tcW w:w="567" w:type="dxa"/>
            <w:tcBorders>
              <w:top w:val="nil"/>
              <w:left w:val="nil"/>
              <w:bottom w:val="nil"/>
              <w:right w:val="nil"/>
            </w:tcBorders>
            <w:shd w:val="clear" w:color="auto" w:fill="auto"/>
            <w:noWrap/>
            <w:vAlign w:val="center"/>
            <w:hideMark/>
          </w:tcPr>
          <w:p w14:paraId="07795EC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56364BA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54,6</w:t>
            </w:r>
          </w:p>
        </w:tc>
        <w:tc>
          <w:tcPr>
            <w:tcW w:w="567" w:type="dxa"/>
            <w:tcBorders>
              <w:top w:val="nil"/>
              <w:left w:val="nil"/>
              <w:bottom w:val="nil"/>
              <w:right w:val="nil"/>
            </w:tcBorders>
            <w:shd w:val="clear" w:color="auto" w:fill="auto"/>
            <w:noWrap/>
            <w:vAlign w:val="center"/>
            <w:hideMark/>
          </w:tcPr>
          <w:p w14:paraId="7C01A24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53,9</w:t>
            </w:r>
          </w:p>
        </w:tc>
        <w:tc>
          <w:tcPr>
            <w:tcW w:w="567" w:type="dxa"/>
            <w:tcBorders>
              <w:top w:val="nil"/>
              <w:left w:val="nil"/>
              <w:bottom w:val="nil"/>
              <w:right w:val="nil"/>
            </w:tcBorders>
            <w:shd w:val="clear" w:color="auto" w:fill="auto"/>
            <w:noWrap/>
            <w:vAlign w:val="center"/>
            <w:hideMark/>
          </w:tcPr>
          <w:p w14:paraId="65BA8E3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52,1</w:t>
            </w:r>
          </w:p>
        </w:tc>
        <w:tc>
          <w:tcPr>
            <w:tcW w:w="567" w:type="dxa"/>
            <w:tcBorders>
              <w:top w:val="nil"/>
              <w:left w:val="nil"/>
              <w:bottom w:val="nil"/>
              <w:right w:val="nil"/>
            </w:tcBorders>
            <w:shd w:val="clear" w:color="auto" w:fill="auto"/>
            <w:noWrap/>
            <w:vAlign w:val="center"/>
            <w:hideMark/>
          </w:tcPr>
          <w:p w14:paraId="40EF0F3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2E27FAD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45,9</w:t>
            </w:r>
          </w:p>
        </w:tc>
      </w:tr>
      <w:tr w:rsidR="00502EDF" w:rsidRPr="00D92E20" w14:paraId="1E9B0713" w14:textId="77777777" w:rsidTr="00502EDF">
        <w:trPr>
          <w:trHeight w:val="480"/>
        </w:trPr>
        <w:tc>
          <w:tcPr>
            <w:tcW w:w="3402" w:type="dxa"/>
            <w:tcBorders>
              <w:top w:val="nil"/>
              <w:left w:val="nil"/>
              <w:bottom w:val="nil"/>
              <w:right w:val="single" w:sz="4" w:space="0" w:color="auto"/>
            </w:tcBorders>
            <w:shd w:val="clear" w:color="auto" w:fill="auto"/>
            <w:vAlign w:val="center"/>
            <w:hideMark/>
          </w:tcPr>
          <w:p w14:paraId="6E3FF84C"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opravy a údržba motorových vozidel</w:t>
            </w:r>
          </w:p>
        </w:tc>
        <w:tc>
          <w:tcPr>
            <w:tcW w:w="567" w:type="dxa"/>
            <w:tcBorders>
              <w:top w:val="nil"/>
              <w:left w:val="nil"/>
              <w:bottom w:val="nil"/>
              <w:right w:val="nil"/>
            </w:tcBorders>
            <w:shd w:val="clear" w:color="auto" w:fill="auto"/>
            <w:noWrap/>
            <w:vAlign w:val="center"/>
            <w:hideMark/>
          </w:tcPr>
          <w:p w14:paraId="272560D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48,5</w:t>
            </w:r>
          </w:p>
        </w:tc>
        <w:tc>
          <w:tcPr>
            <w:tcW w:w="567" w:type="dxa"/>
            <w:tcBorders>
              <w:top w:val="nil"/>
              <w:left w:val="nil"/>
              <w:bottom w:val="nil"/>
              <w:right w:val="nil"/>
            </w:tcBorders>
            <w:shd w:val="clear" w:color="auto" w:fill="auto"/>
            <w:noWrap/>
            <w:vAlign w:val="center"/>
            <w:hideMark/>
          </w:tcPr>
          <w:p w14:paraId="6000DAD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48,5</w:t>
            </w:r>
          </w:p>
        </w:tc>
        <w:tc>
          <w:tcPr>
            <w:tcW w:w="567" w:type="dxa"/>
            <w:tcBorders>
              <w:top w:val="nil"/>
              <w:left w:val="nil"/>
              <w:bottom w:val="nil"/>
              <w:right w:val="nil"/>
            </w:tcBorders>
            <w:shd w:val="clear" w:color="auto" w:fill="auto"/>
            <w:noWrap/>
            <w:vAlign w:val="center"/>
            <w:hideMark/>
          </w:tcPr>
          <w:p w14:paraId="1BD94A6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7A08C78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48,7</w:t>
            </w:r>
          </w:p>
        </w:tc>
        <w:tc>
          <w:tcPr>
            <w:tcW w:w="567" w:type="dxa"/>
            <w:tcBorders>
              <w:top w:val="nil"/>
              <w:left w:val="nil"/>
              <w:bottom w:val="nil"/>
              <w:right w:val="nil"/>
            </w:tcBorders>
            <w:shd w:val="clear" w:color="auto" w:fill="auto"/>
            <w:noWrap/>
            <w:vAlign w:val="center"/>
            <w:hideMark/>
          </w:tcPr>
          <w:p w14:paraId="3DDC86E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50,3</w:t>
            </w:r>
          </w:p>
        </w:tc>
        <w:tc>
          <w:tcPr>
            <w:tcW w:w="567" w:type="dxa"/>
            <w:tcBorders>
              <w:top w:val="nil"/>
              <w:left w:val="nil"/>
              <w:bottom w:val="nil"/>
              <w:right w:val="nil"/>
            </w:tcBorders>
            <w:shd w:val="clear" w:color="auto" w:fill="auto"/>
            <w:noWrap/>
            <w:vAlign w:val="center"/>
            <w:hideMark/>
          </w:tcPr>
          <w:p w14:paraId="502F159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46,7</w:t>
            </w:r>
          </w:p>
        </w:tc>
        <w:tc>
          <w:tcPr>
            <w:tcW w:w="567" w:type="dxa"/>
            <w:tcBorders>
              <w:top w:val="nil"/>
              <w:left w:val="nil"/>
              <w:bottom w:val="nil"/>
              <w:right w:val="nil"/>
            </w:tcBorders>
            <w:shd w:val="clear" w:color="auto" w:fill="auto"/>
            <w:noWrap/>
            <w:vAlign w:val="center"/>
            <w:hideMark/>
          </w:tcPr>
          <w:p w14:paraId="395D2AD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44,9</w:t>
            </w:r>
          </w:p>
        </w:tc>
        <w:tc>
          <w:tcPr>
            <w:tcW w:w="567" w:type="dxa"/>
            <w:tcBorders>
              <w:top w:val="nil"/>
              <w:left w:val="nil"/>
              <w:bottom w:val="nil"/>
              <w:right w:val="nil"/>
            </w:tcBorders>
            <w:shd w:val="clear" w:color="auto" w:fill="auto"/>
            <w:noWrap/>
            <w:vAlign w:val="center"/>
            <w:hideMark/>
          </w:tcPr>
          <w:p w14:paraId="4642194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70D1A7F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3624A3E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44,6</w:t>
            </w:r>
          </w:p>
        </w:tc>
        <w:tc>
          <w:tcPr>
            <w:tcW w:w="567" w:type="dxa"/>
            <w:tcBorders>
              <w:top w:val="nil"/>
              <w:left w:val="nil"/>
              <w:bottom w:val="nil"/>
              <w:right w:val="nil"/>
            </w:tcBorders>
            <w:shd w:val="clear" w:color="auto" w:fill="auto"/>
            <w:noWrap/>
            <w:vAlign w:val="center"/>
            <w:hideMark/>
          </w:tcPr>
          <w:p w14:paraId="36B0257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41,8</w:t>
            </w:r>
          </w:p>
        </w:tc>
      </w:tr>
      <w:tr w:rsidR="00502EDF" w:rsidRPr="00D92E20" w14:paraId="0F54AC66"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3C6B3580"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77F041E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47,3</w:t>
            </w:r>
          </w:p>
        </w:tc>
        <w:tc>
          <w:tcPr>
            <w:tcW w:w="567" w:type="dxa"/>
            <w:tcBorders>
              <w:top w:val="nil"/>
              <w:left w:val="nil"/>
              <w:bottom w:val="nil"/>
              <w:right w:val="nil"/>
            </w:tcBorders>
            <w:shd w:val="clear" w:color="auto" w:fill="auto"/>
            <w:noWrap/>
            <w:vAlign w:val="center"/>
            <w:hideMark/>
          </w:tcPr>
          <w:p w14:paraId="571DCD1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2D516A1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51,0</w:t>
            </w:r>
          </w:p>
        </w:tc>
        <w:tc>
          <w:tcPr>
            <w:tcW w:w="567" w:type="dxa"/>
            <w:tcBorders>
              <w:top w:val="nil"/>
              <w:left w:val="nil"/>
              <w:bottom w:val="nil"/>
              <w:right w:val="nil"/>
            </w:tcBorders>
            <w:shd w:val="clear" w:color="auto" w:fill="auto"/>
            <w:noWrap/>
            <w:vAlign w:val="center"/>
            <w:hideMark/>
          </w:tcPr>
          <w:p w14:paraId="275F7E1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50,0</w:t>
            </w:r>
          </w:p>
        </w:tc>
        <w:tc>
          <w:tcPr>
            <w:tcW w:w="567" w:type="dxa"/>
            <w:tcBorders>
              <w:top w:val="nil"/>
              <w:left w:val="nil"/>
              <w:bottom w:val="nil"/>
              <w:right w:val="nil"/>
            </w:tcBorders>
            <w:shd w:val="clear" w:color="auto" w:fill="auto"/>
            <w:noWrap/>
            <w:vAlign w:val="center"/>
            <w:hideMark/>
          </w:tcPr>
          <w:p w14:paraId="1575501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50,9</w:t>
            </w:r>
          </w:p>
        </w:tc>
        <w:tc>
          <w:tcPr>
            <w:tcW w:w="567" w:type="dxa"/>
            <w:tcBorders>
              <w:top w:val="nil"/>
              <w:left w:val="nil"/>
              <w:bottom w:val="nil"/>
              <w:right w:val="nil"/>
            </w:tcBorders>
            <w:shd w:val="clear" w:color="auto" w:fill="auto"/>
            <w:noWrap/>
            <w:vAlign w:val="center"/>
            <w:hideMark/>
          </w:tcPr>
          <w:p w14:paraId="508E2F0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79AE69D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331E6E1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31712E7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5E1025C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44,7</w:t>
            </w:r>
          </w:p>
        </w:tc>
        <w:tc>
          <w:tcPr>
            <w:tcW w:w="567" w:type="dxa"/>
            <w:tcBorders>
              <w:top w:val="nil"/>
              <w:left w:val="nil"/>
              <w:bottom w:val="nil"/>
              <w:right w:val="nil"/>
            </w:tcBorders>
            <w:shd w:val="clear" w:color="auto" w:fill="auto"/>
            <w:noWrap/>
            <w:vAlign w:val="center"/>
            <w:hideMark/>
          </w:tcPr>
          <w:p w14:paraId="2C85427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42,6</w:t>
            </w:r>
          </w:p>
        </w:tc>
      </w:tr>
      <w:tr w:rsidR="00502EDF" w:rsidRPr="00D92E20" w14:paraId="03DB9AC6" w14:textId="77777777" w:rsidTr="00B606BA">
        <w:trPr>
          <w:trHeight w:val="300"/>
        </w:trPr>
        <w:tc>
          <w:tcPr>
            <w:tcW w:w="3402" w:type="dxa"/>
            <w:tcBorders>
              <w:top w:val="nil"/>
              <w:left w:val="nil"/>
              <w:bottom w:val="nil"/>
              <w:right w:val="single" w:sz="4" w:space="0" w:color="auto"/>
            </w:tcBorders>
            <w:shd w:val="clear" w:color="auto" w:fill="auto"/>
            <w:vAlign w:val="center"/>
            <w:hideMark/>
          </w:tcPr>
          <w:p w14:paraId="3E66899D" w14:textId="6F266446" w:rsidR="00502EDF" w:rsidRPr="00D92E20" w:rsidRDefault="00502EDF" w:rsidP="00B606BA">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7EBA2D9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57,7</w:t>
            </w:r>
          </w:p>
        </w:tc>
        <w:tc>
          <w:tcPr>
            <w:tcW w:w="567" w:type="dxa"/>
            <w:tcBorders>
              <w:top w:val="nil"/>
              <w:left w:val="nil"/>
              <w:bottom w:val="nil"/>
              <w:right w:val="nil"/>
            </w:tcBorders>
            <w:shd w:val="clear" w:color="auto" w:fill="auto"/>
            <w:noWrap/>
            <w:vAlign w:val="center"/>
            <w:hideMark/>
          </w:tcPr>
          <w:p w14:paraId="4773E6B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60,2</w:t>
            </w:r>
          </w:p>
        </w:tc>
        <w:tc>
          <w:tcPr>
            <w:tcW w:w="567" w:type="dxa"/>
            <w:tcBorders>
              <w:top w:val="nil"/>
              <w:left w:val="nil"/>
              <w:bottom w:val="nil"/>
              <w:right w:val="nil"/>
            </w:tcBorders>
            <w:shd w:val="clear" w:color="auto" w:fill="auto"/>
            <w:noWrap/>
            <w:vAlign w:val="center"/>
            <w:hideMark/>
          </w:tcPr>
          <w:p w14:paraId="4467449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57,9</w:t>
            </w:r>
          </w:p>
        </w:tc>
        <w:tc>
          <w:tcPr>
            <w:tcW w:w="567" w:type="dxa"/>
            <w:tcBorders>
              <w:top w:val="nil"/>
              <w:left w:val="nil"/>
              <w:bottom w:val="nil"/>
              <w:right w:val="nil"/>
            </w:tcBorders>
            <w:shd w:val="clear" w:color="auto" w:fill="auto"/>
            <w:noWrap/>
            <w:vAlign w:val="center"/>
            <w:hideMark/>
          </w:tcPr>
          <w:p w14:paraId="48BE1DB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57,5</w:t>
            </w:r>
          </w:p>
        </w:tc>
        <w:tc>
          <w:tcPr>
            <w:tcW w:w="567" w:type="dxa"/>
            <w:tcBorders>
              <w:top w:val="nil"/>
              <w:left w:val="nil"/>
              <w:bottom w:val="nil"/>
              <w:right w:val="nil"/>
            </w:tcBorders>
            <w:shd w:val="clear" w:color="auto" w:fill="auto"/>
            <w:noWrap/>
            <w:vAlign w:val="center"/>
            <w:hideMark/>
          </w:tcPr>
          <w:p w14:paraId="40876B7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58,7</w:t>
            </w:r>
          </w:p>
        </w:tc>
        <w:tc>
          <w:tcPr>
            <w:tcW w:w="567" w:type="dxa"/>
            <w:tcBorders>
              <w:top w:val="nil"/>
              <w:left w:val="nil"/>
              <w:bottom w:val="nil"/>
              <w:right w:val="nil"/>
            </w:tcBorders>
            <w:shd w:val="clear" w:color="auto" w:fill="auto"/>
            <w:noWrap/>
            <w:vAlign w:val="center"/>
            <w:hideMark/>
          </w:tcPr>
          <w:p w14:paraId="2632C0F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55,0</w:t>
            </w:r>
          </w:p>
        </w:tc>
        <w:tc>
          <w:tcPr>
            <w:tcW w:w="567" w:type="dxa"/>
            <w:tcBorders>
              <w:top w:val="nil"/>
              <w:left w:val="nil"/>
              <w:bottom w:val="nil"/>
              <w:right w:val="nil"/>
            </w:tcBorders>
            <w:shd w:val="clear" w:color="auto" w:fill="auto"/>
            <w:noWrap/>
            <w:vAlign w:val="center"/>
            <w:hideMark/>
          </w:tcPr>
          <w:p w14:paraId="0420E26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54,5</w:t>
            </w:r>
          </w:p>
        </w:tc>
        <w:tc>
          <w:tcPr>
            <w:tcW w:w="567" w:type="dxa"/>
            <w:tcBorders>
              <w:top w:val="nil"/>
              <w:left w:val="nil"/>
              <w:bottom w:val="nil"/>
              <w:right w:val="nil"/>
            </w:tcBorders>
            <w:shd w:val="clear" w:color="auto" w:fill="auto"/>
            <w:noWrap/>
            <w:vAlign w:val="center"/>
            <w:hideMark/>
          </w:tcPr>
          <w:p w14:paraId="7C9A3EC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54,7</w:t>
            </w:r>
          </w:p>
        </w:tc>
        <w:tc>
          <w:tcPr>
            <w:tcW w:w="567" w:type="dxa"/>
            <w:tcBorders>
              <w:top w:val="nil"/>
              <w:left w:val="nil"/>
              <w:bottom w:val="nil"/>
              <w:right w:val="nil"/>
            </w:tcBorders>
            <w:shd w:val="clear" w:color="auto" w:fill="auto"/>
            <w:noWrap/>
            <w:vAlign w:val="center"/>
            <w:hideMark/>
          </w:tcPr>
          <w:p w14:paraId="4466CBA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53,8</w:t>
            </w:r>
          </w:p>
        </w:tc>
        <w:tc>
          <w:tcPr>
            <w:tcW w:w="567" w:type="dxa"/>
            <w:tcBorders>
              <w:top w:val="nil"/>
              <w:left w:val="nil"/>
              <w:bottom w:val="nil"/>
              <w:right w:val="nil"/>
            </w:tcBorders>
            <w:shd w:val="clear" w:color="auto" w:fill="auto"/>
            <w:noWrap/>
            <w:vAlign w:val="center"/>
            <w:hideMark/>
          </w:tcPr>
          <w:p w14:paraId="369EC50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03F9090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57,1</w:t>
            </w:r>
          </w:p>
        </w:tc>
      </w:tr>
      <w:tr w:rsidR="00502EDF" w:rsidRPr="00D92E20" w14:paraId="56FE709F"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1ACD59E0"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52FDA5D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27,9</w:t>
            </w:r>
          </w:p>
        </w:tc>
        <w:tc>
          <w:tcPr>
            <w:tcW w:w="567" w:type="dxa"/>
            <w:tcBorders>
              <w:top w:val="nil"/>
              <w:left w:val="nil"/>
              <w:bottom w:val="nil"/>
              <w:right w:val="nil"/>
            </w:tcBorders>
            <w:shd w:val="clear" w:color="auto" w:fill="auto"/>
            <w:noWrap/>
            <w:vAlign w:val="center"/>
            <w:hideMark/>
          </w:tcPr>
          <w:p w14:paraId="67CFFD2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26,9</w:t>
            </w:r>
          </w:p>
        </w:tc>
        <w:tc>
          <w:tcPr>
            <w:tcW w:w="567" w:type="dxa"/>
            <w:tcBorders>
              <w:top w:val="nil"/>
              <w:left w:val="nil"/>
              <w:bottom w:val="nil"/>
              <w:right w:val="nil"/>
            </w:tcBorders>
            <w:shd w:val="clear" w:color="auto" w:fill="auto"/>
            <w:noWrap/>
            <w:vAlign w:val="center"/>
            <w:hideMark/>
          </w:tcPr>
          <w:p w14:paraId="3130798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28,2</w:t>
            </w:r>
          </w:p>
        </w:tc>
        <w:tc>
          <w:tcPr>
            <w:tcW w:w="567" w:type="dxa"/>
            <w:tcBorders>
              <w:top w:val="nil"/>
              <w:left w:val="nil"/>
              <w:bottom w:val="nil"/>
              <w:right w:val="nil"/>
            </w:tcBorders>
            <w:shd w:val="clear" w:color="auto" w:fill="auto"/>
            <w:noWrap/>
            <w:vAlign w:val="center"/>
            <w:hideMark/>
          </w:tcPr>
          <w:p w14:paraId="2BB3AD4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25,7</w:t>
            </w:r>
          </w:p>
        </w:tc>
        <w:tc>
          <w:tcPr>
            <w:tcW w:w="567" w:type="dxa"/>
            <w:tcBorders>
              <w:top w:val="nil"/>
              <w:left w:val="nil"/>
              <w:bottom w:val="nil"/>
              <w:right w:val="nil"/>
            </w:tcBorders>
            <w:shd w:val="clear" w:color="auto" w:fill="auto"/>
            <w:noWrap/>
            <w:vAlign w:val="center"/>
            <w:hideMark/>
          </w:tcPr>
          <w:p w14:paraId="270C3AB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27,8</w:t>
            </w:r>
          </w:p>
        </w:tc>
        <w:tc>
          <w:tcPr>
            <w:tcW w:w="567" w:type="dxa"/>
            <w:tcBorders>
              <w:top w:val="nil"/>
              <w:left w:val="nil"/>
              <w:bottom w:val="nil"/>
              <w:right w:val="nil"/>
            </w:tcBorders>
            <w:shd w:val="clear" w:color="auto" w:fill="auto"/>
            <w:noWrap/>
            <w:vAlign w:val="center"/>
            <w:hideMark/>
          </w:tcPr>
          <w:p w14:paraId="1B354CD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27,5</w:t>
            </w:r>
          </w:p>
        </w:tc>
        <w:tc>
          <w:tcPr>
            <w:tcW w:w="567" w:type="dxa"/>
            <w:tcBorders>
              <w:top w:val="nil"/>
              <w:left w:val="nil"/>
              <w:bottom w:val="nil"/>
              <w:right w:val="nil"/>
            </w:tcBorders>
            <w:shd w:val="clear" w:color="auto" w:fill="auto"/>
            <w:noWrap/>
            <w:vAlign w:val="center"/>
            <w:hideMark/>
          </w:tcPr>
          <w:p w14:paraId="66D2473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26,0</w:t>
            </w:r>
          </w:p>
        </w:tc>
        <w:tc>
          <w:tcPr>
            <w:tcW w:w="567" w:type="dxa"/>
            <w:tcBorders>
              <w:top w:val="nil"/>
              <w:left w:val="nil"/>
              <w:bottom w:val="nil"/>
              <w:right w:val="nil"/>
            </w:tcBorders>
            <w:shd w:val="clear" w:color="auto" w:fill="auto"/>
            <w:noWrap/>
            <w:vAlign w:val="center"/>
            <w:hideMark/>
          </w:tcPr>
          <w:p w14:paraId="2C0425F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26,2</w:t>
            </w:r>
          </w:p>
        </w:tc>
        <w:tc>
          <w:tcPr>
            <w:tcW w:w="567" w:type="dxa"/>
            <w:tcBorders>
              <w:top w:val="nil"/>
              <w:left w:val="nil"/>
              <w:bottom w:val="nil"/>
              <w:right w:val="nil"/>
            </w:tcBorders>
            <w:shd w:val="clear" w:color="auto" w:fill="auto"/>
            <w:noWrap/>
            <w:vAlign w:val="center"/>
            <w:hideMark/>
          </w:tcPr>
          <w:p w14:paraId="3632162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26,4</w:t>
            </w:r>
          </w:p>
        </w:tc>
        <w:tc>
          <w:tcPr>
            <w:tcW w:w="567" w:type="dxa"/>
            <w:tcBorders>
              <w:top w:val="nil"/>
              <w:left w:val="nil"/>
              <w:bottom w:val="nil"/>
              <w:right w:val="nil"/>
            </w:tcBorders>
            <w:shd w:val="clear" w:color="auto" w:fill="auto"/>
            <w:noWrap/>
            <w:vAlign w:val="center"/>
            <w:hideMark/>
          </w:tcPr>
          <w:p w14:paraId="3A89B03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25,4</w:t>
            </w:r>
          </w:p>
        </w:tc>
        <w:tc>
          <w:tcPr>
            <w:tcW w:w="567" w:type="dxa"/>
            <w:tcBorders>
              <w:top w:val="nil"/>
              <w:left w:val="nil"/>
              <w:bottom w:val="nil"/>
              <w:right w:val="nil"/>
            </w:tcBorders>
            <w:shd w:val="clear" w:color="auto" w:fill="auto"/>
            <w:noWrap/>
            <w:vAlign w:val="center"/>
            <w:hideMark/>
          </w:tcPr>
          <w:p w14:paraId="4F38F43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26,3</w:t>
            </w:r>
          </w:p>
        </w:tc>
      </w:tr>
      <w:tr w:rsidR="00502EDF" w:rsidRPr="00D92E20" w14:paraId="21486459"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7A3360E5"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201928E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32,0</w:t>
            </w:r>
          </w:p>
        </w:tc>
        <w:tc>
          <w:tcPr>
            <w:tcW w:w="567" w:type="dxa"/>
            <w:tcBorders>
              <w:top w:val="nil"/>
              <w:left w:val="nil"/>
              <w:bottom w:val="nil"/>
              <w:right w:val="nil"/>
            </w:tcBorders>
            <w:shd w:val="clear" w:color="auto" w:fill="auto"/>
            <w:noWrap/>
            <w:vAlign w:val="center"/>
            <w:hideMark/>
          </w:tcPr>
          <w:p w14:paraId="0043F02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495FE84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33,9</w:t>
            </w:r>
          </w:p>
        </w:tc>
        <w:tc>
          <w:tcPr>
            <w:tcW w:w="567" w:type="dxa"/>
            <w:tcBorders>
              <w:top w:val="nil"/>
              <w:left w:val="nil"/>
              <w:bottom w:val="nil"/>
              <w:right w:val="nil"/>
            </w:tcBorders>
            <w:shd w:val="clear" w:color="auto" w:fill="auto"/>
            <w:noWrap/>
            <w:vAlign w:val="center"/>
            <w:hideMark/>
          </w:tcPr>
          <w:p w14:paraId="7F5E877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687EE33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34,3</w:t>
            </w:r>
          </w:p>
        </w:tc>
        <w:tc>
          <w:tcPr>
            <w:tcW w:w="567" w:type="dxa"/>
            <w:tcBorders>
              <w:top w:val="nil"/>
              <w:left w:val="nil"/>
              <w:bottom w:val="nil"/>
              <w:right w:val="nil"/>
            </w:tcBorders>
            <w:shd w:val="clear" w:color="auto" w:fill="auto"/>
            <w:noWrap/>
            <w:vAlign w:val="center"/>
            <w:hideMark/>
          </w:tcPr>
          <w:p w14:paraId="66E0E8F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33,1</w:t>
            </w:r>
          </w:p>
        </w:tc>
        <w:tc>
          <w:tcPr>
            <w:tcW w:w="567" w:type="dxa"/>
            <w:tcBorders>
              <w:top w:val="nil"/>
              <w:left w:val="nil"/>
              <w:bottom w:val="nil"/>
              <w:right w:val="nil"/>
            </w:tcBorders>
            <w:shd w:val="clear" w:color="auto" w:fill="auto"/>
            <w:noWrap/>
            <w:vAlign w:val="center"/>
            <w:hideMark/>
          </w:tcPr>
          <w:p w14:paraId="5D570A7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32,4</w:t>
            </w:r>
          </w:p>
        </w:tc>
        <w:tc>
          <w:tcPr>
            <w:tcW w:w="567" w:type="dxa"/>
            <w:tcBorders>
              <w:top w:val="nil"/>
              <w:left w:val="nil"/>
              <w:bottom w:val="nil"/>
              <w:right w:val="nil"/>
            </w:tcBorders>
            <w:shd w:val="clear" w:color="auto" w:fill="auto"/>
            <w:noWrap/>
            <w:vAlign w:val="center"/>
            <w:hideMark/>
          </w:tcPr>
          <w:p w14:paraId="6F39B89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33,8</w:t>
            </w:r>
          </w:p>
        </w:tc>
        <w:tc>
          <w:tcPr>
            <w:tcW w:w="567" w:type="dxa"/>
            <w:tcBorders>
              <w:top w:val="nil"/>
              <w:left w:val="nil"/>
              <w:bottom w:val="nil"/>
              <w:right w:val="nil"/>
            </w:tcBorders>
            <w:shd w:val="clear" w:color="auto" w:fill="auto"/>
            <w:noWrap/>
            <w:vAlign w:val="center"/>
            <w:hideMark/>
          </w:tcPr>
          <w:p w14:paraId="146C7E7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31,8</w:t>
            </w:r>
          </w:p>
        </w:tc>
        <w:tc>
          <w:tcPr>
            <w:tcW w:w="567" w:type="dxa"/>
            <w:tcBorders>
              <w:top w:val="nil"/>
              <w:left w:val="nil"/>
              <w:bottom w:val="nil"/>
              <w:right w:val="nil"/>
            </w:tcBorders>
            <w:shd w:val="clear" w:color="auto" w:fill="auto"/>
            <w:noWrap/>
            <w:vAlign w:val="center"/>
            <w:hideMark/>
          </w:tcPr>
          <w:p w14:paraId="213D22E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31,7</w:t>
            </w:r>
          </w:p>
        </w:tc>
        <w:tc>
          <w:tcPr>
            <w:tcW w:w="567" w:type="dxa"/>
            <w:tcBorders>
              <w:top w:val="nil"/>
              <w:left w:val="nil"/>
              <w:bottom w:val="nil"/>
              <w:right w:val="nil"/>
            </w:tcBorders>
            <w:shd w:val="clear" w:color="auto" w:fill="auto"/>
            <w:noWrap/>
            <w:vAlign w:val="center"/>
            <w:hideMark/>
          </w:tcPr>
          <w:p w14:paraId="4170D92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33,0</w:t>
            </w:r>
          </w:p>
        </w:tc>
      </w:tr>
      <w:tr w:rsidR="00502EDF" w:rsidRPr="00D92E20" w14:paraId="4E426178"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713E6B5E"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02A9E87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54,2</w:t>
            </w:r>
          </w:p>
        </w:tc>
        <w:tc>
          <w:tcPr>
            <w:tcW w:w="567" w:type="dxa"/>
            <w:tcBorders>
              <w:top w:val="nil"/>
              <w:left w:val="nil"/>
              <w:bottom w:val="nil"/>
              <w:right w:val="nil"/>
            </w:tcBorders>
            <w:shd w:val="clear" w:color="auto" w:fill="auto"/>
            <w:noWrap/>
            <w:vAlign w:val="center"/>
            <w:hideMark/>
          </w:tcPr>
          <w:p w14:paraId="4B47E5B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53,7</w:t>
            </w:r>
          </w:p>
        </w:tc>
        <w:tc>
          <w:tcPr>
            <w:tcW w:w="567" w:type="dxa"/>
            <w:tcBorders>
              <w:top w:val="nil"/>
              <w:left w:val="nil"/>
              <w:bottom w:val="nil"/>
              <w:right w:val="nil"/>
            </w:tcBorders>
            <w:shd w:val="clear" w:color="auto" w:fill="auto"/>
            <w:noWrap/>
            <w:vAlign w:val="center"/>
            <w:hideMark/>
          </w:tcPr>
          <w:p w14:paraId="20435D3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56,1</w:t>
            </w:r>
          </w:p>
        </w:tc>
        <w:tc>
          <w:tcPr>
            <w:tcW w:w="567" w:type="dxa"/>
            <w:tcBorders>
              <w:top w:val="nil"/>
              <w:left w:val="nil"/>
              <w:bottom w:val="nil"/>
              <w:right w:val="nil"/>
            </w:tcBorders>
            <w:shd w:val="clear" w:color="auto" w:fill="auto"/>
            <w:noWrap/>
            <w:vAlign w:val="center"/>
            <w:hideMark/>
          </w:tcPr>
          <w:p w14:paraId="535BF46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54,4</w:t>
            </w:r>
          </w:p>
        </w:tc>
        <w:tc>
          <w:tcPr>
            <w:tcW w:w="567" w:type="dxa"/>
            <w:tcBorders>
              <w:top w:val="nil"/>
              <w:left w:val="nil"/>
              <w:bottom w:val="nil"/>
              <w:right w:val="nil"/>
            </w:tcBorders>
            <w:shd w:val="clear" w:color="auto" w:fill="auto"/>
            <w:noWrap/>
            <w:vAlign w:val="center"/>
            <w:hideMark/>
          </w:tcPr>
          <w:p w14:paraId="09BAE83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56,3</w:t>
            </w:r>
          </w:p>
        </w:tc>
        <w:tc>
          <w:tcPr>
            <w:tcW w:w="567" w:type="dxa"/>
            <w:tcBorders>
              <w:top w:val="nil"/>
              <w:left w:val="nil"/>
              <w:bottom w:val="nil"/>
              <w:right w:val="nil"/>
            </w:tcBorders>
            <w:shd w:val="clear" w:color="auto" w:fill="auto"/>
            <w:noWrap/>
            <w:vAlign w:val="center"/>
            <w:hideMark/>
          </w:tcPr>
          <w:p w14:paraId="626B113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52,0</w:t>
            </w:r>
          </w:p>
        </w:tc>
        <w:tc>
          <w:tcPr>
            <w:tcW w:w="567" w:type="dxa"/>
            <w:tcBorders>
              <w:top w:val="nil"/>
              <w:left w:val="nil"/>
              <w:bottom w:val="nil"/>
              <w:right w:val="nil"/>
            </w:tcBorders>
            <w:shd w:val="clear" w:color="auto" w:fill="auto"/>
            <w:noWrap/>
            <w:vAlign w:val="center"/>
            <w:hideMark/>
          </w:tcPr>
          <w:p w14:paraId="408074A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52,5</w:t>
            </w:r>
          </w:p>
        </w:tc>
        <w:tc>
          <w:tcPr>
            <w:tcW w:w="567" w:type="dxa"/>
            <w:tcBorders>
              <w:top w:val="nil"/>
              <w:left w:val="nil"/>
              <w:bottom w:val="nil"/>
              <w:right w:val="nil"/>
            </w:tcBorders>
            <w:shd w:val="clear" w:color="auto" w:fill="auto"/>
            <w:noWrap/>
            <w:vAlign w:val="center"/>
            <w:hideMark/>
          </w:tcPr>
          <w:p w14:paraId="1B06EB7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53,6</w:t>
            </w:r>
          </w:p>
        </w:tc>
        <w:tc>
          <w:tcPr>
            <w:tcW w:w="567" w:type="dxa"/>
            <w:tcBorders>
              <w:top w:val="nil"/>
              <w:left w:val="nil"/>
              <w:bottom w:val="nil"/>
              <w:right w:val="nil"/>
            </w:tcBorders>
            <w:shd w:val="clear" w:color="auto" w:fill="auto"/>
            <w:noWrap/>
            <w:vAlign w:val="center"/>
            <w:hideMark/>
          </w:tcPr>
          <w:p w14:paraId="738385F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51,1</w:t>
            </w:r>
          </w:p>
        </w:tc>
        <w:tc>
          <w:tcPr>
            <w:tcW w:w="567" w:type="dxa"/>
            <w:tcBorders>
              <w:top w:val="nil"/>
              <w:left w:val="nil"/>
              <w:bottom w:val="nil"/>
              <w:right w:val="nil"/>
            </w:tcBorders>
            <w:shd w:val="clear" w:color="auto" w:fill="auto"/>
            <w:noWrap/>
            <w:vAlign w:val="center"/>
            <w:hideMark/>
          </w:tcPr>
          <w:p w14:paraId="17B8851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1CD5B9B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46,7</w:t>
            </w:r>
          </w:p>
        </w:tc>
      </w:tr>
      <w:tr w:rsidR="00502EDF" w:rsidRPr="00D92E20" w14:paraId="09158BED" w14:textId="77777777" w:rsidTr="00B606BA">
        <w:trPr>
          <w:trHeight w:val="300"/>
        </w:trPr>
        <w:tc>
          <w:tcPr>
            <w:tcW w:w="3402" w:type="dxa"/>
            <w:tcBorders>
              <w:top w:val="nil"/>
              <w:left w:val="nil"/>
              <w:bottom w:val="nil"/>
              <w:right w:val="single" w:sz="4" w:space="0" w:color="auto"/>
            </w:tcBorders>
            <w:shd w:val="clear" w:color="auto" w:fill="auto"/>
            <w:vAlign w:val="center"/>
            <w:hideMark/>
          </w:tcPr>
          <w:p w14:paraId="63A21714" w14:textId="3F0A9C60"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M – Profesní, vědecké a technické</w:t>
            </w:r>
            <w:r w:rsidR="00B606BA" w:rsidRPr="00D92E20">
              <w:rPr>
                <w:rFonts w:cs="Arial"/>
                <w:color w:val="000000"/>
                <w:sz w:val="16"/>
                <w:szCs w:val="16"/>
              </w:rPr>
              <w:t xml:space="preserve"> </w:t>
            </w:r>
            <w:r w:rsidRPr="00D92E20">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5C5C35F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44,8</w:t>
            </w:r>
          </w:p>
        </w:tc>
        <w:tc>
          <w:tcPr>
            <w:tcW w:w="567" w:type="dxa"/>
            <w:tcBorders>
              <w:top w:val="nil"/>
              <w:left w:val="nil"/>
              <w:bottom w:val="nil"/>
              <w:right w:val="nil"/>
            </w:tcBorders>
            <w:shd w:val="clear" w:color="auto" w:fill="auto"/>
            <w:noWrap/>
            <w:vAlign w:val="center"/>
            <w:hideMark/>
          </w:tcPr>
          <w:p w14:paraId="588F9E3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18B6BC5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43,1</w:t>
            </w:r>
          </w:p>
        </w:tc>
        <w:tc>
          <w:tcPr>
            <w:tcW w:w="567" w:type="dxa"/>
            <w:tcBorders>
              <w:top w:val="nil"/>
              <w:left w:val="nil"/>
              <w:bottom w:val="nil"/>
              <w:right w:val="nil"/>
            </w:tcBorders>
            <w:shd w:val="clear" w:color="auto" w:fill="auto"/>
            <w:noWrap/>
            <w:vAlign w:val="center"/>
            <w:hideMark/>
          </w:tcPr>
          <w:p w14:paraId="35642D3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38,9</w:t>
            </w:r>
          </w:p>
        </w:tc>
        <w:tc>
          <w:tcPr>
            <w:tcW w:w="567" w:type="dxa"/>
            <w:tcBorders>
              <w:top w:val="nil"/>
              <w:left w:val="nil"/>
              <w:bottom w:val="nil"/>
              <w:right w:val="nil"/>
            </w:tcBorders>
            <w:shd w:val="clear" w:color="auto" w:fill="auto"/>
            <w:noWrap/>
            <w:vAlign w:val="center"/>
            <w:hideMark/>
          </w:tcPr>
          <w:p w14:paraId="5F26BDF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40,9</w:t>
            </w:r>
          </w:p>
        </w:tc>
        <w:tc>
          <w:tcPr>
            <w:tcW w:w="567" w:type="dxa"/>
            <w:tcBorders>
              <w:top w:val="nil"/>
              <w:left w:val="nil"/>
              <w:bottom w:val="nil"/>
              <w:right w:val="nil"/>
            </w:tcBorders>
            <w:shd w:val="clear" w:color="auto" w:fill="auto"/>
            <w:noWrap/>
            <w:vAlign w:val="center"/>
            <w:hideMark/>
          </w:tcPr>
          <w:p w14:paraId="6C528EA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38,8</w:t>
            </w:r>
          </w:p>
        </w:tc>
        <w:tc>
          <w:tcPr>
            <w:tcW w:w="567" w:type="dxa"/>
            <w:tcBorders>
              <w:top w:val="nil"/>
              <w:left w:val="nil"/>
              <w:bottom w:val="nil"/>
              <w:right w:val="nil"/>
            </w:tcBorders>
            <w:shd w:val="clear" w:color="auto" w:fill="auto"/>
            <w:noWrap/>
            <w:vAlign w:val="center"/>
            <w:hideMark/>
          </w:tcPr>
          <w:p w14:paraId="3637D2B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38,7</w:t>
            </w:r>
          </w:p>
        </w:tc>
        <w:tc>
          <w:tcPr>
            <w:tcW w:w="567" w:type="dxa"/>
            <w:tcBorders>
              <w:top w:val="nil"/>
              <w:left w:val="nil"/>
              <w:bottom w:val="nil"/>
              <w:right w:val="nil"/>
            </w:tcBorders>
            <w:shd w:val="clear" w:color="auto" w:fill="auto"/>
            <w:noWrap/>
            <w:vAlign w:val="center"/>
            <w:hideMark/>
          </w:tcPr>
          <w:p w14:paraId="169CABD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1379821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39,6</w:t>
            </w:r>
          </w:p>
        </w:tc>
        <w:tc>
          <w:tcPr>
            <w:tcW w:w="567" w:type="dxa"/>
            <w:tcBorders>
              <w:top w:val="nil"/>
              <w:left w:val="nil"/>
              <w:bottom w:val="nil"/>
              <w:right w:val="nil"/>
            </w:tcBorders>
            <w:shd w:val="clear" w:color="auto" w:fill="auto"/>
            <w:noWrap/>
            <w:vAlign w:val="center"/>
            <w:hideMark/>
          </w:tcPr>
          <w:p w14:paraId="3780998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B8E9C7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36,9</w:t>
            </w:r>
          </w:p>
        </w:tc>
      </w:tr>
      <w:tr w:rsidR="00502EDF" w:rsidRPr="00D92E20" w14:paraId="4D8F2CAA" w14:textId="77777777" w:rsidTr="00B606BA">
        <w:trPr>
          <w:trHeight w:val="300"/>
        </w:trPr>
        <w:tc>
          <w:tcPr>
            <w:tcW w:w="3402" w:type="dxa"/>
            <w:tcBorders>
              <w:top w:val="nil"/>
              <w:left w:val="nil"/>
              <w:bottom w:val="nil"/>
              <w:right w:val="single" w:sz="4" w:space="0" w:color="auto"/>
            </w:tcBorders>
            <w:shd w:val="clear" w:color="auto" w:fill="auto"/>
            <w:vAlign w:val="center"/>
            <w:hideMark/>
          </w:tcPr>
          <w:p w14:paraId="1AA5BEE5" w14:textId="70D898D8"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w:t>
            </w:r>
            <w:r w:rsidR="00B606BA" w:rsidRPr="00D92E20">
              <w:rPr>
                <w:rFonts w:cs="Arial"/>
                <w:color w:val="000000"/>
                <w:sz w:val="16"/>
                <w:szCs w:val="16"/>
              </w:rPr>
              <w:t xml:space="preserve"> </w:t>
            </w:r>
            <w:r w:rsidRPr="00D92E20">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639908B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40,8</w:t>
            </w:r>
          </w:p>
        </w:tc>
        <w:tc>
          <w:tcPr>
            <w:tcW w:w="567" w:type="dxa"/>
            <w:tcBorders>
              <w:top w:val="nil"/>
              <w:left w:val="nil"/>
              <w:bottom w:val="nil"/>
              <w:right w:val="nil"/>
            </w:tcBorders>
            <w:shd w:val="clear" w:color="auto" w:fill="auto"/>
            <w:noWrap/>
            <w:vAlign w:val="center"/>
            <w:hideMark/>
          </w:tcPr>
          <w:p w14:paraId="00F0572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1F4C6AF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45,6</w:t>
            </w:r>
          </w:p>
        </w:tc>
        <w:tc>
          <w:tcPr>
            <w:tcW w:w="567" w:type="dxa"/>
            <w:tcBorders>
              <w:top w:val="nil"/>
              <w:left w:val="nil"/>
              <w:bottom w:val="nil"/>
              <w:right w:val="nil"/>
            </w:tcBorders>
            <w:shd w:val="clear" w:color="auto" w:fill="auto"/>
            <w:noWrap/>
            <w:vAlign w:val="center"/>
            <w:hideMark/>
          </w:tcPr>
          <w:p w14:paraId="51B0E3A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41,7</w:t>
            </w:r>
          </w:p>
        </w:tc>
        <w:tc>
          <w:tcPr>
            <w:tcW w:w="567" w:type="dxa"/>
            <w:tcBorders>
              <w:top w:val="nil"/>
              <w:left w:val="nil"/>
              <w:bottom w:val="nil"/>
              <w:right w:val="nil"/>
            </w:tcBorders>
            <w:shd w:val="clear" w:color="auto" w:fill="auto"/>
            <w:noWrap/>
            <w:vAlign w:val="center"/>
            <w:hideMark/>
          </w:tcPr>
          <w:p w14:paraId="0A1AFD3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4870D9E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38,5</w:t>
            </w:r>
          </w:p>
        </w:tc>
        <w:tc>
          <w:tcPr>
            <w:tcW w:w="567" w:type="dxa"/>
            <w:tcBorders>
              <w:top w:val="nil"/>
              <w:left w:val="nil"/>
              <w:bottom w:val="nil"/>
              <w:right w:val="nil"/>
            </w:tcBorders>
            <w:shd w:val="clear" w:color="auto" w:fill="auto"/>
            <w:noWrap/>
            <w:vAlign w:val="center"/>
            <w:hideMark/>
          </w:tcPr>
          <w:p w14:paraId="2C656D1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38,2</w:t>
            </w:r>
          </w:p>
        </w:tc>
        <w:tc>
          <w:tcPr>
            <w:tcW w:w="567" w:type="dxa"/>
            <w:tcBorders>
              <w:top w:val="nil"/>
              <w:left w:val="nil"/>
              <w:bottom w:val="nil"/>
              <w:right w:val="nil"/>
            </w:tcBorders>
            <w:shd w:val="clear" w:color="auto" w:fill="auto"/>
            <w:noWrap/>
            <w:vAlign w:val="center"/>
            <w:hideMark/>
          </w:tcPr>
          <w:p w14:paraId="4A168E8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39,2</w:t>
            </w:r>
          </w:p>
        </w:tc>
        <w:tc>
          <w:tcPr>
            <w:tcW w:w="567" w:type="dxa"/>
            <w:tcBorders>
              <w:top w:val="nil"/>
              <w:left w:val="nil"/>
              <w:bottom w:val="nil"/>
              <w:right w:val="nil"/>
            </w:tcBorders>
            <w:shd w:val="clear" w:color="auto" w:fill="auto"/>
            <w:noWrap/>
            <w:vAlign w:val="center"/>
            <w:hideMark/>
          </w:tcPr>
          <w:p w14:paraId="5E65B67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40,5</w:t>
            </w:r>
          </w:p>
        </w:tc>
        <w:tc>
          <w:tcPr>
            <w:tcW w:w="567" w:type="dxa"/>
            <w:tcBorders>
              <w:top w:val="nil"/>
              <w:left w:val="nil"/>
              <w:bottom w:val="nil"/>
              <w:right w:val="nil"/>
            </w:tcBorders>
            <w:shd w:val="clear" w:color="auto" w:fill="auto"/>
            <w:noWrap/>
            <w:vAlign w:val="center"/>
            <w:hideMark/>
          </w:tcPr>
          <w:p w14:paraId="7F15D7A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03FE4AF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43,6</w:t>
            </w:r>
          </w:p>
        </w:tc>
      </w:tr>
      <w:tr w:rsidR="00502EDF" w:rsidRPr="00D92E20" w14:paraId="043B403E" w14:textId="77777777" w:rsidTr="00502EDF">
        <w:trPr>
          <w:trHeight w:val="480"/>
        </w:trPr>
        <w:tc>
          <w:tcPr>
            <w:tcW w:w="3402" w:type="dxa"/>
            <w:tcBorders>
              <w:top w:val="nil"/>
              <w:left w:val="nil"/>
              <w:bottom w:val="nil"/>
              <w:right w:val="single" w:sz="4" w:space="0" w:color="auto"/>
            </w:tcBorders>
            <w:shd w:val="clear" w:color="auto" w:fill="auto"/>
            <w:vAlign w:val="center"/>
            <w:hideMark/>
          </w:tcPr>
          <w:p w14:paraId="08B1596B"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povinné sociální zabezpečení</w:t>
            </w:r>
          </w:p>
        </w:tc>
        <w:tc>
          <w:tcPr>
            <w:tcW w:w="567" w:type="dxa"/>
            <w:tcBorders>
              <w:top w:val="nil"/>
              <w:left w:val="nil"/>
              <w:bottom w:val="nil"/>
              <w:right w:val="nil"/>
            </w:tcBorders>
            <w:shd w:val="clear" w:color="auto" w:fill="auto"/>
            <w:noWrap/>
            <w:vAlign w:val="center"/>
            <w:hideMark/>
          </w:tcPr>
          <w:p w14:paraId="16C0015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5EFF30A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37,9</w:t>
            </w:r>
          </w:p>
        </w:tc>
        <w:tc>
          <w:tcPr>
            <w:tcW w:w="567" w:type="dxa"/>
            <w:tcBorders>
              <w:top w:val="nil"/>
              <w:left w:val="nil"/>
              <w:bottom w:val="nil"/>
              <w:right w:val="nil"/>
            </w:tcBorders>
            <w:shd w:val="clear" w:color="auto" w:fill="auto"/>
            <w:noWrap/>
            <w:vAlign w:val="center"/>
            <w:hideMark/>
          </w:tcPr>
          <w:p w14:paraId="7EFB5C2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39,7</w:t>
            </w:r>
          </w:p>
        </w:tc>
        <w:tc>
          <w:tcPr>
            <w:tcW w:w="567" w:type="dxa"/>
            <w:tcBorders>
              <w:top w:val="nil"/>
              <w:left w:val="nil"/>
              <w:bottom w:val="nil"/>
              <w:right w:val="nil"/>
            </w:tcBorders>
            <w:shd w:val="clear" w:color="auto" w:fill="auto"/>
            <w:noWrap/>
            <w:vAlign w:val="center"/>
            <w:hideMark/>
          </w:tcPr>
          <w:p w14:paraId="0C0B0EF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34,8</w:t>
            </w:r>
          </w:p>
        </w:tc>
        <w:tc>
          <w:tcPr>
            <w:tcW w:w="567" w:type="dxa"/>
            <w:tcBorders>
              <w:top w:val="nil"/>
              <w:left w:val="nil"/>
              <w:bottom w:val="nil"/>
              <w:right w:val="nil"/>
            </w:tcBorders>
            <w:shd w:val="clear" w:color="auto" w:fill="auto"/>
            <w:noWrap/>
            <w:vAlign w:val="center"/>
            <w:hideMark/>
          </w:tcPr>
          <w:p w14:paraId="1F493E8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38,0</w:t>
            </w:r>
          </w:p>
        </w:tc>
        <w:tc>
          <w:tcPr>
            <w:tcW w:w="567" w:type="dxa"/>
            <w:tcBorders>
              <w:top w:val="nil"/>
              <w:left w:val="nil"/>
              <w:bottom w:val="nil"/>
              <w:right w:val="nil"/>
            </w:tcBorders>
            <w:shd w:val="clear" w:color="auto" w:fill="auto"/>
            <w:noWrap/>
            <w:vAlign w:val="center"/>
            <w:hideMark/>
          </w:tcPr>
          <w:p w14:paraId="57F1322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35,9</w:t>
            </w:r>
          </w:p>
        </w:tc>
        <w:tc>
          <w:tcPr>
            <w:tcW w:w="567" w:type="dxa"/>
            <w:tcBorders>
              <w:top w:val="nil"/>
              <w:left w:val="nil"/>
              <w:bottom w:val="nil"/>
              <w:right w:val="nil"/>
            </w:tcBorders>
            <w:shd w:val="clear" w:color="auto" w:fill="auto"/>
            <w:noWrap/>
            <w:vAlign w:val="center"/>
            <w:hideMark/>
          </w:tcPr>
          <w:p w14:paraId="5B1E3CA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37,2</w:t>
            </w:r>
          </w:p>
        </w:tc>
        <w:tc>
          <w:tcPr>
            <w:tcW w:w="567" w:type="dxa"/>
            <w:tcBorders>
              <w:top w:val="nil"/>
              <w:left w:val="nil"/>
              <w:bottom w:val="nil"/>
              <w:right w:val="nil"/>
            </w:tcBorders>
            <w:shd w:val="clear" w:color="auto" w:fill="auto"/>
            <w:noWrap/>
            <w:vAlign w:val="center"/>
            <w:hideMark/>
          </w:tcPr>
          <w:p w14:paraId="320A239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36,2</w:t>
            </w:r>
          </w:p>
        </w:tc>
        <w:tc>
          <w:tcPr>
            <w:tcW w:w="567" w:type="dxa"/>
            <w:tcBorders>
              <w:top w:val="nil"/>
              <w:left w:val="nil"/>
              <w:bottom w:val="nil"/>
              <w:right w:val="nil"/>
            </w:tcBorders>
            <w:shd w:val="clear" w:color="auto" w:fill="auto"/>
            <w:noWrap/>
            <w:vAlign w:val="center"/>
            <w:hideMark/>
          </w:tcPr>
          <w:p w14:paraId="4A035B6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34,9</w:t>
            </w:r>
          </w:p>
        </w:tc>
        <w:tc>
          <w:tcPr>
            <w:tcW w:w="567" w:type="dxa"/>
            <w:tcBorders>
              <w:top w:val="nil"/>
              <w:left w:val="nil"/>
              <w:bottom w:val="nil"/>
              <w:right w:val="nil"/>
            </w:tcBorders>
            <w:shd w:val="clear" w:color="auto" w:fill="auto"/>
            <w:noWrap/>
            <w:vAlign w:val="center"/>
            <w:hideMark/>
          </w:tcPr>
          <w:p w14:paraId="7DD63D3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35,1</w:t>
            </w:r>
          </w:p>
        </w:tc>
        <w:tc>
          <w:tcPr>
            <w:tcW w:w="567" w:type="dxa"/>
            <w:tcBorders>
              <w:top w:val="nil"/>
              <w:left w:val="nil"/>
              <w:bottom w:val="nil"/>
              <w:right w:val="nil"/>
            </w:tcBorders>
            <w:shd w:val="clear" w:color="auto" w:fill="auto"/>
            <w:noWrap/>
            <w:vAlign w:val="center"/>
            <w:hideMark/>
          </w:tcPr>
          <w:p w14:paraId="1EF6FC5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31,5</w:t>
            </w:r>
          </w:p>
        </w:tc>
      </w:tr>
      <w:tr w:rsidR="00502EDF" w:rsidRPr="00D92E20" w14:paraId="40DFD105"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701C4B8F"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088BA04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6F90192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32,5</w:t>
            </w:r>
          </w:p>
        </w:tc>
        <w:tc>
          <w:tcPr>
            <w:tcW w:w="567" w:type="dxa"/>
            <w:tcBorders>
              <w:top w:val="nil"/>
              <w:left w:val="nil"/>
              <w:bottom w:val="nil"/>
              <w:right w:val="nil"/>
            </w:tcBorders>
            <w:shd w:val="clear" w:color="auto" w:fill="auto"/>
            <w:noWrap/>
            <w:vAlign w:val="center"/>
            <w:hideMark/>
          </w:tcPr>
          <w:p w14:paraId="0622062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36,7</w:t>
            </w:r>
          </w:p>
        </w:tc>
        <w:tc>
          <w:tcPr>
            <w:tcW w:w="567" w:type="dxa"/>
            <w:tcBorders>
              <w:top w:val="nil"/>
              <w:left w:val="nil"/>
              <w:bottom w:val="nil"/>
              <w:right w:val="nil"/>
            </w:tcBorders>
            <w:shd w:val="clear" w:color="auto" w:fill="auto"/>
            <w:noWrap/>
            <w:vAlign w:val="center"/>
            <w:hideMark/>
          </w:tcPr>
          <w:p w14:paraId="62539C8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33,6</w:t>
            </w:r>
          </w:p>
        </w:tc>
        <w:tc>
          <w:tcPr>
            <w:tcW w:w="567" w:type="dxa"/>
            <w:tcBorders>
              <w:top w:val="nil"/>
              <w:left w:val="nil"/>
              <w:bottom w:val="nil"/>
              <w:right w:val="nil"/>
            </w:tcBorders>
            <w:shd w:val="clear" w:color="auto" w:fill="auto"/>
            <w:noWrap/>
            <w:vAlign w:val="center"/>
            <w:hideMark/>
          </w:tcPr>
          <w:p w14:paraId="3CA8B90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35,6</w:t>
            </w:r>
          </w:p>
        </w:tc>
        <w:tc>
          <w:tcPr>
            <w:tcW w:w="567" w:type="dxa"/>
            <w:tcBorders>
              <w:top w:val="nil"/>
              <w:left w:val="nil"/>
              <w:bottom w:val="nil"/>
              <w:right w:val="nil"/>
            </w:tcBorders>
            <w:shd w:val="clear" w:color="auto" w:fill="auto"/>
            <w:noWrap/>
            <w:vAlign w:val="center"/>
            <w:hideMark/>
          </w:tcPr>
          <w:p w14:paraId="2FCE9D5B"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32,6</w:t>
            </w:r>
          </w:p>
        </w:tc>
        <w:tc>
          <w:tcPr>
            <w:tcW w:w="567" w:type="dxa"/>
            <w:tcBorders>
              <w:top w:val="nil"/>
              <w:left w:val="nil"/>
              <w:bottom w:val="nil"/>
              <w:right w:val="nil"/>
            </w:tcBorders>
            <w:shd w:val="clear" w:color="auto" w:fill="auto"/>
            <w:noWrap/>
            <w:vAlign w:val="center"/>
            <w:hideMark/>
          </w:tcPr>
          <w:p w14:paraId="247769C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33,3</w:t>
            </w:r>
          </w:p>
        </w:tc>
        <w:tc>
          <w:tcPr>
            <w:tcW w:w="567" w:type="dxa"/>
            <w:tcBorders>
              <w:top w:val="nil"/>
              <w:left w:val="nil"/>
              <w:bottom w:val="nil"/>
              <w:right w:val="nil"/>
            </w:tcBorders>
            <w:shd w:val="clear" w:color="auto" w:fill="auto"/>
            <w:noWrap/>
            <w:vAlign w:val="center"/>
            <w:hideMark/>
          </w:tcPr>
          <w:p w14:paraId="1422AAB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32,2</w:t>
            </w:r>
          </w:p>
        </w:tc>
        <w:tc>
          <w:tcPr>
            <w:tcW w:w="567" w:type="dxa"/>
            <w:tcBorders>
              <w:top w:val="nil"/>
              <w:left w:val="nil"/>
              <w:bottom w:val="nil"/>
              <w:right w:val="nil"/>
            </w:tcBorders>
            <w:shd w:val="clear" w:color="auto" w:fill="auto"/>
            <w:noWrap/>
            <w:vAlign w:val="center"/>
            <w:hideMark/>
          </w:tcPr>
          <w:p w14:paraId="10FC5F7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30,5</w:t>
            </w:r>
          </w:p>
        </w:tc>
        <w:tc>
          <w:tcPr>
            <w:tcW w:w="567" w:type="dxa"/>
            <w:tcBorders>
              <w:top w:val="nil"/>
              <w:left w:val="nil"/>
              <w:bottom w:val="nil"/>
              <w:right w:val="nil"/>
            </w:tcBorders>
            <w:shd w:val="clear" w:color="auto" w:fill="auto"/>
            <w:noWrap/>
            <w:vAlign w:val="center"/>
            <w:hideMark/>
          </w:tcPr>
          <w:p w14:paraId="3CE70D0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31,2</w:t>
            </w:r>
          </w:p>
        </w:tc>
        <w:tc>
          <w:tcPr>
            <w:tcW w:w="567" w:type="dxa"/>
            <w:tcBorders>
              <w:top w:val="nil"/>
              <w:left w:val="nil"/>
              <w:bottom w:val="nil"/>
              <w:right w:val="nil"/>
            </w:tcBorders>
            <w:shd w:val="clear" w:color="auto" w:fill="auto"/>
            <w:noWrap/>
            <w:vAlign w:val="center"/>
            <w:hideMark/>
          </w:tcPr>
          <w:p w14:paraId="06ECAE1A"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27,9</w:t>
            </w:r>
          </w:p>
        </w:tc>
      </w:tr>
      <w:tr w:rsidR="00502EDF" w:rsidRPr="00D92E20" w14:paraId="4E6588C6"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656281C8"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0F19D51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47,7</w:t>
            </w:r>
          </w:p>
        </w:tc>
        <w:tc>
          <w:tcPr>
            <w:tcW w:w="567" w:type="dxa"/>
            <w:tcBorders>
              <w:top w:val="nil"/>
              <w:left w:val="nil"/>
              <w:bottom w:val="nil"/>
              <w:right w:val="nil"/>
            </w:tcBorders>
            <w:shd w:val="clear" w:color="auto" w:fill="auto"/>
            <w:noWrap/>
            <w:vAlign w:val="center"/>
            <w:hideMark/>
          </w:tcPr>
          <w:p w14:paraId="6D116BE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47,8</w:t>
            </w:r>
          </w:p>
        </w:tc>
        <w:tc>
          <w:tcPr>
            <w:tcW w:w="567" w:type="dxa"/>
            <w:tcBorders>
              <w:top w:val="nil"/>
              <w:left w:val="nil"/>
              <w:bottom w:val="nil"/>
              <w:right w:val="nil"/>
            </w:tcBorders>
            <w:shd w:val="clear" w:color="auto" w:fill="auto"/>
            <w:noWrap/>
            <w:vAlign w:val="center"/>
            <w:hideMark/>
          </w:tcPr>
          <w:p w14:paraId="5064BFB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52,6</w:t>
            </w:r>
          </w:p>
        </w:tc>
        <w:tc>
          <w:tcPr>
            <w:tcW w:w="567" w:type="dxa"/>
            <w:tcBorders>
              <w:top w:val="nil"/>
              <w:left w:val="nil"/>
              <w:bottom w:val="nil"/>
              <w:right w:val="nil"/>
            </w:tcBorders>
            <w:shd w:val="clear" w:color="auto" w:fill="auto"/>
            <w:noWrap/>
            <w:vAlign w:val="center"/>
            <w:hideMark/>
          </w:tcPr>
          <w:p w14:paraId="441B26F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60B1E17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51,7</w:t>
            </w:r>
          </w:p>
        </w:tc>
        <w:tc>
          <w:tcPr>
            <w:tcW w:w="567" w:type="dxa"/>
            <w:tcBorders>
              <w:top w:val="nil"/>
              <w:left w:val="nil"/>
              <w:bottom w:val="nil"/>
              <w:right w:val="nil"/>
            </w:tcBorders>
            <w:shd w:val="clear" w:color="auto" w:fill="auto"/>
            <w:noWrap/>
            <w:vAlign w:val="center"/>
            <w:hideMark/>
          </w:tcPr>
          <w:p w14:paraId="23244E8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42E47963"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48,8</w:t>
            </w:r>
          </w:p>
        </w:tc>
        <w:tc>
          <w:tcPr>
            <w:tcW w:w="567" w:type="dxa"/>
            <w:tcBorders>
              <w:top w:val="nil"/>
              <w:left w:val="nil"/>
              <w:bottom w:val="nil"/>
              <w:right w:val="nil"/>
            </w:tcBorders>
            <w:shd w:val="clear" w:color="auto" w:fill="auto"/>
            <w:noWrap/>
            <w:vAlign w:val="center"/>
            <w:hideMark/>
          </w:tcPr>
          <w:p w14:paraId="5211B29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48,0</w:t>
            </w:r>
          </w:p>
        </w:tc>
        <w:tc>
          <w:tcPr>
            <w:tcW w:w="567" w:type="dxa"/>
            <w:tcBorders>
              <w:top w:val="nil"/>
              <w:left w:val="nil"/>
              <w:bottom w:val="nil"/>
              <w:right w:val="nil"/>
            </w:tcBorders>
            <w:shd w:val="clear" w:color="auto" w:fill="auto"/>
            <w:noWrap/>
            <w:vAlign w:val="center"/>
            <w:hideMark/>
          </w:tcPr>
          <w:p w14:paraId="0BFD2CB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46,0</w:t>
            </w:r>
          </w:p>
        </w:tc>
        <w:tc>
          <w:tcPr>
            <w:tcW w:w="567" w:type="dxa"/>
            <w:tcBorders>
              <w:top w:val="nil"/>
              <w:left w:val="nil"/>
              <w:bottom w:val="nil"/>
              <w:right w:val="nil"/>
            </w:tcBorders>
            <w:shd w:val="clear" w:color="auto" w:fill="auto"/>
            <w:noWrap/>
            <w:vAlign w:val="center"/>
            <w:hideMark/>
          </w:tcPr>
          <w:p w14:paraId="0AA9248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15EA08EF"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36,0</w:t>
            </w:r>
          </w:p>
        </w:tc>
      </w:tr>
      <w:tr w:rsidR="00502EDF" w:rsidRPr="00D92E20" w14:paraId="44C2F5AC" w14:textId="77777777" w:rsidTr="00B606BA">
        <w:trPr>
          <w:trHeight w:val="300"/>
        </w:trPr>
        <w:tc>
          <w:tcPr>
            <w:tcW w:w="3402" w:type="dxa"/>
            <w:tcBorders>
              <w:top w:val="nil"/>
              <w:left w:val="nil"/>
              <w:bottom w:val="nil"/>
              <w:right w:val="single" w:sz="4" w:space="0" w:color="auto"/>
            </w:tcBorders>
            <w:shd w:val="clear" w:color="auto" w:fill="auto"/>
            <w:vAlign w:val="center"/>
            <w:hideMark/>
          </w:tcPr>
          <w:p w14:paraId="283CE681" w14:textId="5F52808A"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w:t>
            </w:r>
            <w:r w:rsidR="00B606BA" w:rsidRPr="00D92E20">
              <w:rPr>
                <w:rFonts w:cs="Arial"/>
                <w:color w:val="000000"/>
                <w:sz w:val="16"/>
                <w:szCs w:val="16"/>
              </w:rPr>
              <w:t xml:space="preserve"> </w:t>
            </w:r>
            <w:r w:rsidRPr="00D92E20">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43639CC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41,8</w:t>
            </w:r>
          </w:p>
        </w:tc>
        <w:tc>
          <w:tcPr>
            <w:tcW w:w="567" w:type="dxa"/>
            <w:tcBorders>
              <w:top w:val="nil"/>
              <w:left w:val="nil"/>
              <w:bottom w:val="nil"/>
              <w:right w:val="nil"/>
            </w:tcBorders>
            <w:shd w:val="clear" w:color="auto" w:fill="auto"/>
            <w:noWrap/>
            <w:vAlign w:val="center"/>
            <w:hideMark/>
          </w:tcPr>
          <w:p w14:paraId="5F828E27"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42,9</w:t>
            </w:r>
          </w:p>
        </w:tc>
        <w:tc>
          <w:tcPr>
            <w:tcW w:w="567" w:type="dxa"/>
            <w:tcBorders>
              <w:top w:val="nil"/>
              <w:left w:val="nil"/>
              <w:bottom w:val="nil"/>
              <w:right w:val="nil"/>
            </w:tcBorders>
            <w:shd w:val="clear" w:color="auto" w:fill="auto"/>
            <w:noWrap/>
            <w:vAlign w:val="center"/>
            <w:hideMark/>
          </w:tcPr>
          <w:p w14:paraId="2E9464C8"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45,9</w:t>
            </w:r>
          </w:p>
        </w:tc>
        <w:tc>
          <w:tcPr>
            <w:tcW w:w="567" w:type="dxa"/>
            <w:tcBorders>
              <w:top w:val="nil"/>
              <w:left w:val="nil"/>
              <w:bottom w:val="nil"/>
              <w:right w:val="nil"/>
            </w:tcBorders>
            <w:shd w:val="clear" w:color="auto" w:fill="auto"/>
            <w:noWrap/>
            <w:vAlign w:val="center"/>
            <w:hideMark/>
          </w:tcPr>
          <w:p w14:paraId="0DEB14B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42,7</w:t>
            </w:r>
          </w:p>
        </w:tc>
        <w:tc>
          <w:tcPr>
            <w:tcW w:w="567" w:type="dxa"/>
            <w:tcBorders>
              <w:top w:val="nil"/>
              <w:left w:val="nil"/>
              <w:bottom w:val="nil"/>
              <w:right w:val="nil"/>
            </w:tcBorders>
            <w:shd w:val="clear" w:color="auto" w:fill="auto"/>
            <w:noWrap/>
            <w:vAlign w:val="center"/>
            <w:hideMark/>
          </w:tcPr>
          <w:p w14:paraId="0E87667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44,2</w:t>
            </w:r>
          </w:p>
        </w:tc>
        <w:tc>
          <w:tcPr>
            <w:tcW w:w="567" w:type="dxa"/>
            <w:tcBorders>
              <w:top w:val="nil"/>
              <w:left w:val="nil"/>
              <w:bottom w:val="nil"/>
              <w:right w:val="nil"/>
            </w:tcBorders>
            <w:shd w:val="clear" w:color="auto" w:fill="auto"/>
            <w:noWrap/>
            <w:vAlign w:val="center"/>
            <w:hideMark/>
          </w:tcPr>
          <w:p w14:paraId="7B72818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41,3</w:t>
            </w:r>
          </w:p>
        </w:tc>
        <w:tc>
          <w:tcPr>
            <w:tcW w:w="567" w:type="dxa"/>
            <w:tcBorders>
              <w:top w:val="nil"/>
              <w:left w:val="nil"/>
              <w:bottom w:val="nil"/>
              <w:right w:val="nil"/>
            </w:tcBorders>
            <w:shd w:val="clear" w:color="auto" w:fill="auto"/>
            <w:noWrap/>
            <w:vAlign w:val="center"/>
            <w:hideMark/>
          </w:tcPr>
          <w:p w14:paraId="72DEF40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41,9</w:t>
            </w:r>
          </w:p>
        </w:tc>
        <w:tc>
          <w:tcPr>
            <w:tcW w:w="567" w:type="dxa"/>
            <w:tcBorders>
              <w:top w:val="nil"/>
              <w:left w:val="nil"/>
              <w:bottom w:val="nil"/>
              <w:right w:val="nil"/>
            </w:tcBorders>
            <w:shd w:val="clear" w:color="auto" w:fill="auto"/>
            <w:noWrap/>
            <w:vAlign w:val="center"/>
            <w:hideMark/>
          </w:tcPr>
          <w:p w14:paraId="6E44730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42,8</w:t>
            </w:r>
          </w:p>
        </w:tc>
        <w:tc>
          <w:tcPr>
            <w:tcW w:w="567" w:type="dxa"/>
            <w:tcBorders>
              <w:top w:val="nil"/>
              <w:left w:val="nil"/>
              <w:bottom w:val="nil"/>
              <w:right w:val="nil"/>
            </w:tcBorders>
            <w:shd w:val="clear" w:color="auto" w:fill="auto"/>
            <w:noWrap/>
            <w:vAlign w:val="center"/>
            <w:hideMark/>
          </w:tcPr>
          <w:p w14:paraId="52FCCBB2"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41,1</w:t>
            </w:r>
          </w:p>
        </w:tc>
        <w:tc>
          <w:tcPr>
            <w:tcW w:w="567" w:type="dxa"/>
            <w:tcBorders>
              <w:top w:val="nil"/>
              <w:left w:val="nil"/>
              <w:bottom w:val="nil"/>
              <w:right w:val="nil"/>
            </w:tcBorders>
            <w:shd w:val="clear" w:color="auto" w:fill="auto"/>
            <w:noWrap/>
            <w:vAlign w:val="center"/>
            <w:hideMark/>
          </w:tcPr>
          <w:p w14:paraId="471F5FE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40,3</w:t>
            </w:r>
          </w:p>
        </w:tc>
        <w:tc>
          <w:tcPr>
            <w:tcW w:w="567" w:type="dxa"/>
            <w:tcBorders>
              <w:top w:val="nil"/>
              <w:left w:val="nil"/>
              <w:bottom w:val="nil"/>
              <w:right w:val="nil"/>
            </w:tcBorders>
            <w:shd w:val="clear" w:color="auto" w:fill="auto"/>
            <w:noWrap/>
            <w:vAlign w:val="center"/>
            <w:hideMark/>
          </w:tcPr>
          <w:p w14:paraId="19AE0A0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39,5</w:t>
            </w:r>
          </w:p>
        </w:tc>
      </w:tr>
      <w:tr w:rsidR="00502EDF" w:rsidRPr="00D92E20" w14:paraId="5BE77F2E" w14:textId="77777777" w:rsidTr="00502EDF">
        <w:trPr>
          <w:trHeight w:val="300"/>
        </w:trPr>
        <w:tc>
          <w:tcPr>
            <w:tcW w:w="3402" w:type="dxa"/>
            <w:tcBorders>
              <w:top w:val="nil"/>
              <w:left w:val="nil"/>
              <w:bottom w:val="nil"/>
              <w:right w:val="single" w:sz="4" w:space="0" w:color="auto"/>
            </w:tcBorders>
            <w:shd w:val="clear" w:color="auto" w:fill="auto"/>
            <w:vAlign w:val="center"/>
            <w:hideMark/>
          </w:tcPr>
          <w:p w14:paraId="0657A67F" w14:textId="77777777" w:rsidR="00502EDF" w:rsidRPr="00D92E20" w:rsidRDefault="00502EDF" w:rsidP="00502EDF">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6B9B15E6"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50,8</w:t>
            </w:r>
          </w:p>
        </w:tc>
        <w:tc>
          <w:tcPr>
            <w:tcW w:w="567" w:type="dxa"/>
            <w:tcBorders>
              <w:top w:val="nil"/>
              <w:left w:val="nil"/>
              <w:bottom w:val="nil"/>
              <w:right w:val="nil"/>
            </w:tcBorders>
            <w:shd w:val="clear" w:color="auto" w:fill="auto"/>
            <w:noWrap/>
            <w:vAlign w:val="center"/>
            <w:hideMark/>
          </w:tcPr>
          <w:p w14:paraId="37A40880"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53,0</w:t>
            </w:r>
          </w:p>
        </w:tc>
        <w:tc>
          <w:tcPr>
            <w:tcW w:w="567" w:type="dxa"/>
            <w:tcBorders>
              <w:top w:val="nil"/>
              <w:left w:val="nil"/>
              <w:bottom w:val="nil"/>
              <w:right w:val="nil"/>
            </w:tcBorders>
            <w:shd w:val="clear" w:color="auto" w:fill="auto"/>
            <w:noWrap/>
            <w:vAlign w:val="center"/>
            <w:hideMark/>
          </w:tcPr>
          <w:p w14:paraId="2AE6D85D"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50,2</w:t>
            </w:r>
          </w:p>
        </w:tc>
        <w:tc>
          <w:tcPr>
            <w:tcW w:w="567" w:type="dxa"/>
            <w:tcBorders>
              <w:top w:val="nil"/>
              <w:left w:val="nil"/>
              <w:bottom w:val="nil"/>
              <w:right w:val="nil"/>
            </w:tcBorders>
            <w:shd w:val="clear" w:color="auto" w:fill="auto"/>
            <w:noWrap/>
            <w:vAlign w:val="center"/>
            <w:hideMark/>
          </w:tcPr>
          <w:p w14:paraId="750734A9"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48,3</w:t>
            </w:r>
          </w:p>
        </w:tc>
        <w:tc>
          <w:tcPr>
            <w:tcW w:w="567" w:type="dxa"/>
            <w:tcBorders>
              <w:top w:val="nil"/>
              <w:left w:val="nil"/>
              <w:bottom w:val="nil"/>
              <w:right w:val="nil"/>
            </w:tcBorders>
            <w:shd w:val="clear" w:color="auto" w:fill="auto"/>
            <w:noWrap/>
            <w:vAlign w:val="center"/>
            <w:hideMark/>
          </w:tcPr>
          <w:p w14:paraId="307C1F2C"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49,6</w:t>
            </w:r>
          </w:p>
        </w:tc>
        <w:tc>
          <w:tcPr>
            <w:tcW w:w="567" w:type="dxa"/>
            <w:tcBorders>
              <w:top w:val="nil"/>
              <w:left w:val="nil"/>
              <w:bottom w:val="nil"/>
              <w:right w:val="nil"/>
            </w:tcBorders>
            <w:shd w:val="clear" w:color="auto" w:fill="auto"/>
            <w:noWrap/>
            <w:vAlign w:val="center"/>
            <w:hideMark/>
          </w:tcPr>
          <w:p w14:paraId="24C4A47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48,1</w:t>
            </w:r>
          </w:p>
        </w:tc>
        <w:tc>
          <w:tcPr>
            <w:tcW w:w="567" w:type="dxa"/>
            <w:tcBorders>
              <w:top w:val="nil"/>
              <w:left w:val="nil"/>
              <w:bottom w:val="nil"/>
              <w:right w:val="nil"/>
            </w:tcBorders>
            <w:shd w:val="clear" w:color="auto" w:fill="auto"/>
            <w:noWrap/>
            <w:vAlign w:val="center"/>
            <w:hideMark/>
          </w:tcPr>
          <w:p w14:paraId="26E73085"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48,9</w:t>
            </w:r>
          </w:p>
        </w:tc>
        <w:tc>
          <w:tcPr>
            <w:tcW w:w="567" w:type="dxa"/>
            <w:tcBorders>
              <w:top w:val="nil"/>
              <w:left w:val="nil"/>
              <w:bottom w:val="nil"/>
              <w:right w:val="nil"/>
            </w:tcBorders>
            <w:shd w:val="clear" w:color="auto" w:fill="auto"/>
            <w:noWrap/>
            <w:vAlign w:val="center"/>
            <w:hideMark/>
          </w:tcPr>
          <w:p w14:paraId="0E3D2161"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46,9</w:t>
            </w:r>
          </w:p>
        </w:tc>
        <w:tc>
          <w:tcPr>
            <w:tcW w:w="567" w:type="dxa"/>
            <w:tcBorders>
              <w:top w:val="nil"/>
              <w:left w:val="nil"/>
              <w:bottom w:val="nil"/>
              <w:right w:val="nil"/>
            </w:tcBorders>
            <w:shd w:val="clear" w:color="auto" w:fill="auto"/>
            <w:noWrap/>
            <w:vAlign w:val="center"/>
            <w:hideMark/>
          </w:tcPr>
          <w:p w14:paraId="5A364F8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45,8</w:t>
            </w:r>
          </w:p>
        </w:tc>
        <w:tc>
          <w:tcPr>
            <w:tcW w:w="567" w:type="dxa"/>
            <w:tcBorders>
              <w:top w:val="nil"/>
              <w:left w:val="nil"/>
              <w:bottom w:val="nil"/>
              <w:right w:val="nil"/>
            </w:tcBorders>
            <w:shd w:val="clear" w:color="auto" w:fill="auto"/>
            <w:noWrap/>
            <w:vAlign w:val="center"/>
            <w:hideMark/>
          </w:tcPr>
          <w:p w14:paraId="70956D84"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46,3</w:t>
            </w:r>
          </w:p>
        </w:tc>
        <w:tc>
          <w:tcPr>
            <w:tcW w:w="567" w:type="dxa"/>
            <w:tcBorders>
              <w:top w:val="nil"/>
              <w:left w:val="nil"/>
              <w:bottom w:val="nil"/>
              <w:right w:val="nil"/>
            </w:tcBorders>
            <w:shd w:val="clear" w:color="auto" w:fill="auto"/>
            <w:noWrap/>
            <w:vAlign w:val="center"/>
            <w:hideMark/>
          </w:tcPr>
          <w:p w14:paraId="2F9756BE" w14:textId="77777777" w:rsidR="00502EDF" w:rsidRPr="00D92E20" w:rsidRDefault="00502EDF" w:rsidP="00502EDF">
            <w:pPr>
              <w:spacing w:after="0" w:line="240" w:lineRule="auto"/>
              <w:jc w:val="center"/>
              <w:rPr>
                <w:rFonts w:cs="Arial"/>
                <w:color w:val="000000"/>
                <w:sz w:val="16"/>
                <w:szCs w:val="16"/>
              </w:rPr>
            </w:pPr>
            <w:r w:rsidRPr="00D92E20">
              <w:rPr>
                <w:rFonts w:cs="Arial"/>
                <w:color w:val="000000"/>
                <w:sz w:val="16"/>
                <w:szCs w:val="16"/>
              </w:rPr>
              <w:t>42,8</w:t>
            </w:r>
          </w:p>
        </w:tc>
      </w:tr>
    </w:tbl>
    <w:p w14:paraId="5B06DE7A" w14:textId="77777777" w:rsidR="00502EDF" w:rsidRPr="00D92E20" w:rsidRDefault="00502EDF" w:rsidP="00502EDF">
      <w:pPr>
        <w:spacing w:before="120"/>
        <w:rPr>
          <w:sz w:val="16"/>
        </w:rPr>
      </w:pPr>
      <w:r w:rsidRPr="00D92E20">
        <w:rPr>
          <w:sz w:val="16"/>
        </w:rPr>
        <w:t>Zdroj: ČSÚ</w:t>
      </w:r>
    </w:p>
    <w:p w14:paraId="3191D533" w14:textId="77777777" w:rsidR="00502EDF" w:rsidRPr="00D92E20" w:rsidRDefault="00502EDF" w:rsidP="00BA6B4E">
      <w:pPr>
        <w:spacing w:after="0"/>
        <w:jc w:val="both"/>
        <w:rPr>
          <w:b/>
        </w:rPr>
      </w:pPr>
      <w:r w:rsidRPr="00D92E20">
        <w:rPr>
          <w:b/>
        </w:rPr>
        <w:t>Graf 2.11: Průměrná délka trvání dočasné pracovní neschopnosti podle krajů ČR, 2019 a 2020</w:t>
      </w:r>
    </w:p>
    <w:p w14:paraId="42ACC810" w14:textId="77777777" w:rsidR="00502EDF" w:rsidRPr="00D92E20" w:rsidRDefault="00502EDF" w:rsidP="00BA6B4E">
      <w:pPr>
        <w:jc w:val="both"/>
        <w:rPr>
          <w:sz w:val="16"/>
        </w:rPr>
      </w:pPr>
      <w:r w:rsidRPr="00D92E20">
        <w:rPr>
          <w:noProof/>
        </w:rPr>
        <w:drawing>
          <wp:inline distT="0" distB="0" distL="0" distR="0" wp14:anchorId="535818D8" wp14:editId="25F7A45B">
            <wp:extent cx="6200775" cy="3209925"/>
            <wp:effectExtent l="0" t="0" r="9525" b="9525"/>
            <wp:docPr id="32" name="Graf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D92E20">
        <w:rPr>
          <w:sz w:val="16"/>
        </w:rPr>
        <w:t>Zdroj: ČSÚ</w:t>
      </w:r>
    </w:p>
    <w:p w14:paraId="3DFC1862" w14:textId="77777777" w:rsidR="008B4180" w:rsidRPr="00D92E20" w:rsidRDefault="008B4180">
      <w:pPr>
        <w:spacing w:after="0" w:line="240" w:lineRule="auto"/>
        <w:rPr>
          <w:b/>
        </w:rPr>
      </w:pPr>
      <w:r w:rsidRPr="00D92E20">
        <w:rPr>
          <w:b/>
        </w:rPr>
        <w:br w:type="page"/>
      </w:r>
    </w:p>
    <w:p w14:paraId="7983F30A" w14:textId="731D16AE" w:rsidR="007B0701" w:rsidRPr="00D92E20" w:rsidRDefault="007B0701" w:rsidP="007B0701">
      <w:pPr>
        <w:jc w:val="both"/>
        <w:rPr>
          <w:b/>
        </w:rPr>
      </w:pPr>
      <w:r w:rsidRPr="00D92E20">
        <w:rPr>
          <w:b/>
        </w:rPr>
        <w:lastRenderedPageBreak/>
        <w:t>Kartogram 2.1: Průměrná délka trvání dočasné pracovní neschopnosti v okresech a krajích ČR, 2020</w:t>
      </w:r>
    </w:p>
    <w:p w14:paraId="560FAFAE" w14:textId="77777777" w:rsidR="00693023" w:rsidRPr="00D92E20" w:rsidRDefault="00693023" w:rsidP="007B0701">
      <w:pPr>
        <w:jc w:val="both"/>
        <w:rPr>
          <w:b/>
        </w:rPr>
      </w:pPr>
      <w:r w:rsidRPr="00D92E20">
        <w:rPr>
          <w:b/>
          <w:noProof/>
        </w:rPr>
        <w:drawing>
          <wp:inline distT="0" distB="0" distL="0" distR="0" wp14:anchorId="15483AE3" wp14:editId="0F07DD20">
            <wp:extent cx="6120130" cy="4328026"/>
            <wp:effectExtent l="0" t="0" r="0" b="0"/>
            <wp:docPr id="35" name="Obrázek 35" descr="D:\hykysova23070\Documents\PN\2020\2. pol\publ\podklady\ktg\d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ykysova23070\Documents\PN\2020\2. pol\publ\podklady\ktg\dny.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2D39987" w14:textId="77777777" w:rsidR="007B0701" w:rsidRPr="00D92E20" w:rsidRDefault="007B0701" w:rsidP="007B0701">
      <w:pPr>
        <w:spacing w:before="120"/>
        <w:rPr>
          <w:sz w:val="16"/>
        </w:rPr>
      </w:pPr>
      <w:r w:rsidRPr="00D92E20">
        <w:rPr>
          <w:sz w:val="16"/>
        </w:rPr>
        <w:t>Zdroj: ČSÚ</w:t>
      </w:r>
    </w:p>
    <w:p w14:paraId="7AB5986C" w14:textId="77777777" w:rsidR="007B0701" w:rsidRPr="00D92E20" w:rsidRDefault="007B0701" w:rsidP="00000A90">
      <w:pPr>
        <w:spacing w:after="0"/>
        <w:jc w:val="both"/>
        <w:rPr>
          <w:b/>
        </w:rPr>
      </w:pPr>
      <w:r w:rsidRPr="00D92E20">
        <w:rPr>
          <w:b/>
        </w:rPr>
        <w:t>Tab. 2.7: Průměrná délka trvání dočasné pracovní neschopnosti podle krajů ČR, 2010–2020</w:t>
      </w:r>
    </w:p>
    <w:tbl>
      <w:tblPr>
        <w:tblW w:w="9670" w:type="dxa"/>
        <w:tblCellMar>
          <w:left w:w="70" w:type="dxa"/>
          <w:right w:w="70" w:type="dxa"/>
        </w:tblCellMar>
        <w:tblLook w:val="04A0" w:firstRow="1" w:lastRow="0" w:firstColumn="1" w:lastColumn="0" w:noHBand="0" w:noVBand="1"/>
      </w:tblPr>
      <w:tblGrid>
        <w:gridCol w:w="1871"/>
        <w:gridCol w:w="709"/>
        <w:gridCol w:w="709"/>
        <w:gridCol w:w="709"/>
        <w:gridCol w:w="709"/>
        <w:gridCol w:w="709"/>
        <w:gridCol w:w="709"/>
        <w:gridCol w:w="709"/>
        <w:gridCol w:w="709"/>
        <w:gridCol w:w="709"/>
        <w:gridCol w:w="709"/>
        <w:gridCol w:w="709"/>
      </w:tblGrid>
      <w:tr w:rsidR="007B0701" w:rsidRPr="00D92E20" w14:paraId="2649EA01" w14:textId="77777777" w:rsidTr="007B0701">
        <w:trPr>
          <w:trHeight w:val="300"/>
        </w:trPr>
        <w:tc>
          <w:tcPr>
            <w:tcW w:w="1871" w:type="dxa"/>
            <w:tcBorders>
              <w:top w:val="single" w:sz="4" w:space="0" w:color="auto"/>
              <w:left w:val="nil"/>
              <w:bottom w:val="single" w:sz="4" w:space="0" w:color="auto"/>
              <w:right w:val="single" w:sz="4" w:space="0" w:color="auto"/>
            </w:tcBorders>
            <w:shd w:val="clear" w:color="000000" w:fill="F5DADD"/>
            <w:vAlign w:val="center"/>
            <w:hideMark/>
          </w:tcPr>
          <w:p w14:paraId="23A552E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Kraj ČR</w:t>
            </w:r>
          </w:p>
        </w:tc>
        <w:tc>
          <w:tcPr>
            <w:tcW w:w="709" w:type="dxa"/>
            <w:tcBorders>
              <w:top w:val="single" w:sz="4" w:space="0" w:color="auto"/>
              <w:left w:val="nil"/>
              <w:bottom w:val="single" w:sz="4" w:space="0" w:color="auto"/>
              <w:right w:val="nil"/>
            </w:tcBorders>
            <w:shd w:val="clear" w:color="000000" w:fill="F5DADD"/>
            <w:noWrap/>
            <w:vAlign w:val="center"/>
            <w:hideMark/>
          </w:tcPr>
          <w:p w14:paraId="186A68D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2010</w:t>
            </w:r>
          </w:p>
        </w:tc>
        <w:tc>
          <w:tcPr>
            <w:tcW w:w="709" w:type="dxa"/>
            <w:tcBorders>
              <w:top w:val="single" w:sz="4" w:space="0" w:color="auto"/>
              <w:left w:val="nil"/>
              <w:bottom w:val="single" w:sz="4" w:space="0" w:color="auto"/>
              <w:right w:val="nil"/>
            </w:tcBorders>
            <w:shd w:val="clear" w:color="000000" w:fill="F5DADD"/>
            <w:noWrap/>
            <w:vAlign w:val="center"/>
            <w:hideMark/>
          </w:tcPr>
          <w:p w14:paraId="4545FDA4"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2011</w:t>
            </w:r>
          </w:p>
        </w:tc>
        <w:tc>
          <w:tcPr>
            <w:tcW w:w="709" w:type="dxa"/>
            <w:tcBorders>
              <w:top w:val="single" w:sz="4" w:space="0" w:color="auto"/>
              <w:left w:val="nil"/>
              <w:bottom w:val="single" w:sz="4" w:space="0" w:color="auto"/>
              <w:right w:val="nil"/>
            </w:tcBorders>
            <w:shd w:val="clear" w:color="000000" w:fill="F5DADD"/>
            <w:noWrap/>
            <w:vAlign w:val="center"/>
            <w:hideMark/>
          </w:tcPr>
          <w:p w14:paraId="2920531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2012</w:t>
            </w:r>
          </w:p>
        </w:tc>
        <w:tc>
          <w:tcPr>
            <w:tcW w:w="709" w:type="dxa"/>
            <w:tcBorders>
              <w:top w:val="single" w:sz="4" w:space="0" w:color="auto"/>
              <w:left w:val="nil"/>
              <w:bottom w:val="single" w:sz="4" w:space="0" w:color="auto"/>
              <w:right w:val="nil"/>
            </w:tcBorders>
            <w:shd w:val="clear" w:color="000000" w:fill="F5DADD"/>
            <w:noWrap/>
            <w:vAlign w:val="center"/>
            <w:hideMark/>
          </w:tcPr>
          <w:p w14:paraId="58219E3B"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2013</w:t>
            </w:r>
          </w:p>
        </w:tc>
        <w:tc>
          <w:tcPr>
            <w:tcW w:w="709" w:type="dxa"/>
            <w:tcBorders>
              <w:top w:val="single" w:sz="4" w:space="0" w:color="auto"/>
              <w:left w:val="nil"/>
              <w:bottom w:val="single" w:sz="4" w:space="0" w:color="auto"/>
              <w:right w:val="nil"/>
            </w:tcBorders>
            <w:shd w:val="clear" w:color="000000" w:fill="F5DADD"/>
            <w:noWrap/>
            <w:vAlign w:val="center"/>
            <w:hideMark/>
          </w:tcPr>
          <w:p w14:paraId="1CC032B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2014</w:t>
            </w:r>
          </w:p>
        </w:tc>
        <w:tc>
          <w:tcPr>
            <w:tcW w:w="709" w:type="dxa"/>
            <w:tcBorders>
              <w:top w:val="single" w:sz="4" w:space="0" w:color="auto"/>
              <w:left w:val="nil"/>
              <w:bottom w:val="single" w:sz="4" w:space="0" w:color="auto"/>
              <w:right w:val="nil"/>
            </w:tcBorders>
            <w:shd w:val="clear" w:color="000000" w:fill="F5DADD"/>
            <w:noWrap/>
            <w:vAlign w:val="center"/>
            <w:hideMark/>
          </w:tcPr>
          <w:p w14:paraId="1465BAC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2015</w:t>
            </w:r>
          </w:p>
        </w:tc>
        <w:tc>
          <w:tcPr>
            <w:tcW w:w="709" w:type="dxa"/>
            <w:tcBorders>
              <w:top w:val="single" w:sz="4" w:space="0" w:color="auto"/>
              <w:left w:val="nil"/>
              <w:bottom w:val="single" w:sz="4" w:space="0" w:color="auto"/>
              <w:right w:val="nil"/>
            </w:tcBorders>
            <w:shd w:val="clear" w:color="000000" w:fill="F5DADD"/>
            <w:noWrap/>
            <w:vAlign w:val="center"/>
            <w:hideMark/>
          </w:tcPr>
          <w:p w14:paraId="1DBAE4D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2016</w:t>
            </w:r>
          </w:p>
        </w:tc>
        <w:tc>
          <w:tcPr>
            <w:tcW w:w="709" w:type="dxa"/>
            <w:tcBorders>
              <w:top w:val="single" w:sz="4" w:space="0" w:color="auto"/>
              <w:left w:val="nil"/>
              <w:bottom w:val="single" w:sz="4" w:space="0" w:color="auto"/>
              <w:right w:val="nil"/>
            </w:tcBorders>
            <w:shd w:val="clear" w:color="000000" w:fill="F5DADD"/>
            <w:noWrap/>
            <w:vAlign w:val="center"/>
            <w:hideMark/>
          </w:tcPr>
          <w:p w14:paraId="25E90A2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2017</w:t>
            </w:r>
          </w:p>
        </w:tc>
        <w:tc>
          <w:tcPr>
            <w:tcW w:w="709" w:type="dxa"/>
            <w:tcBorders>
              <w:top w:val="single" w:sz="4" w:space="0" w:color="auto"/>
              <w:left w:val="nil"/>
              <w:bottom w:val="single" w:sz="4" w:space="0" w:color="auto"/>
              <w:right w:val="nil"/>
            </w:tcBorders>
            <w:shd w:val="clear" w:color="000000" w:fill="F5DADD"/>
            <w:noWrap/>
            <w:vAlign w:val="center"/>
            <w:hideMark/>
          </w:tcPr>
          <w:p w14:paraId="783861E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2018</w:t>
            </w:r>
          </w:p>
        </w:tc>
        <w:tc>
          <w:tcPr>
            <w:tcW w:w="709" w:type="dxa"/>
            <w:tcBorders>
              <w:top w:val="single" w:sz="4" w:space="0" w:color="auto"/>
              <w:left w:val="nil"/>
              <w:bottom w:val="single" w:sz="4" w:space="0" w:color="auto"/>
              <w:right w:val="nil"/>
            </w:tcBorders>
            <w:shd w:val="clear" w:color="000000" w:fill="F5DADD"/>
            <w:noWrap/>
            <w:vAlign w:val="center"/>
            <w:hideMark/>
          </w:tcPr>
          <w:p w14:paraId="2610909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2019</w:t>
            </w:r>
          </w:p>
        </w:tc>
        <w:tc>
          <w:tcPr>
            <w:tcW w:w="709" w:type="dxa"/>
            <w:tcBorders>
              <w:top w:val="single" w:sz="4" w:space="0" w:color="auto"/>
              <w:left w:val="nil"/>
              <w:bottom w:val="single" w:sz="4" w:space="0" w:color="auto"/>
              <w:right w:val="nil"/>
            </w:tcBorders>
            <w:shd w:val="clear" w:color="000000" w:fill="F5DADD"/>
            <w:noWrap/>
            <w:vAlign w:val="center"/>
            <w:hideMark/>
          </w:tcPr>
          <w:p w14:paraId="6486E69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2020</w:t>
            </w:r>
          </w:p>
        </w:tc>
      </w:tr>
      <w:tr w:rsidR="007B0701" w:rsidRPr="00D92E20" w14:paraId="57AD5CDE"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7CA30173" w14:textId="77777777" w:rsidR="007B0701" w:rsidRPr="00D92E20" w:rsidRDefault="007B0701" w:rsidP="007B0701">
            <w:pPr>
              <w:spacing w:after="0" w:line="240" w:lineRule="auto"/>
              <w:rPr>
                <w:rFonts w:cs="Arial"/>
                <w:b/>
                <w:bCs/>
                <w:color w:val="000000"/>
                <w:sz w:val="16"/>
                <w:szCs w:val="16"/>
              </w:rPr>
            </w:pPr>
            <w:r w:rsidRPr="00D92E20">
              <w:rPr>
                <w:rFonts w:cs="Arial"/>
                <w:b/>
                <w:bCs/>
                <w:color w:val="000000"/>
                <w:sz w:val="16"/>
                <w:szCs w:val="16"/>
              </w:rPr>
              <w:t>ČR celkem</w:t>
            </w:r>
          </w:p>
        </w:tc>
        <w:tc>
          <w:tcPr>
            <w:tcW w:w="709" w:type="dxa"/>
            <w:tcBorders>
              <w:top w:val="nil"/>
              <w:left w:val="nil"/>
              <w:bottom w:val="nil"/>
              <w:right w:val="nil"/>
            </w:tcBorders>
            <w:shd w:val="clear" w:color="auto" w:fill="auto"/>
            <w:noWrap/>
            <w:vAlign w:val="center"/>
            <w:hideMark/>
          </w:tcPr>
          <w:p w14:paraId="147B97DC"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44,7</w:t>
            </w:r>
          </w:p>
        </w:tc>
        <w:tc>
          <w:tcPr>
            <w:tcW w:w="709" w:type="dxa"/>
            <w:tcBorders>
              <w:top w:val="nil"/>
              <w:left w:val="nil"/>
              <w:bottom w:val="nil"/>
              <w:right w:val="nil"/>
            </w:tcBorders>
            <w:shd w:val="clear" w:color="auto" w:fill="auto"/>
            <w:noWrap/>
            <w:vAlign w:val="center"/>
            <w:hideMark/>
          </w:tcPr>
          <w:p w14:paraId="647D88CB"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44,1</w:t>
            </w:r>
          </w:p>
        </w:tc>
        <w:tc>
          <w:tcPr>
            <w:tcW w:w="709" w:type="dxa"/>
            <w:tcBorders>
              <w:top w:val="nil"/>
              <w:left w:val="nil"/>
              <w:bottom w:val="nil"/>
              <w:right w:val="nil"/>
            </w:tcBorders>
            <w:shd w:val="clear" w:color="auto" w:fill="auto"/>
            <w:noWrap/>
            <w:vAlign w:val="center"/>
            <w:hideMark/>
          </w:tcPr>
          <w:p w14:paraId="3EF5C497"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46,1</w:t>
            </w:r>
          </w:p>
        </w:tc>
        <w:tc>
          <w:tcPr>
            <w:tcW w:w="709" w:type="dxa"/>
            <w:tcBorders>
              <w:top w:val="nil"/>
              <w:left w:val="nil"/>
              <w:bottom w:val="nil"/>
              <w:right w:val="nil"/>
            </w:tcBorders>
            <w:shd w:val="clear" w:color="auto" w:fill="auto"/>
            <w:noWrap/>
            <w:vAlign w:val="center"/>
            <w:hideMark/>
          </w:tcPr>
          <w:p w14:paraId="75839D75"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44,0</w:t>
            </w:r>
          </w:p>
        </w:tc>
        <w:tc>
          <w:tcPr>
            <w:tcW w:w="709" w:type="dxa"/>
            <w:tcBorders>
              <w:top w:val="nil"/>
              <w:left w:val="nil"/>
              <w:bottom w:val="nil"/>
              <w:right w:val="nil"/>
            </w:tcBorders>
            <w:shd w:val="clear" w:color="auto" w:fill="auto"/>
            <w:noWrap/>
            <w:vAlign w:val="center"/>
            <w:hideMark/>
          </w:tcPr>
          <w:p w14:paraId="553C9214"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45,8</w:t>
            </w:r>
          </w:p>
        </w:tc>
        <w:tc>
          <w:tcPr>
            <w:tcW w:w="709" w:type="dxa"/>
            <w:tcBorders>
              <w:top w:val="nil"/>
              <w:left w:val="nil"/>
              <w:bottom w:val="nil"/>
              <w:right w:val="nil"/>
            </w:tcBorders>
            <w:shd w:val="clear" w:color="auto" w:fill="auto"/>
            <w:noWrap/>
            <w:vAlign w:val="center"/>
            <w:hideMark/>
          </w:tcPr>
          <w:p w14:paraId="0FBCFDC8"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42,7</w:t>
            </w:r>
          </w:p>
        </w:tc>
        <w:tc>
          <w:tcPr>
            <w:tcW w:w="709" w:type="dxa"/>
            <w:tcBorders>
              <w:top w:val="nil"/>
              <w:left w:val="nil"/>
              <w:bottom w:val="nil"/>
              <w:right w:val="nil"/>
            </w:tcBorders>
            <w:shd w:val="clear" w:color="auto" w:fill="auto"/>
            <w:noWrap/>
            <w:vAlign w:val="center"/>
            <w:hideMark/>
          </w:tcPr>
          <w:p w14:paraId="6060A670"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43,0</w:t>
            </w:r>
          </w:p>
        </w:tc>
        <w:tc>
          <w:tcPr>
            <w:tcW w:w="709" w:type="dxa"/>
            <w:tcBorders>
              <w:top w:val="nil"/>
              <w:left w:val="nil"/>
              <w:bottom w:val="nil"/>
              <w:right w:val="nil"/>
            </w:tcBorders>
            <w:shd w:val="clear" w:color="auto" w:fill="auto"/>
            <w:noWrap/>
            <w:vAlign w:val="center"/>
            <w:hideMark/>
          </w:tcPr>
          <w:p w14:paraId="76DE0D25"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42,6</w:t>
            </w:r>
          </w:p>
        </w:tc>
        <w:tc>
          <w:tcPr>
            <w:tcW w:w="709" w:type="dxa"/>
            <w:tcBorders>
              <w:top w:val="nil"/>
              <w:left w:val="nil"/>
              <w:bottom w:val="nil"/>
              <w:right w:val="nil"/>
            </w:tcBorders>
            <w:shd w:val="clear" w:color="auto" w:fill="auto"/>
            <w:noWrap/>
            <w:vAlign w:val="center"/>
            <w:hideMark/>
          </w:tcPr>
          <w:p w14:paraId="3FAB4B50"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41,7</w:t>
            </w:r>
          </w:p>
        </w:tc>
        <w:tc>
          <w:tcPr>
            <w:tcW w:w="709" w:type="dxa"/>
            <w:tcBorders>
              <w:top w:val="nil"/>
              <w:left w:val="nil"/>
              <w:bottom w:val="nil"/>
              <w:right w:val="nil"/>
            </w:tcBorders>
            <w:shd w:val="clear" w:color="auto" w:fill="auto"/>
            <w:noWrap/>
            <w:vAlign w:val="center"/>
            <w:hideMark/>
          </w:tcPr>
          <w:p w14:paraId="2975141B"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42,4</w:t>
            </w:r>
          </w:p>
        </w:tc>
        <w:tc>
          <w:tcPr>
            <w:tcW w:w="709" w:type="dxa"/>
            <w:tcBorders>
              <w:top w:val="nil"/>
              <w:left w:val="nil"/>
              <w:bottom w:val="nil"/>
              <w:right w:val="nil"/>
            </w:tcBorders>
            <w:shd w:val="clear" w:color="auto" w:fill="auto"/>
            <w:noWrap/>
            <w:vAlign w:val="center"/>
            <w:hideMark/>
          </w:tcPr>
          <w:p w14:paraId="0B9113B2" w14:textId="77777777" w:rsidR="007B0701" w:rsidRPr="00D92E20" w:rsidRDefault="007B0701" w:rsidP="007B0701">
            <w:pPr>
              <w:spacing w:after="0" w:line="240" w:lineRule="auto"/>
              <w:jc w:val="center"/>
              <w:rPr>
                <w:rFonts w:cs="Arial"/>
                <w:b/>
                <w:bCs/>
                <w:color w:val="000000"/>
                <w:sz w:val="16"/>
                <w:szCs w:val="16"/>
              </w:rPr>
            </w:pPr>
            <w:r w:rsidRPr="00D92E20">
              <w:rPr>
                <w:rFonts w:cs="Arial"/>
                <w:b/>
                <w:bCs/>
                <w:color w:val="000000"/>
                <w:sz w:val="16"/>
                <w:szCs w:val="16"/>
              </w:rPr>
              <w:t>39,4</w:t>
            </w:r>
          </w:p>
        </w:tc>
      </w:tr>
      <w:tr w:rsidR="007B0701" w:rsidRPr="00D92E20" w14:paraId="15F37B59"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30D09C3F"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709" w:type="dxa"/>
            <w:tcBorders>
              <w:top w:val="nil"/>
              <w:left w:val="nil"/>
              <w:bottom w:val="nil"/>
              <w:right w:val="nil"/>
            </w:tcBorders>
            <w:shd w:val="clear" w:color="auto" w:fill="auto"/>
            <w:noWrap/>
            <w:vAlign w:val="center"/>
            <w:hideMark/>
          </w:tcPr>
          <w:p w14:paraId="4E06F06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38,0</w:t>
            </w:r>
          </w:p>
        </w:tc>
        <w:tc>
          <w:tcPr>
            <w:tcW w:w="709" w:type="dxa"/>
            <w:tcBorders>
              <w:top w:val="nil"/>
              <w:left w:val="nil"/>
              <w:bottom w:val="nil"/>
              <w:right w:val="nil"/>
            </w:tcBorders>
            <w:shd w:val="clear" w:color="auto" w:fill="auto"/>
            <w:noWrap/>
            <w:vAlign w:val="center"/>
            <w:hideMark/>
          </w:tcPr>
          <w:p w14:paraId="7B429A1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37,6</w:t>
            </w:r>
          </w:p>
        </w:tc>
        <w:tc>
          <w:tcPr>
            <w:tcW w:w="709" w:type="dxa"/>
            <w:tcBorders>
              <w:top w:val="nil"/>
              <w:left w:val="nil"/>
              <w:bottom w:val="nil"/>
              <w:right w:val="nil"/>
            </w:tcBorders>
            <w:shd w:val="clear" w:color="auto" w:fill="auto"/>
            <w:noWrap/>
            <w:vAlign w:val="center"/>
            <w:hideMark/>
          </w:tcPr>
          <w:p w14:paraId="451ED81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4B550C4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18C4C76D"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50236CF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38,7</w:t>
            </w:r>
          </w:p>
        </w:tc>
        <w:tc>
          <w:tcPr>
            <w:tcW w:w="709" w:type="dxa"/>
            <w:tcBorders>
              <w:top w:val="nil"/>
              <w:left w:val="nil"/>
              <w:bottom w:val="nil"/>
              <w:right w:val="nil"/>
            </w:tcBorders>
            <w:shd w:val="clear" w:color="auto" w:fill="auto"/>
            <w:noWrap/>
            <w:vAlign w:val="center"/>
            <w:hideMark/>
          </w:tcPr>
          <w:p w14:paraId="7A1783A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7321EA7D"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772DBB5D"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38,6</w:t>
            </w:r>
          </w:p>
        </w:tc>
        <w:tc>
          <w:tcPr>
            <w:tcW w:w="709" w:type="dxa"/>
            <w:tcBorders>
              <w:top w:val="nil"/>
              <w:left w:val="nil"/>
              <w:bottom w:val="nil"/>
              <w:right w:val="nil"/>
            </w:tcBorders>
            <w:shd w:val="clear" w:color="auto" w:fill="auto"/>
            <w:noWrap/>
            <w:vAlign w:val="center"/>
            <w:hideMark/>
          </w:tcPr>
          <w:p w14:paraId="3079C5A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4AA0CD5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37,2</w:t>
            </w:r>
          </w:p>
        </w:tc>
      </w:tr>
      <w:tr w:rsidR="007B0701" w:rsidRPr="00D92E20" w14:paraId="7655EA54"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38CFC3E6"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709" w:type="dxa"/>
            <w:tcBorders>
              <w:top w:val="nil"/>
              <w:left w:val="nil"/>
              <w:bottom w:val="nil"/>
              <w:right w:val="nil"/>
            </w:tcBorders>
            <w:shd w:val="clear" w:color="auto" w:fill="auto"/>
            <w:noWrap/>
            <w:vAlign w:val="center"/>
            <w:hideMark/>
          </w:tcPr>
          <w:p w14:paraId="159B1BB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7A83B23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2958EDA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44,7</w:t>
            </w:r>
          </w:p>
        </w:tc>
        <w:tc>
          <w:tcPr>
            <w:tcW w:w="709" w:type="dxa"/>
            <w:tcBorders>
              <w:top w:val="nil"/>
              <w:left w:val="nil"/>
              <w:bottom w:val="nil"/>
              <w:right w:val="nil"/>
            </w:tcBorders>
            <w:shd w:val="clear" w:color="auto" w:fill="auto"/>
            <w:noWrap/>
            <w:vAlign w:val="center"/>
            <w:hideMark/>
          </w:tcPr>
          <w:p w14:paraId="53A1FB4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0832BEC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43,6</w:t>
            </w:r>
          </w:p>
        </w:tc>
        <w:tc>
          <w:tcPr>
            <w:tcW w:w="709" w:type="dxa"/>
            <w:tcBorders>
              <w:top w:val="nil"/>
              <w:left w:val="nil"/>
              <w:bottom w:val="nil"/>
              <w:right w:val="nil"/>
            </w:tcBorders>
            <w:shd w:val="clear" w:color="auto" w:fill="auto"/>
            <w:noWrap/>
            <w:vAlign w:val="center"/>
            <w:hideMark/>
          </w:tcPr>
          <w:p w14:paraId="1DCE5B5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1092300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534880B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1F7DB01D"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39,7</w:t>
            </w:r>
          </w:p>
        </w:tc>
        <w:tc>
          <w:tcPr>
            <w:tcW w:w="709" w:type="dxa"/>
            <w:tcBorders>
              <w:top w:val="nil"/>
              <w:left w:val="nil"/>
              <w:bottom w:val="nil"/>
              <w:right w:val="nil"/>
            </w:tcBorders>
            <w:shd w:val="clear" w:color="auto" w:fill="auto"/>
            <w:noWrap/>
            <w:vAlign w:val="center"/>
            <w:hideMark/>
          </w:tcPr>
          <w:p w14:paraId="33DA09A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40,4</w:t>
            </w:r>
          </w:p>
        </w:tc>
        <w:tc>
          <w:tcPr>
            <w:tcW w:w="709" w:type="dxa"/>
            <w:tcBorders>
              <w:top w:val="nil"/>
              <w:left w:val="nil"/>
              <w:bottom w:val="nil"/>
              <w:right w:val="nil"/>
            </w:tcBorders>
            <w:shd w:val="clear" w:color="auto" w:fill="auto"/>
            <w:noWrap/>
            <w:vAlign w:val="center"/>
            <w:hideMark/>
          </w:tcPr>
          <w:p w14:paraId="4EB0F93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37,7</w:t>
            </w:r>
          </w:p>
        </w:tc>
      </w:tr>
      <w:tr w:rsidR="007B0701" w:rsidRPr="00D92E20" w14:paraId="29F09D1A"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590B8490"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709" w:type="dxa"/>
            <w:tcBorders>
              <w:top w:val="nil"/>
              <w:left w:val="nil"/>
              <w:bottom w:val="nil"/>
              <w:right w:val="nil"/>
            </w:tcBorders>
            <w:shd w:val="clear" w:color="auto" w:fill="auto"/>
            <w:noWrap/>
            <w:vAlign w:val="center"/>
            <w:hideMark/>
          </w:tcPr>
          <w:p w14:paraId="29E95F7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47,6</w:t>
            </w:r>
          </w:p>
        </w:tc>
        <w:tc>
          <w:tcPr>
            <w:tcW w:w="709" w:type="dxa"/>
            <w:tcBorders>
              <w:top w:val="nil"/>
              <w:left w:val="nil"/>
              <w:bottom w:val="nil"/>
              <w:right w:val="nil"/>
            </w:tcBorders>
            <w:shd w:val="clear" w:color="auto" w:fill="auto"/>
            <w:noWrap/>
            <w:vAlign w:val="center"/>
            <w:hideMark/>
          </w:tcPr>
          <w:p w14:paraId="78FFC87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48,5</w:t>
            </w:r>
          </w:p>
        </w:tc>
        <w:tc>
          <w:tcPr>
            <w:tcW w:w="709" w:type="dxa"/>
            <w:tcBorders>
              <w:top w:val="nil"/>
              <w:left w:val="nil"/>
              <w:bottom w:val="nil"/>
              <w:right w:val="nil"/>
            </w:tcBorders>
            <w:shd w:val="clear" w:color="auto" w:fill="auto"/>
            <w:noWrap/>
            <w:vAlign w:val="center"/>
            <w:hideMark/>
          </w:tcPr>
          <w:p w14:paraId="07BB846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49,7</w:t>
            </w:r>
          </w:p>
        </w:tc>
        <w:tc>
          <w:tcPr>
            <w:tcW w:w="709" w:type="dxa"/>
            <w:tcBorders>
              <w:top w:val="nil"/>
              <w:left w:val="nil"/>
              <w:bottom w:val="nil"/>
              <w:right w:val="nil"/>
            </w:tcBorders>
            <w:shd w:val="clear" w:color="auto" w:fill="auto"/>
            <w:noWrap/>
            <w:vAlign w:val="center"/>
            <w:hideMark/>
          </w:tcPr>
          <w:p w14:paraId="3FD4572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501FB82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6BE7785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44,3</w:t>
            </w:r>
          </w:p>
        </w:tc>
        <w:tc>
          <w:tcPr>
            <w:tcW w:w="709" w:type="dxa"/>
            <w:tcBorders>
              <w:top w:val="nil"/>
              <w:left w:val="nil"/>
              <w:bottom w:val="nil"/>
              <w:right w:val="nil"/>
            </w:tcBorders>
            <w:shd w:val="clear" w:color="auto" w:fill="auto"/>
            <w:noWrap/>
            <w:vAlign w:val="center"/>
            <w:hideMark/>
          </w:tcPr>
          <w:p w14:paraId="2A0198B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45,5</w:t>
            </w:r>
          </w:p>
        </w:tc>
        <w:tc>
          <w:tcPr>
            <w:tcW w:w="709" w:type="dxa"/>
            <w:tcBorders>
              <w:top w:val="nil"/>
              <w:left w:val="nil"/>
              <w:bottom w:val="nil"/>
              <w:right w:val="nil"/>
            </w:tcBorders>
            <w:shd w:val="clear" w:color="auto" w:fill="auto"/>
            <w:noWrap/>
            <w:vAlign w:val="center"/>
            <w:hideMark/>
          </w:tcPr>
          <w:p w14:paraId="1A4BC9E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88D18E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08003C8B"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0C1F5AF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40,6</w:t>
            </w:r>
          </w:p>
        </w:tc>
      </w:tr>
      <w:tr w:rsidR="007B0701" w:rsidRPr="00D92E20" w14:paraId="659AB62C"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0EC7C836"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709" w:type="dxa"/>
            <w:tcBorders>
              <w:top w:val="nil"/>
              <w:left w:val="nil"/>
              <w:bottom w:val="nil"/>
              <w:right w:val="nil"/>
            </w:tcBorders>
            <w:shd w:val="clear" w:color="auto" w:fill="auto"/>
            <w:noWrap/>
            <w:vAlign w:val="center"/>
            <w:hideMark/>
          </w:tcPr>
          <w:p w14:paraId="21588A5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42,7</w:t>
            </w:r>
          </w:p>
        </w:tc>
        <w:tc>
          <w:tcPr>
            <w:tcW w:w="709" w:type="dxa"/>
            <w:tcBorders>
              <w:top w:val="nil"/>
              <w:left w:val="nil"/>
              <w:bottom w:val="nil"/>
              <w:right w:val="nil"/>
            </w:tcBorders>
            <w:shd w:val="clear" w:color="auto" w:fill="auto"/>
            <w:noWrap/>
            <w:vAlign w:val="center"/>
            <w:hideMark/>
          </w:tcPr>
          <w:p w14:paraId="5CBF494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40,5</w:t>
            </w:r>
          </w:p>
        </w:tc>
        <w:tc>
          <w:tcPr>
            <w:tcW w:w="709" w:type="dxa"/>
            <w:tcBorders>
              <w:top w:val="nil"/>
              <w:left w:val="nil"/>
              <w:bottom w:val="nil"/>
              <w:right w:val="nil"/>
            </w:tcBorders>
            <w:shd w:val="clear" w:color="auto" w:fill="auto"/>
            <w:noWrap/>
            <w:vAlign w:val="center"/>
            <w:hideMark/>
          </w:tcPr>
          <w:p w14:paraId="316BDCD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120359E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41,6</w:t>
            </w:r>
          </w:p>
        </w:tc>
        <w:tc>
          <w:tcPr>
            <w:tcW w:w="709" w:type="dxa"/>
            <w:tcBorders>
              <w:top w:val="nil"/>
              <w:left w:val="nil"/>
              <w:bottom w:val="nil"/>
              <w:right w:val="nil"/>
            </w:tcBorders>
            <w:shd w:val="clear" w:color="auto" w:fill="auto"/>
            <w:noWrap/>
            <w:vAlign w:val="center"/>
            <w:hideMark/>
          </w:tcPr>
          <w:p w14:paraId="259DB9A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42,3</w:t>
            </w:r>
          </w:p>
        </w:tc>
        <w:tc>
          <w:tcPr>
            <w:tcW w:w="709" w:type="dxa"/>
            <w:tcBorders>
              <w:top w:val="nil"/>
              <w:left w:val="nil"/>
              <w:bottom w:val="nil"/>
              <w:right w:val="nil"/>
            </w:tcBorders>
            <w:shd w:val="clear" w:color="auto" w:fill="auto"/>
            <w:noWrap/>
            <w:vAlign w:val="center"/>
            <w:hideMark/>
          </w:tcPr>
          <w:p w14:paraId="2EE9273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4192757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2AB16C8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39,1</w:t>
            </w:r>
          </w:p>
        </w:tc>
        <w:tc>
          <w:tcPr>
            <w:tcW w:w="709" w:type="dxa"/>
            <w:tcBorders>
              <w:top w:val="nil"/>
              <w:left w:val="nil"/>
              <w:bottom w:val="nil"/>
              <w:right w:val="nil"/>
            </w:tcBorders>
            <w:shd w:val="clear" w:color="auto" w:fill="auto"/>
            <w:noWrap/>
            <w:vAlign w:val="center"/>
            <w:hideMark/>
          </w:tcPr>
          <w:p w14:paraId="739DABD8"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38,4</w:t>
            </w:r>
          </w:p>
        </w:tc>
        <w:tc>
          <w:tcPr>
            <w:tcW w:w="709" w:type="dxa"/>
            <w:tcBorders>
              <w:top w:val="nil"/>
              <w:left w:val="nil"/>
              <w:bottom w:val="nil"/>
              <w:right w:val="nil"/>
            </w:tcBorders>
            <w:shd w:val="clear" w:color="auto" w:fill="auto"/>
            <w:noWrap/>
            <w:vAlign w:val="center"/>
            <w:hideMark/>
          </w:tcPr>
          <w:p w14:paraId="02D662C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75980F9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38,3</w:t>
            </w:r>
          </w:p>
        </w:tc>
      </w:tr>
      <w:tr w:rsidR="007B0701" w:rsidRPr="00D92E20" w14:paraId="377FA8A0"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7B4BAE3E"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709" w:type="dxa"/>
            <w:tcBorders>
              <w:top w:val="nil"/>
              <w:left w:val="nil"/>
              <w:bottom w:val="nil"/>
              <w:right w:val="nil"/>
            </w:tcBorders>
            <w:shd w:val="clear" w:color="auto" w:fill="auto"/>
            <w:noWrap/>
            <w:vAlign w:val="center"/>
            <w:hideMark/>
          </w:tcPr>
          <w:p w14:paraId="21686ED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3E70302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70F4150B"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40,8</w:t>
            </w:r>
          </w:p>
        </w:tc>
        <w:tc>
          <w:tcPr>
            <w:tcW w:w="709" w:type="dxa"/>
            <w:tcBorders>
              <w:top w:val="nil"/>
              <w:left w:val="nil"/>
              <w:bottom w:val="nil"/>
              <w:right w:val="nil"/>
            </w:tcBorders>
            <w:shd w:val="clear" w:color="auto" w:fill="auto"/>
            <w:noWrap/>
            <w:vAlign w:val="center"/>
            <w:hideMark/>
          </w:tcPr>
          <w:p w14:paraId="5ED82EC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41,4</w:t>
            </w:r>
          </w:p>
        </w:tc>
        <w:tc>
          <w:tcPr>
            <w:tcW w:w="709" w:type="dxa"/>
            <w:tcBorders>
              <w:top w:val="nil"/>
              <w:left w:val="nil"/>
              <w:bottom w:val="nil"/>
              <w:right w:val="nil"/>
            </w:tcBorders>
            <w:shd w:val="clear" w:color="auto" w:fill="auto"/>
            <w:noWrap/>
            <w:vAlign w:val="center"/>
            <w:hideMark/>
          </w:tcPr>
          <w:p w14:paraId="26872B7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2A9A226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7627BF6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40,0</w:t>
            </w:r>
          </w:p>
        </w:tc>
        <w:tc>
          <w:tcPr>
            <w:tcW w:w="709" w:type="dxa"/>
            <w:tcBorders>
              <w:top w:val="nil"/>
              <w:left w:val="nil"/>
              <w:bottom w:val="nil"/>
              <w:right w:val="nil"/>
            </w:tcBorders>
            <w:shd w:val="clear" w:color="auto" w:fill="auto"/>
            <w:noWrap/>
            <w:vAlign w:val="center"/>
            <w:hideMark/>
          </w:tcPr>
          <w:p w14:paraId="6DE6023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39,6</w:t>
            </w:r>
          </w:p>
        </w:tc>
        <w:tc>
          <w:tcPr>
            <w:tcW w:w="709" w:type="dxa"/>
            <w:tcBorders>
              <w:top w:val="nil"/>
              <w:left w:val="nil"/>
              <w:bottom w:val="nil"/>
              <w:right w:val="nil"/>
            </w:tcBorders>
            <w:shd w:val="clear" w:color="auto" w:fill="auto"/>
            <w:noWrap/>
            <w:vAlign w:val="center"/>
            <w:hideMark/>
          </w:tcPr>
          <w:p w14:paraId="2BF0F73D"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39,3</w:t>
            </w:r>
          </w:p>
        </w:tc>
        <w:tc>
          <w:tcPr>
            <w:tcW w:w="709" w:type="dxa"/>
            <w:tcBorders>
              <w:top w:val="nil"/>
              <w:left w:val="nil"/>
              <w:bottom w:val="nil"/>
              <w:right w:val="nil"/>
            </w:tcBorders>
            <w:shd w:val="clear" w:color="auto" w:fill="auto"/>
            <w:noWrap/>
            <w:vAlign w:val="center"/>
            <w:hideMark/>
          </w:tcPr>
          <w:p w14:paraId="5649BC98"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40,3</w:t>
            </w:r>
          </w:p>
        </w:tc>
        <w:tc>
          <w:tcPr>
            <w:tcW w:w="709" w:type="dxa"/>
            <w:tcBorders>
              <w:top w:val="nil"/>
              <w:left w:val="nil"/>
              <w:bottom w:val="nil"/>
              <w:right w:val="nil"/>
            </w:tcBorders>
            <w:shd w:val="clear" w:color="auto" w:fill="auto"/>
            <w:noWrap/>
            <w:vAlign w:val="center"/>
            <w:hideMark/>
          </w:tcPr>
          <w:p w14:paraId="65D5007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40,9</w:t>
            </w:r>
          </w:p>
        </w:tc>
      </w:tr>
      <w:tr w:rsidR="007B0701" w:rsidRPr="00D92E20" w14:paraId="54B99CF1"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3774E255"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709" w:type="dxa"/>
            <w:tcBorders>
              <w:top w:val="nil"/>
              <w:left w:val="nil"/>
              <w:bottom w:val="nil"/>
              <w:right w:val="nil"/>
            </w:tcBorders>
            <w:shd w:val="clear" w:color="auto" w:fill="auto"/>
            <w:noWrap/>
            <w:vAlign w:val="center"/>
            <w:hideMark/>
          </w:tcPr>
          <w:p w14:paraId="1A1BB96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34A4C584"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43,9</w:t>
            </w:r>
          </w:p>
        </w:tc>
        <w:tc>
          <w:tcPr>
            <w:tcW w:w="709" w:type="dxa"/>
            <w:tcBorders>
              <w:top w:val="nil"/>
              <w:left w:val="nil"/>
              <w:bottom w:val="nil"/>
              <w:right w:val="nil"/>
            </w:tcBorders>
            <w:shd w:val="clear" w:color="auto" w:fill="auto"/>
            <w:noWrap/>
            <w:vAlign w:val="center"/>
            <w:hideMark/>
          </w:tcPr>
          <w:p w14:paraId="303A20A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48,3</w:t>
            </w:r>
          </w:p>
        </w:tc>
        <w:tc>
          <w:tcPr>
            <w:tcW w:w="709" w:type="dxa"/>
            <w:tcBorders>
              <w:top w:val="nil"/>
              <w:left w:val="nil"/>
              <w:bottom w:val="nil"/>
              <w:right w:val="nil"/>
            </w:tcBorders>
            <w:shd w:val="clear" w:color="auto" w:fill="auto"/>
            <w:noWrap/>
            <w:vAlign w:val="center"/>
            <w:hideMark/>
          </w:tcPr>
          <w:p w14:paraId="4103C6B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46,7</w:t>
            </w:r>
          </w:p>
        </w:tc>
        <w:tc>
          <w:tcPr>
            <w:tcW w:w="709" w:type="dxa"/>
            <w:tcBorders>
              <w:top w:val="nil"/>
              <w:left w:val="nil"/>
              <w:bottom w:val="nil"/>
              <w:right w:val="nil"/>
            </w:tcBorders>
            <w:shd w:val="clear" w:color="auto" w:fill="auto"/>
            <w:noWrap/>
            <w:vAlign w:val="center"/>
            <w:hideMark/>
          </w:tcPr>
          <w:p w14:paraId="48EB33B8"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47,5</w:t>
            </w:r>
          </w:p>
        </w:tc>
        <w:tc>
          <w:tcPr>
            <w:tcW w:w="709" w:type="dxa"/>
            <w:tcBorders>
              <w:top w:val="nil"/>
              <w:left w:val="nil"/>
              <w:bottom w:val="nil"/>
              <w:right w:val="nil"/>
            </w:tcBorders>
            <w:shd w:val="clear" w:color="auto" w:fill="auto"/>
            <w:noWrap/>
            <w:vAlign w:val="center"/>
            <w:hideMark/>
          </w:tcPr>
          <w:p w14:paraId="022C008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6D1BDC2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43,0</w:t>
            </w:r>
          </w:p>
        </w:tc>
        <w:tc>
          <w:tcPr>
            <w:tcW w:w="709" w:type="dxa"/>
            <w:tcBorders>
              <w:top w:val="nil"/>
              <w:left w:val="nil"/>
              <w:bottom w:val="nil"/>
              <w:right w:val="nil"/>
            </w:tcBorders>
            <w:shd w:val="clear" w:color="auto" w:fill="auto"/>
            <w:noWrap/>
            <w:vAlign w:val="center"/>
            <w:hideMark/>
          </w:tcPr>
          <w:p w14:paraId="60D8CF9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78A05FC4"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B86DDD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42,0</w:t>
            </w:r>
          </w:p>
        </w:tc>
        <w:tc>
          <w:tcPr>
            <w:tcW w:w="709" w:type="dxa"/>
            <w:tcBorders>
              <w:top w:val="nil"/>
              <w:left w:val="nil"/>
              <w:bottom w:val="nil"/>
              <w:right w:val="nil"/>
            </w:tcBorders>
            <w:shd w:val="clear" w:color="auto" w:fill="auto"/>
            <w:noWrap/>
            <w:vAlign w:val="center"/>
            <w:hideMark/>
          </w:tcPr>
          <w:p w14:paraId="3FF9297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38,8</w:t>
            </w:r>
          </w:p>
        </w:tc>
      </w:tr>
      <w:tr w:rsidR="007B0701" w:rsidRPr="00D92E20" w14:paraId="2BCF3836"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6FC69F0B"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709" w:type="dxa"/>
            <w:tcBorders>
              <w:top w:val="nil"/>
              <w:left w:val="nil"/>
              <w:bottom w:val="nil"/>
              <w:right w:val="nil"/>
            </w:tcBorders>
            <w:shd w:val="clear" w:color="auto" w:fill="auto"/>
            <w:noWrap/>
            <w:vAlign w:val="center"/>
            <w:hideMark/>
          </w:tcPr>
          <w:p w14:paraId="31D04C8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1F13ACB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50D660CB"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4B4C23F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430B800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42,8</w:t>
            </w:r>
          </w:p>
        </w:tc>
        <w:tc>
          <w:tcPr>
            <w:tcW w:w="709" w:type="dxa"/>
            <w:tcBorders>
              <w:top w:val="nil"/>
              <w:left w:val="nil"/>
              <w:bottom w:val="nil"/>
              <w:right w:val="nil"/>
            </w:tcBorders>
            <w:shd w:val="clear" w:color="auto" w:fill="auto"/>
            <w:noWrap/>
            <w:vAlign w:val="center"/>
            <w:hideMark/>
          </w:tcPr>
          <w:p w14:paraId="2B3AB40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40,2</w:t>
            </w:r>
          </w:p>
        </w:tc>
        <w:tc>
          <w:tcPr>
            <w:tcW w:w="709" w:type="dxa"/>
            <w:tcBorders>
              <w:top w:val="nil"/>
              <w:left w:val="nil"/>
              <w:bottom w:val="nil"/>
              <w:right w:val="nil"/>
            </w:tcBorders>
            <w:shd w:val="clear" w:color="auto" w:fill="auto"/>
            <w:noWrap/>
            <w:vAlign w:val="center"/>
            <w:hideMark/>
          </w:tcPr>
          <w:p w14:paraId="061A431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388BD60B"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39,0</w:t>
            </w:r>
          </w:p>
        </w:tc>
        <w:tc>
          <w:tcPr>
            <w:tcW w:w="709" w:type="dxa"/>
            <w:tcBorders>
              <w:top w:val="nil"/>
              <w:left w:val="nil"/>
              <w:bottom w:val="nil"/>
              <w:right w:val="nil"/>
            </w:tcBorders>
            <w:shd w:val="clear" w:color="auto" w:fill="auto"/>
            <w:noWrap/>
            <w:vAlign w:val="center"/>
            <w:hideMark/>
          </w:tcPr>
          <w:p w14:paraId="679F28E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37,7</w:t>
            </w:r>
          </w:p>
        </w:tc>
        <w:tc>
          <w:tcPr>
            <w:tcW w:w="709" w:type="dxa"/>
            <w:tcBorders>
              <w:top w:val="nil"/>
              <w:left w:val="nil"/>
              <w:bottom w:val="nil"/>
              <w:right w:val="nil"/>
            </w:tcBorders>
            <w:shd w:val="clear" w:color="auto" w:fill="auto"/>
            <w:noWrap/>
            <w:vAlign w:val="center"/>
            <w:hideMark/>
          </w:tcPr>
          <w:p w14:paraId="5FF2107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646FB06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37,4</w:t>
            </w:r>
          </w:p>
        </w:tc>
      </w:tr>
      <w:tr w:rsidR="007B0701" w:rsidRPr="00D92E20" w14:paraId="2798C713"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47AC2C75"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709" w:type="dxa"/>
            <w:tcBorders>
              <w:top w:val="nil"/>
              <w:left w:val="nil"/>
              <w:bottom w:val="nil"/>
              <w:right w:val="nil"/>
            </w:tcBorders>
            <w:shd w:val="clear" w:color="auto" w:fill="auto"/>
            <w:noWrap/>
            <w:vAlign w:val="center"/>
            <w:hideMark/>
          </w:tcPr>
          <w:p w14:paraId="3332713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44,6</w:t>
            </w:r>
          </w:p>
        </w:tc>
        <w:tc>
          <w:tcPr>
            <w:tcW w:w="709" w:type="dxa"/>
            <w:tcBorders>
              <w:top w:val="nil"/>
              <w:left w:val="nil"/>
              <w:bottom w:val="nil"/>
              <w:right w:val="nil"/>
            </w:tcBorders>
            <w:shd w:val="clear" w:color="auto" w:fill="auto"/>
            <w:noWrap/>
            <w:vAlign w:val="center"/>
            <w:hideMark/>
          </w:tcPr>
          <w:p w14:paraId="312E870D"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43,1</w:t>
            </w:r>
          </w:p>
        </w:tc>
        <w:tc>
          <w:tcPr>
            <w:tcW w:w="709" w:type="dxa"/>
            <w:tcBorders>
              <w:top w:val="nil"/>
              <w:left w:val="nil"/>
              <w:bottom w:val="nil"/>
              <w:right w:val="nil"/>
            </w:tcBorders>
            <w:shd w:val="clear" w:color="auto" w:fill="auto"/>
            <w:noWrap/>
            <w:vAlign w:val="center"/>
            <w:hideMark/>
          </w:tcPr>
          <w:p w14:paraId="60FFD46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5184C66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42,4</w:t>
            </w:r>
          </w:p>
        </w:tc>
        <w:tc>
          <w:tcPr>
            <w:tcW w:w="709" w:type="dxa"/>
            <w:tcBorders>
              <w:top w:val="nil"/>
              <w:left w:val="nil"/>
              <w:bottom w:val="nil"/>
              <w:right w:val="nil"/>
            </w:tcBorders>
            <w:shd w:val="clear" w:color="auto" w:fill="auto"/>
            <w:noWrap/>
            <w:vAlign w:val="center"/>
            <w:hideMark/>
          </w:tcPr>
          <w:p w14:paraId="6DBCBD8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7CBFC8E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41,1</w:t>
            </w:r>
          </w:p>
        </w:tc>
        <w:tc>
          <w:tcPr>
            <w:tcW w:w="709" w:type="dxa"/>
            <w:tcBorders>
              <w:top w:val="nil"/>
              <w:left w:val="nil"/>
              <w:bottom w:val="nil"/>
              <w:right w:val="nil"/>
            </w:tcBorders>
            <w:shd w:val="clear" w:color="auto" w:fill="auto"/>
            <w:noWrap/>
            <w:vAlign w:val="center"/>
            <w:hideMark/>
          </w:tcPr>
          <w:p w14:paraId="648AE5E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40,6</w:t>
            </w:r>
          </w:p>
        </w:tc>
        <w:tc>
          <w:tcPr>
            <w:tcW w:w="709" w:type="dxa"/>
            <w:tcBorders>
              <w:top w:val="nil"/>
              <w:left w:val="nil"/>
              <w:bottom w:val="nil"/>
              <w:right w:val="nil"/>
            </w:tcBorders>
            <w:shd w:val="clear" w:color="auto" w:fill="auto"/>
            <w:noWrap/>
            <w:vAlign w:val="center"/>
            <w:hideMark/>
          </w:tcPr>
          <w:p w14:paraId="3FA30B1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39,9</w:t>
            </w:r>
          </w:p>
        </w:tc>
        <w:tc>
          <w:tcPr>
            <w:tcW w:w="709" w:type="dxa"/>
            <w:tcBorders>
              <w:top w:val="nil"/>
              <w:left w:val="nil"/>
              <w:bottom w:val="nil"/>
              <w:right w:val="nil"/>
            </w:tcBorders>
            <w:shd w:val="clear" w:color="auto" w:fill="auto"/>
            <w:noWrap/>
            <w:vAlign w:val="center"/>
            <w:hideMark/>
          </w:tcPr>
          <w:p w14:paraId="6CEC4278"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38,8</w:t>
            </w:r>
          </w:p>
        </w:tc>
        <w:tc>
          <w:tcPr>
            <w:tcW w:w="709" w:type="dxa"/>
            <w:tcBorders>
              <w:top w:val="nil"/>
              <w:left w:val="nil"/>
              <w:bottom w:val="nil"/>
              <w:right w:val="nil"/>
            </w:tcBorders>
            <w:shd w:val="clear" w:color="auto" w:fill="auto"/>
            <w:noWrap/>
            <w:vAlign w:val="center"/>
            <w:hideMark/>
          </w:tcPr>
          <w:p w14:paraId="3EBEF7B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39,2</w:t>
            </w:r>
          </w:p>
        </w:tc>
        <w:tc>
          <w:tcPr>
            <w:tcW w:w="709" w:type="dxa"/>
            <w:tcBorders>
              <w:top w:val="nil"/>
              <w:left w:val="nil"/>
              <w:bottom w:val="nil"/>
              <w:right w:val="nil"/>
            </w:tcBorders>
            <w:shd w:val="clear" w:color="auto" w:fill="auto"/>
            <w:noWrap/>
            <w:vAlign w:val="center"/>
            <w:hideMark/>
          </w:tcPr>
          <w:p w14:paraId="3F33217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36,8</w:t>
            </w:r>
          </w:p>
        </w:tc>
      </w:tr>
      <w:tr w:rsidR="007B0701" w:rsidRPr="00D92E20" w14:paraId="733A9D07"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2B19F7C0"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709" w:type="dxa"/>
            <w:tcBorders>
              <w:top w:val="nil"/>
              <w:left w:val="nil"/>
              <w:bottom w:val="nil"/>
              <w:right w:val="nil"/>
            </w:tcBorders>
            <w:shd w:val="clear" w:color="auto" w:fill="auto"/>
            <w:noWrap/>
            <w:vAlign w:val="center"/>
            <w:hideMark/>
          </w:tcPr>
          <w:p w14:paraId="1E423E0B"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45,0</w:t>
            </w:r>
          </w:p>
        </w:tc>
        <w:tc>
          <w:tcPr>
            <w:tcW w:w="709" w:type="dxa"/>
            <w:tcBorders>
              <w:top w:val="nil"/>
              <w:left w:val="nil"/>
              <w:bottom w:val="nil"/>
              <w:right w:val="nil"/>
            </w:tcBorders>
            <w:shd w:val="clear" w:color="auto" w:fill="auto"/>
            <w:noWrap/>
            <w:vAlign w:val="center"/>
            <w:hideMark/>
          </w:tcPr>
          <w:p w14:paraId="6E52F5C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7FAC901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45,4</w:t>
            </w:r>
          </w:p>
        </w:tc>
        <w:tc>
          <w:tcPr>
            <w:tcW w:w="709" w:type="dxa"/>
            <w:tcBorders>
              <w:top w:val="nil"/>
              <w:left w:val="nil"/>
              <w:bottom w:val="nil"/>
              <w:right w:val="nil"/>
            </w:tcBorders>
            <w:shd w:val="clear" w:color="auto" w:fill="auto"/>
            <w:noWrap/>
            <w:vAlign w:val="center"/>
            <w:hideMark/>
          </w:tcPr>
          <w:p w14:paraId="1A209B4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43,7</w:t>
            </w:r>
          </w:p>
        </w:tc>
        <w:tc>
          <w:tcPr>
            <w:tcW w:w="709" w:type="dxa"/>
            <w:tcBorders>
              <w:top w:val="nil"/>
              <w:left w:val="nil"/>
              <w:bottom w:val="nil"/>
              <w:right w:val="nil"/>
            </w:tcBorders>
            <w:shd w:val="clear" w:color="auto" w:fill="auto"/>
            <w:noWrap/>
            <w:vAlign w:val="center"/>
            <w:hideMark/>
          </w:tcPr>
          <w:p w14:paraId="6FF27D7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44C4035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42,5</w:t>
            </w:r>
          </w:p>
        </w:tc>
        <w:tc>
          <w:tcPr>
            <w:tcW w:w="709" w:type="dxa"/>
            <w:tcBorders>
              <w:top w:val="nil"/>
              <w:left w:val="nil"/>
              <w:bottom w:val="nil"/>
              <w:right w:val="nil"/>
            </w:tcBorders>
            <w:shd w:val="clear" w:color="auto" w:fill="auto"/>
            <w:noWrap/>
            <w:vAlign w:val="center"/>
            <w:hideMark/>
          </w:tcPr>
          <w:p w14:paraId="2EC0002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43,8</w:t>
            </w:r>
          </w:p>
        </w:tc>
        <w:tc>
          <w:tcPr>
            <w:tcW w:w="709" w:type="dxa"/>
            <w:tcBorders>
              <w:top w:val="nil"/>
              <w:left w:val="nil"/>
              <w:bottom w:val="nil"/>
              <w:right w:val="nil"/>
            </w:tcBorders>
            <w:shd w:val="clear" w:color="auto" w:fill="auto"/>
            <w:noWrap/>
            <w:vAlign w:val="center"/>
            <w:hideMark/>
          </w:tcPr>
          <w:p w14:paraId="16D3E90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43,2</w:t>
            </w:r>
          </w:p>
        </w:tc>
        <w:tc>
          <w:tcPr>
            <w:tcW w:w="709" w:type="dxa"/>
            <w:tcBorders>
              <w:top w:val="nil"/>
              <w:left w:val="nil"/>
              <w:bottom w:val="nil"/>
              <w:right w:val="nil"/>
            </w:tcBorders>
            <w:shd w:val="clear" w:color="auto" w:fill="auto"/>
            <w:noWrap/>
            <w:vAlign w:val="center"/>
            <w:hideMark/>
          </w:tcPr>
          <w:p w14:paraId="5A9FCF9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40,9</w:t>
            </w:r>
          </w:p>
        </w:tc>
        <w:tc>
          <w:tcPr>
            <w:tcW w:w="709" w:type="dxa"/>
            <w:tcBorders>
              <w:top w:val="nil"/>
              <w:left w:val="nil"/>
              <w:bottom w:val="nil"/>
              <w:right w:val="nil"/>
            </w:tcBorders>
            <w:shd w:val="clear" w:color="auto" w:fill="auto"/>
            <w:noWrap/>
            <w:vAlign w:val="center"/>
            <w:hideMark/>
          </w:tcPr>
          <w:p w14:paraId="3FEACA9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42,2</w:t>
            </w:r>
          </w:p>
        </w:tc>
        <w:tc>
          <w:tcPr>
            <w:tcW w:w="709" w:type="dxa"/>
            <w:tcBorders>
              <w:top w:val="nil"/>
              <w:left w:val="nil"/>
              <w:bottom w:val="nil"/>
              <w:right w:val="nil"/>
            </w:tcBorders>
            <w:shd w:val="clear" w:color="auto" w:fill="auto"/>
            <w:noWrap/>
            <w:vAlign w:val="center"/>
            <w:hideMark/>
          </w:tcPr>
          <w:p w14:paraId="2D6ABF5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38,4</w:t>
            </w:r>
          </w:p>
        </w:tc>
      </w:tr>
      <w:tr w:rsidR="007B0701" w:rsidRPr="00D92E20" w14:paraId="015D5D2B"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2AA7197E" w14:textId="77777777" w:rsidR="007B0701" w:rsidRPr="00D92E20" w:rsidRDefault="003B64A7" w:rsidP="007B0701">
            <w:pPr>
              <w:spacing w:after="0" w:line="240" w:lineRule="auto"/>
              <w:ind w:firstLineChars="100" w:firstLine="160"/>
              <w:rPr>
                <w:rFonts w:cs="Arial"/>
                <w:color w:val="000000"/>
                <w:sz w:val="16"/>
                <w:szCs w:val="16"/>
              </w:rPr>
            </w:pPr>
            <w:r w:rsidRPr="00D92E20">
              <w:rPr>
                <w:rFonts w:cs="Arial"/>
                <w:color w:val="000000"/>
                <w:sz w:val="16"/>
                <w:szCs w:val="16"/>
              </w:rPr>
              <w:t xml:space="preserve">Kraj </w:t>
            </w:r>
            <w:r w:rsidR="007B0701" w:rsidRPr="00D92E20">
              <w:rPr>
                <w:rFonts w:cs="Arial"/>
                <w:color w:val="000000"/>
                <w:sz w:val="16"/>
                <w:szCs w:val="16"/>
              </w:rPr>
              <w:t>Vysočina</w:t>
            </w:r>
          </w:p>
        </w:tc>
        <w:tc>
          <w:tcPr>
            <w:tcW w:w="709" w:type="dxa"/>
            <w:tcBorders>
              <w:top w:val="nil"/>
              <w:left w:val="nil"/>
              <w:bottom w:val="nil"/>
              <w:right w:val="nil"/>
            </w:tcBorders>
            <w:shd w:val="clear" w:color="auto" w:fill="auto"/>
            <w:noWrap/>
            <w:vAlign w:val="center"/>
            <w:hideMark/>
          </w:tcPr>
          <w:p w14:paraId="6789CBA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2C57313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44,8</w:t>
            </w:r>
          </w:p>
        </w:tc>
        <w:tc>
          <w:tcPr>
            <w:tcW w:w="709" w:type="dxa"/>
            <w:tcBorders>
              <w:top w:val="nil"/>
              <w:left w:val="nil"/>
              <w:bottom w:val="nil"/>
              <w:right w:val="nil"/>
            </w:tcBorders>
            <w:shd w:val="clear" w:color="auto" w:fill="auto"/>
            <w:noWrap/>
            <w:vAlign w:val="center"/>
            <w:hideMark/>
          </w:tcPr>
          <w:p w14:paraId="2808F45D"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A934948"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44,4</w:t>
            </w:r>
          </w:p>
        </w:tc>
        <w:tc>
          <w:tcPr>
            <w:tcW w:w="709" w:type="dxa"/>
            <w:tcBorders>
              <w:top w:val="nil"/>
              <w:left w:val="nil"/>
              <w:bottom w:val="nil"/>
              <w:right w:val="nil"/>
            </w:tcBorders>
            <w:shd w:val="clear" w:color="auto" w:fill="auto"/>
            <w:noWrap/>
            <w:vAlign w:val="center"/>
            <w:hideMark/>
          </w:tcPr>
          <w:p w14:paraId="7F6F4384"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47,4</w:t>
            </w:r>
          </w:p>
        </w:tc>
        <w:tc>
          <w:tcPr>
            <w:tcW w:w="709" w:type="dxa"/>
            <w:tcBorders>
              <w:top w:val="nil"/>
              <w:left w:val="nil"/>
              <w:bottom w:val="nil"/>
              <w:right w:val="nil"/>
            </w:tcBorders>
            <w:shd w:val="clear" w:color="auto" w:fill="auto"/>
            <w:noWrap/>
            <w:vAlign w:val="center"/>
            <w:hideMark/>
          </w:tcPr>
          <w:p w14:paraId="6A7E229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04024D5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45,2</w:t>
            </w:r>
          </w:p>
        </w:tc>
        <w:tc>
          <w:tcPr>
            <w:tcW w:w="709" w:type="dxa"/>
            <w:tcBorders>
              <w:top w:val="nil"/>
              <w:left w:val="nil"/>
              <w:bottom w:val="nil"/>
              <w:right w:val="nil"/>
            </w:tcBorders>
            <w:shd w:val="clear" w:color="auto" w:fill="auto"/>
            <w:noWrap/>
            <w:vAlign w:val="center"/>
            <w:hideMark/>
          </w:tcPr>
          <w:p w14:paraId="675D721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45,1</w:t>
            </w:r>
          </w:p>
        </w:tc>
        <w:tc>
          <w:tcPr>
            <w:tcW w:w="709" w:type="dxa"/>
            <w:tcBorders>
              <w:top w:val="nil"/>
              <w:left w:val="nil"/>
              <w:bottom w:val="nil"/>
              <w:right w:val="nil"/>
            </w:tcBorders>
            <w:shd w:val="clear" w:color="auto" w:fill="auto"/>
            <w:noWrap/>
            <w:vAlign w:val="center"/>
            <w:hideMark/>
          </w:tcPr>
          <w:p w14:paraId="06EFEA9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44,2</w:t>
            </w:r>
          </w:p>
        </w:tc>
        <w:tc>
          <w:tcPr>
            <w:tcW w:w="709" w:type="dxa"/>
            <w:tcBorders>
              <w:top w:val="nil"/>
              <w:left w:val="nil"/>
              <w:bottom w:val="nil"/>
              <w:right w:val="nil"/>
            </w:tcBorders>
            <w:shd w:val="clear" w:color="auto" w:fill="auto"/>
            <w:noWrap/>
            <w:vAlign w:val="center"/>
            <w:hideMark/>
          </w:tcPr>
          <w:p w14:paraId="3D07D988"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45,6</w:t>
            </w:r>
          </w:p>
        </w:tc>
        <w:tc>
          <w:tcPr>
            <w:tcW w:w="709" w:type="dxa"/>
            <w:tcBorders>
              <w:top w:val="nil"/>
              <w:left w:val="nil"/>
              <w:bottom w:val="nil"/>
              <w:right w:val="nil"/>
            </w:tcBorders>
            <w:shd w:val="clear" w:color="auto" w:fill="auto"/>
            <w:noWrap/>
            <w:vAlign w:val="center"/>
            <w:hideMark/>
          </w:tcPr>
          <w:p w14:paraId="71310A1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40,7</w:t>
            </w:r>
          </w:p>
        </w:tc>
      </w:tr>
      <w:tr w:rsidR="007B0701" w:rsidRPr="00D92E20" w14:paraId="71876842"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75CBE64D"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709" w:type="dxa"/>
            <w:tcBorders>
              <w:top w:val="nil"/>
              <w:left w:val="nil"/>
              <w:bottom w:val="nil"/>
              <w:right w:val="nil"/>
            </w:tcBorders>
            <w:shd w:val="clear" w:color="auto" w:fill="auto"/>
            <w:noWrap/>
            <w:vAlign w:val="center"/>
            <w:hideMark/>
          </w:tcPr>
          <w:p w14:paraId="2A4F143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6C6FA6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46,4</w:t>
            </w:r>
          </w:p>
        </w:tc>
        <w:tc>
          <w:tcPr>
            <w:tcW w:w="709" w:type="dxa"/>
            <w:tcBorders>
              <w:top w:val="nil"/>
              <w:left w:val="nil"/>
              <w:bottom w:val="nil"/>
              <w:right w:val="nil"/>
            </w:tcBorders>
            <w:shd w:val="clear" w:color="auto" w:fill="auto"/>
            <w:noWrap/>
            <w:vAlign w:val="center"/>
            <w:hideMark/>
          </w:tcPr>
          <w:p w14:paraId="0A81811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541F4E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45,3</w:t>
            </w:r>
          </w:p>
        </w:tc>
        <w:tc>
          <w:tcPr>
            <w:tcW w:w="709" w:type="dxa"/>
            <w:tcBorders>
              <w:top w:val="nil"/>
              <w:left w:val="nil"/>
              <w:bottom w:val="nil"/>
              <w:right w:val="nil"/>
            </w:tcBorders>
            <w:shd w:val="clear" w:color="auto" w:fill="auto"/>
            <w:noWrap/>
            <w:vAlign w:val="center"/>
            <w:hideMark/>
          </w:tcPr>
          <w:p w14:paraId="6E5CCF1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47,1</w:t>
            </w:r>
          </w:p>
        </w:tc>
        <w:tc>
          <w:tcPr>
            <w:tcW w:w="709" w:type="dxa"/>
            <w:tcBorders>
              <w:top w:val="nil"/>
              <w:left w:val="nil"/>
              <w:bottom w:val="nil"/>
              <w:right w:val="nil"/>
            </w:tcBorders>
            <w:shd w:val="clear" w:color="auto" w:fill="auto"/>
            <w:noWrap/>
            <w:vAlign w:val="center"/>
            <w:hideMark/>
          </w:tcPr>
          <w:p w14:paraId="7982177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44,1</w:t>
            </w:r>
          </w:p>
        </w:tc>
        <w:tc>
          <w:tcPr>
            <w:tcW w:w="709" w:type="dxa"/>
            <w:tcBorders>
              <w:top w:val="nil"/>
              <w:left w:val="nil"/>
              <w:bottom w:val="nil"/>
              <w:right w:val="nil"/>
            </w:tcBorders>
            <w:shd w:val="clear" w:color="auto" w:fill="auto"/>
            <w:noWrap/>
            <w:vAlign w:val="center"/>
            <w:hideMark/>
          </w:tcPr>
          <w:p w14:paraId="0ECA6C2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44,9</w:t>
            </w:r>
          </w:p>
        </w:tc>
        <w:tc>
          <w:tcPr>
            <w:tcW w:w="709" w:type="dxa"/>
            <w:tcBorders>
              <w:top w:val="nil"/>
              <w:left w:val="nil"/>
              <w:bottom w:val="nil"/>
              <w:right w:val="nil"/>
            </w:tcBorders>
            <w:shd w:val="clear" w:color="auto" w:fill="auto"/>
            <w:noWrap/>
            <w:vAlign w:val="center"/>
            <w:hideMark/>
          </w:tcPr>
          <w:p w14:paraId="06A2B6E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44,0</w:t>
            </w:r>
          </w:p>
        </w:tc>
        <w:tc>
          <w:tcPr>
            <w:tcW w:w="709" w:type="dxa"/>
            <w:tcBorders>
              <w:top w:val="nil"/>
              <w:left w:val="nil"/>
              <w:bottom w:val="nil"/>
              <w:right w:val="nil"/>
            </w:tcBorders>
            <w:shd w:val="clear" w:color="auto" w:fill="auto"/>
            <w:noWrap/>
            <w:vAlign w:val="center"/>
            <w:hideMark/>
          </w:tcPr>
          <w:p w14:paraId="2B4FAD5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42,6</w:t>
            </w:r>
          </w:p>
        </w:tc>
        <w:tc>
          <w:tcPr>
            <w:tcW w:w="709" w:type="dxa"/>
            <w:tcBorders>
              <w:top w:val="nil"/>
              <w:left w:val="nil"/>
              <w:bottom w:val="nil"/>
              <w:right w:val="nil"/>
            </w:tcBorders>
            <w:shd w:val="clear" w:color="auto" w:fill="auto"/>
            <w:noWrap/>
            <w:vAlign w:val="center"/>
            <w:hideMark/>
          </w:tcPr>
          <w:p w14:paraId="2ABA7C6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43,3</w:t>
            </w:r>
          </w:p>
        </w:tc>
        <w:tc>
          <w:tcPr>
            <w:tcW w:w="709" w:type="dxa"/>
            <w:tcBorders>
              <w:top w:val="nil"/>
              <w:left w:val="nil"/>
              <w:bottom w:val="nil"/>
              <w:right w:val="nil"/>
            </w:tcBorders>
            <w:shd w:val="clear" w:color="auto" w:fill="auto"/>
            <w:noWrap/>
            <w:vAlign w:val="center"/>
            <w:hideMark/>
          </w:tcPr>
          <w:p w14:paraId="4F43A7C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41,0</w:t>
            </w:r>
          </w:p>
        </w:tc>
      </w:tr>
      <w:tr w:rsidR="007B0701" w:rsidRPr="00D92E20" w14:paraId="3423B35A"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72B7A150"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709" w:type="dxa"/>
            <w:tcBorders>
              <w:top w:val="nil"/>
              <w:left w:val="nil"/>
              <w:bottom w:val="nil"/>
              <w:right w:val="nil"/>
            </w:tcBorders>
            <w:shd w:val="clear" w:color="auto" w:fill="auto"/>
            <w:noWrap/>
            <w:vAlign w:val="center"/>
            <w:hideMark/>
          </w:tcPr>
          <w:p w14:paraId="09B4654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50,7</w:t>
            </w:r>
          </w:p>
        </w:tc>
        <w:tc>
          <w:tcPr>
            <w:tcW w:w="709" w:type="dxa"/>
            <w:tcBorders>
              <w:top w:val="nil"/>
              <w:left w:val="nil"/>
              <w:bottom w:val="nil"/>
              <w:right w:val="nil"/>
            </w:tcBorders>
            <w:shd w:val="clear" w:color="auto" w:fill="auto"/>
            <w:noWrap/>
            <w:vAlign w:val="center"/>
            <w:hideMark/>
          </w:tcPr>
          <w:p w14:paraId="689E78A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50,9</w:t>
            </w:r>
          </w:p>
        </w:tc>
        <w:tc>
          <w:tcPr>
            <w:tcW w:w="709" w:type="dxa"/>
            <w:tcBorders>
              <w:top w:val="nil"/>
              <w:left w:val="nil"/>
              <w:bottom w:val="nil"/>
              <w:right w:val="nil"/>
            </w:tcBorders>
            <w:shd w:val="clear" w:color="auto" w:fill="auto"/>
            <w:noWrap/>
            <w:vAlign w:val="center"/>
            <w:hideMark/>
          </w:tcPr>
          <w:p w14:paraId="2287CEC0"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53,5</w:t>
            </w:r>
          </w:p>
        </w:tc>
        <w:tc>
          <w:tcPr>
            <w:tcW w:w="709" w:type="dxa"/>
            <w:tcBorders>
              <w:top w:val="nil"/>
              <w:left w:val="nil"/>
              <w:bottom w:val="nil"/>
              <w:right w:val="nil"/>
            </w:tcBorders>
            <w:shd w:val="clear" w:color="auto" w:fill="auto"/>
            <w:noWrap/>
            <w:vAlign w:val="center"/>
            <w:hideMark/>
          </w:tcPr>
          <w:p w14:paraId="4F13700B"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51,1</w:t>
            </w:r>
          </w:p>
        </w:tc>
        <w:tc>
          <w:tcPr>
            <w:tcW w:w="709" w:type="dxa"/>
            <w:tcBorders>
              <w:top w:val="nil"/>
              <w:left w:val="nil"/>
              <w:bottom w:val="nil"/>
              <w:right w:val="nil"/>
            </w:tcBorders>
            <w:shd w:val="clear" w:color="auto" w:fill="auto"/>
            <w:noWrap/>
            <w:vAlign w:val="center"/>
            <w:hideMark/>
          </w:tcPr>
          <w:p w14:paraId="37BE3D1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54,1</w:t>
            </w:r>
          </w:p>
        </w:tc>
        <w:tc>
          <w:tcPr>
            <w:tcW w:w="709" w:type="dxa"/>
            <w:tcBorders>
              <w:top w:val="nil"/>
              <w:left w:val="nil"/>
              <w:bottom w:val="nil"/>
              <w:right w:val="nil"/>
            </w:tcBorders>
            <w:shd w:val="clear" w:color="auto" w:fill="auto"/>
            <w:noWrap/>
            <w:vAlign w:val="center"/>
            <w:hideMark/>
          </w:tcPr>
          <w:p w14:paraId="183ABF8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47,8</w:t>
            </w:r>
          </w:p>
        </w:tc>
        <w:tc>
          <w:tcPr>
            <w:tcW w:w="709" w:type="dxa"/>
            <w:tcBorders>
              <w:top w:val="nil"/>
              <w:left w:val="nil"/>
              <w:bottom w:val="nil"/>
              <w:right w:val="nil"/>
            </w:tcBorders>
            <w:shd w:val="clear" w:color="auto" w:fill="auto"/>
            <w:noWrap/>
            <w:vAlign w:val="center"/>
            <w:hideMark/>
          </w:tcPr>
          <w:p w14:paraId="20D2508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3F68CEAB"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47,2</w:t>
            </w:r>
          </w:p>
        </w:tc>
        <w:tc>
          <w:tcPr>
            <w:tcW w:w="709" w:type="dxa"/>
            <w:tcBorders>
              <w:top w:val="nil"/>
              <w:left w:val="nil"/>
              <w:bottom w:val="nil"/>
              <w:right w:val="nil"/>
            </w:tcBorders>
            <w:shd w:val="clear" w:color="auto" w:fill="auto"/>
            <w:noWrap/>
            <w:vAlign w:val="center"/>
            <w:hideMark/>
          </w:tcPr>
          <w:p w14:paraId="32CD5EB9"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45,7</w:t>
            </w:r>
          </w:p>
        </w:tc>
        <w:tc>
          <w:tcPr>
            <w:tcW w:w="709" w:type="dxa"/>
            <w:tcBorders>
              <w:top w:val="nil"/>
              <w:left w:val="nil"/>
              <w:bottom w:val="nil"/>
              <w:right w:val="nil"/>
            </w:tcBorders>
            <w:shd w:val="clear" w:color="auto" w:fill="auto"/>
            <w:noWrap/>
            <w:vAlign w:val="center"/>
            <w:hideMark/>
          </w:tcPr>
          <w:p w14:paraId="0BB7A89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46,1</w:t>
            </w:r>
          </w:p>
        </w:tc>
        <w:tc>
          <w:tcPr>
            <w:tcW w:w="709" w:type="dxa"/>
            <w:tcBorders>
              <w:top w:val="nil"/>
              <w:left w:val="nil"/>
              <w:bottom w:val="nil"/>
              <w:right w:val="nil"/>
            </w:tcBorders>
            <w:shd w:val="clear" w:color="auto" w:fill="auto"/>
            <w:noWrap/>
            <w:vAlign w:val="center"/>
            <w:hideMark/>
          </w:tcPr>
          <w:p w14:paraId="1FCA6F7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40,0</w:t>
            </w:r>
          </w:p>
        </w:tc>
      </w:tr>
      <w:tr w:rsidR="007B0701" w:rsidRPr="00D92E20" w14:paraId="55C2FA43"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58A44C3A"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709" w:type="dxa"/>
            <w:tcBorders>
              <w:top w:val="nil"/>
              <w:left w:val="nil"/>
              <w:bottom w:val="nil"/>
              <w:right w:val="nil"/>
            </w:tcBorders>
            <w:shd w:val="clear" w:color="auto" w:fill="auto"/>
            <w:noWrap/>
            <w:vAlign w:val="center"/>
            <w:hideMark/>
          </w:tcPr>
          <w:p w14:paraId="320D205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54,8</w:t>
            </w:r>
          </w:p>
        </w:tc>
        <w:tc>
          <w:tcPr>
            <w:tcW w:w="709" w:type="dxa"/>
            <w:tcBorders>
              <w:top w:val="nil"/>
              <w:left w:val="nil"/>
              <w:bottom w:val="nil"/>
              <w:right w:val="nil"/>
            </w:tcBorders>
            <w:shd w:val="clear" w:color="auto" w:fill="auto"/>
            <w:noWrap/>
            <w:vAlign w:val="center"/>
            <w:hideMark/>
          </w:tcPr>
          <w:p w14:paraId="3C9D95B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55,3</w:t>
            </w:r>
          </w:p>
        </w:tc>
        <w:tc>
          <w:tcPr>
            <w:tcW w:w="709" w:type="dxa"/>
            <w:tcBorders>
              <w:top w:val="nil"/>
              <w:left w:val="nil"/>
              <w:bottom w:val="nil"/>
              <w:right w:val="nil"/>
            </w:tcBorders>
            <w:shd w:val="clear" w:color="auto" w:fill="auto"/>
            <w:noWrap/>
            <w:vAlign w:val="center"/>
            <w:hideMark/>
          </w:tcPr>
          <w:p w14:paraId="0484B87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55,7</w:t>
            </w:r>
          </w:p>
        </w:tc>
        <w:tc>
          <w:tcPr>
            <w:tcW w:w="709" w:type="dxa"/>
            <w:tcBorders>
              <w:top w:val="nil"/>
              <w:left w:val="nil"/>
              <w:bottom w:val="nil"/>
              <w:right w:val="nil"/>
            </w:tcBorders>
            <w:shd w:val="clear" w:color="auto" w:fill="auto"/>
            <w:noWrap/>
            <w:vAlign w:val="center"/>
            <w:hideMark/>
          </w:tcPr>
          <w:p w14:paraId="72A4744E"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53,8</w:t>
            </w:r>
          </w:p>
        </w:tc>
        <w:tc>
          <w:tcPr>
            <w:tcW w:w="709" w:type="dxa"/>
            <w:tcBorders>
              <w:top w:val="nil"/>
              <w:left w:val="nil"/>
              <w:bottom w:val="nil"/>
              <w:right w:val="nil"/>
            </w:tcBorders>
            <w:shd w:val="clear" w:color="auto" w:fill="auto"/>
            <w:noWrap/>
            <w:vAlign w:val="center"/>
            <w:hideMark/>
          </w:tcPr>
          <w:p w14:paraId="2A0EC973"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55,5</w:t>
            </w:r>
          </w:p>
        </w:tc>
        <w:tc>
          <w:tcPr>
            <w:tcW w:w="709" w:type="dxa"/>
            <w:tcBorders>
              <w:top w:val="nil"/>
              <w:left w:val="nil"/>
              <w:bottom w:val="nil"/>
              <w:right w:val="nil"/>
            </w:tcBorders>
            <w:shd w:val="clear" w:color="auto" w:fill="auto"/>
            <w:noWrap/>
            <w:vAlign w:val="center"/>
            <w:hideMark/>
          </w:tcPr>
          <w:p w14:paraId="14531706"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52A6F747"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52,1</w:t>
            </w:r>
          </w:p>
        </w:tc>
        <w:tc>
          <w:tcPr>
            <w:tcW w:w="709" w:type="dxa"/>
            <w:tcBorders>
              <w:top w:val="nil"/>
              <w:left w:val="nil"/>
              <w:bottom w:val="nil"/>
              <w:right w:val="nil"/>
            </w:tcBorders>
            <w:shd w:val="clear" w:color="auto" w:fill="auto"/>
            <w:noWrap/>
            <w:vAlign w:val="center"/>
            <w:hideMark/>
          </w:tcPr>
          <w:p w14:paraId="6A693E2D"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50,3</w:t>
            </w:r>
          </w:p>
        </w:tc>
        <w:tc>
          <w:tcPr>
            <w:tcW w:w="709" w:type="dxa"/>
            <w:tcBorders>
              <w:top w:val="nil"/>
              <w:left w:val="nil"/>
              <w:bottom w:val="nil"/>
              <w:right w:val="nil"/>
            </w:tcBorders>
            <w:shd w:val="clear" w:color="auto" w:fill="auto"/>
            <w:noWrap/>
            <w:vAlign w:val="center"/>
            <w:hideMark/>
          </w:tcPr>
          <w:p w14:paraId="628326F4"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49,2</w:t>
            </w:r>
          </w:p>
        </w:tc>
        <w:tc>
          <w:tcPr>
            <w:tcW w:w="709" w:type="dxa"/>
            <w:tcBorders>
              <w:top w:val="nil"/>
              <w:left w:val="nil"/>
              <w:bottom w:val="nil"/>
              <w:right w:val="nil"/>
            </w:tcBorders>
            <w:shd w:val="clear" w:color="auto" w:fill="auto"/>
            <w:noWrap/>
            <w:vAlign w:val="center"/>
            <w:hideMark/>
          </w:tcPr>
          <w:p w14:paraId="5C7A39FA"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49,6</w:t>
            </w:r>
          </w:p>
        </w:tc>
        <w:tc>
          <w:tcPr>
            <w:tcW w:w="709" w:type="dxa"/>
            <w:tcBorders>
              <w:top w:val="nil"/>
              <w:left w:val="nil"/>
              <w:bottom w:val="nil"/>
              <w:right w:val="nil"/>
            </w:tcBorders>
            <w:shd w:val="clear" w:color="auto" w:fill="auto"/>
            <w:noWrap/>
            <w:vAlign w:val="center"/>
            <w:hideMark/>
          </w:tcPr>
          <w:p w14:paraId="580F15C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43,5</w:t>
            </w:r>
          </w:p>
        </w:tc>
      </w:tr>
      <w:tr w:rsidR="007B0701" w:rsidRPr="00D92E20" w14:paraId="1975F7CB" w14:textId="77777777" w:rsidTr="007B0701">
        <w:trPr>
          <w:trHeight w:val="300"/>
        </w:trPr>
        <w:tc>
          <w:tcPr>
            <w:tcW w:w="1871" w:type="dxa"/>
            <w:tcBorders>
              <w:top w:val="nil"/>
              <w:left w:val="nil"/>
              <w:bottom w:val="nil"/>
              <w:right w:val="single" w:sz="4" w:space="0" w:color="auto"/>
            </w:tcBorders>
            <w:shd w:val="clear" w:color="auto" w:fill="auto"/>
            <w:noWrap/>
            <w:vAlign w:val="center"/>
            <w:hideMark/>
          </w:tcPr>
          <w:p w14:paraId="3407B20F" w14:textId="77777777" w:rsidR="007B0701" w:rsidRPr="00D92E20" w:rsidRDefault="007B0701" w:rsidP="007B0701">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709" w:type="dxa"/>
            <w:tcBorders>
              <w:top w:val="nil"/>
              <w:left w:val="nil"/>
              <w:bottom w:val="nil"/>
              <w:right w:val="nil"/>
            </w:tcBorders>
            <w:shd w:val="clear" w:color="auto" w:fill="auto"/>
            <w:noWrap/>
            <w:vAlign w:val="center"/>
            <w:hideMark/>
          </w:tcPr>
          <w:p w14:paraId="2646BB7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48,9</w:t>
            </w:r>
          </w:p>
        </w:tc>
        <w:tc>
          <w:tcPr>
            <w:tcW w:w="709" w:type="dxa"/>
            <w:tcBorders>
              <w:top w:val="nil"/>
              <w:left w:val="nil"/>
              <w:bottom w:val="nil"/>
              <w:right w:val="nil"/>
            </w:tcBorders>
            <w:shd w:val="clear" w:color="auto" w:fill="auto"/>
            <w:noWrap/>
            <w:vAlign w:val="center"/>
            <w:hideMark/>
          </w:tcPr>
          <w:p w14:paraId="0293CD0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49,0</w:t>
            </w:r>
          </w:p>
        </w:tc>
        <w:tc>
          <w:tcPr>
            <w:tcW w:w="709" w:type="dxa"/>
            <w:tcBorders>
              <w:top w:val="nil"/>
              <w:left w:val="nil"/>
              <w:bottom w:val="nil"/>
              <w:right w:val="nil"/>
            </w:tcBorders>
            <w:shd w:val="clear" w:color="auto" w:fill="auto"/>
            <w:noWrap/>
            <w:vAlign w:val="center"/>
            <w:hideMark/>
          </w:tcPr>
          <w:p w14:paraId="7B2C7F58"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51,6</w:t>
            </w:r>
          </w:p>
        </w:tc>
        <w:tc>
          <w:tcPr>
            <w:tcW w:w="709" w:type="dxa"/>
            <w:tcBorders>
              <w:top w:val="nil"/>
              <w:left w:val="nil"/>
              <w:bottom w:val="nil"/>
              <w:right w:val="nil"/>
            </w:tcBorders>
            <w:shd w:val="clear" w:color="auto" w:fill="auto"/>
            <w:noWrap/>
            <w:vAlign w:val="center"/>
            <w:hideMark/>
          </w:tcPr>
          <w:p w14:paraId="751E46F5"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50,1</w:t>
            </w:r>
          </w:p>
        </w:tc>
        <w:tc>
          <w:tcPr>
            <w:tcW w:w="709" w:type="dxa"/>
            <w:tcBorders>
              <w:top w:val="nil"/>
              <w:left w:val="nil"/>
              <w:bottom w:val="nil"/>
              <w:right w:val="nil"/>
            </w:tcBorders>
            <w:shd w:val="clear" w:color="auto" w:fill="auto"/>
            <w:noWrap/>
            <w:vAlign w:val="center"/>
            <w:hideMark/>
          </w:tcPr>
          <w:p w14:paraId="25951CD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52,6</w:t>
            </w:r>
          </w:p>
        </w:tc>
        <w:tc>
          <w:tcPr>
            <w:tcW w:w="709" w:type="dxa"/>
            <w:tcBorders>
              <w:top w:val="nil"/>
              <w:left w:val="nil"/>
              <w:bottom w:val="nil"/>
              <w:right w:val="nil"/>
            </w:tcBorders>
            <w:shd w:val="clear" w:color="auto" w:fill="auto"/>
            <w:noWrap/>
            <w:vAlign w:val="center"/>
            <w:hideMark/>
          </w:tcPr>
          <w:p w14:paraId="647F427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48,6</w:t>
            </w:r>
          </w:p>
        </w:tc>
        <w:tc>
          <w:tcPr>
            <w:tcW w:w="709" w:type="dxa"/>
            <w:tcBorders>
              <w:top w:val="nil"/>
              <w:left w:val="nil"/>
              <w:bottom w:val="nil"/>
              <w:right w:val="nil"/>
            </w:tcBorders>
            <w:shd w:val="clear" w:color="auto" w:fill="auto"/>
            <w:noWrap/>
            <w:vAlign w:val="center"/>
            <w:hideMark/>
          </w:tcPr>
          <w:p w14:paraId="0126709C"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50,0</w:t>
            </w:r>
          </w:p>
        </w:tc>
        <w:tc>
          <w:tcPr>
            <w:tcW w:w="709" w:type="dxa"/>
            <w:tcBorders>
              <w:top w:val="nil"/>
              <w:left w:val="nil"/>
              <w:bottom w:val="nil"/>
              <w:right w:val="nil"/>
            </w:tcBorders>
            <w:shd w:val="clear" w:color="auto" w:fill="auto"/>
            <w:noWrap/>
            <w:vAlign w:val="center"/>
            <w:hideMark/>
          </w:tcPr>
          <w:p w14:paraId="3ABAB0D1"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48,8</w:t>
            </w:r>
          </w:p>
        </w:tc>
        <w:tc>
          <w:tcPr>
            <w:tcW w:w="709" w:type="dxa"/>
            <w:tcBorders>
              <w:top w:val="nil"/>
              <w:left w:val="nil"/>
              <w:bottom w:val="nil"/>
              <w:right w:val="nil"/>
            </w:tcBorders>
            <w:shd w:val="clear" w:color="auto" w:fill="auto"/>
            <w:noWrap/>
            <w:vAlign w:val="center"/>
            <w:hideMark/>
          </w:tcPr>
          <w:p w14:paraId="271E18D8"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47,3</w:t>
            </w:r>
          </w:p>
        </w:tc>
        <w:tc>
          <w:tcPr>
            <w:tcW w:w="709" w:type="dxa"/>
            <w:tcBorders>
              <w:top w:val="nil"/>
              <w:left w:val="nil"/>
              <w:bottom w:val="nil"/>
              <w:right w:val="nil"/>
            </w:tcBorders>
            <w:shd w:val="clear" w:color="auto" w:fill="auto"/>
            <w:noWrap/>
            <w:vAlign w:val="center"/>
            <w:hideMark/>
          </w:tcPr>
          <w:p w14:paraId="48ABF062"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48,7</w:t>
            </w:r>
          </w:p>
        </w:tc>
        <w:tc>
          <w:tcPr>
            <w:tcW w:w="709" w:type="dxa"/>
            <w:tcBorders>
              <w:top w:val="nil"/>
              <w:left w:val="nil"/>
              <w:bottom w:val="nil"/>
              <w:right w:val="nil"/>
            </w:tcBorders>
            <w:shd w:val="clear" w:color="auto" w:fill="auto"/>
            <w:noWrap/>
            <w:vAlign w:val="center"/>
            <w:hideMark/>
          </w:tcPr>
          <w:p w14:paraId="0731B83F" w14:textId="77777777" w:rsidR="007B0701" w:rsidRPr="00D92E20" w:rsidRDefault="007B0701" w:rsidP="007B0701">
            <w:pPr>
              <w:spacing w:after="0" w:line="240" w:lineRule="auto"/>
              <w:jc w:val="center"/>
              <w:rPr>
                <w:rFonts w:cs="Arial"/>
                <w:color w:val="000000"/>
                <w:sz w:val="16"/>
                <w:szCs w:val="16"/>
              </w:rPr>
            </w:pPr>
            <w:r w:rsidRPr="00D92E20">
              <w:rPr>
                <w:rFonts w:cs="Arial"/>
                <w:color w:val="000000"/>
                <w:sz w:val="16"/>
                <w:szCs w:val="16"/>
              </w:rPr>
              <w:t>42,9</w:t>
            </w:r>
          </w:p>
        </w:tc>
      </w:tr>
    </w:tbl>
    <w:p w14:paraId="5DAFF558" w14:textId="77777777" w:rsidR="00C24683" w:rsidRPr="00D92E20" w:rsidRDefault="007B0701" w:rsidP="007B0701">
      <w:pPr>
        <w:spacing w:before="120"/>
        <w:rPr>
          <w:sz w:val="16"/>
        </w:rPr>
      </w:pPr>
      <w:r w:rsidRPr="00D92E20">
        <w:rPr>
          <w:sz w:val="16"/>
        </w:rPr>
        <w:t>Zdroj: ČSÚ</w:t>
      </w:r>
    </w:p>
    <w:p w14:paraId="42641F90" w14:textId="77777777" w:rsidR="00C24683" w:rsidRPr="00D92E20" w:rsidRDefault="00C24683">
      <w:pPr>
        <w:spacing w:after="0" w:line="240" w:lineRule="auto"/>
        <w:rPr>
          <w:sz w:val="16"/>
        </w:rPr>
      </w:pPr>
      <w:r w:rsidRPr="00D92E20">
        <w:rPr>
          <w:sz w:val="16"/>
        </w:rPr>
        <w:br w:type="page"/>
      </w:r>
    </w:p>
    <w:p w14:paraId="161BB50D" w14:textId="7AFF45F2" w:rsidR="007B0701" w:rsidRPr="00D92E20" w:rsidRDefault="00551C14" w:rsidP="00000A90">
      <w:pPr>
        <w:spacing w:before="120" w:after="120"/>
        <w:jc w:val="both"/>
      </w:pPr>
      <w:r w:rsidRPr="00D92E20">
        <w:rPr>
          <w:b/>
        </w:rPr>
        <w:lastRenderedPageBreak/>
        <w:t>Osoby samostatně výdělečně činné (</w:t>
      </w:r>
      <w:r w:rsidR="007B0701" w:rsidRPr="00D92E20">
        <w:rPr>
          <w:b/>
        </w:rPr>
        <w:t>OSVČ</w:t>
      </w:r>
      <w:r w:rsidRPr="00D92E20">
        <w:rPr>
          <w:b/>
        </w:rPr>
        <w:t>)</w:t>
      </w:r>
      <w:r w:rsidR="007B0701" w:rsidRPr="00D92E20">
        <w:t xml:space="preserve"> nastupují do pracovní neschopnosti méně často než zaměstnanci (</w:t>
      </w:r>
      <w:r w:rsidR="008D7B44" w:rsidRPr="00D92E20">
        <w:t>19</w:t>
      </w:r>
      <w:r w:rsidR="007B0701" w:rsidRPr="00D92E20">
        <w:t xml:space="preserve"> případů na 100 nemocensky pojištěných OSVČ vs. </w:t>
      </w:r>
      <w:r w:rsidR="008D7B44" w:rsidRPr="00D92E20">
        <w:t xml:space="preserve">52 </w:t>
      </w:r>
      <w:r w:rsidR="007B0701" w:rsidRPr="00D92E20">
        <w:t xml:space="preserve">případů u zaměstnanců za </w:t>
      </w:r>
      <w:r w:rsidR="008D7B44" w:rsidRPr="00D92E20">
        <w:t>rok</w:t>
      </w:r>
      <w:r w:rsidR="007B0701" w:rsidRPr="00D92E20">
        <w:t xml:space="preserve"> 2020). Pokud jsou však ze zdravotních důvodů z výkonu práce indisponováni, průměrná délka jejich pracovní neschopnosti značně převyšuje ostatní sledované kategorie velikosti podniku (podle počtu zaměstnanců; viz</w:t>
      </w:r>
      <w:r w:rsidR="00B74855">
        <w:t> </w:t>
      </w:r>
      <w:r w:rsidR="007B0701" w:rsidRPr="00D92E20">
        <w:t>graf 2.</w:t>
      </w:r>
      <w:r w:rsidR="008D7B44" w:rsidRPr="00D92E20">
        <w:t>12</w:t>
      </w:r>
      <w:r w:rsidR="007B0701" w:rsidRPr="00D92E20">
        <w:t>).</w:t>
      </w:r>
    </w:p>
    <w:p w14:paraId="3FFD701D" w14:textId="77777777" w:rsidR="007B0701" w:rsidRPr="00D92E20" w:rsidRDefault="007B0701" w:rsidP="00000A90">
      <w:pPr>
        <w:spacing w:before="120" w:after="120"/>
        <w:jc w:val="both"/>
      </w:pPr>
      <w:r w:rsidRPr="00D92E20">
        <w:t>Dočasná pracovní neschopnost OSVČ v</w:t>
      </w:r>
      <w:r w:rsidR="008D7B44" w:rsidRPr="00D92E20">
        <w:t xml:space="preserve"> roce </w:t>
      </w:r>
      <w:r w:rsidRPr="00D92E20">
        <w:t xml:space="preserve">2020 trvala průměrně </w:t>
      </w:r>
      <w:r w:rsidR="008D7B44" w:rsidRPr="00D92E20">
        <w:t>83</w:t>
      </w:r>
      <w:r w:rsidRPr="00D92E20">
        <w:t xml:space="preserve"> dní. Delší doba trvání pracovní neschopnosti u OSVČ může souviset se skutečností, že tato skupina pojištěnců v době prvních 14 dnů trvání pracovní neschopnosti není finančně zabezpečena jako ostatní pojištěnci, je jim vypláceno až nemocenské od 15. dne. Vzhledem k tomuto faktu pak krátkodobé případy lehčích forem nemocí neřeší pracovní neschopností, tu si nechávají vystavit až při onemocnění vážnější chorobou, která si pak vyžádá dlouhodobější pracovní neschopnost. Další možností, kterou OSVČ mohou využít je sjednání pojištění pracovní neschopnosti u soukromých pojišťoven v rámci životního pojištění. Tomu se však tato publikace nevěnuje.</w:t>
      </w:r>
    </w:p>
    <w:p w14:paraId="78C2F1CE" w14:textId="77777777" w:rsidR="007B0701" w:rsidRPr="00D92E20" w:rsidRDefault="007B0701" w:rsidP="00000A90">
      <w:pPr>
        <w:spacing w:before="120" w:after="120"/>
        <w:jc w:val="both"/>
      </w:pPr>
      <w:r w:rsidRPr="00D92E20">
        <w:t xml:space="preserve">U ostatních pracovníků zaměstnaných ve všech velikostních </w:t>
      </w:r>
      <w:r w:rsidR="00CE2C2A" w:rsidRPr="00D92E20">
        <w:t>kategoriích podniku</w:t>
      </w:r>
      <w:r w:rsidRPr="00D92E20">
        <w:t xml:space="preserve"> (definovaných podle počtu zaměstnanců) délka pracovní neschopnosti </w:t>
      </w:r>
      <w:r w:rsidR="008D7B44" w:rsidRPr="00D92E20">
        <w:t xml:space="preserve">(bez ohledu na příčinu) </w:t>
      </w:r>
      <w:r w:rsidRPr="00D92E20">
        <w:t xml:space="preserve">nepřesáhla 50 dnů. Nejdelší byla v malých </w:t>
      </w:r>
      <w:r w:rsidR="00CE2C2A" w:rsidRPr="00D92E20">
        <w:t>podnicích</w:t>
      </w:r>
      <w:r w:rsidRPr="00D92E20">
        <w:t xml:space="preserve"> do 49 zaměstnanců (</w:t>
      </w:r>
      <w:r w:rsidR="008D7B44" w:rsidRPr="00D92E20">
        <w:t>44</w:t>
      </w:r>
      <w:r w:rsidRPr="00D92E20">
        <w:t xml:space="preserve"> dn</w:t>
      </w:r>
      <w:r w:rsidR="008D7B44" w:rsidRPr="00D92E20">
        <w:t>ů</w:t>
      </w:r>
      <w:r w:rsidRPr="00D92E20">
        <w:t xml:space="preserve">). V ostatních velikostních kategoriích se tato hodnota pohybovala okolo </w:t>
      </w:r>
      <w:r w:rsidR="008D7B44" w:rsidRPr="00D92E20">
        <w:t>38</w:t>
      </w:r>
      <w:r w:rsidRPr="00D92E20">
        <w:t xml:space="preserve"> dnů.</w:t>
      </w:r>
    </w:p>
    <w:p w14:paraId="69C373E7" w14:textId="77777777" w:rsidR="007B0701" w:rsidRPr="00D92E20" w:rsidRDefault="007B0701" w:rsidP="00000A90">
      <w:pPr>
        <w:spacing w:after="0"/>
        <w:jc w:val="both"/>
        <w:rPr>
          <w:b/>
          <w:spacing w:val="-2"/>
        </w:rPr>
      </w:pPr>
      <w:r w:rsidRPr="00D92E20">
        <w:rPr>
          <w:b/>
          <w:spacing w:val="-2"/>
        </w:rPr>
        <w:t>Graf 2.12: Průměrná délka trvání dočasné pracovní neschopnosti podle velikosti podniku a příčiny, 2020</w:t>
      </w:r>
    </w:p>
    <w:p w14:paraId="0A425FBB" w14:textId="77777777" w:rsidR="00A71AB2" w:rsidRPr="00D92E20" w:rsidRDefault="007B0701" w:rsidP="00C371A5">
      <w:pPr>
        <w:tabs>
          <w:tab w:val="left" w:pos="1418"/>
        </w:tabs>
        <w:spacing w:after="0"/>
        <w:jc w:val="both"/>
        <w:rPr>
          <w:rFonts w:cs="Arial"/>
        </w:rPr>
      </w:pPr>
      <w:r w:rsidRPr="00D92E20">
        <w:rPr>
          <w:noProof/>
        </w:rPr>
        <w:drawing>
          <wp:inline distT="0" distB="0" distL="0" distR="0" wp14:anchorId="3BBAD31E" wp14:editId="0941EC1C">
            <wp:extent cx="6115050" cy="2857500"/>
            <wp:effectExtent l="0" t="0" r="0" b="0"/>
            <wp:docPr id="34" name="Graf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F5F313F" w14:textId="77777777" w:rsidR="007B0701" w:rsidRPr="00D92E20" w:rsidRDefault="007B0701" w:rsidP="007B0701">
      <w:pPr>
        <w:spacing w:before="120"/>
        <w:rPr>
          <w:sz w:val="16"/>
        </w:rPr>
      </w:pPr>
      <w:r w:rsidRPr="00D92E20">
        <w:rPr>
          <w:sz w:val="16"/>
        </w:rPr>
        <w:t>Zdroj: ČSÚ</w:t>
      </w:r>
    </w:p>
    <w:p w14:paraId="71F10D15" w14:textId="77777777" w:rsidR="000273BE" w:rsidRPr="00D92E20" w:rsidRDefault="000273BE" w:rsidP="00000A90">
      <w:pPr>
        <w:pStyle w:val="Nadpis3"/>
        <w:numPr>
          <w:ilvl w:val="2"/>
          <w:numId w:val="22"/>
        </w:numPr>
        <w:spacing w:after="120"/>
        <w:ind w:left="709"/>
        <w:jc w:val="both"/>
      </w:pPr>
      <w:bookmarkStart w:id="20" w:name="_Toc54262802"/>
      <w:bookmarkStart w:id="21" w:name="_Toc70950131"/>
      <w:r w:rsidRPr="00D92E20">
        <w:t>Průměrné procento dočasné pracovní neschopnosti a průměrný denní stav dočasně práce neschopných</w:t>
      </w:r>
      <w:bookmarkEnd w:id="20"/>
      <w:bookmarkEnd w:id="21"/>
    </w:p>
    <w:p w14:paraId="478FDE9B" w14:textId="77777777" w:rsidR="000273BE" w:rsidRPr="00D92E20" w:rsidRDefault="000273BE" w:rsidP="00000A90">
      <w:pPr>
        <w:spacing w:after="120"/>
        <w:jc w:val="both"/>
      </w:pPr>
      <w:r w:rsidRPr="00D92E20">
        <w:t xml:space="preserve">Nejkomplexnějším ukazatelem statistiky pracovní neschopnosti pro nemoc a úraz je </w:t>
      </w:r>
      <w:r w:rsidRPr="00D92E20">
        <w:rPr>
          <w:b/>
        </w:rPr>
        <w:t>průměrné procento dočasné pracovní neschopnosti</w:t>
      </w:r>
      <w:r w:rsidRPr="00D92E20">
        <w:t xml:space="preserve">. Zohledňuje jak celkový počet případů pracovní neschopnosti (jak často lidé do pracovní neschopnosti nastupují), tak i průměrné trvání jednoho případu pracovní neschopnosti (jak dlouho v pracovní neschopnosti setrvávají). Statistiky pak doplňuje ještě další ukazatel – </w:t>
      </w:r>
      <w:r w:rsidRPr="00D92E20">
        <w:rPr>
          <w:b/>
        </w:rPr>
        <w:t>průměrný denní stav dočasně práce neschopných</w:t>
      </w:r>
      <w:r w:rsidRPr="00D92E20">
        <w:t>, který říká, kolik osob průměrně denně chybělo na pracovišti v důsledku dočasné pracovní neschopnosti pro nemoc a úraz.</w:t>
      </w:r>
    </w:p>
    <w:p w14:paraId="755BC370" w14:textId="77777777" w:rsidR="000273BE" w:rsidRPr="00D92E20" w:rsidRDefault="000273BE" w:rsidP="000273BE">
      <w:pPr>
        <w:pStyle w:val="Box1"/>
        <w:ind w:left="0"/>
        <w:jc w:val="both"/>
        <w:rPr>
          <w:i/>
        </w:rPr>
      </w:pPr>
      <w:r w:rsidRPr="00D92E20">
        <w:rPr>
          <w:b/>
          <w:i/>
        </w:rPr>
        <w:t xml:space="preserve">Průměrné procento dočasné pracovní neschopnosti </w:t>
      </w:r>
      <w:r w:rsidRPr="00D92E20">
        <w:rPr>
          <w:i/>
        </w:rPr>
        <w:t xml:space="preserve">– ukazatel udává, kolik ze 100 nemocensky pojištěných je průměrně každý den v pracovní neschopnosti pro nemoc či úraz. </w:t>
      </w:r>
    </w:p>
    <w:p w14:paraId="5C658570" w14:textId="77777777" w:rsidR="000273BE" w:rsidRPr="00D92E20" w:rsidRDefault="000273BE" w:rsidP="000273BE">
      <w:pPr>
        <w:pStyle w:val="Box1"/>
        <w:ind w:left="0"/>
        <w:jc w:val="both"/>
        <w:rPr>
          <w:i/>
          <w:u w:val="single"/>
        </w:rPr>
      </w:pPr>
      <w:r w:rsidRPr="00D92E20">
        <w:rPr>
          <w:i/>
          <w:u w:val="single"/>
        </w:rPr>
        <w:t>Způsob výpočtu:</w:t>
      </w:r>
    </w:p>
    <w:p w14:paraId="3DBD0D4D" w14:textId="77777777" w:rsidR="000273BE" w:rsidRPr="00D92E20" w:rsidRDefault="000273BE" w:rsidP="00000A90">
      <w:pPr>
        <w:pStyle w:val="Box1"/>
        <w:spacing w:before="120" w:after="120"/>
        <w:ind w:left="0"/>
        <w:contextualSpacing w:val="0"/>
        <w:jc w:val="both"/>
        <w:rPr>
          <w:i/>
        </w:rPr>
      </w:pPr>
      <w:r w:rsidRPr="00D92E20">
        <w:rPr>
          <w:i/>
        </w:rPr>
        <w:t>Průměrné procento dočasné pracovní neschopnosti = počet kalendářních dnů dočasné pracovní neschopnosti x 100 / (průměrný počet osob nemocensky pojištěných x počet kalendářních dnů ve sledovaném období).</w:t>
      </w:r>
    </w:p>
    <w:p w14:paraId="18B4273B" w14:textId="584CA560" w:rsidR="000273BE" w:rsidRPr="00D92E20" w:rsidRDefault="000273BE" w:rsidP="000273BE">
      <w:pPr>
        <w:pStyle w:val="Box1"/>
        <w:ind w:left="0"/>
        <w:jc w:val="both"/>
        <w:rPr>
          <w:i/>
        </w:rPr>
      </w:pPr>
      <w:r w:rsidRPr="00D92E20">
        <w:rPr>
          <w:b/>
          <w:i/>
        </w:rPr>
        <w:lastRenderedPageBreak/>
        <w:t xml:space="preserve">Průměrný denní stav </w:t>
      </w:r>
      <w:r w:rsidR="008B4180" w:rsidRPr="00D92E20">
        <w:rPr>
          <w:b/>
          <w:i/>
        </w:rPr>
        <w:t xml:space="preserve">dočasně </w:t>
      </w:r>
      <w:r w:rsidRPr="00D92E20">
        <w:rPr>
          <w:b/>
          <w:i/>
        </w:rPr>
        <w:t xml:space="preserve">práce neschopných </w:t>
      </w:r>
      <w:r w:rsidRPr="00D92E20">
        <w:rPr>
          <w:i/>
        </w:rPr>
        <w:t>– ukazatel vyjadřuje počet nemocensky pojištěných, kteří byli ve sledovaném období (</w:t>
      </w:r>
      <w:r w:rsidR="00425CDF" w:rsidRPr="00D92E20">
        <w:rPr>
          <w:i/>
        </w:rPr>
        <w:t>roce</w:t>
      </w:r>
      <w:r w:rsidRPr="00D92E20">
        <w:rPr>
          <w:i/>
        </w:rPr>
        <w:t xml:space="preserve">) denně nepřítomni v práci z důvodů pracovní neschopnosti. </w:t>
      </w:r>
    </w:p>
    <w:p w14:paraId="5251B742" w14:textId="77777777" w:rsidR="000273BE" w:rsidRPr="00D92E20" w:rsidRDefault="000273BE" w:rsidP="000273BE">
      <w:pPr>
        <w:pStyle w:val="Box1"/>
        <w:ind w:left="0"/>
        <w:jc w:val="both"/>
        <w:rPr>
          <w:i/>
          <w:u w:val="single"/>
        </w:rPr>
      </w:pPr>
      <w:r w:rsidRPr="00D92E20">
        <w:rPr>
          <w:i/>
          <w:u w:val="single"/>
        </w:rPr>
        <w:t>Způsob výpočtu:</w:t>
      </w:r>
    </w:p>
    <w:p w14:paraId="23F03AFE" w14:textId="4D1ADA5D" w:rsidR="000273BE" w:rsidRPr="00D92E20" w:rsidRDefault="000273BE" w:rsidP="00000A90">
      <w:pPr>
        <w:pStyle w:val="Box1"/>
        <w:spacing w:before="120" w:after="120"/>
        <w:ind w:left="0"/>
        <w:contextualSpacing w:val="0"/>
        <w:jc w:val="both"/>
        <w:rPr>
          <w:i/>
        </w:rPr>
      </w:pPr>
      <w:r w:rsidRPr="00D92E20">
        <w:rPr>
          <w:i/>
        </w:rPr>
        <w:t xml:space="preserve">Průměrný denní stav </w:t>
      </w:r>
      <w:r w:rsidR="008B4180" w:rsidRPr="00D92E20">
        <w:rPr>
          <w:i/>
        </w:rPr>
        <w:t xml:space="preserve">dočasně </w:t>
      </w:r>
      <w:r w:rsidRPr="00D92E20">
        <w:rPr>
          <w:i/>
        </w:rPr>
        <w:t>práce neschopných = kalendářní dny dočasné pracovní neschopnosti / počet kalendářních dnů ve sledovaném období.</w:t>
      </w:r>
    </w:p>
    <w:p w14:paraId="5213D7D9" w14:textId="17F14FAA" w:rsidR="00425CDF" w:rsidRPr="00D92E20" w:rsidRDefault="00425CDF" w:rsidP="00000A90">
      <w:pPr>
        <w:spacing w:before="120" w:after="120"/>
        <w:jc w:val="both"/>
      </w:pPr>
      <w:r w:rsidRPr="00D92E20">
        <w:t xml:space="preserve">Hodnota ukazatele </w:t>
      </w:r>
      <w:r w:rsidRPr="00D92E20">
        <w:rPr>
          <w:b/>
        </w:rPr>
        <w:t>průměrné procento dočasné pracovní neschopnosti</w:t>
      </w:r>
      <w:r w:rsidRPr="00D92E20">
        <w:t xml:space="preserve"> má od roku 2012 rostoucí tendenci. Meziročně oproti roku 2019 vzrostl o 0,8 p. b. na 5,5 % v roce 2020. Jak již bylo zmíněno, nárůst počtu kalendářních dnů dočasné pracovní neschopnosti byl výjimečný. Ve srovnání s </w:t>
      </w:r>
      <w:r w:rsidR="006F113C" w:rsidRPr="00D92E20">
        <w:t>rokem</w:t>
      </w:r>
      <w:r w:rsidRPr="00D92E20">
        <w:t xml:space="preserve"> 2012 </w:t>
      </w:r>
      <w:r w:rsidR="006F113C" w:rsidRPr="00D92E20">
        <w:t xml:space="preserve">průměrné procento dočasné pracovní neschopnosti </w:t>
      </w:r>
      <w:r w:rsidRPr="00D92E20">
        <w:t>vzrostl</w:t>
      </w:r>
      <w:r w:rsidR="006F113C" w:rsidRPr="00D92E20">
        <w:t>o</w:t>
      </w:r>
      <w:r w:rsidRPr="00D92E20">
        <w:t xml:space="preserve"> dokonce o 2 p. b. Podíl na růstu může mít mj. </w:t>
      </w:r>
      <w:r w:rsidR="00551C14" w:rsidRPr="00D92E20">
        <w:t xml:space="preserve">i </w:t>
      </w:r>
      <w:r w:rsidRPr="00D92E20">
        <w:t xml:space="preserve">stárnutí populace a zvyšování průměrného věku zaměstnanců (dáno vyšším věkem odchodu do důchodu než bylo v minulosti). Průměrné procento dočasné pracovní neschopnosti je dlouhodobě vyšší u žen. Činilo </w:t>
      </w:r>
      <w:r w:rsidR="006F113C" w:rsidRPr="00D92E20">
        <w:t>6</w:t>
      </w:r>
      <w:r w:rsidRPr="00D92E20">
        <w:t xml:space="preserve"> %, zatímco pro muže 5 %.</w:t>
      </w:r>
    </w:p>
    <w:p w14:paraId="5E4C74CD" w14:textId="77777777" w:rsidR="006F113C" w:rsidRPr="00D92E20" w:rsidRDefault="006F113C" w:rsidP="00000A90">
      <w:pPr>
        <w:spacing w:after="0"/>
        <w:jc w:val="both"/>
        <w:rPr>
          <w:b/>
        </w:rPr>
      </w:pPr>
      <w:r w:rsidRPr="00D92E20">
        <w:rPr>
          <w:b/>
        </w:rPr>
        <w:t>Graf 2.13: Průměrné procento dočasné pracovní neschopnosti podle odvětví (sekce CZ-NACE), 2020</w:t>
      </w:r>
    </w:p>
    <w:p w14:paraId="3629B590" w14:textId="77777777" w:rsidR="006F113C" w:rsidRPr="00D92E20" w:rsidRDefault="006F113C" w:rsidP="00000A90">
      <w:pPr>
        <w:pStyle w:val="Seznam"/>
        <w:jc w:val="both"/>
      </w:pPr>
      <w:r w:rsidRPr="00D92E20">
        <w:rPr>
          <w:noProof/>
        </w:rPr>
        <w:drawing>
          <wp:inline distT="0" distB="0" distL="0" distR="0" wp14:anchorId="410BA937" wp14:editId="776781E9">
            <wp:extent cx="6120130" cy="4643120"/>
            <wp:effectExtent l="0" t="0" r="13970" b="5080"/>
            <wp:docPr id="31" name="Graf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D92E20">
        <w:rPr>
          <w:sz w:val="16"/>
        </w:rPr>
        <w:t>Zdroj: ČSÚ</w:t>
      </w:r>
    </w:p>
    <w:p w14:paraId="79272E06" w14:textId="1EEB7E58" w:rsidR="00000A90" w:rsidRPr="00D92E20" w:rsidRDefault="006F113C" w:rsidP="00000A90">
      <w:pPr>
        <w:spacing w:before="120" w:after="120"/>
        <w:jc w:val="both"/>
        <w:rPr>
          <w:rFonts w:cs="Arial"/>
          <w:color w:val="000000"/>
          <w:szCs w:val="16"/>
        </w:rPr>
      </w:pPr>
      <w:r w:rsidRPr="00D92E20">
        <w:rPr>
          <w:rFonts w:cs="Arial"/>
          <w:color w:val="000000"/>
          <w:szCs w:val="16"/>
        </w:rPr>
        <w:t xml:space="preserve">Nejvyšší průměrné procento dočasné pracovní neschopnosti </w:t>
      </w:r>
      <w:r w:rsidRPr="00D92E20">
        <w:rPr>
          <w:rFonts w:cs="Arial"/>
          <w:b/>
          <w:color w:val="000000"/>
          <w:szCs w:val="16"/>
        </w:rPr>
        <w:t>z hlediska odvětvové činnosti</w:t>
      </w:r>
      <w:r w:rsidRPr="00D92E20">
        <w:rPr>
          <w:rFonts w:cs="Arial"/>
          <w:color w:val="000000"/>
          <w:szCs w:val="16"/>
        </w:rPr>
        <w:t xml:space="preserve"> bylo zaznamenáno v odvětví Těžba a dobývání (7,9 %) s nejvyšším počtem případů pracovní neschopnosti na 100</w:t>
      </w:r>
      <w:r w:rsidR="00C02C40" w:rsidRPr="00D92E20">
        <w:rPr>
          <w:rFonts w:cs="Arial"/>
          <w:color w:val="000000"/>
          <w:szCs w:val="16"/>
        </w:rPr>
        <w:t> </w:t>
      </w:r>
      <w:r w:rsidRPr="00D92E20">
        <w:rPr>
          <w:rFonts w:cs="Arial"/>
          <w:color w:val="000000"/>
          <w:szCs w:val="16"/>
        </w:rPr>
        <w:t>pojištěnců. Jinými slovy, téměř 8 % pojištěnců pracujících v sekci Těžba a dobývání bylo denně v pracovní neschopnosti. Odvětvími se 7% podílem osob dočasně práce neschopných denně byl i Zpracovatelský průmysl (7,3 %), Administrativní a podpůrné činnosti (6,8 %) a Ubytování, stravování a pohostinství (6,5 %). Naopak nejméně pracovníků v pracovní neschopnosti ze 100 pojištěnců bylo denně evidováno v odvětví Informa</w:t>
      </w:r>
      <w:r w:rsidR="00CD287A" w:rsidRPr="00D92E20">
        <w:rPr>
          <w:rFonts w:cs="Arial"/>
          <w:color w:val="000000"/>
          <w:szCs w:val="16"/>
        </w:rPr>
        <w:t>ční a komunikační činnosti (1,9</w:t>
      </w:r>
      <w:r w:rsidRPr="00D92E20">
        <w:rPr>
          <w:rFonts w:cs="Arial"/>
          <w:color w:val="000000"/>
          <w:szCs w:val="16"/>
        </w:rPr>
        <w:t>) a Peněžnictví a pojišťovnictví (2,7). Podrobněji viz graf 2.13 a</w:t>
      </w:r>
      <w:r w:rsidR="00C02C40" w:rsidRPr="00D92E20">
        <w:rPr>
          <w:rFonts w:cs="Arial"/>
          <w:color w:val="000000"/>
          <w:szCs w:val="16"/>
        </w:rPr>
        <w:t> </w:t>
      </w:r>
      <w:r w:rsidRPr="00D92E20">
        <w:rPr>
          <w:rFonts w:cs="Arial"/>
          <w:color w:val="000000"/>
          <w:szCs w:val="16"/>
        </w:rPr>
        <w:t>tabulka</w:t>
      </w:r>
      <w:r w:rsidR="00CD287A" w:rsidRPr="00D92E20">
        <w:rPr>
          <w:rFonts w:cs="Arial"/>
          <w:color w:val="000000"/>
          <w:szCs w:val="16"/>
        </w:rPr>
        <w:t> </w:t>
      </w:r>
      <w:r w:rsidRPr="00D92E20">
        <w:rPr>
          <w:rFonts w:cs="Arial"/>
          <w:color w:val="000000"/>
          <w:szCs w:val="16"/>
        </w:rPr>
        <w:t>2.8.</w:t>
      </w:r>
    </w:p>
    <w:p w14:paraId="6F1D9EC7" w14:textId="77777777" w:rsidR="00000A90" w:rsidRPr="00D92E20" w:rsidRDefault="00000A90">
      <w:pPr>
        <w:spacing w:after="0" w:line="240" w:lineRule="auto"/>
        <w:rPr>
          <w:rFonts w:cs="Arial"/>
          <w:color w:val="000000"/>
          <w:szCs w:val="16"/>
        </w:rPr>
      </w:pPr>
      <w:r w:rsidRPr="00D92E20">
        <w:rPr>
          <w:rFonts w:cs="Arial"/>
          <w:color w:val="000000"/>
          <w:szCs w:val="16"/>
        </w:rPr>
        <w:br w:type="page"/>
      </w:r>
    </w:p>
    <w:p w14:paraId="5E612935" w14:textId="77777777" w:rsidR="006F113C" w:rsidRPr="00D92E20" w:rsidRDefault="006F113C" w:rsidP="00000A90">
      <w:pPr>
        <w:spacing w:before="120" w:after="0"/>
        <w:jc w:val="both"/>
        <w:rPr>
          <w:rFonts w:cs="Arial"/>
          <w:b/>
          <w:color w:val="000000"/>
          <w:spacing w:val="-3"/>
          <w:szCs w:val="16"/>
        </w:rPr>
      </w:pPr>
      <w:r w:rsidRPr="00D92E20">
        <w:rPr>
          <w:rFonts w:cs="Arial"/>
          <w:b/>
          <w:color w:val="000000"/>
          <w:spacing w:val="-3"/>
          <w:szCs w:val="16"/>
        </w:rPr>
        <w:lastRenderedPageBreak/>
        <w:t>Tab. 2.8: Průměrné procento dočasné pracovní neschopnosti podle odvětví (sekce CZ-NACE), 2010–2020</w:t>
      </w:r>
    </w:p>
    <w:tbl>
      <w:tblPr>
        <w:tblW w:w="9639" w:type="dxa"/>
        <w:tblCellMar>
          <w:left w:w="70" w:type="dxa"/>
          <w:right w:w="70" w:type="dxa"/>
        </w:tblCellMar>
        <w:tblLook w:val="04A0" w:firstRow="1" w:lastRow="0" w:firstColumn="1" w:lastColumn="0" w:noHBand="0" w:noVBand="1"/>
      </w:tblPr>
      <w:tblGrid>
        <w:gridCol w:w="3402"/>
        <w:gridCol w:w="567"/>
        <w:gridCol w:w="567"/>
        <w:gridCol w:w="567"/>
        <w:gridCol w:w="567"/>
        <w:gridCol w:w="567"/>
        <w:gridCol w:w="567"/>
        <w:gridCol w:w="567"/>
        <w:gridCol w:w="567"/>
        <w:gridCol w:w="567"/>
        <w:gridCol w:w="567"/>
        <w:gridCol w:w="567"/>
      </w:tblGrid>
      <w:tr w:rsidR="00FF5F37" w:rsidRPr="00D92E20" w14:paraId="048D215C" w14:textId="77777777" w:rsidTr="00FF5F37">
        <w:trPr>
          <w:trHeight w:val="300"/>
        </w:trPr>
        <w:tc>
          <w:tcPr>
            <w:tcW w:w="3402" w:type="dxa"/>
            <w:tcBorders>
              <w:top w:val="single" w:sz="4" w:space="0" w:color="auto"/>
              <w:left w:val="nil"/>
              <w:bottom w:val="single" w:sz="4" w:space="0" w:color="auto"/>
              <w:right w:val="single" w:sz="4" w:space="0" w:color="auto"/>
            </w:tcBorders>
            <w:shd w:val="clear" w:color="000000" w:fill="F5DADD"/>
            <w:vAlign w:val="center"/>
            <w:hideMark/>
          </w:tcPr>
          <w:p w14:paraId="5076CC44" w14:textId="77777777" w:rsidR="006F113C" w:rsidRPr="00D92E20" w:rsidRDefault="006F113C" w:rsidP="006F113C">
            <w:pPr>
              <w:spacing w:after="0" w:line="240" w:lineRule="auto"/>
              <w:rPr>
                <w:rFonts w:cs="Arial"/>
                <w:color w:val="000000"/>
                <w:sz w:val="16"/>
                <w:szCs w:val="16"/>
              </w:rPr>
            </w:pPr>
            <w:r w:rsidRPr="00D92E20">
              <w:rPr>
                <w:rFonts w:cs="Arial"/>
                <w:color w:val="000000"/>
                <w:sz w:val="16"/>
                <w:szCs w:val="16"/>
              </w:rPr>
              <w:t>Sekce CZ-NACE</w:t>
            </w:r>
          </w:p>
        </w:tc>
        <w:tc>
          <w:tcPr>
            <w:tcW w:w="567" w:type="dxa"/>
            <w:tcBorders>
              <w:top w:val="single" w:sz="4" w:space="0" w:color="auto"/>
              <w:left w:val="nil"/>
              <w:bottom w:val="single" w:sz="4" w:space="0" w:color="auto"/>
              <w:right w:val="nil"/>
            </w:tcBorders>
            <w:shd w:val="clear" w:color="000000" w:fill="F5DADD"/>
            <w:noWrap/>
            <w:vAlign w:val="center"/>
            <w:hideMark/>
          </w:tcPr>
          <w:p w14:paraId="788729C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2010</w:t>
            </w:r>
          </w:p>
        </w:tc>
        <w:tc>
          <w:tcPr>
            <w:tcW w:w="567" w:type="dxa"/>
            <w:tcBorders>
              <w:top w:val="single" w:sz="4" w:space="0" w:color="auto"/>
              <w:left w:val="nil"/>
              <w:bottom w:val="single" w:sz="4" w:space="0" w:color="auto"/>
              <w:right w:val="nil"/>
            </w:tcBorders>
            <w:shd w:val="clear" w:color="000000" w:fill="F5DADD"/>
            <w:noWrap/>
            <w:vAlign w:val="center"/>
            <w:hideMark/>
          </w:tcPr>
          <w:p w14:paraId="745A0E9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2011</w:t>
            </w:r>
          </w:p>
        </w:tc>
        <w:tc>
          <w:tcPr>
            <w:tcW w:w="567" w:type="dxa"/>
            <w:tcBorders>
              <w:top w:val="single" w:sz="4" w:space="0" w:color="auto"/>
              <w:left w:val="nil"/>
              <w:bottom w:val="single" w:sz="4" w:space="0" w:color="auto"/>
              <w:right w:val="nil"/>
            </w:tcBorders>
            <w:shd w:val="clear" w:color="000000" w:fill="F5DADD"/>
            <w:noWrap/>
            <w:vAlign w:val="center"/>
            <w:hideMark/>
          </w:tcPr>
          <w:p w14:paraId="3DEF386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2012</w:t>
            </w:r>
          </w:p>
        </w:tc>
        <w:tc>
          <w:tcPr>
            <w:tcW w:w="567" w:type="dxa"/>
            <w:tcBorders>
              <w:top w:val="single" w:sz="4" w:space="0" w:color="auto"/>
              <w:left w:val="nil"/>
              <w:bottom w:val="single" w:sz="4" w:space="0" w:color="auto"/>
              <w:right w:val="nil"/>
            </w:tcBorders>
            <w:shd w:val="clear" w:color="000000" w:fill="F5DADD"/>
            <w:noWrap/>
            <w:vAlign w:val="center"/>
            <w:hideMark/>
          </w:tcPr>
          <w:p w14:paraId="1D52ECF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2013</w:t>
            </w:r>
          </w:p>
        </w:tc>
        <w:tc>
          <w:tcPr>
            <w:tcW w:w="567" w:type="dxa"/>
            <w:tcBorders>
              <w:top w:val="single" w:sz="4" w:space="0" w:color="auto"/>
              <w:left w:val="nil"/>
              <w:bottom w:val="single" w:sz="4" w:space="0" w:color="auto"/>
              <w:right w:val="nil"/>
            </w:tcBorders>
            <w:shd w:val="clear" w:color="000000" w:fill="F5DADD"/>
            <w:noWrap/>
            <w:vAlign w:val="center"/>
            <w:hideMark/>
          </w:tcPr>
          <w:p w14:paraId="115A29C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2014</w:t>
            </w:r>
          </w:p>
        </w:tc>
        <w:tc>
          <w:tcPr>
            <w:tcW w:w="567" w:type="dxa"/>
            <w:tcBorders>
              <w:top w:val="single" w:sz="4" w:space="0" w:color="auto"/>
              <w:left w:val="nil"/>
              <w:bottom w:val="single" w:sz="4" w:space="0" w:color="auto"/>
              <w:right w:val="nil"/>
            </w:tcBorders>
            <w:shd w:val="clear" w:color="000000" w:fill="F5DADD"/>
            <w:noWrap/>
            <w:vAlign w:val="center"/>
            <w:hideMark/>
          </w:tcPr>
          <w:p w14:paraId="4B02AEC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2015</w:t>
            </w:r>
          </w:p>
        </w:tc>
        <w:tc>
          <w:tcPr>
            <w:tcW w:w="567" w:type="dxa"/>
            <w:tcBorders>
              <w:top w:val="single" w:sz="4" w:space="0" w:color="auto"/>
              <w:left w:val="nil"/>
              <w:bottom w:val="single" w:sz="4" w:space="0" w:color="auto"/>
              <w:right w:val="nil"/>
            </w:tcBorders>
            <w:shd w:val="clear" w:color="000000" w:fill="F5DADD"/>
            <w:noWrap/>
            <w:vAlign w:val="center"/>
            <w:hideMark/>
          </w:tcPr>
          <w:p w14:paraId="40F72A0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2016</w:t>
            </w:r>
          </w:p>
        </w:tc>
        <w:tc>
          <w:tcPr>
            <w:tcW w:w="567" w:type="dxa"/>
            <w:tcBorders>
              <w:top w:val="single" w:sz="4" w:space="0" w:color="auto"/>
              <w:left w:val="nil"/>
              <w:bottom w:val="single" w:sz="4" w:space="0" w:color="auto"/>
              <w:right w:val="nil"/>
            </w:tcBorders>
            <w:shd w:val="clear" w:color="000000" w:fill="F5DADD"/>
            <w:noWrap/>
            <w:vAlign w:val="center"/>
            <w:hideMark/>
          </w:tcPr>
          <w:p w14:paraId="651461C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2017</w:t>
            </w:r>
          </w:p>
        </w:tc>
        <w:tc>
          <w:tcPr>
            <w:tcW w:w="567" w:type="dxa"/>
            <w:tcBorders>
              <w:top w:val="single" w:sz="4" w:space="0" w:color="auto"/>
              <w:left w:val="nil"/>
              <w:bottom w:val="single" w:sz="4" w:space="0" w:color="auto"/>
              <w:right w:val="nil"/>
            </w:tcBorders>
            <w:shd w:val="clear" w:color="000000" w:fill="F5DADD"/>
            <w:noWrap/>
            <w:vAlign w:val="center"/>
            <w:hideMark/>
          </w:tcPr>
          <w:p w14:paraId="59F7E63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2018</w:t>
            </w:r>
          </w:p>
        </w:tc>
        <w:tc>
          <w:tcPr>
            <w:tcW w:w="567" w:type="dxa"/>
            <w:tcBorders>
              <w:top w:val="single" w:sz="4" w:space="0" w:color="auto"/>
              <w:left w:val="nil"/>
              <w:bottom w:val="single" w:sz="4" w:space="0" w:color="auto"/>
              <w:right w:val="nil"/>
            </w:tcBorders>
            <w:shd w:val="clear" w:color="000000" w:fill="F5DADD"/>
            <w:noWrap/>
            <w:vAlign w:val="center"/>
            <w:hideMark/>
          </w:tcPr>
          <w:p w14:paraId="1647741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2019</w:t>
            </w:r>
          </w:p>
        </w:tc>
        <w:tc>
          <w:tcPr>
            <w:tcW w:w="567" w:type="dxa"/>
            <w:tcBorders>
              <w:top w:val="single" w:sz="4" w:space="0" w:color="auto"/>
              <w:left w:val="nil"/>
              <w:bottom w:val="single" w:sz="4" w:space="0" w:color="auto"/>
              <w:right w:val="nil"/>
            </w:tcBorders>
            <w:shd w:val="clear" w:color="000000" w:fill="F5DADD"/>
            <w:noWrap/>
            <w:vAlign w:val="center"/>
            <w:hideMark/>
          </w:tcPr>
          <w:p w14:paraId="4E3C90D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2020</w:t>
            </w:r>
          </w:p>
        </w:tc>
      </w:tr>
      <w:tr w:rsidR="006F113C" w:rsidRPr="00D92E20" w14:paraId="7A24A8AA"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35458211" w14:textId="77777777" w:rsidR="006F113C" w:rsidRPr="00D92E20" w:rsidRDefault="006F113C" w:rsidP="006F113C">
            <w:pPr>
              <w:spacing w:after="0" w:line="240" w:lineRule="auto"/>
              <w:rPr>
                <w:rFonts w:cs="Arial"/>
                <w:b/>
                <w:bCs/>
                <w:color w:val="000000"/>
                <w:sz w:val="16"/>
                <w:szCs w:val="16"/>
              </w:rPr>
            </w:pPr>
            <w:r w:rsidRPr="00D92E20">
              <w:rPr>
                <w:rFonts w:cs="Arial"/>
                <w:b/>
                <w:bCs/>
                <w:color w:val="000000"/>
                <w:sz w:val="16"/>
                <w:szCs w:val="16"/>
              </w:rPr>
              <w:t>Celkem</w:t>
            </w:r>
          </w:p>
        </w:tc>
        <w:tc>
          <w:tcPr>
            <w:tcW w:w="567" w:type="dxa"/>
            <w:tcBorders>
              <w:top w:val="nil"/>
              <w:left w:val="nil"/>
              <w:bottom w:val="nil"/>
              <w:right w:val="nil"/>
            </w:tcBorders>
            <w:shd w:val="clear" w:color="auto" w:fill="auto"/>
            <w:noWrap/>
            <w:vAlign w:val="center"/>
            <w:hideMark/>
          </w:tcPr>
          <w:p w14:paraId="469B9021"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3,8</w:t>
            </w:r>
          </w:p>
        </w:tc>
        <w:tc>
          <w:tcPr>
            <w:tcW w:w="567" w:type="dxa"/>
            <w:tcBorders>
              <w:top w:val="nil"/>
              <w:left w:val="nil"/>
              <w:bottom w:val="nil"/>
              <w:right w:val="nil"/>
            </w:tcBorders>
            <w:shd w:val="clear" w:color="auto" w:fill="auto"/>
            <w:noWrap/>
            <w:vAlign w:val="center"/>
            <w:hideMark/>
          </w:tcPr>
          <w:p w14:paraId="58F5268A"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4FD47331"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3,5</w:t>
            </w:r>
          </w:p>
        </w:tc>
        <w:tc>
          <w:tcPr>
            <w:tcW w:w="567" w:type="dxa"/>
            <w:tcBorders>
              <w:top w:val="nil"/>
              <w:left w:val="nil"/>
              <w:bottom w:val="nil"/>
              <w:right w:val="nil"/>
            </w:tcBorders>
            <w:shd w:val="clear" w:color="auto" w:fill="auto"/>
            <w:noWrap/>
            <w:vAlign w:val="center"/>
            <w:hideMark/>
          </w:tcPr>
          <w:p w14:paraId="245410B2"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3,6</w:t>
            </w:r>
          </w:p>
        </w:tc>
        <w:tc>
          <w:tcPr>
            <w:tcW w:w="567" w:type="dxa"/>
            <w:tcBorders>
              <w:top w:val="nil"/>
              <w:left w:val="nil"/>
              <w:bottom w:val="nil"/>
              <w:right w:val="nil"/>
            </w:tcBorders>
            <w:shd w:val="clear" w:color="auto" w:fill="auto"/>
            <w:noWrap/>
            <w:vAlign w:val="center"/>
            <w:hideMark/>
          </w:tcPr>
          <w:p w14:paraId="481133BC"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3,7</w:t>
            </w:r>
          </w:p>
        </w:tc>
        <w:tc>
          <w:tcPr>
            <w:tcW w:w="567" w:type="dxa"/>
            <w:tcBorders>
              <w:top w:val="nil"/>
              <w:left w:val="nil"/>
              <w:bottom w:val="nil"/>
              <w:right w:val="nil"/>
            </w:tcBorders>
            <w:shd w:val="clear" w:color="auto" w:fill="auto"/>
            <w:noWrap/>
            <w:vAlign w:val="center"/>
            <w:hideMark/>
          </w:tcPr>
          <w:p w14:paraId="56FAA08B"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4,1</w:t>
            </w:r>
          </w:p>
        </w:tc>
        <w:tc>
          <w:tcPr>
            <w:tcW w:w="567" w:type="dxa"/>
            <w:tcBorders>
              <w:top w:val="nil"/>
              <w:left w:val="nil"/>
              <w:bottom w:val="nil"/>
              <w:right w:val="nil"/>
            </w:tcBorders>
            <w:shd w:val="clear" w:color="auto" w:fill="auto"/>
            <w:noWrap/>
            <w:vAlign w:val="center"/>
            <w:hideMark/>
          </w:tcPr>
          <w:p w14:paraId="67EDC7E4"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4,2</w:t>
            </w:r>
          </w:p>
        </w:tc>
        <w:tc>
          <w:tcPr>
            <w:tcW w:w="567" w:type="dxa"/>
            <w:tcBorders>
              <w:top w:val="nil"/>
              <w:left w:val="nil"/>
              <w:bottom w:val="nil"/>
              <w:right w:val="nil"/>
            </w:tcBorders>
            <w:shd w:val="clear" w:color="auto" w:fill="auto"/>
            <w:noWrap/>
            <w:vAlign w:val="center"/>
            <w:hideMark/>
          </w:tcPr>
          <w:p w14:paraId="281A560A"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4,3</w:t>
            </w:r>
          </w:p>
        </w:tc>
        <w:tc>
          <w:tcPr>
            <w:tcW w:w="567" w:type="dxa"/>
            <w:tcBorders>
              <w:top w:val="nil"/>
              <w:left w:val="nil"/>
              <w:bottom w:val="nil"/>
              <w:right w:val="nil"/>
            </w:tcBorders>
            <w:shd w:val="clear" w:color="auto" w:fill="auto"/>
            <w:noWrap/>
            <w:vAlign w:val="center"/>
            <w:hideMark/>
          </w:tcPr>
          <w:p w14:paraId="156379CE"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4,5</w:t>
            </w:r>
          </w:p>
        </w:tc>
        <w:tc>
          <w:tcPr>
            <w:tcW w:w="567" w:type="dxa"/>
            <w:tcBorders>
              <w:top w:val="nil"/>
              <w:left w:val="nil"/>
              <w:bottom w:val="nil"/>
              <w:right w:val="nil"/>
            </w:tcBorders>
            <w:shd w:val="clear" w:color="auto" w:fill="auto"/>
            <w:noWrap/>
            <w:vAlign w:val="center"/>
            <w:hideMark/>
          </w:tcPr>
          <w:p w14:paraId="244481D8"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4,7</w:t>
            </w:r>
          </w:p>
        </w:tc>
        <w:tc>
          <w:tcPr>
            <w:tcW w:w="567" w:type="dxa"/>
            <w:tcBorders>
              <w:top w:val="nil"/>
              <w:left w:val="nil"/>
              <w:bottom w:val="nil"/>
              <w:right w:val="nil"/>
            </w:tcBorders>
            <w:shd w:val="clear" w:color="auto" w:fill="auto"/>
            <w:noWrap/>
            <w:vAlign w:val="center"/>
            <w:hideMark/>
          </w:tcPr>
          <w:p w14:paraId="7336032C" w14:textId="77777777" w:rsidR="006F113C" w:rsidRPr="00D92E20" w:rsidRDefault="006F113C" w:rsidP="006F113C">
            <w:pPr>
              <w:spacing w:after="0" w:line="240" w:lineRule="auto"/>
              <w:jc w:val="center"/>
              <w:rPr>
                <w:rFonts w:cs="Arial"/>
                <w:b/>
                <w:bCs/>
                <w:color w:val="000000"/>
                <w:sz w:val="16"/>
                <w:szCs w:val="16"/>
              </w:rPr>
            </w:pPr>
            <w:r w:rsidRPr="00D92E20">
              <w:rPr>
                <w:rFonts w:cs="Arial"/>
                <w:b/>
                <w:bCs/>
                <w:color w:val="000000"/>
                <w:sz w:val="16"/>
                <w:szCs w:val="16"/>
              </w:rPr>
              <w:t>5,5</w:t>
            </w:r>
          </w:p>
        </w:tc>
      </w:tr>
      <w:tr w:rsidR="006F113C" w:rsidRPr="00D92E20" w14:paraId="20663403"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7CDA8D25" w14:textId="450F19BF" w:rsidR="006F113C" w:rsidRPr="00D92E20" w:rsidRDefault="006F113C" w:rsidP="00330CDD">
            <w:pPr>
              <w:spacing w:after="0" w:line="240" w:lineRule="auto"/>
              <w:ind w:firstLineChars="100" w:firstLine="160"/>
              <w:rPr>
                <w:rFonts w:cs="Arial"/>
                <w:color w:val="000000"/>
                <w:sz w:val="16"/>
                <w:szCs w:val="16"/>
              </w:rPr>
            </w:pPr>
            <w:r w:rsidRPr="00D92E20">
              <w:rPr>
                <w:rFonts w:cs="Arial"/>
                <w:color w:val="000000"/>
                <w:sz w:val="16"/>
                <w:szCs w:val="16"/>
              </w:rPr>
              <w:t>A – Zemědělství, lesnictví a</w:t>
            </w:r>
            <w:r w:rsidR="00330CDD" w:rsidRPr="00D92E20">
              <w:rPr>
                <w:rFonts w:cs="Arial"/>
                <w:color w:val="000000"/>
                <w:sz w:val="16"/>
                <w:szCs w:val="16"/>
              </w:rPr>
              <w:t xml:space="preserve"> </w:t>
            </w:r>
            <w:r w:rsidRPr="00D92E20">
              <w:rPr>
                <w:rFonts w:cs="Arial"/>
                <w:color w:val="000000"/>
                <w:sz w:val="16"/>
                <w:szCs w:val="16"/>
              </w:rPr>
              <w:t>rybářství</w:t>
            </w:r>
          </w:p>
        </w:tc>
        <w:tc>
          <w:tcPr>
            <w:tcW w:w="567" w:type="dxa"/>
            <w:tcBorders>
              <w:top w:val="nil"/>
              <w:left w:val="nil"/>
              <w:bottom w:val="nil"/>
              <w:right w:val="nil"/>
            </w:tcBorders>
            <w:shd w:val="clear" w:color="auto" w:fill="auto"/>
            <w:noWrap/>
            <w:vAlign w:val="center"/>
            <w:hideMark/>
          </w:tcPr>
          <w:p w14:paraId="6765C5D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663BD9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7B6E418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4FD567F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4902029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6D2A138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023AFBA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5,0</w:t>
            </w:r>
          </w:p>
        </w:tc>
        <w:tc>
          <w:tcPr>
            <w:tcW w:w="567" w:type="dxa"/>
            <w:tcBorders>
              <w:top w:val="nil"/>
              <w:left w:val="nil"/>
              <w:bottom w:val="nil"/>
              <w:right w:val="nil"/>
            </w:tcBorders>
            <w:shd w:val="clear" w:color="auto" w:fill="auto"/>
            <w:noWrap/>
            <w:vAlign w:val="center"/>
            <w:hideMark/>
          </w:tcPr>
          <w:p w14:paraId="2BD4192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02D5692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5,3</w:t>
            </w:r>
          </w:p>
        </w:tc>
        <w:tc>
          <w:tcPr>
            <w:tcW w:w="567" w:type="dxa"/>
            <w:tcBorders>
              <w:top w:val="nil"/>
              <w:left w:val="nil"/>
              <w:bottom w:val="nil"/>
              <w:right w:val="nil"/>
            </w:tcBorders>
            <w:shd w:val="clear" w:color="auto" w:fill="auto"/>
            <w:noWrap/>
            <w:vAlign w:val="center"/>
            <w:hideMark/>
          </w:tcPr>
          <w:p w14:paraId="502EC27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2CE676B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5,8</w:t>
            </w:r>
          </w:p>
        </w:tc>
      </w:tr>
      <w:tr w:rsidR="006F113C" w:rsidRPr="00D92E20" w14:paraId="1113BCCA"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0BE61A87"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B – Těžba a dobývání</w:t>
            </w:r>
          </w:p>
        </w:tc>
        <w:tc>
          <w:tcPr>
            <w:tcW w:w="567" w:type="dxa"/>
            <w:tcBorders>
              <w:top w:val="nil"/>
              <w:left w:val="nil"/>
              <w:bottom w:val="nil"/>
              <w:right w:val="nil"/>
            </w:tcBorders>
            <w:shd w:val="clear" w:color="auto" w:fill="auto"/>
            <w:noWrap/>
            <w:vAlign w:val="center"/>
            <w:hideMark/>
          </w:tcPr>
          <w:p w14:paraId="159472C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B05006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09EE73A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BD677C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0DBCC43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1DBF2B3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9E8FB2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09F6CBE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5BF9F9A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5,6</w:t>
            </w:r>
          </w:p>
        </w:tc>
        <w:tc>
          <w:tcPr>
            <w:tcW w:w="567" w:type="dxa"/>
            <w:tcBorders>
              <w:top w:val="nil"/>
              <w:left w:val="nil"/>
              <w:bottom w:val="nil"/>
              <w:right w:val="nil"/>
            </w:tcBorders>
            <w:shd w:val="clear" w:color="auto" w:fill="auto"/>
            <w:noWrap/>
            <w:vAlign w:val="center"/>
            <w:hideMark/>
          </w:tcPr>
          <w:p w14:paraId="1FEB11C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6,0</w:t>
            </w:r>
          </w:p>
        </w:tc>
        <w:tc>
          <w:tcPr>
            <w:tcW w:w="567" w:type="dxa"/>
            <w:tcBorders>
              <w:top w:val="nil"/>
              <w:left w:val="nil"/>
              <w:bottom w:val="nil"/>
              <w:right w:val="nil"/>
            </w:tcBorders>
            <w:shd w:val="clear" w:color="auto" w:fill="auto"/>
            <w:noWrap/>
            <w:vAlign w:val="center"/>
            <w:hideMark/>
          </w:tcPr>
          <w:p w14:paraId="1815A2D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7,9</w:t>
            </w:r>
          </w:p>
        </w:tc>
      </w:tr>
      <w:tr w:rsidR="006F113C" w:rsidRPr="00D92E20" w14:paraId="049C815A"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3D3E3FD7"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C – Zpracovatelský průmysl</w:t>
            </w:r>
          </w:p>
        </w:tc>
        <w:tc>
          <w:tcPr>
            <w:tcW w:w="567" w:type="dxa"/>
            <w:tcBorders>
              <w:top w:val="nil"/>
              <w:left w:val="nil"/>
              <w:bottom w:val="nil"/>
              <w:right w:val="nil"/>
            </w:tcBorders>
            <w:shd w:val="clear" w:color="auto" w:fill="auto"/>
            <w:noWrap/>
            <w:vAlign w:val="center"/>
            <w:hideMark/>
          </w:tcPr>
          <w:p w14:paraId="1823E64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44552E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28B764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1B46AC9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0157C1F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EB8376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C31759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307999D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5,5</w:t>
            </w:r>
          </w:p>
        </w:tc>
        <w:tc>
          <w:tcPr>
            <w:tcW w:w="567" w:type="dxa"/>
            <w:tcBorders>
              <w:top w:val="nil"/>
              <w:left w:val="nil"/>
              <w:bottom w:val="nil"/>
              <w:right w:val="nil"/>
            </w:tcBorders>
            <w:shd w:val="clear" w:color="auto" w:fill="auto"/>
            <w:noWrap/>
            <w:vAlign w:val="center"/>
            <w:hideMark/>
          </w:tcPr>
          <w:p w14:paraId="440F4C6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5,9</w:t>
            </w:r>
          </w:p>
        </w:tc>
        <w:tc>
          <w:tcPr>
            <w:tcW w:w="567" w:type="dxa"/>
            <w:tcBorders>
              <w:top w:val="nil"/>
              <w:left w:val="nil"/>
              <w:bottom w:val="nil"/>
              <w:right w:val="nil"/>
            </w:tcBorders>
            <w:shd w:val="clear" w:color="auto" w:fill="auto"/>
            <w:noWrap/>
            <w:vAlign w:val="center"/>
            <w:hideMark/>
          </w:tcPr>
          <w:p w14:paraId="19F28FE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6,2</w:t>
            </w:r>
          </w:p>
        </w:tc>
        <w:tc>
          <w:tcPr>
            <w:tcW w:w="567" w:type="dxa"/>
            <w:tcBorders>
              <w:top w:val="nil"/>
              <w:left w:val="nil"/>
              <w:bottom w:val="nil"/>
              <w:right w:val="nil"/>
            </w:tcBorders>
            <w:shd w:val="clear" w:color="auto" w:fill="auto"/>
            <w:noWrap/>
            <w:vAlign w:val="center"/>
            <w:hideMark/>
          </w:tcPr>
          <w:p w14:paraId="098669F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7,3</w:t>
            </w:r>
          </w:p>
        </w:tc>
      </w:tr>
      <w:tr w:rsidR="006F113C" w:rsidRPr="00D92E20" w14:paraId="4827B5E3" w14:textId="77777777" w:rsidTr="00FF5F37">
        <w:trPr>
          <w:trHeight w:val="480"/>
        </w:trPr>
        <w:tc>
          <w:tcPr>
            <w:tcW w:w="3402" w:type="dxa"/>
            <w:tcBorders>
              <w:top w:val="nil"/>
              <w:left w:val="nil"/>
              <w:bottom w:val="nil"/>
              <w:right w:val="single" w:sz="4" w:space="0" w:color="auto"/>
            </w:tcBorders>
            <w:shd w:val="clear" w:color="auto" w:fill="auto"/>
            <w:vAlign w:val="center"/>
            <w:hideMark/>
          </w:tcPr>
          <w:p w14:paraId="031B11E5" w14:textId="77777777" w:rsidR="00FF5F37" w:rsidRPr="00D92E20" w:rsidRDefault="00FF5F37" w:rsidP="00FF5F37">
            <w:pPr>
              <w:spacing w:after="0" w:line="240" w:lineRule="auto"/>
              <w:ind w:firstLineChars="100" w:firstLine="160"/>
              <w:rPr>
                <w:rFonts w:cs="Arial"/>
                <w:color w:val="000000"/>
                <w:sz w:val="16"/>
                <w:szCs w:val="16"/>
              </w:rPr>
            </w:pPr>
            <w:r w:rsidRPr="00D92E20">
              <w:rPr>
                <w:rFonts w:cs="Arial"/>
                <w:color w:val="000000"/>
                <w:sz w:val="16"/>
                <w:szCs w:val="16"/>
              </w:rPr>
              <w:t xml:space="preserve">D – Výroba a rozvod elektřiny, </w:t>
            </w:r>
            <w:r w:rsidR="006F113C" w:rsidRPr="00D92E20">
              <w:rPr>
                <w:rFonts w:cs="Arial"/>
                <w:color w:val="000000"/>
                <w:sz w:val="16"/>
                <w:szCs w:val="16"/>
              </w:rPr>
              <w:t xml:space="preserve">plynu, tepla </w:t>
            </w:r>
            <w:r w:rsidRPr="00D92E20">
              <w:rPr>
                <w:rFonts w:cs="Arial"/>
                <w:color w:val="000000"/>
                <w:sz w:val="16"/>
                <w:szCs w:val="16"/>
              </w:rPr>
              <w:t xml:space="preserve">   </w:t>
            </w:r>
          </w:p>
          <w:p w14:paraId="408A3A82" w14:textId="77777777" w:rsidR="006F113C" w:rsidRPr="00D92E20" w:rsidRDefault="00FF5F37" w:rsidP="00FF5F37">
            <w:pPr>
              <w:spacing w:after="0" w:line="240" w:lineRule="auto"/>
              <w:ind w:firstLineChars="100" w:firstLine="160"/>
              <w:rPr>
                <w:rFonts w:cs="Arial"/>
                <w:color w:val="000000"/>
                <w:sz w:val="16"/>
                <w:szCs w:val="16"/>
              </w:rPr>
            </w:pPr>
            <w:r w:rsidRPr="00D92E20">
              <w:rPr>
                <w:rFonts w:cs="Arial"/>
                <w:color w:val="000000"/>
                <w:sz w:val="16"/>
                <w:szCs w:val="16"/>
              </w:rPr>
              <w:t xml:space="preserve">      </w:t>
            </w:r>
            <w:r w:rsidR="006F113C" w:rsidRPr="00D92E20">
              <w:rPr>
                <w:rFonts w:cs="Arial"/>
                <w:color w:val="000000"/>
                <w:sz w:val="16"/>
                <w:szCs w:val="16"/>
              </w:rPr>
              <w:t>a klimatiz</w:t>
            </w:r>
            <w:r w:rsidRPr="00D92E20">
              <w:rPr>
                <w:rFonts w:cs="Arial"/>
                <w:color w:val="000000"/>
                <w:sz w:val="16"/>
                <w:szCs w:val="16"/>
              </w:rPr>
              <w:t xml:space="preserve">ovaného </w:t>
            </w:r>
            <w:r w:rsidR="006F113C" w:rsidRPr="00D92E20">
              <w:rPr>
                <w:rFonts w:cs="Arial"/>
                <w:color w:val="000000"/>
                <w:sz w:val="16"/>
                <w:szCs w:val="16"/>
              </w:rPr>
              <w:t>vzduchu</w:t>
            </w:r>
          </w:p>
        </w:tc>
        <w:tc>
          <w:tcPr>
            <w:tcW w:w="567" w:type="dxa"/>
            <w:tcBorders>
              <w:top w:val="nil"/>
              <w:left w:val="nil"/>
              <w:bottom w:val="nil"/>
              <w:right w:val="nil"/>
            </w:tcBorders>
            <w:shd w:val="clear" w:color="auto" w:fill="auto"/>
            <w:noWrap/>
            <w:vAlign w:val="center"/>
            <w:hideMark/>
          </w:tcPr>
          <w:p w14:paraId="11F36F8A"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430AB13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0C3E3C2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4A96EA4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1AA6898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01F6AA7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6EF5F6A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D03A48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3FCBD3B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986EDE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186079A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3,3</w:t>
            </w:r>
          </w:p>
        </w:tc>
      </w:tr>
      <w:tr w:rsidR="006F113C" w:rsidRPr="00D92E20" w14:paraId="0C9189A1" w14:textId="77777777" w:rsidTr="00FF5F37">
        <w:trPr>
          <w:trHeight w:val="480"/>
        </w:trPr>
        <w:tc>
          <w:tcPr>
            <w:tcW w:w="3402" w:type="dxa"/>
            <w:tcBorders>
              <w:top w:val="nil"/>
              <w:left w:val="nil"/>
              <w:bottom w:val="nil"/>
              <w:right w:val="single" w:sz="4" w:space="0" w:color="auto"/>
            </w:tcBorders>
            <w:shd w:val="clear" w:color="auto" w:fill="auto"/>
            <w:vAlign w:val="center"/>
            <w:hideMark/>
          </w:tcPr>
          <w:p w14:paraId="3679A47A" w14:textId="77777777" w:rsidR="006F113C" w:rsidRPr="00D92E20" w:rsidRDefault="006F113C" w:rsidP="00FF5F37">
            <w:pPr>
              <w:spacing w:after="0" w:line="240" w:lineRule="auto"/>
              <w:ind w:firstLineChars="100" w:firstLine="160"/>
              <w:rPr>
                <w:rFonts w:cs="Arial"/>
                <w:color w:val="000000"/>
                <w:sz w:val="16"/>
                <w:szCs w:val="16"/>
              </w:rPr>
            </w:pPr>
            <w:r w:rsidRPr="00D92E20">
              <w:rPr>
                <w:rFonts w:cs="Arial"/>
                <w:color w:val="000000"/>
                <w:sz w:val="16"/>
                <w:szCs w:val="16"/>
              </w:rPr>
              <w:t xml:space="preserve">E – Zásobování vodou; činnosti </w:t>
            </w:r>
            <w:r w:rsidRPr="00D92E20">
              <w:rPr>
                <w:rFonts w:cs="Arial"/>
                <w:color w:val="000000"/>
                <w:sz w:val="16"/>
                <w:szCs w:val="16"/>
              </w:rPr>
              <w:br/>
              <w:t xml:space="preserve">      </w:t>
            </w:r>
            <w:r w:rsidR="00FF5F37" w:rsidRPr="00D92E20">
              <w:rPr>
                <w:rFonts w:cs="Arial"/>
                <w:color w:val="000000"/>
                <w:sz w:val="16"/>
                <w:szCs w:val="16"/>
              </w:rPr>
              <w:t xml:space="preserve">    </w:t>
            </w:r>
            <w:r w:rsidRPr="00D92E20">
              <w:rPr>
                <w:rFonts w:cs="Arial"/>
                <w:color w:val="000000"/>
                <w:sz w:val="16"/>
                <w:szCs w:val="16"/>
              </w:rPr>
              <w:t>souvis</w:t>
            </w:r>
            <w:r w:rsidR="00FF5F37" w:rsidRPr="00D92E20">
              <w:rPr>
                <w:rFonts w:cs="Arial"/>
                <w:color w:val="000000"/>
                <w:sz w:val="16"/>
                <w:szCs w:val="16"/>
              </w:rPr>
              <w:t>ející</w:t>
            </w:r>
            <w:r w:rsidRPr="00D92E20">
              <w:rPr>
                <w:rFonts w:cs="Arial"/>
                <w:color w:val="000000"/>
                <w:sz w:val="16"/>
                <w:szCs w:val="16"/>
              </w:rPr>
              <w:t xml:space="preserve"> s odpady a sanacemi</w:t>
            </w:r>
          </w:p>
        </w:tc>
        <w:tc>
          <w:tcPr>
            <w:tcW w:w="567" w:type="dxa"/>
            <w:tcBorders>
              <w:top w:val="nil"/>
              <w:left w:val="nil"/>
              <w:bottom w:val="nil"/>
              <w:right w:val="nil"/>
            </w:tcBorders>
            <w:shd w:val="clear" w:color="auto" w:fill="auto"/>
            <w:noWrap/>
            <w:vAlign w:val="center"/>
            <w:hideMark/>
          </w:tcPr>
          <w:p w14:paraId="73A79C1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001BC19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43DDE64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32D78B9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1212A2E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70014918"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7C5E063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3E22615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7FD71A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60FE7AE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1DBD91D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5,9</w:t>
            </w:r>
          </w:p>
        </w:tc>
      </w:tr>
      <w:tr w:rsidR="006F113C" w:rsidRPr="00D92E20" w14:paraId="4F69138B"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46599DC2"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F – Stavebnictví</w:t>
            </w:r>
          </w:p>
        </w:tc>
        <w:tc>
          <w:tcPr>
            <w:tcW w:w="567" w:type="dxa"/>
            <w:tcBorders>
              <w:top w:val="nil"/>
              <w:left w:val="nil"/>
              <w:bottom w:val="nil"/>
              <w:right w:val="nil"/>
            </w:tcBorders>
            <w:shd w:val="clear" w:color="auto" w:fill="auto"/>
            <w:noWrap/>
            <w:vAlign w:val="center"/>
            <w:hideMark/>
          </w:tcPr>
          <w:p w14:paraId="7706051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3CFF7AC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0173D7A"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069E48D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015D199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6BAB027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1A8A051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3BF3215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795317D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4,7</w:t>
            </w:r>
          </w:p>
        </w:tc>
        <w:tc>
          <w:tcPr>
            <w:tcW w:w="567" w:type="dxa"/>
            <w:tcBorders>
              <w:top w:val="nil"/>
              <w:left w:val="nil"/>
              <w:bottom w:val="nil"/>
              <w:right w:val="nil"/>
            </w:tcBorders>
            <w:shd w:val="clear" w:color="auto" w:fill="auto"/>
            <w:noWrap/>
            <w:vAlign w:val="center"/>
            <w:hideMark/>
          </w:tcPr>
          <w:p w14:paraId="03C5878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4BEC9DA8"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5,5</w:t>
            </w:r>
          </w:p>
        </w:tc>
      </w:tr>
      <w:tr w:rsidR="006F113C" w:rsidRPr="00D92E20" w14:paraId="679070A0" w14:textId="77777777" w:rsidTr="00FF5F37">
        <w:trPr>
          <w:trHeight w:val="480"/>
        </w:trPr>
        <w:tc>
          <w:tcPr>
            <w:tcW w:w="3402" w:type="dxa"/>
            <w:tcBorders>
              <w:top w:val="nil"/>
              <w:left w:val="nil"/>
              <w:bottom w:val="nil"/>
              <w:right w:val="single" w:sz="4" w:space="0" w:color="auto"/>
            </w:tcBorders>
            <w:shd w:val="clear" w:color="auto" w:fill="auto"/>
            <w:vAlign w:val="center"/>
            <w:hideMark/>
          </w:tcPr>
          <w:p w14:paraId="0D1F895A" w14:textId="77777777" w:rsidR="006F113C" w:rsidRPr="00D92E20" w:rsidRDefault="006F113C" w:rsidP="00FF5F37">
            <w:pPr>
              <w:spacing w:after="0" w:line="240" w:lineRule="auto"/>
              <w:ind w:firstLineChars="100" w:firstLine="160"/>
              <w:rPr>
                <w:rFonts w:cs="Arial"/>
                <w:color w:val="000000"/>
                <w:sz w:val="16"/>
                <w:szCs w:val="16"/>
              </w:rPr>
            </w:pPr>
            <w:r w:rsidRPr="00D92E20">
              <w:rPr>
                <w:rFonts w:cs="Arial"/>
                <w:color w:val="000000"/>
                <w:sz w:val="16"/>
                <w:szCs w:val="16"/>
              </w:rPr>
              <w:t xml:space="preserve">G – Velkoobchod a maloobchod; </w:t>
            </w:r>
            <w:r w:rsidRPr="00D92E20">
              <w:rPr>
                <w:rFonts w:cs="Arial"/>
                <w:color w:val="000000"/>
                <w:sz w:val="16"/>
                <w:szCs w:val="16"/>
              </w:rPr>
              <w:br/>
              <w:t xml:space="preserve">       </w:t>
            </w:r>
            <w:r w:rsidR="00FF5F37" w:rsidRPr="00D92E20">
              <w:rPr>
                <w:rFonts w:cs="Arial"/>
                <w:color w:val="000000"/>
                <w:sz w:val="16"/>
                <w:szCs w:val="16"/>
              </w:rPr>
              <w:t xml:space="preserve">   </w:t>
            </w:r>
            <w:r w:rsidRPr="00D92E20">
              <w:rPr>
                <w:rFonts w:cs="Arial"/>
                <w:color w:val="000000"/>
                <w:sz w:val="16"/>
                <w:szCs w:val="16"/>
              </w:rPr>
              <w:t>opravy a údržba motor</w:t>
            </w:r>
            <w:r w:rsidR="00FF5F37" w:rsidRPr="00D92E20">
              <w:rPr>
                <w:rFonts w:cs="Arial"/>
                <w:color w:val="000000"/>
                <w:sz w:val="16"/>
                <w:szCs w:val="16"/>
              </w:rPr>
              <w:t>ových</w:t>
            </w:r>
            <w:r w:rsidRPr="00D92E20">
              <w:rPr>
                <w:rFonts w:cs="Arial"/>
                <w:color w:val="000000"/>
                <w:sz w:val="16"/>
                <w:szCs w:val="16"/>
              </w:rPr>
              <w:t xml:space="preserve"> vozidel</w:t>
            </w:r>
          </w:p>
        </w:tc>
        <w:tc>
          <w:tcPr>
            <w:tcW w:w="567" w:type="dxa"/>
            <w:tcBorders>
              <w:top w:val="nil"/>
              <w:left w:val="nil"/>
              <w:bottom w:val="nil"/>
              <w:right w:val="nil"/>
            </w:tcBorders>
            <w:shd w:val="clear" w:color="auto" w:fill="auto"/>
            <w:noWrap/>
            <w:vAlign w:val="center"/>
            <w:hideMark/>
          </w:tcPr>
          <w:p w14:paraId="0DE4EA9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22091CE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2A635D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4D6C38D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4BCE8C9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4DF464E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33D0E3C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FBE9FD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F07839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5E508C4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532257D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5,7</w:t>
            </w:r>
          </w:p>
        </w:tc>
      </w:tr>
      <w:tr w:rsidR="006F113C" w:rsidRPr="00D92E20" w14:paraId="19EAA2A1"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2B3D99B2"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H – Doprava a skladování</w:t>
            </w:r>
          </w:p>
        </w:tc>
        <w:tc>
          <w:tcPr>
            <w:tcW w:w="567" w:type="dxa"/>
            <w:tcBorders>
              <w:top w:val="nil"/>
              <w:left w:val="nil"/>
              <w:bottom w:val="nil"/>
              <w:right w:val="nil"/>
            </w:tcBorders>
            <w:shd w:val="clear" w:color="auto" w:fill="auto"/>
            <w:noWrap/>
            <w:vAlign w:val="center"/>
            <w:hideMark/>
          </w:tcPr>
          <w:p w14:paraId="753E06E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679B791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5281A24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523C453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6D38B96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42E985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A97F4B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3294BF0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0F71CE7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4,8</w:t>
            </w:r>
          </w:p>
        </w:tc>
        <w:tc>
          <w:tcPr>
            <w:tcW w:w="567" w:type="dxa"/>
            <w:tcBorders>
              <w:top w:val="nil"/>
              <w:left w:val="nil"/>
              <w:bottom w:val="nil"/>
              <w:right w:val="nil"/>
            </w:tcBorders>
            <w:shd w:val="clear" w:color="auto" w:fill="auto"/>
            <w:noWrap/>
            <w:vAlign w:val="center"/>
            <w:hideMark/>
          </w:tcPr>
          <w:p w14:paraId="1C0A2098"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4,9</w:t>
            </w:r>
          </w:p>
        </w:tc>
        <w:tc>
          <w:tcPr>
            <w:tcW w:w="567" w:type="dxa"/>
            <w:tcBorders>
              <w:top w:val="nil"/>
              <w:left w:val="nil"/>
              <w:bottom w:val="nil"/>
              <w:right w:val="nil"/>
            </w:tcBorders>
            <w:shd w:val="clear" w:color="auto" w:fill="auto"/>
            <w:noWrap/>
            <w:vAlign w:val="center"/>
            <w:hideMark/>
          </w:tcPr>
          <w:p w14:paraId="4B9122A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5,8</w:t>
            </w:r>
          </w:p>
        </w:tc>
      </w:tr>
      <w:tr w:rsidR="006F113C" w:rsidRPr="00D92E20" w14:paraId="2269FFD1" w14:textId="77777777" w:rsidTr="00330CDD">
        <w:trPr>
          <w:trHeight w:val="300"/>
        </w:trPr>
        <w:tc>
          <w:tcPr>
            <w:tcW w:w="3402" w:type="dxa"/>
            <w:tcBorders>
              <w:top w:val="nil"/>
              <w:left w:val="nil"/>
              <w:bottom w:val="nil"/>
              <w:right w:val="single" w:sz="4" w:space="0" w:color="auto"/>
            </w:tcBorders>
            <w:shd w:val="clear" w:color="auto" w:fill="auto"/>
            <w:vAlign w:val="center"/>
            <w:hideMark/>
          </w:tcPr>
          <w:p w14:paraId="596DC50A" w14:textId="4E52F9BC" w:rsidR="006F113C" w:rsidRPr="00D92E20" w:rsidRDefault="006F113C" w:rsidP="00330CDD">
            <w:pPr>
              <w:spacing w:after="0" w:line="240" w:lineRule="auto"/>
              <w:ind w:firstLineChars="100" w:firstLine="160"/>
              <w:rPr>
                <w:rFonts w:cs="Arial"/>
                <w:color w:val="000000"/>
                <w:sz w:val="16"/>
                <w:szCs w:val="16"/>
              </w:rPr>
            </w:pPr>
            <w:r w:rsidRPr="00D92E20">
              <w:rPr>
                <w:rFonts w:cs="Arial"/>
                <w:color w:val="000000"/>
                <w:sz w:val="16"/>
                <w:szCs w:val="16"/>
              </w:rPr>
              <w:t>I – Ubytování, stravování a pohostinství</w:t>
            </w:r>
          </w:p>
        </w:tc>
        <w:tc>
          <w:tcPr>
            <w:tcW w:w="567" w:type="dxa"/>
            <w:tcBorders>
              <w:top w:val="nil"/>
              <w:left w:val="nil"/>
              <w:bottom w:val="nil"/>
              <w:right w:val="nil"/>
            </w:tcBorders>
            <w:shd w:val="clear" w:color="auto" w:fill="auto"/>
            <w:noWrap/>
            <w:vAlign w:val="center"/>
            <w:hideMark/>
          </w:tcPr>
          <w:p w14:paraId="632D069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5161E52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33A017E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FC0D40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3,7</w:t>
            </w:r>
          </w:p>
        </w:tc>
        <w:tc>
          <w:tcPr>
            <w:tcW w:w="567" w:type="dxa"/>
            <w:tcBorders>
              <w:top w:val="nil"/>
              <w:left w:val="nil"/>
              <w:bottom w:val="nil"/>
              <w:right w:val="nil"/>
            </w:tcBorders>
            <w:shd w:val="clear" w:color="auto" w:fill="auto"/>
            <w:noWrap/>
            <w:vAlign w:val="center"/>
            <w:hideMark/>
          </w:tcPr>
          <w:p w14:paraId="4391E5D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F2BE4F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1FAB7F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6A710E7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0E45F0B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4,4</w:t>
            </w:r>
          </w:p>
        </w:tc>
        <w:tc>
          <w:tcPr>
            <w:tcW w:w="567" w:type="dxa"/>
            <w:tcBorders>
              <w:top w:val="nil"/>
              <w:left w:val="nil"/>
              <w:bottom w:val="nil"/>
              <w:right w:val="nil"/>
            </w:tcBorders>
            <w:shd w:val="clear" w:color="auto" w:fill="auto"/>
            <w:noWrap/>
            <w:vAlign w:val="center"/>
            <w:hideMark/>
          </w:tcPr>
          <w:p w14:paraId="2C30300A"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FAFB2C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6,5</w:t>
            </w:r>
          </w:p>
        </w:tc>
      </w:tr>
      <w:tr w:rsidR="006F113C" w:rsidRPr="00D92E20" w14:paraId="2D3175CC"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5787BD01"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J – Informační a komunikační činnosti</w:t>
            </w:r>
          </w:p>
        </w:tc>
        <w:tc>
          <w:tcPr>
            <w:tcW w:w="567" w:type="dxa"/>
            <w:tcBorders>
              <w:top w:val="nil"/>
              <w:left w:val="nil"/>
              <w:bottom w:val="nil"/>
              <w:right w:val="nil"/>
            </w:tcBorders>
            <w:shd w:val="clear" w:color="auto" w:fill="auto"/>
            <w:noWrap/>
            <w:vAlign w:val="center"/>
            <w:hideMark/>
          </w:tcPr>
          <w:p w14:paraId="0D6AC58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2,0</w:t>
            </w:r>
          </w:p>
        </w:tc>
        <w:tc>
          <w:tcPr>
            <w:tcW w:w="567" w:type="dxa"/>
            <w:tcBorders>
              <w:top w:val="nil"/>
              <w:left w:val="nil"/>
              <w:bottom w:val="nil"/>
              <w:right w:val="nil"/>
            </w:tcBorders>
            <w:shd w:val="clear" w:color="auto" w:fill="auto"/>
            <w:noWrap/>
            <w:vAlign w:val="center"/>
            <w:hideMark/>
          </w:tcPr>
          <w:p w14:paraId="542890A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3343256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31FD964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1,6</w:t>
            </w:r>
          </w:p>
        </w:tc>
        <w:tc>
          <w:tcPr>
            <w:tcW w:w="567" w:type="dxa"/>
            <w:tcBorders>
              <w:top w:val="nil"/>
              <w:left w:val="nil"/>
              <w:bottom w:val="nil"/>
              <w:right w:val="nil"/>
            </w:tcBorders>
            <w:shd w:val="clear" w:color="auto" w:fill="auto"/>
            <w:noWrap/>
            <w:vAlign w:val="center"/>
            <w:hideMark/>
          </w:tcPr>
          <w:p w14:paraId="687A5FA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39B394C8"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395F88B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1,7</w:t>
            </w:r>
          </w:p>
        </w:tc>
        <w:tc>
          <w:tcPr>
            <w:tcW w:w="567" w:type="dxa"/>
            <w:tcBorders>
              <w:top w:val="nil"/>
              <w:left w:val="nil"/>
              <w:bottom w:val="nil"/>
              <w:right w:val="nil"/>
            </w:tcBorders>
            <w:shd w:val="clear" w:color="auto" w:fill="auto"/>
            <w:noWrap/>
            <w:vAlign w:val="center"/>
            <w:hideMark/>
          </w:tcPr>
          <w:p w14:paraId="210C6F9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1,8</w:t>
            </w:r>
          </w:p>
        </w:tc>
        <w:tc>
          <w:tcPr>
            <w:tcW w:w="567" w:type="dxa"/>
            <w:tcBorders>
              <w:top w:val="nil"/>
              <w:left w:val="nil"/>
              <w:bottom w:val="nil"/>
              <w:right w:val="nil"/>
            </w:tcBorders>
            <w:shd w:val="clear" w:color="auto" w:fill="auto"/>
            <w:noWrap/>
            <w:vAlign w:val="center"/>
            <w:hideMark/>
          </w:tcPr>
          <w:p w14:paraId="75225DB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4271BEC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1,9</w:t>
            </w:r>
          </w:p>
        </w:tc>
        <w:tc>
          <w:tcPr>
            <w:tcW w:w="567" w:type="dxa"/>
            <w:tcBorders>
              <w:top w:val="nil"/>
              <w:left w:val="nil"/>
              <w:bottom w:val="nil"/>
              <w:right w:val="nil"/>
            </w:tcBorders>
            <w:shd w:val="clear" w:color="auto" w:fill="auto"/>
            <w:noWrap/>
            <w:vAlign w:val="center"/>
            <w:hideMark/>
          </w:tcPr>
          <w:p w14:paraId="20B0797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1,9</w:t>
            </w:r>
          </w:p>
        </w:tc>
      </w:tr>
      <w:tr w:rsidR="006F113C" w:rsidRPr="00D92E20" w14:paraId="25164450"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5D80CE3A"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K – Peněžnictví a pojišťovnictví</w:t>
            </w:r>
          </w:p>
        </w:tc>
        <w:tc>
          <w:tcPr>
            <w:tcW w:w="567" w:type="dxa"/>
            <w:tcBorders>
              <w:top w:val="nil"/>
              <w:left w:val="nil"/>
              <w:bottom w:val="nil"/>
              <w:right w:val="nil"/>
            </w:tcBorders>
            <w:shd w:val="clear" w:color="auto" w:fill="auto"/>
            <w:noWrap/>
            <w:vAlign w:val="center"/>
            <w:hideMark/>
          </w:tcPr>
          <w:p w14:paraId="31746CF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5A85677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AE0413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183298C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81C9E5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CF2DCA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7C07A7D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4CBFC82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46DD47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347D76D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C459948"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r>
      <w:tr w:rsidR="006F113C" w:rsidRPr="00D92E20" w14:paraId="2450DBF4"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62476CC7"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L – Činnosti v oblasti nemovitostí</w:t>
            </w:r>
          </w:p>
        </w:tc>
        <w:tc>
          <w:tcPr>
            <w:tcW w:w="567" w:type="dxa"/>
            <w:tcBorders>
              <w:top w:val="nil"/>
              <w:left w:val="nil"/>
              <w:bottom w:val="nil"/>
              <w:right w:val="nil"/>
            </w:tcBorders>
            <w:shd w:val="clear" w:color="auto" w:fill="auto"/>
            <w:noWrap/>
            <w:vAlign w:val="center"/>
            <w:hideMark/>
          </w:tcPr>
          <w:p w14:paraId="6925059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4C53DF3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48A6789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356D73F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4306207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D188AB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18E504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1BAA2CFA"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6A8C385A"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05AC41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55226A3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r>
      <w:tr w:rsidR="006F113C" w:rsidRPr="00D92E20" w14:paraId="49E3D586" w14:textId="77777777" w:rsidTr="00330CDD">
        <w:trPr>
          <w:trHeight w:val="300"/>
        </w:trPr>
        <w:tc>
          <w:tcPr>
            <w:tcW w:w="3402" w:type="dxa"/>
            <w:tcBorders>
              <w:top w:val="nil"/>
              <w:left w:val="nil"/>
              <w:bottom w:val="nil"/>
              <w:right w:val="single" w:sz="4" w:space="0" w:color="auto"/>
            </w:tcBorders>
            <w:shd w:val="clear" w:color="auto" w:fill="auto"/>
            <w:vAlign w:val="center"/>
            <w:hideMark/>
          </w:tcPr>
          <w:p w14:paraId="4D12E6AC" w14:textId="5ABE0297" w:rsidR="006F113C" w:rsidRPr="00D92E20" w:rsidRDefault="006F113C" w:rsidP="00330CDD">
            <w:pPr>
              <w:spacing w:after="0" w:line="240" w:lineRule="auto"/>
              <w:ind w:firstLineChars="100" w:firstLine="160"/>
              <w:rPr>
                <w:rFonts w:cs="Arial"/>
                <w:color w:val="000000"/>
                <w:sz w:val="16"/>
                <w:szCs w:val="16"/>
              </w:rPr>
            </w:pPr>
            <w:r w:rsidRPr="00D92E20">
              <w:rPr>
                <w:rFonts w:cs="Arial"/>
                <w:color w:val="000000"/>
                <w:sz w:val="16"/>
                <w:szCs w:val="16"/>
              </w:rPr>
              <w:t xml:space="preserve">M </w:t>
            </w:r>
            <w:r w:rsidR="00330CDD" w:rsidRPr="00D92E20">
              <w:rPr>
                <w:rFonts w:cs="Arial"/>
                <w:color w:val="000000"/>
                <w:sz w:val="16"/>
                <w:szCs w:val="16"/>
              </w:rPr>
              <w:t>– Profesní, vědecké a technické č</w:t>
            </w:r>
            <w:r w:rsidRPr="00D92E20">
              <w:rPr>
                <w:rFonts w:cs="Arial"/>
                <w:color w:val="000000"/>
                <w:sz w:val="16"/>
                <w:szCs w:val="16"/>
              </w:rPr>
              <w:t>innosti</w:t>
            </w:r>
          </w:p>
        </w:tc>
        <w:tc>
          <w:tcPr>
            <w:tcW w:w="567" w:type="dxa"/>
            <w:tcBorders>
              <w:top w:val="nil"/>
              <w:left w:val="nil"/>
              <w:bottom w:val="nil"/>
              <w:right w:val="nil"/>
            </w:tcBorders>
            <w:shd w:val="clear" w:color="auto" w:fill="auto"/>
            <w:noWrap/>
            <w:vAlign w:val="center"/>
            <w:hideMark/>
          </w:tcPr>
          <w:p w14:paraId="692835D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6A56AE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2,6</w:t>
            </w:r>
          </w:p>
        </w:tc>
        <w:tc>
          <w:tcPr>
            <w:tcW w:w="567" w:type="dxa"/>
            <w:tcBorders>
              <w:top w:val="nil"/>
              <w:left w:val="nil"/>
              <w:bottom w:val="nil"/>
              <w:right w:val="nil"/>
            </w:tcBorders>
            <w:shd w:val="clear" w:color="auto" w:fill="auto"/>
            <w:noWrap/>
            <w:vAlign w:val="center"/>
            <w:hideMark/>
          </w:tcPr>
          <w:p w14:paraId="5302901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245F4F8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7779A65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2,1</w:t>
            </w:r>
          </w:p>
        </w:tc>
        <w:tc>
          <w:tcPr>
            <w:tcW w:w="567" w:type="dxa"/>
            <w:tcBorders>
              <w:top w:val="nil"/>
              <w:left w:val="nil"/>
              <w:bottom w:val="nil"/>
              <w:right w:val="nil"/>
            </w:tcBorders>
            <w:shd w:val="clear" w:color="auto" w:fill="auto"/>
            <w:noWrap/>
            <w:vAlign w:val="center"/>
            <w:hideMark/>
          </w:tcPr>
          <w:p w14:paraId="10EFEE7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5F9D0DF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272CE34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0017863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2183BB2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55AF873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2,8</w:t>
            </w:r>
          </w:p>
        </w:tc>
      </w:tr>
      <w:tr w:rsidR="006F113C" w:rsidRPr="00D92E20" w14:paraId="379C2DBB" w14:textId="77777777" w:rsidTr="00330CDD">
        <w:trPr>
          <w:trHeight w:val="300"/>
        </w:trPr>
        <w:tc>
          <w:tcPr>
            <w:tcW w:w="3402" w:type="dxa"/>
            <w:tcBorders>
              <w:top w:val="nil"/>
              <w:left w:val="nil"/>
              <w:bottom w:val="nil"/>
              <w:right w:val="single" w:sz="4" w:space="0" w:color="auto"/>
            </w:tcBorders>
            <w:shd w:val="clear" w:color="auto" w:fill="auto"/>
            <w:vAlign w:val="center"/>
            <w:hideMark/>
          </w:tcPr>
          <w:p w14:paraId="44834F85" w14:textId="25DA5940" w:rsidR="006F113C" w:rsidRPr="00D92E20" w:rsidRDefault="006F113C" w:rsidP="00330CDD">
            <w:pPr>
              <w:spacing w:after="0" w:line="240" w:lineRule="auto"/>
              <w:ind w:firstLineChars="100" w:firstLine="160"/>
              <w:rPr>
                <w:rFonts w:cs="Arial"/>
                <w:color w:val="000000"/>
                <w:sz w:val="16"/>
                <w:szCs w:val="16"/>
              </w:rPr>
            </w:pPr>
            <w:r w:rsidRPr="00D92E20">
              <w:rPr>
                <w:rFonts w:cs="Arial"/>
                <w:color w:val="000000"/>
                <w:sz w:val="16"/>
                <w:szCs w:val="16"/>
              </w:rPr>
              <w:t>N – Administrativní a podpůrné</w:t>
            </w:r>
            <w:r w:rsidR="00330CDD" w:rsidRPr="00D92E20">
              <w:rPr>
                <w:rFonts w:cs="Arial"/>
                <w:color w:val="000000"/>
                <w:sz w:val="16"/>
                <w:szCs w:val="16"/>
              </w:rPr>
              <w:t xml:space="preserve"> </w:t>
            </w:r>
            <w:r w:rsidRPr="00D92E20">
              <w:rPr>
                <w:rFonts w:cs="Arial"/>
                <w:color w:val="000000"/>
                <w:sz w:val="16"/>
                <w:szCs w:val="16"/>
              </w:rPr>
              <w:t>činnosti</w:t>
            </w:r>
          </w:p>
        </w:tc>
        <w:tc>
          <w:tcPr>
            <w:tcW w:w="567" w:type="dxa"/>
            <w:tcBorders>
              <w:top w:val="nil"/>
              <w:left w:val="nil"/>
              <w:bottom w:val="nil"/>
              <w:right w:val="nil"/>
            </w:tcBorders>
            <w:shd w:val="clear" w:color="auto" w:fill="auto"/>
            <w:noWrap/>
            <w:vAlign w:val="center"/>
            <w:hideMark/>
          </w:tcPr>
          <w:p w14:paraId="7C8E72F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4,2</w:t>
            </w:r>
          </w:p>
        </w:tc>
        <w:tc>
          <w:tcPr>
            <w:tcW w:w="567" w:type="dxa"/>
            <w:tcBorders>
              <w:top w:val="nil"/>
              <w:left w:val="nil"/>
              <w:bottom w:val="nil"/>
              <w:right w:val="nil"/>
            </w:tcBorders>
            <w:shd w:val="clear" w:color="auto" w:fill="auto"/>
            <w:noWrap/>
            <w:vAlign w:val="center"/>
            <w:hideMark/>
          </w:tcPr>
          <w:p w14:paraId="7FDE2D4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097CB14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0FA99D3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790188E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4,6</w:t>
            </w:r>
          </w:p>
        </w:tc>
        <w:tc>
          <w:tcPr>
            <w:tcW w:w="567" w:type="dxa"/>
            <w:tcBorders>
              <w:top w:val="nil"/>
              <w:left w:val="nil"/>
              <w:bottom w:val="nil"/>
              <w:right w:val="nil"/>
            </w:tcBorders>
            <w:shd w:val="clear" w:color="auto" w:fill="auto"/>
            <w:noWrap/>
            <w:vAlign w:val="center"/>
            <w:hideMark/>
          </w:tcPr>
          <w:p w14:paraId="4AED965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5,1</w:t>
            </w:r>
          </w:p>
        </w:tc>
        <w:tc>
          <w:tcPr>
            <w:tcW w:w="567" w:type="dxa"/>
            <w:tcBorders>
              <w:top w:val="nil"/>
              <w:left w:val="nil"/>
              <w:bottom w:val="nil"/>
              <w:right w:val="nil"/>
            </w:tcBorders>
            <w:shd w:val="clear" w:color="auto" w:fill="auto"/>
            <w:noWrap/>
            <w:vAlign w:val="center"/>
            <w:hideMark/>
          </w:tcPr>
          <w:p w14:paraId="17ACE5F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5EFEF93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5,2</w:t>
            </w:r>
          </w:p>
        </w:tc>
        <w:tc>
          <w:tcPr>
            <w:tcW w:w="567" w:type="dxa"/>
            <w:tcBorders>
              <w:top w:val="nil"/>
              <w:left w:val="nil"/>
              <w:bottom w:val="nil"/>
              <w:right w:val="nil"/>
            </w:tcBorders>
            <w:shd w:val="clear" w:color="auto" w:fill="auto"/>
            <w:noWrap/>
            <w:vAlign w:val="center"/>
            <w:hideMark/>
          </w:tcPr>
          <w:p w14:paraId="76AB8D9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5,4</w:t>
            </w:r>
          </w:p>
        </w:tc>
        <w:tc>
          <w:tcPr>
            <w:tcW w:w="567" w:type="dxa"/>
            <w:tcBorders>
              <w:top w:val="nil"/>
              <w:left w:val="nil"/>
              <w:bottom w:val="nil"/>
              <w:right w:val="nil"/>
            </w:tcBorders>
            <w:shd w:val="clear" w:color="auto" w:fill="auto"/>
            <w:noWrap/>
            <w:vAlign w:val="center"/>
            <w:hideMark/>
          </w:tcPr>
          <w:p w14:paraId="2E62E4A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5,8</w:t>
            </w:r>
          </w:p>
        </w:tc>
        <w:tc>
          <w:tcPr>
            <w:tcW w:w="567" w:type="dxa"/>
            <w:tcBorders>
              <w:top w:val="nil"/>
              <w:left w:val="nil"/>
              <w:bottom w:val="nil"/>
              <w:right w:val="nil"/>
            </w:tcBorders>
            <w:shd w:val="clear" w:color="auto" w:fill="auto"/>
            <w:noWrap/>
            <w:vAlign w:val="center"/>
            <w:hideMark/>
          </w:tcPr>
          <w:p w14:paraId="22EB4AAA"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6,8</w:t>
            </w:r>
          </w:p>
        </w:tc>
      </w:tr>
      <w:tr w:rsidR="006F113C" w:rsidRPr="00D92E20" w14:paraId="5FF59439" w14:textId="77777777" w:rsidTr="00FF5F37">
        <w:trPr>
          <w:trHeight w:val="480"/>
        </w:trPr>
        <w:tc>
          <w:tcPr>
            <w:tcW w:w="3402" w:type="dxa"/>
            <w:tcBorders>
              <w:top w:val="nil"/>
              <w:left w:val="nil"/>
              <w:bottom w:val="nil"/>
              <w:right w:val="single" w:sz="4" w:space="0" w:color="auto"/>
            </w:tcBorders>
            <w:shd w:val="clear" w:color="auto" w:fill="auto"/>
            <w:vAlign w:val="center"/>
            <w:hideMark/>
          </w:tcPr>
          <w:p w14:paraId="7D932DD4"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 xml:space="preserve">O – Veřejná správa a obrana; </w:t>
            </w:r>
            <w:r w:rsidRPr="00D92E20">
              <w:rPr>
                <w:rFonts w:cs="Arial"/>
                <w:color w:val="000000"/>
                <w:sz w:val="16"/>
                <w:szCs w:val="16"/>
              </w:rPr>
              <w:br/>
              <w:t xml:space="preserve">        </w:t>
            </w:r>
            <w:r w:rsidR="00FF5F37" w:rsidRPr="00D92E20">
              <w:rPr>
                <w:rFonts w:cs="Arial"/>
                <w:color w:val="000000"/>
                <w:sz w:val="16"/>
                <w:szCs w:val="16"/>
              </w:rPr>
              <w:t xml:space="preserve">  </w:t>
            </w:r>
            <w:r w:rsidRPr="00D92E20">
              <w:rPr>
                <w:rFonts w:cs="Arial"/>
                <w:color w:val="000000"/>
                <w:sz w:val="16"/>
                <w:szCs w:val="16"/>
              </w:rPr>
              <w:t>povinné sociální zabezpečení</w:t>
            </w:r>
          </w:p>
        </w:tc>
        <w:tc>
          <w:tcPr>
            <w:tcW w:w="567" w:type="dxa"/>
            <w:tcBorders>
              <w:top w:val="nil"/>
              <w:left w:val="nil"/>
              <w:bottom w:val="nil"/>
              <w:right w:val="nil"/>
            </w:tcBorders>
            <w:shd w:val="clear" w:color="auto" w:fill="auto"/>
            <w:noWrap/>
            <w:vAlign w:val="center"/>
            <w:hideMark/>
          </w:tcPr>
          <w:p w14:paraId="1252287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4E7EA4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001449D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25627EA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4EA083B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7EE9BE7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683C19B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64B4717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79714A6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3,3</w:t>
            </w:r>
          </w:p>
        </w:tc>
        <w:tc>
          <w:tcPr>
            <w:tcW w:w="567" w:type="dxa"/>
            <w:tcBorders>
              <w:top w:val="nil"/>
              <w:left w:val="nil"/>
              <w:bottom w:val="nil"/>
              <w:right w:val="nil"/>
            </w:tcBorders>
            <w:shd w:val="clear" w:color="auto" w:fill="auto"/>
            <w:noWrap/>
            <w:vAlign w:val="center"/>
            <w:hideMark/>
          </w:tcPr>
          <w:p w14:paraId="0A40346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5C2704F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3,9</w:t>
            </w:r>
          </w:p>
        </w:tc>
      </w:tr>
      <w:tr w:rsidR="006F113C" w:rsidRPr="00D92E20" w14:paraId="6537B685"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6B444684"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P – Vzdělávání</w:t>
            </w:r>
          </w:p>
        </w:tc>
        <w:tc>
          <w:tcPr>
            <w:tcW w:w="567" w:type="dxa"/>
            <w:tcBorders>
              <w:top w:val="nil"/>
              <w:left w:val="nil"/>
              <w:bottom w:val="nil"/>
              <w:right w:val="nil"/>
            </w:tcBorders>
            <w:shd w:val="clear" w:color="auto" w:fill="auto"/>
            <w:noWrap/>
            <w:vAlign w:val="center"/>
            <w:hideMark/>
          </w:tcPr>
          <w:p w14:paraId="355220C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2AC13336"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50D6772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2,2</w:t>
            </w:r>
          </w:p>
        </w:tc>
        <w:tc>
          <w:tcPr>
            <w:tcW w:w="567" w:type="dxa"/>
            <w:tcBorders>
              <w:top w:val="nil"/>
              <w:left w:val="nil"/>
              <w:bottom w:val="nil"/>
              <w:right w:val="nil"/>
            </w:tcBorders>
            <w:shd w:val="clear" w:color="auto" w:fill="auto"/>
            <w:noWrap/>
            <w:vAlign w:val="center"/>
            <w:hideMark/>
          </w:tcPr>
          <w:p w14:paraId="4EA7146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7AC57998"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2,4</w:t>
            </w:r>
          </w:p>
        </w:tc>
        <w:tc>
          <w:tcPr>
            <w:tcW w:w="567" w:type="dxa"/>
            <w:tcBorders>
              <w:top w:val="nil"/>
              <w:left w:val="nil"/>
              <w:bottom w:val="nil"/>
              <w:right w:val="nil"/>
            </w:tcBorders>
            <w:shd w:val="clear" w:color="auto" w:fill="auto"/>
            <w:noWrap/>
            <w:vAlign w:val="center"/>
            <w:hideMark/>
          </w:tcPr>
          <w:p w14:paraId="04D6AA7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3A556C0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7A1DD3C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655282E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2975FE9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2EB4B2A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3,3</w:t>
            </w:r>
          </w:p>
        </w:tc>
      </w:tr>
      <w:tr w:rsidR="006F113C" w:rsidRPr="00D92E20" w14:paraId="45A0E750"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2561E914"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Q – Zdravotní a sociální péče</w:t>
            </w:r>
          </w:p>
        </w:tc>
        <w:tc>
          <w:tcPr>
            <w:tcW w:w="567" w:type="dxa"/>
            <w:tcBorders>
              <w:top w:val="nil"/>
              <w:left w:val="nil"/>
              <w:bottom w:val="nil"/>
              <w:right w:val="nil"/>
            </w:tcBorders>
            <w:shd w:val="clear" w:color="auto" w:fill="auto"/>
            <w:noWrap/>
            <w:vAlign w:val="center"/>
            <w:hideMark/>
          </w:tcPr>
          <w:p w14:paraId="3837792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432FEC0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207E324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245C1CB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3,4</w:t>
            </w:r>
          </w:p>
        </w:tc>
        <w:tc>
          <w:tcPr>
            <w:tcW w:w="567" w:type="dxa"/>
            <w:tcBorders>
              <w:top w:val="nil"/>
              <w:left w:val="nil"/>
              <w:bottom w:val="nil"/>
              <w:right w:val="nil"/>
            </w:tcBorders>
            <w:shd w:val="clear" w:color="auto" w:fill="auto"/>
            <w:noWrap/>
            <w:vAlign w:val="center"/>
            <w:hideMark/>
          </w:tcPr>
          <w:p w14:paraId="7CC7996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1054482E"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3,9</w:t>
            </w:r>
          </w:p>
        </w:tc>
        <w:tc>
          <w:tcPr>
            <w:tcW w:w="567" w:type="dxa"/>
            <w:tcBorders>
              <w:top w:val="nil"/>
              <w:left w:val="nil"/>
              <w:bottom w:val="nil"/>
              <w:right w:val="nil"/>
            </w:tcBorders>
            <w:shd w:val="clear" w:color="auto" w:fill="auto"/>
            <w:noWrap/>
            <w:vAlign w:val="center"/>
            <w:hideMark/>
          </w:tcPr>
          <w:p w14:paraId="0C61BEB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1CDD45B3"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4,1</w:t>
            </w:r>
          </w:p>
        </w:tc>
        <w:tc>
          <w:tcPr>
            <w:tcW w:w="567" w:type="dxa"/>
            <w:tcBorders>
              <w:top w:val="nil"/>
              <w:left w:val="nil"/>
              <w:bottom w:val="nil"/>
              <w:right w:val="nil"/>
            </w:tcBorders>
            <w:shd w:val="clear" w:color="auto" w:fill="auto"/>
            <w:noWrap/>
            <w:vAlign w:val="center"/>
            <w:hideMark/>
          </w:tcPr>
          <w:p w14:paraId="6FC79CB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4,3</w:t>
            </w:r>
          </w:p>
        </w:tc>
        <w:tc>
          <w:tcPr>
            <w:tcW w:w="567" w:type="dxa"/>
            <w:tcBorders>
              <w:top w:val="nil"/>
              <w:left w:val="nil"/>
              <w:bottom w:val="nil"/>
              <w:right w:val="nil"/>
            </w:tcBorders>
            <w:shd w:val="clear" w:color="auto" w:fill="auto"/>
            <w:noWrap/>
            <w:vAlign w:val="center"/>
            <w:hideMark/>
          </w:tcPr>
          <w:p w14:paraId="57D5387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4,5</w:t>
            </w:r>
          </w:p>
        </w:tc>
        <w:tc>
          <w:tcPr>
            <w:tcW w:w="567" w:type="dxa"/>
            <w:tcBorders>
              <w:top w:val="nil"/>
              <w:left w:val="nil"/>
              <w:bottom w:val="nil"/>
              <w:right w:val="nil"/>
            </w:tcBorders>
            <w:shd w:val="clear" w:color="auto" w:fill="auto"/>
            <w:noWrap/>
            <w:vAlign w:val="center"/>
            <w:hideMark/>
          </w:tcPr>
          <w:p w14:paraId="29E4B28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5,9</w:t>
            </w:r>
          </w:p>
        </w:tc>
      </w:tr>
      <w:tr w:rsidR="006F113C" w:rsidRPr="00D92E20" w14:paraId="34013AB5" w14:textId="77777777" w:rsidTr="00330CDD">
        <w:trPr>
          <w:trHeight w:val="300"/>
        </w:trPr>
        <w:tc>
          <w:tcPr>
            <w:tcW w:w="3402" w:type="dxa"/>
            <w:tcBorders>
              <w:top w:val="nil"/>
              <w:left w:val="nil"/>
              <w:bottom w:val="nil"/>
              <w:right w:val="single" w:sz="4" w:space="0" w:color="auto"/>
            </w:tcBorders>
            <w:shd w:val="clear" w:color="auto" w:fill="auto"/>
            <w:vAlign w:val="center"/>
            <w:hideMark/>
          </w:tcPr>
          <w:p w14:paraId="48D6C9D8" w14:textId="3D5E2B48" w:rsidR="006F113C" w:rsidRPr="00D92E20" w:rsidRDefault="006F113C" w:rsidP="00330CDD">
            <w:pPr>
              <w:spacing w:after="0" w:line="240" w:lineRule="auto"/>
              <w:ind w:firstLineChars="100" w:firstLine="160"/>
              <w:rPr>
                <w:rFonts w:cs="Arial"/>
                <w:color w:val="000000"/>
                <w:sz w:val="16"/>
                <w:szCs w:val="16"/>
              </w:rPr>
            </w:pPr>
            <w:r w:rsidRPr="00D92E20">
              <w:rPr>
                <w:rFonts w:cs="Arial"/>
                <w:color w:val="000000"/>
                <w:sz w:val="16"/>
                <w:szCs w:val="16"/>
              </w:rPr>
              <w:t>R – Kulturní, zábavní a rekreační činnosti</w:t>
            </w:r>
          </w:p>
        </w:tc>
        <w:tc>
          <w:tcPr>
            <w:tcW w:w="567" w:type="dxa"/>
            <w:tcBorders>
              <w:top w:val="nil"/>
              <w:left w:val="nil"/>
              <w:bottom w:val="nil"/>
              <w:right w:val="nil"/>
            </w:tcBorders>
            <w:shd w:val="clear" w:color="auto" w:fill="auto"/>
            <w:noWrap/>
            <w:vAlign w:val="center"/>
            <w:hideMark/>
          </w:tcPr>
          <w:p w14:paraId="730A3EE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6B1B2EA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0CD9B2A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2,3</w:t>
            </w:r>
          </w:p>
        </w:tc>
        <w:tc>
          <w:tcPr>
            <w:tcW w:w="567" w:type="dxa"/>
            <w:tcBorders>
              <w:top w:val="nil"/>
              <w:left w:val="nil"/>
              <w:bottom w:val="nil"/>
              <w:right w:val="nil"/>
            </w:tcBorders>
            <w:shd w:val="clear" w:color="auto" w:fill="auto"/>
            <w:noWrap/>
            <w:vAlign w:val="center"/>
            <w:hideMark/>
          </w:tcPr>
          <w:p w14:paraId="16A89A5A"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5D3619B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2,5</w:t>
            </w:r>
          </w:p>
        </w:tc>
        <w:tc>
          <w:tcPr>
            <w:tcW w:w="567" w:type="dxa"/>
            <w:tcBorders>
              <w:top w:val="nil"/>
              <w:left w:val="nil"/>
              <w:bottom w:val="nil"/>
              <w:right w:val="nil"/>
            </w:tcBorders>
            <w:shd w:val="clear" w:color="auto" w:fill="auto"/>
            <w:noWrap/>
            <w:vAlign w:val="center"/>
            <w:hideMark/>
          </w:tcPr>
          <w:p w14:paraId="7F84F244"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2,7</w:t>
            </w:r>
          </w:p>
        </w:tc>
        <w:tc>
          <w:tcPr>
            <w:tcW w:w="567" w:type="dxa"/>
            <w:tcBorders>
              <w:top w:val="nil"/>
              <w:left w:val="nil"/>
              <w:bottom w:val="nil"/>
              <w:right w:val="nil"/>
            </w:tcBorders>
            <w:shd w:val="clear" w:color="auto" w:fill="auto"/>
            <w:noWrap/>
            <w:vAlign w:val="center"/>
            <w:hideMark/>
          </w:tcPr>
          <w:p w14:paraId="2A4F1FC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2,8</w:t>
            </w:r>
          </w:p>
        </w:tc>
        <w:tc>
          <w:tcPr>
            <w:tcW w:w="567" w:type="dxa"/>
            <w:tcBorders>
              <w:top w:val="nil"/>
              <w:left w:val="nil"/>
              <w:bottom w:val="nil"/>
              <w:right w:val="nil"/>
            </w:tcBorders>
            <w:shd w:val="clear" w:color="auto" w:fill="auto"/>
            <w:noWrap/>
            <w:vAlign w:val="center"/>
            <w:hideMark/>
          </w:tcPr>
          <w:p w14:paraId="3882DF8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0FC6D7ED"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3,0</w:t>
            </w:r>
          </w:p>
        </w:tc>
        <w:tc>
          <w:tcPr>
            <w:tcW w:w="567" w:type="dxa"/>
            <w:tcBorders>
              <w:top w:val="nil"/>
              <w:left w:val="nil"/>
              <w:bottom w:val="nil"/>
              <w:right w:val="nil"/>
            </w:tcBorders>
            <w:shd w:val="clear" w:color="auto" w:fill="auto"/>
            <w:noWrap/>
            <w:vAlign w:val="center"/>
            <w:hideMark/>
          </w:tcPr>
          <w:p w14:paraId="5A565F4F"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3E934D1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3,7</w:t>
            </w:r>
          </w:p>
        </w:tc>
      </w:tr>
      <w:tr w:rsidR="006F113C" w:rsidRPr="00D92E20" w14:paraId="23A725A7" w14:textId="77777777" w:rsidTr="00FF5F37">
        <w:trPr>
          <w:trHeight w:val="300"/>
        </w:trPr>
        <w:tc>
          <w:tcPr>
            <w:tcW w:w="3402" w:type="dxa"/>
            <w:tcBorders>
              <w:top w:val="nil"/>
              <w:left w:val="nil"/>
              <w:bottom w:val="nil"/>
              <w:right w:val="single" w:sz="4" w:space="0" w:color="auto"/>
            </w:tcBorders>
            <w:shd w:val="clear" w:color="auto" w:fill="auto"/>
            <w:vAlign w:val="center"/>
            <w:hideMark/>
          </w:tcPr>
          <w:p w14:paraId="2E35F2F1" w14:textId="77777777" w:rsidR="006F113C" w:rsidRPr="00D92E20" w:rsidRDefault="006F113C" w:rsidP="006F113C">
            <w:pPr>
              <w:spacing w:after="0" w:line="240" w:lineRule="auto"/>
              <w:ind w:firstLineChars="100" w:firstLine="160"/>
              <w:rPr>
                <w:rFonts w:cs="Arial"/>
                <w:color w:val="000000"/>
                <w:sz w:val="16"/>
                <w:szCs w:val="16"/>
              </w:rPr>
            </w:pPr>
            <w:r w:rsidRPr="00D92E20">
              <w:rPr>
                <w:rFonts w:cs="Arial"/>
                <w:color w:val="000000"/>
                <w:sz w:val="16"/>
                <w:szCs w:val="16"/>
              </w:rPr>
              <w:t>S – Ostatní činnosti</w:t>
            </w:r>
          </w:p>
        </w:tc>
        <w:tc>
          <w:tcPr>
            <w:tcW w:w="567" w:type="dxa"/>
            <w:tcBorders>
              <w:top w:val="nil"/>
              <w:left w:val="nil"/>
              <w:bottom w:val="nil"/>
              <w:right w:val="nil"/>
            </w:tcBorders>
            <w:shd w:val="clear" w:color="auto" w:fill="auto"/>
            <w:noWrap/>
            <w:vAlign w:val="center"/>
            <w:hideMark/>
          </w:tcPr>
          <w:p w14:paraId="66B5E27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6ABCC930"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3,5</w:t>
            </w:r>
          </w:p>
        </w:tc>
        <w:tc>
          <w:tcPr>
            <w:tcW w:w="567" w:type="dxa"/>
            <w:tcBorders>
              <w:top w:val="nil"/>
              <w:left w:val="nil"/>
              <w:bottom w:val="nil"/>
              <w:right w:val="nil"/>
            </w:tcBorders>
            <w:shd w:val="clear" w:color="auto" w:fill="auto"/>
            <w:noWrap/>
            <w:vAlign w:val="center"/>
            <w:hideMark/>
          </w:tcPr>
          <w:p w14:paraId="677F22DB"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2,9</w:t>
            </w:r>
          </w:p>
        </w:tc>
        <w:tc>
          <w:tcPr>
            <w:tcW w:w="567" w:type="dxa"/>
            <w:tcBorders>
              <w:top w:val="nil"/>
              <w:left w:val="nil"/>
              <w:bottom w:val="nil"/>
              <w:right w:val="nil"/>
            </w:tcBorders>
            <w:shd w:val="clear" w:color="auto" w:fill="auto"/>
            <w:noWrap/>
            <w:vAlign w:val="center"/>
            <w:hideMark/>
          </w:tcPr>
          <w:p w14:paraId="13692565"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3,1</w:t>
            </w:r>
          </w:p>
        </w:tc>
        <w:tc>
          <w:tcPr>
            <w:tcW w:w="567" w:type="dxa"/>
            <w:tcBorders>
              <w:top w:val="nil"/>
              <w:left w:val="nil"/>
              <w:bottom w:val="nil"/>
              <w:right w:val="nil"/>
            </w:tcBorders>
            <w:shd w:val="clear" w:color="auto" w:fill="auto"/>
            <w:noWrap/>
            <w:vAlign w:val="center"/>
            <w:hideMark/>
          </w:tcPr>
          <w:p w14:paraId="43CC5481"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3,2</w:t>
            </w:r>
          </w:p>
        </w:tc>
        <w:tc>
          <w:tcPr>
            <w:tcW w:w="567" w:type="dxa"/>
            <w:tcBorders>
              <w:top w:val="nil"/>
              <w:left w:val="nil"/>
              <w:bottom w:val="nil"/>
              <w:right w:val="nil"/>
            </w:tcBorders>
            <w:shd w:val="clear" w:color="auto" w:fill="auto"/>
            <w:noWrap/>
            <w:vAlign w:val="center"/>
            <w:hideMark/>
          </w:tcPr>
          <w:p w14:paraId="10D2B74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7ECDCD2C"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3844FB89"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3,6</w:t>
            </w:r>
          </w:p>
        </w:tc>
        <w:tc>
          <w:tcPr>
            <w:tcW w:w="567" w:type="dxa"/>
            <w:tcBorders>
              <w:top w:val="nil"/>
              <w:left w:val="nil"/>
              <w:bottom w:val="nil"/>
              <w:right w:val="nil"/>
            </w:tcBorders>
            <w:shd w:val="clear" w:color="auto" w:fill="auto"/>
            <w:noWrap/>
            <w:vAlign w:val="center"/>
            <w:hideMark/>
          </w:tcPr>
          <w:p w14:paraId="497275A2"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3,8</w:t>
            </w:r>
          </w:p>
        </w:tc>
        <w:tc>
          <w:tcPr>
            <w:tcW w:w="567" w:type="dxa"/>
            <w:tcBorders>
              <w:top w:val="nil"/>
              <w:left w:val="nil"/>
              <w:bottom w:val="nil"/>
              <w:right w:val="nil"/>
            </w:tcBorders>
            <w:shd w:val="clear" w:color="auto" w:fill="auto"/>
            <w:noWrap/>
            <w:vAlign w:val="center"/>
            <w:hideMark/>
          </w:tcPr>
          <w:p w14:paraId="4717B0E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4,0</w:t>
            </w:r>
          </w:p>
        </w:tc>
        <w:tc>
          <w:tcPr>
            <w:tcW w:w="567" w:type="dxa"/>
            <w:tcBorders>
              <w:top w:val="nil"/>
              <w:left w:val="nil"/>
              <w:bottom w:val="nil"/>
              <w:right w:val="nil"/>
            </w:tcBorders>
            <w:shd w:val="clear" w:color="auto" w:fill="auto"/>
            <w:noWrap/>
            <w:vAlign w:val="center"/>
            <w:hideMark/>
          </w:tcPr>
          <w:p w14:paraId="72EA5AB7" w14:textId="77777777" w:rsidR="006F113C" w:rsidRPr="00D92E20" w:rsidRDefault="006F113C" w:rsidP="006F113C">
            <w:pPr>
              <w:spacing w:after="0" w:line="240" w:lineRule="auto"/>
              <w:jc w:val="center"/>
              <w:rPr>
                <w:rFonts w:cs="Arial"/>
                <w:color w:val="000000"/>
                <w:sz w:val="16"/>
                <w:szCs w:val="16"/>
              </w:rPr>
            </w:pPr>
            <w:r w:rsidRPr="00D92E20">
              <w:rPr>
                <w:rFonts w:cs="Arial"/>
                <w:color w:val="000000"/>
                <w:sz w:val="16"/>
                <w:szCs w:val="16"/>
              </w:rPr>
              <w:t>4,8</w:t>
            </w:r>
          </w:p>
        </w:tc>
      </w:tr>
    </w:tbl>
    <w:p w14:paraId="5E5C4538" w14:textId="77777777" w:rsidR="00FF5F37" w:rsidRPr="00D92E20" w:rsidRDefault="00FF5F37" w:rsidP="00000A90">
      <w:pPr>
        <w:spacing w:before="120" w:after="120"/>
        <w:rPr>
          <w:sz w:val="16"/>
        </w:rPr>
      </w:pPr>
      <w:r w:rsidRPr="00D92E20">
        <w:rPr>
          <w:sz w:val="16"/>
        </w:rPr>
        <w:t>Zdroj: ČSÚ</w:t>
      </w:r>
    </w:p>
    <w:p w14:paraId="14D84F1C" w14:textId="227D842C" w:rsidR="00FF5F37" w:rsidRPr="00D92E20" w:rsidRDefault="00FF5F37" w:rsidP="00000A90">
      <w:pPr>
        <w:spacing w:before="120" w:after="120"/>
        <w:jc w:val="both"/>
      </w:pPr>
      <w:r w:rsidRPr="00D92E20">
        <w:t>Z </w:t>
      </w:r>
      <w:r w:rsidRPr="00D92E20">
        <w:rPr>
          <w:b/>
        </w:rPr>
        <w:t>regionálního pohledu</w:t>
      </w:r>
      <w:r w:rsidRPr="00D92E20">
        <w:t xml:space="preserve"> zaznamenal nejvyšší hodnotu průměrného procenta pracovní neschopnosti Zlínský a Moravskoslezský kraj (oba 7 %). Praha díky nejnižšímu počtu případů na 100 pojištěnců a díky krátké průměrné době trvání těchto pracovních neschopností </w:t>
      </w:r>
      <w:r w:rsidR="00B414A5" w:rsidRPr="00D92E20">
        <w:t>vykazuje</w:t>
      </w:r>
      <w:r w:rsidRPr="00D92E20">
        <w:t xml:space="preserve"> nejnižší procento dočasně práce neschopných </w:t>
      </w:r>
      <w:r w:rsidR="00447329" w:rsidRPr="00D92E20">
        <w:t xml:space="preserve">denně. </w:t>
      </w:r>
      <w:r w:rsidRPr="00D92E20">
        <w:t xml:space="preserve">Zatímco hodnoty všech ostatních 13 </w:t>
      </w:r>
      <w:r w:rsidR="00447329" w:rsidRPr="00D92E20">
        <w:t xml:space="preserve">krajů se nachází v rozmezí 5,4 až </w:t>
      </w:r>
      <w:r w:rsidRPr="00D92E20">
        <w:t>7</w:t>
      </w:r>
      <w:r w:rsidR="00447329" w:rsidRPr="00D92E20">
        <w:t>,0</w:t>
      </w:r>
      <w:r w:rsidRPr="00D92E20">
        <w:t xml:space="preserve"> %, ukazatel v Praze v </w:t>
      </w:r>
      <w:r w:rsidR="00447329" w:rsidRPr="00D92E20">
        <w:t>roce</w:t>
      </w:r>
      <w:r w:rsidRPr="00D92E20">
        <w:t xml:space="preserve"> 2020 dosáhl hodnoty pouze </w:t>
      </w:r>
      <w:r w:rsidR="00447329" w:rsidRPr="00D92E20">
        <w:t>3,9</w:t>
      </w:r>
      <w:r w:rsidRPr="00D92E20">
        <w:t xml:space="preserve"> %. Toto výsadní postavení si kraj hl. m. Praha drží už řadu let, jak je zřejmé z tabulky 2.9.</w:t>
      </w:r>
    </w:p>
    <w:p w14:paraId="495FAFE0" w14:textId="77777777" w:rsidR="00000A90" w:rsidRPr="00D92E20" w:rsidRDefault="00FF5F37" w:rsidP="00000A90">
      <w:pPr>
        <w:spacing w:before="120" w:after="120"/>
        <w:jc w:val="both"/>
      </w:pPr>
      <w:r w:rsidRPr="00D92E20">
        <w:t xml:space="preserve">Podle </w:t>
      </w:r>
      <w:r w:rsidRPr="00D92E20">
        <w:rPr>
          <w:b/>
        </w:rPr>
        <w:t>detailnějšího územního členění</w:t>
      </w:r>
      <w:r w:rsidRPr="00D92E20">
        <w:t xml:space="preserve"> se okresem s nejvyšším průměrným procentem dočasné pracovní neschopnosti v </w:t>
      </w:r>
      <w:r w:rsidR="004D1BAD" w:rsidRPr="00D92E20">
        <w:t>roce</w:t>
      </w:r>
      <w:r w:rsidRPr="00D92E20">
        <w:t xml:space="preserve"> 2020 stala Karviná (8,</w:t>
      </w:r>
      <w:r w:rsidR="004D1BAD" w:rsidRPr="00D92E20">
        <w:t>4</w:t>
      </w:r>
      <w:r w:rsidRPr="00D92E20">
        <w:t xml:space="preserve"> %), která se již delší dobu nachází v TOP 5 okresech s nejvyšším průměrným procentem dočasné pracovní neschopnost</w:t>
      </w:r>
      <w:r w:rsidR="004D1BAD" w:rsidRPr="00D92E20">
        <w:t>i</w:t>
      </w:r>
      <w:r w:rsidRPr="00D92E20">
        <w:t xml:space="preserve">. Následovaly okresy </w:t>
      </w:r>
      <w:r w:rsidR="004D1BAD" w:rsidRPr="00D92E20">
        <w:t>Uherské Hradiště a Prachatice (shodně 8,0 %)</w:t>
      </w:r>
      <w:r w:rsidRPr="00D92E20">
        <w:t>. Nejnižší hodnotu průměrného procenta pracovní neschopnosti vykazovaly stejně jako v předchozích letech okresy Jeseník</w:t>
      </w:r>
      <w:r w:rsidRPr="00D92E20">
        <w:rPr>
          <w:rStyle w:val="Znakapoznpodarou"/>
        </w:rPr>
        <w:footnoteReference w:id="2"/>
      </w:r>
      <w:r w:rsidRPr="00D92E20">
        <w:t xml:space="preserve"> (2,9 %) a již zmíněná Praha (</w:t>
      </w:r>
      <w:r w:rsidR="004D1BAD" w:rsidRPr="00D92E20">
        <w:t>3,9</w:t>
      </w:r>
      <w:r w:rsidRPr="00D92E20">
        <w:t xml:space="preserve"> %). Hodnotu ukazatele pod hranicí 5 % zaznamenaly ještě okresy Brno-město (4,</w:t>
      </w:r>
      <w:r w:rsidR="004D1BAD" w:rsidRPr="00D92E20">
        <w:t>3</w:t>
      </w:r>
      <w:r w:rsidRPr="00D92E20">
        <w:t xml:space="preserve"> %), Pardubice (4,6 %) a Mělník (4,9 %). Podrobné informace za celou Českou republiku nabízí kartogram 2.2.</w:t>
      </w:r>
    </w:p>
    <w:p w14:paraId="76EB01E2" w14:textId="77777777" w:rsidR="00000A90" w:rsidRPr="00D92E20" w:rsidRDefault="00000A90">
      <w:pPr>
        <w:spacing w:after="0" w:line="240" w:lineRule="auto"/>
      </w:pPr>
      <w:r w:rsidRPr="00D92E20">
        <w:br w:type="page"/>
      </w:r>
    </w:p>
    <w:p w14:paraId="30B42F51" w14:textId="77777777" w:rsidR="00370BD6" w:rsidRPr="00D92E20" w:rsidRDefault="00FF5F37" w:rsidP="00000A90">
      <w:pPr>
        <w:autoSpaceDE w:val="0"/>
        <w:autoSpaceDN w:val="0"/>
        <w:adjustRightInd w:val="0"/>
        <w:spacing w:after="0"/>
        <w:jc w:val="both"/>
        <w:rPr>
          <w:rFonts w:cs="Arial"/>
          <w:b/>
        </w:rPr>
      </w:pPr>
      <w:r w:rsidRPr="00D92E20">
        <w:rPr>
          <w:rFonts w:cs="Arial"/>
          <w:b/>
        </w:rPr>
        <w:lastRenderedPageBreak/>
        <w:t>Graf 2.14: Průměrné procento dočasné pracovní neschopnosti podle krajů ČR, 2019 a 2020</w:t>
      </w:r>
    </w:p>
    <w:p w14:paraId="0B8805C7" w14:textId="77777777" w:rsidR="00370BD6" w:rsidRPr="00D92E20" w:rsidRDefault="00447329" w:rsidP="00370BD6">
      <w:r w:rsidRPr="00D92E20">
        <w:rPr>
          <w:noProof/>
        </w:rPr>
        <w:drawing>
          <wp:inline distT="0" distB="0" distL="0" distR="0" wp14:anchorId="58EFCD2A" wp14:editId="029EB87A">
            <wp:extent cx="6120130" cy="3352800"/>
            <wp:effectExtent l="0" t="0" r="13970" b="0"/>
            <wp:docPr id="36" name="Graf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C52647A" w14:textId="77777777" w:rsidR="00447329" w:rsidRPr="00D92E20" w:rsidRDefault="00447329" w:rsidP="00000A90">
      <w:pPr>
        <w:spacing w:before="120" w:after="120"/>
        <w:rPr>
          <w:sz w:val="16"/>
        </w:rPr>
      </w:pPr>
      <w:r w:rsidRPr="00D92E20">
        <w:rPr>
          <w:sz w:val="16"/>
        </w:rPr>
        <w:t>Zdroj: ČSÚ</w:t>
      </w:r>
    </w:p>
    <w:p w14:paraId="7FE59D91" w14:textId="77777777" w:rsidR="00517A58" w:rsidRPr="00D92E20" w:rsidRDefault="002F0504" w:rsidP="00517A58">
      <w:pPr>
        <w:rPr>
          <w:b/>
        </w:rPr>
      </w:pPr>
      <w:r w:rsidRPr="00D92E20">
        <w:rPr>
          <w:b/>
        </w:rPr>
        <w:t>Kartogram 2.2: Průměrné procento dočasné pracovní neschopnosti v okresech a krajích ČR, 2020</w:t>
      </w:r>
    </w:p>
    <w:p w14:paraId="26DAD09E" w14:textId="77777777" w:rsidR="000E0772" w:rsidRPr="00D92E20" w:rsidRDefault="00517A58" w:rsidP="000E0772">
      <w:pPr>
        <w:jc w:val="both"/>
      </w:pPr>
      <w:r w:rsidRPr="00D92E20">
        <w:t xml:space="preserve"> </w:t>
      </w:r>
      <w:r w:rsidR="002F0504" w:rsidRPr="00D92E20">
        <w:rPr>
          <w:noProof/>
        </w:rPr>
        <w:drawing>
          <wp:inline distT="0" distB="0" distL="0" distR="0" wp14:anchorId="1E17C93C" wp14:editId="118FBD06">
            <wp:extent cx="6120130" cy="4328026"/>
            <wp:effectExtent l="0" t="0" r="0" b="0"/>
            <wp:docPr id="37" name="Obrázek 37" descr="D:\hykysova23070\Documents\PN\2020\2. pol\publ\podklady\ktg\procen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ykysova23070\Documents\PN\2020\2. pol\publ\podklady\ktg\procenta.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20130" cy="4328026"/>
                    </a:xfrm>
                    <a:prstGeom prst="rect">
                      <a:avLst/>
                    </a:prstGeom>
                    <a:noFill/>
                    <a:ln>
                      <a:noFill/>
                    </a:ln>
                  </pic:spPr>
                </pic:pic>
              </a:graphicData>
            </a:graphic>
          </wp:inline>
        </w:drawing>
      </w:r>
    </w:p>
    <w:p w14:paraId="33820A80" w14:textId="77777777" w:rsidR="002F0504" w:rsidRPr="00D92E20" w:rsidRDefault="002F0504" w:rsidP="002F0504">
      <w:pPr>
        <w:spacing w:before="120"/>
        <w:rPr>
          <w:sz w:val="16"/>
        </w:rPr>
      </w:pPr>
      <w:r w:rsidRPr="00D92E20">
        <w:rPr>
          <w:sz w:val="16"/>
        </w:rPr>
        <w:t>Zdroj: ČSÚ</w:t>
      </w:r>
    </w:p>
    <w:p w14:paraId="1ED9A6D2" w14:textId="77777777" w:rsidR="000E0772" w:rsidRPr="00D92E20" w:rsidRDefault="004D1BAD" w:rsidP="00000A90">
      <w:pPr>
        <w:spacing w:after="0"/>
        <w:rPr>
          <w:b/>
        </w:rPr>
      </w:pPr>
      <w:r w:rsidRPr="00D92E20">
        <w:rPr>
          <w:b/>
        </w:rPr>
        <w:lastRenderedPageBreak/>
        <w:t>Tab. 2.9: Průměrné procento dočasné pracovní neschopnosti podle krajů ČR, 2010–2020</w:t>
      </w:r>
    </w:p>
    <w:tbl>
      <w:tblPr>
        <w:tblW w:w="9521" w:type="dxa"/>
        <w:tblCellMar>
          <w:left w:w="70" w:type="dxa"/>
          <w:right w:w="70" w:type="dxa"/>
        </w:tblCellMar>
        <w:tblLook w:val="04A0" w:firstRow="1" w:lastRow="0" w:firstColumn="1" w:lastColumn="0" w:noHBand="0" w:noVBand="1"/>
      </w:tblPr>
      <w:tblGrid>
        <w:gridCol w:w="2041"/>
        <w:gridCol w:w="680"/>
        <w:gridCol w:w="680"/>
        <w:gridCol w:w="680"/>
        <w:gridCol w:w="680"/>
        <w:gridCol w:w="680"/>
        <w:gridCol w:w="680"/>
        <w:gridCol w:w="680"/>
        <w:gridCol w:w="680"/>
        <w:gridCol w:w="680"/>
        <w:gridCol w:w="680"/>
        <w:gridCol w:w="680"/>
      </w:tblGrid>
      <w:tr w:rsidR="004D1BAD" w:rsidRPr="00D92E20" w14:paraId="56942E9F" w14:textId="77777777" w:rsidTr="004D1BAD">
        <w:trPr>
          <w:trHeight w:val="300"/>
        </w:trPr>
        <w:tc>
          <w:tcPr>
            <w:tcW w:w="2041" w:type="dxa"/>
            <w:tcBorders>
              <w:top w:val="single" w:sz="4" w:space="0" w:color="auto"/>
              <w:left w:val="nil"/>
              <w:bottom w:val="single" w:sz="4" w:space="0" w:color="auto"/>
              <w:right w:val="single" w:sz="4" w:space="0" w:color="auto"/>
            </w:tcBorders>
            <w:shd w:val="clear" w:color="000000" w:fill="F5DADD"/>
            <w:vAlign w:val="center"/>
            <w:hideMark/>
          </w:tcPr>
          <w:p w14:paraId="1EE1835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Kraj ČR</w:t>
            </w:r>
          </w:p>
        </w:tc>
        <w:tc>
          <w:tcPr>
            <w:tcW w:w="680" w:type="dxa"/>
            <w:tcBorders>
              <w:top w:val="single" w:sz="4" w:space="0" w:color="auto"/>
              <w:left w:val="nil"/>
              <w:bottom w:val="single" w:sz="4" w:space="0" w:color="auto"/>
              <w:right w:val="nil"/>
            </w:tcBorders>
            <w:shd w:val="clear" w:color="000000" w:fill="F5DADD"/>
            <w:noWrap/>
            <w:vAlign w:val="center"/>
            <w:hideMark/>
          </w:tcPr>
          <w:p w14:paraId="4C79155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2010</w:t>
            </w:r>
          </w:p>
        </w:tc>
        <w:tc>
          <w:tcPr>
            <w:tcW w:w="680" w:type="dxa"/>
            <w:tcBorders>
              <w:top w:val="single" w:sz="4" w:space="0" w:color="auto"/>
              <w:left w:val="nil"/>
              <w:bottom w:val="single" w:sz="4" w:space="0" w:color="auto"/>
              <w:right w:val="nil"/>
            </w:tcBorders>
            <w:shd w:val="clear" w:color="000000" w:fill="F5DADD"/>
            <w:noWrap/>
            <w:vAlign w:val="center"/>
            <w:hideMark/>
          </w:tcPr>
          <w:p w14:paraId="5C33CDC5"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2011</w:t>
            </w:r>
          </w:p>
        </w:tc>
        <w:tc>
          <w:tcPr>
            <w:tcW w:w="680" w:type="dxa"/>
            <w:tcBorders>
              <w:top w:val="single" w:sz="4" w:space="0" w:color="auto"/>
              <w:left w:val="nil"/>
              <w:bottom w:val="single" w:sz="4" w:space="0" w:color="auto"/>
              <w:right w:val="nil"/>
            </w:tcBorders>
            <w:shd w:val="clear" w:color="000000" w:fill="F5DADD"/>
            <w:noWrap/>
            <w:vAlign w:val="center"/>
            <w:hideMark/>
          </w:tcPr>
          <w:p w14:paraId="4A69D66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2012</w:t>
            </w:r>
          </w:p>
        </w:tc>
        <w:tc>
          <w:tcPr>
            <w:tcW w:w="680" w:type="dxa"/>
            <w:tcBorders>
              <w:top w:val="single" w:sz="4" w:space="0" w:color="auto"/>
              <w:left w:val="nil"/>
              <w:bottom w:val="single" w:sz="4" w:space="0" w:color="auto"/>
              <w:right w:val="nil"/>
            </w:tcBorders>
            <w:shd w:val="clear" w:color="000000" w:fill="F5DADD"/>
            <w:noWrap/>
            <w:vAlign w:val="center"/>
            <w:hideMark/>
          </w:tcPr>
          <w:p w14:paraId="595242F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2013</w:t>
            </w:r>
          </w:p>
        </w:tc>
        <w:tc>
          <w:tcPr>
            <w:tcW w:w="680" w:type="dxa"/>
            <w:tcBorders>
              <w:top w:val="single" w:sz="4" w:space="0" w:color="auto"/>
              <w:left w:val="nil"/>
              <w:bottom w:val="single" w:sz="4" w:space="0" w:color="auto"/>
              <w:right w:val="nil"/>
            </w:tcBorders>
            <w:shd w:val="clear" w:color="000000" w:fill="F5DADD"/>
            <w:noWrap/>
            <w:vAlign w:val="center"/>
            <w:hideMark/>
          </w:tcPr>
          <w:p w14:paraId="43DF137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2014</w:t>
            </w:r>
          </w:p>
        </w:tc>
        <w:tc>
          <w:tcPr>
            <w:tcW w:w="680" w:type="dxa"/>
            <w:tcBorders>
              <w:top w:val="single" w:sz="4" w:space="0" w:color="auto"/>
              <w:left w:val="nil"/>
              <w:bottom w:val="single" w:sz="4" w:space="0" w:color="auto"/>
              <w:right w:val="nil"/>
            </w:tcBorders>
            <w:shd w:val="clear" w:color="000000" w:fill="F5DADD"/>
            <w:noWrap/>
            <w:vAlign w:val="center"/>
            <w:hideMark/>
          </w:tcPr>
          <w:p w14:paraId="5FFB4028"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2015</w:t>
            </w:r>
          </w:p>
        </w:tc>
        <w:tc>
          <w:tcPr>
            <w:tcW w:w="680" w:type="dxa"/>
            <w:tcBorders>
              <w:top w:val="single" w:sz="4" w:space="0" w:color="auto"/>
              <w:left w:val="nil"/>
              <w:bottom w:val="single" w:sz="4" w:space="0" w:color="auto"/>
              <w:right w:val="nil"/>
            </w:tcBorders>
            <w:shd w:val="clear" w:color="000000" w:fill="F5DADD"/>
            <w:noWrap/>
            <w:vAlign w:val="center"/>
            <w:hideMark/>
          </w:tcPr>
          <w:p w14:paraId="44D91CA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2016</w:t>
            </w:r>
          </w:p>
        </w:tc>
        <w:tc>
          <w:tcPr>
            <w:tcW w:w="680" w:type="dxa"/>
            <w:tcBorders>
              <w:top w:val="single" w:sz="4" w:space="0" w:color="auto"/>
              <w:left w:val="nil"/>
              <w:bottom w:val="single" w:sz="4" w:space="0" w:color="auto"/>
              <w:right w:val="nil"/>
            </w:tcBorders>
            <w:shd w:val="clear" w:color="000000" w:fill="F5DADD"/>
            <w:noWrap/>
            <w:vAlign w:val="center"/>
            <w:hideMark/>
          </w:tcPr>
          <w:p w14:paraId="582C9ED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2017</w:t>
            </w:r>
          </w:p>
        </w:tc>
        <w:tc>
          <w:tcPr>
            <w:tcW w:w="680" w:type="dxa"/>
            <w:tcBorders>
              <w:top w:val="single" w:sz="4" w:space="0" w:color="auto"/>
              <w:left w:val="nil"/>
              <w:bottom w:val="single" w:sz="4" w:space="0" w:color="auto"/>
              <w:right w:val="nil"/>
            </w:tcBorders>
            <w:shd w:val="clear" w:color="000000" w:fill="F5DADD"/>
            <w:noWrap/>
            <w:vAlign w:val="center"/>
            <w:hideMark/>
          </w:tcPr>
          <w:p w14:paraId="42D5663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2018</w:t>
            </w:r>
          </w:p>
        </w:tc>
        <w:tc>
          <w:tcPr>
            <w:tcW w:w="680" w:type="dxa"/>
            <w:tcBorders>
              <w:top w:val="single" w:sz="4" w:space="0" w:color="auto"/>
              <w:left w:val="nil"/>
              <w:bottom w:val="single" w:sz="4" w:space="0" w:color="auto"/>
              <w:right w:val="nil"/>
            </w:tcBorders>
            <w:shd w:val="clear" w:color="000000" w:fill="F5DADD"/>
            <w:noWrap/>
            <w:vAlign w:val="center"/>
            <w:hideMark/>
          </w:tcPr>
          <w:p w14:paraId="0FBFC90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2019</w:t>
            </w:r>
          </w:p>
        </w:tc>
        <w:tc>
          <w:tcPr>
            <w:tcW w:w="680" w:type="dxa"/>
            <w:tcBorders>
              <w:top w:val="single" w:sz="4" w:space="0" w:color="auto"/>
              <w:left w:val="nil"/>
              <w:bottom w:val="single" w:sz="4" w:space="0" w:color="auto"/>
              <w:right w:val="nil"/>
            </w:tcBorders>
            <w:shd w:val="clear" w:color="000000" w:fill="F5DADD"/>
            <w:noWrap/>
            <w:vAlign w:val="center"/>
            <w:hideMark/>
          </w:tcPr>
          <w:p w14:paraId="4B8F614A"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2020</w:t>
            </w:r>
          </w:p>
        </w:tc>
      </w:tr>
      <w:tr w:rsidR="004D1BAD" w:rsidRPr="00D92E20" w14:paraId="4E21F8A5"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DCD6255" w14:textId="77777777" w:rsidR="004D1BAD" w:rsidRPr="00D92E20" w:rsidRDefault="004D1BAD" w:rsidP="004D1BAD">
            <w:pPr>
              <w:spacing w:after="0" w:line="240" w:lineRule="auto"/>
              <w:rPr>
                <w:rFonts w:cs="Arial"/>
                <w:b/>
                <w:bCs/>
                <w:color w:val="000000"/>
                <w:sz w:val="16"/>
                <w:szCs w:val="16"/>
              </w:rPr>
            </w:pPr>
            <w:r w:rsidRPr="00D92E20">
              <w:rPr>
                <w:rFonts w:cs="Arial"/>
                <w:b/>
                <w:bCs/>
                <w:color w:val="000000"/>
                <w:sz w:val="16"/>
                <w:szCs w:val="16"/>
              </w:rPr>
              <w:t>ČR celkem</w:t>
            </w:r>
          </w:p>
        </w:tc>
        <w:tc>
          <w:tcPr>
            <w:tcW w:w="680" w:type="dxa"/>
            <w:tcBorders>
              <w:top w:val="nil"/>
              <w:left w:val="nil"/>
              <w:bottom w:val="nil"/>
              <w:right w:val="nil"/>
            </w:tcBorders>
            <w:shd w:val="clear" w:color="auto" w:fill="auto"/>
            <w:noWrap/>
            <w:vAlign w:val="center"/>
            <w:hideMark/>
          </w:tcPr>
          <w:p w14:paraId="1B41FED1"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3,8</w:t>
            </w:r>
          </w:p>
        </w:tc>
        <w:tc>
          <w:tcPr>
            <w:tcW w:w="680" w:type="dxa"/>
            <w:tcBorders>
              <w:top w:val="nil"/>
              <w:left w:val="nil"/>
              <w:bottom w:val="nil"/>
              <w:right w:val="nil"/>
            </w:tcBorders>
            <w:shd w:val="clear" w:color="auto" w:fill="auto"/>
            <w:noWrap/>
            <w:vAlign w:val="center"/>
            <w:hideMark/>
          </w:tcPr>
          <w:p w14:paraId="4DD96AA5"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3,6</w:t>
            </w:r>
          </w:p>
        </w:tc>
        <w:tc>
          <w:tcPr>
            <w:tcW w:w="680" w:type="dxa"/>
            <w:tcBorders>
              <w:top w:val="nil"/>
              <w:left w:val="nil"/>
              <w:bottom w:val="nil"/>
              <w:right w:val="nil"/>
            </w:tcBorders>
            <w:shd w:val="clear" w:color="auto" w:fill="auto"/>
            <w:noWrap/>
            <w:vAlign w:val="center"/>
            <w:hideMark/>
          </w:tcPr>
          <w:p w14:paraId="28DD2A2A"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3,5</w:t>
            </w:r>
          </w:p>
        </w:tc>
        <w:tc>
          <w:tcPr>
            <w:tcW w:w="680" w:type="dxa"/>
            <w:tcBorders>
              <w:top w:val="nil"/>
              <w:left w:val="nil"/>
              <w:bottom w:val="nil"/>
              <w:right w:val="nil"/>
            </w:tcBorders>
            <w:shd w:val="clear" w:color="auto" w:fill="auto"/>
            <w:noWrap/>
            <w:vAlign w:val="center"/>
            <w:hideMark/>
          </w:tcPr>
          <w:p w14:paraId="47A74827"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3,6</w:t>
            </w:r>
          </w:p>
        </w:tc>
        <w:tc>
          <w:tcPr>
            <w:tcW w:w="680" w:type="dxa"/>
            <w:tcBorders>
              <w:top w:val="nil"/>
              <w:left w:val="nil"/>
              <w:bottom w:val="nil"/>
              <w:right w:val="nil"/>
            </w:tcBorders>
            <w:shd w:val="clear" w:color="auto" w:fill="auto"/>
            <w:noWrap/>
            <w:vAlign w:val="center"/>
            <w:hideMark/>
          </w:tcPr>
          <w:p w14:paraId="7787D12A"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3,7</w:t>
            </w:r>
          </w:p>
        </w:tc>
        <w:tc>
          <w:tcPr>
            <w:tcW w:w="680" w:type="dxa"/>
            <w:tcBorders>
              <w:top w:val="nil"/>
              <w:left w:val="nil"/>
              <w:bottom w:val="nil"/>
              <w:right w:val="nil"/>
            </w:tcBorders>
            <w:shd w:val="clear" w:color="auto" w:fill="auto"/>
            <w:noWrap/>
            <w:vAlign w:val="center"/>
            <w:hideMark/>
          </w:tcPr>
          <w:p w14:paraId="30701FA9"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4,1</w:t>
            </w:r>
          </w:p>
        </w:tc>
        <w:tc>
          <w:tcPr>
            <w:tcW w:w="680" w:type="dxa"/>
            <w:tcBorders>
              <w:top w:val="nil"/>
              <w:left w:val="nil"/>
              <w:bottom w:val="nil"/>
              <w:right w:val="nil"/>
            </w:tcBorders>
            <w:shd w:val="clear" w:color="auto" w:fill="auto"/>
            <w:noWrap/>
            <w:vAlign w:val="center"/>
            <w:hideMark/>
          </w:tcPr>
          <w:p w14:paraId="587B6358"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4,2</w:t>
            </w:r>
          </w:p>
        </w:tc>
        <w:tc>
          <w:tcPr>
            <w:tcW w:w="680" w:type="dxa"/>
            <w:tcBorders>
              <w:top w:val="nil"/>
              <w:left w:val="nil"/>
              <w:bottom w:val="nil"/>
              <w:right w:val="nil"/>
            </w:tcBorders>
            <w:shd w:val="clear" w:color="auto" w:fill="auto"/>
            <w:noWrap/>
            <w:vAlign w:val="center"/>
            <w:hideMark/>
          </w:tcPr>
          <w:p w14:paraId="109F15B7"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4,3</w:t>
            </w:r>
          </w:p>
        </w:tc>
        <w:tc>
          <w:tcPr>
            <w:tcW w:w="680" w:type="dxa"/>
            <w:tcBorders>
              <w:top w:val="nil"/>
              <w:left w:val="nil"/>
              <w:bottom w:val="nil"/>
              <w:right w:val="nil"/>
            </w:tcBorders>
            <w:shd w:val="clear" w:color="auto" w:fill="auto"/>
            <w:noWrap/>
            <w:vAlign w:val="center"/>
            <w:hideMark/>
          </w:tcPr>
          <w:p w14:paraId="4210D2CA"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4,5</w:t>
            </w:r>
          </w:p>
        </w:tc>
        <w:tc>
          <w:tcPr>
            <w:tcW w:w="680" w:type="dxa"/>
            <w:tcBorders>
              <w:top w:val="nil"/>
              <w:left w:val="nil"/>
              <w:bottom w:val="nil"/>
              <w:right w:val="nil"/>
            </w:tcBorders>
            <w:shd w:val="clear" w:color="auto" w:fill="auto"/>
            <w:noWrap/>
            <w:vAlign w:val="center"/>
            <w:hideMark/>
          </w:tcPr>
          <w:p w14:paraId="1A7369E6"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4,7</w:t>
            </w:r>
          </w:p>
        </w:tc>
        <w:tc>
          <w:tcPr>
            <w:tcW w:w="680" w:type="dxa"/>
            <w:tcBorders>
              <w:top w:val="nil"/>
              <w:left w:val="nil"/>
              <w:bottom w:val="nil"/>
              <w:right w:val="nil"/>
            </w:tcBorders>
            <w:shd w:val="clear" w:color="auto" w:fill="auto"/>
            <w:noWrap/>
            <w:vAlign w:val="center"/>
            <w:hideMark/>
          </w:tcPr>
          <w:p w14:paraId="58B26037" w14:textId="77777777" w:rsidR="004D1BAD" w:rsidRPr="00D92E20" w:rsidRDefault="004D1BAD" w:rsidP="004D1BAD">
            <w:pPr>
              <w:spacing w:after="0" w:line="240" w:lineRule="auto"/>
              <w:jc w:val="center"/>
              <w:rPr>
                <w:rFonts w:cs="Arial"/>
                <w:b/>
                <w:bCs/>
                <w:color w:val="000000"/>
                <w:sz w:val="16"/>
                <w:szCs w:val="16"/>
              </w:rPr>
            </w:pPr>
            <w:r w:rsidRPr="00D92E20">
              <w:rPr>
                <w:rFonts w:cs="Arial"/>
                <w:b/>
                <w:bCs/>
                <w:color w:val="000000"/>
                <w:sz w:val="16"/>
                <w:szCs w:val="16"/>
              </w:rPr>
              <w:t>5,5</w:t>
            </w:r>
          </w:p>
        </w:tc>
      </w:tr>
      <w:tr w:rsidR="004D1BAD" w:rsidRPr="00D92E20" w14:paraId="30534C41"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84CA38B"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680" w:type="dxa"/>
            <w:tcBorders>
              <w:top w:val="nil"/>
              <w:left w:val="nil"/>
              <w:bottom w:val="nil"/>
              <w:right w:val="nil"/>
            </w:tcBorders>
            <w:shd w:val="clear" w:color="auto" w:fill="auto"/>
            <w:noWrap/>
            <w:vAlign w:val="center"/>
            <w:hideMark/>
          </w:tcPr>
          <w:p w14:paraId="7F2AB78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3,0</w:t>
            </w:r>
          </w:p>
        </w:tc>
        <w:tc>
          <w:tcPr>
            <w:tcW w:w="680" w:type="dxa"/>
            <w:tcBorders>
              <w:top w:val="nil"/>
              <w:left w:val="nil"/>
              <w:bottom w:val="nil"/>
              <w:right w:val="nil"/>
            </w:tcBorders>
            <w:shd w:val="clear" w:color="auto" w:fill="auto"/>
            <w:noWrap/>
            <w:vAlign w:val="center"/>
            <w:hideMark/>
          </w:tcPr>
          <w:p w14:paraId="24D094E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2,9</w:t>
            </w:r>
          </w:p>
        </w:tc>
        <w:tc>
          <w:tcPr>
            <w:tcW w:w="680" w:type="dxa"/>
            <w:tcBorders>
              <w:top w:val="nil"/>
              <w:left w:val="nil"/>
              <w:bottom w:val="nil"/>
              <w:right w:val="nil"/>
            </w:tcBorders>
            <w:shd w:val="clear" w:color="auto" w:fill="auto"/>
            <w:noWrap/>
            <w:vAlign w:val="center"/>
            <w:hideMark/>
          </w:tcPr>
          <w:p w14:paraId="70EE6046"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2,6</w:t>
            </w:r>
          </w:p>
        </w:tc>
        <w:tc>
          <w:tcPr>
            <w:tcW w:w="680" w:type="dxa"/>
            <w:tcBorders>
              <w:top w:val="nil"/>
              <w:left w:val="nil"/>
              <w:bottom w:val="nil"/>
              <w:right w:val="nil"/>
            </w:tcBorders>
            <w:shd w:val="clear" w:color="auto" w:fill="auto"/>
            <w:noWrap/>
            <w:vAlign w:val="center"/>
            <w:hideMark/>
          </w:tcPr>
          <w:p w14:paraId="03F05A4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2,7</w:t>
            </w:r>
          </w:p>
        </w:tc>
        <w:tc>
          <w:tcPr>
            <w:tcW w:w="680" w:type="dxa"/>
            <w:tcBorders>
              <w:top w:val="nil"/>
              <w:left w:val="nil"/>
              <w:bottom w:val="nil"/>
              <w:right w:val="nil"/>
            </w:tcBorders>
            <w:shd w:val="clear" w:color="auto" w:fill="auto"/>
            <w:noWrap/>
            <w:vAlign w:val="center"/>
            <w:hideMark/>
          </w:tcPr>
          <w:p w14:paraId="36C3877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2,8</w:t>
            </w:r>
          </w:p>
        </w:tc>
        <w:tc>
          <w:tcPr>
            <w:tcW w:w="680" w:type="dxa"/>
            <w:tcBorders>
              <w:top w:val="nil"/>
              <w:left w:val="nil"/>
              <w:bottom w:val="nil"/>
              <w:right w:val="nil"/>
            </w:tcBorders>
            <w:shd w:val="clear" w:color="auto" w:fill="auto"/>
            <w:noWrap/>
            <w:vAlign w:val="center"/>
            <w:hideMark/>
          </w:tcPr>
          <w:p w14:paraId="0631CDB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3,1</w:t>
            </w:r>
          </w:p>
        </w:tc>
        <w:tc>
          <w:tcPr>
            <w:tcW w:w="680" w:type="dxa"/>
            <w:tcBorders>
              <w:top w:val="nil"/>
              <w:left w:val="nil"/>
              <w:bottom w:val="nil"/>
              <w:right w:val="nil"/>
            </w:tcBorders>
            <w:shd w:val="clear" w:color="auto" w:fill="auto"/>
            <w:noWrap/>
            <w:vAlign w:val="center"/>
            <w:hideMark/>
          </w:tcPr>
          <w:p w14:paraId="3FAE5A6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3,1</w:t>
            </w:r>
          </w:p>
        </w:tc>
        <w:tc>
          <w:tcPr>
            <w:tcW w:w="680" w:type="dxa"/>
            <w:tcBorders>
              <w:top w:val="nil"/>
              <w:left w:val="nil"/>
              <w:bottom w:val="nil"/>
              <w:right w:val="nil"/>
            </w:tcBorders>
            <w:shd w:val="clear" w:color="auto" w:fill="auto"/>
            <w:noWrap/>
            <w:vAlign w:val="center"/>
            <w:hideMark/>
          </w:tcPr>
          <w:p w14:paraId="1ECFB2C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3,2</w:t>
            </w:r>
          </w:p>
        </w:tc>
        <w:tc>
          <w:tcPr>
            <w:tcW w:w="680" w:type="dxa"/>
            <w:tcBorders>
              <w:top w:val="nil"/>
              <w:left w:val="nil"/>
              <w:bottom w:val="nil"/>
              <w:right w:val="nil"/>
            </w:tcBorders>
            <w:shd w:val="clear" w:color="auto" w:fill="auto"/>
            <w:noWrap/>
            <w:vAlign w:val="center"/>
            <w:hideMark/>
          </w:tcPr>
          <w:p w14:paraId="210987E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3,4</w:t>
            </w:r>
          </w:p>
        </w:tc>
        <w:tc>
          <w:tcPr>
            <w:tcW w:w="680" w:type="dxa"/>
            <w:tcBorders>
              <w:top w:val="nil"/>
              <w:left w:val="nil"/>
              <w:bottom w:val="nil"/>
              <w:right w:val="nil"/>
            </w:tcBorders>
            <w:shd w:val="clear" w:color="auto" w:fill="auto"/>
            <w:noWrap/>
            <w:vAlign w:val="center"/>
            <w:hideMark/>
          </w:tcPr>
          <w:p w14:paraId="05B08BE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60F4F476"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r>
      <w:tr w:rsidR="004D1BAD" w:rsidRPr="00D92E20" w14:paraId="3380034F"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06A116FC"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680" w:type="dxa"/>
            <w:tcBorders>
              <w:top w:val="nil"/>
              <w:left w:val="nil"/>
              <w:bottom w:val="nil"/>
              <w:right w:val="nil"/>
            </w:tcBorders>
            <w:shd w:val="clear" w:color="auto" w:fill="auto"/>
            <w:noWrap/>
            <w:vAlign w:val="center"/>
            <w:hideMark/>
          </w:tcPr>
          <w:p w14:paraId="6CFB6BF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c>
          <w:tcPr>
            <w:tcW w:w="680" w:type="dxa"/>
            <w:tcBorders>
              <w:top w:val="nil"/>
              <w:left w:val="nil"/>
              <w:bottom w:val="nil"/>
              <w:right w:val="nil"/>
            </w:tcBorders>
            <w:shd w:val="clear" w:color="auto" w:fill="auto"/>
            <w:noWrap/>
            <w:vAlign w:val="center"/>
            <w:hideMark/>
          </w:tcPr>
          <w:p w14:paraId="0469688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5ADACFE3"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3,5</w:t>
            </w:r>
          </w:p>
        </w:tc>
        <w:tc>
          <w:tcPr>
            <w:tcW w:w="680" w:type="dxa"/>
            <w:tcBorders>
              <w:top w:val="nil"/>
              <w:left w:val="nil"/>
              <w:bottom w:val="nil"/>
              <w:right w:val="nil"/>
            </w:tcBorders>
            <w:shd w:val="clear" w:color="auto" w:fill="auto"/>
            <w:noWrap/>
            <w:vAlign w:val="center"/>
            <w:hideMark/>
          </w:tcPr>
          <w:p w14:paraId="17662C0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45B4E0D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47226415"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0D665A8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4,2</w:t>
            </w:r>
          </w:p>
        </w:tc>
        <w:tc>
          <w:tcPr>
            <w:tcW w:w="680" w:type="dxa"/>
            <w:tcBorders>
              <w:top w:val="nil"/>
              <w:left w:val="nil"/>
              <w:bottom w:val="nil"/>
              <w:right w:val="nil"/>
            </w:tcBorders>
            <w:shd w:val="clear" w:color="auto" w:fill="auto"/>
            <w:noWrap/>
            <w:vAlign w:val="center"/>
            <w:hideMark/>
          </w:tcPr>
          <w:p w14:paraId="2AAB281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032E8FD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4,6</w:t>
            </w:r>
          </w:p>
        </w:tc>
        <w:tc>
          <w:tcPr>
            <w:tcW w:w="680" w:type="dxa"/>
            <w:tcBorders>
              <w:top w:val="nil"/>
              <w:left w:val="nil"/>
              <w:bottom w:val="nil"/>
              <w:right w:val="nil"/>
            </w:tcBorders>
            <w:shd w:val="clear" w:color="auto" w:fill="auto"/>
            <w:noWrap/>
            <w:vAlign w:val="center"/>
            <w:hideMark/>
          </w:tcPr>
          <w:p w14:paraId="2C50100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1682D05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5,5</w:t>
            </w:r>
          </w:p>
        </w:tc>
      </w:tr>
      <w:tr w:rsidR="004D1BAD" w:rsidRPr="00D92E20" w14:paraId="26157382"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510BB5C8"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680" w:type="dxa"/>
            <w:tcBorders>
              <w:top w:val="nil"/>
              <w:left w:val="nil"/>
              <w:bottom w:val="nil"/>
              <w:right w:val="nil"/>
            </w:tcBorders>
            <w:shd w:val="clear" w:color="auto" w:fill="auto"/>
            <w:noWrap/>
            <w:vAlign w:val="center"/>
            <w:hideMark/>
          </w:tcPr>
          <w:p w14:paraId="4949897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4,2</w:t>
            </w:r>
          </w:p>
        </w:tc>
        <w:tc>
          <w:tcPr>
            <w:tcW w:w="680" w:type="dxa"/>
            <w:tcBorders>
              <w:top w:val="nil"/>
              <w:left w:val="nil"/>
              <w:bottom w:val="nil"/>
              <w:right w:val="nil"/>
            </w:tcBorders>
            <w:shd w:val="clear" w:color="auto" w:fill="auto"/>
            <w:noWrap/>
            <w:vAlign w:val="center"/>
            <w:hideMark/>
          </w:tcPr>
          <w:p w14:paraId="252B122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4,2</w:t>
            </w:r>
          </w:p>
        </w:tc>
        <w:tc>
          <w:tcPr>
            <w:tcW w:w="680" w:type="dxa"/>
            <w:tcBorders>
              <w:top w:val="nil"/>
              <w:left w:val="nil"/>
              <w:bottom w:val="nil"/>
              <w:right w:val="nil"/>
            </w:tcBorders>
            <w:shd w:val="clear" w:color="auto" w:fill="auto"/>
            <w:noWrap/>
            <w:vAlign w:val="center"/>
            <w:hideMark/>
          </w:tcPr>
          <w:p w14:paraId="0063B13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0B9359EA"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2EED16F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5895CE7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061F9626"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04CFEDD9"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37E46098"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4F5A7AF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5D2D1898"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6,2</w:t>
            </w:r>
          </w:p>
        </w:tc>
      </w:tr>
      <w:tr w:rsidR="004D1BAD" w:rsidRPr="00D92E20" w14:paraId="163E7E6B"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FFD1879"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680" w:type="dxa"/>
            <w:tcBorders>
              <w:top w:val="nil"/>
              <w:left w:val="nil"/>
              <w:bottom w:val="nil"/>
              <w:right w:val="nil"/>
            </w:tcBorders>
            <w:shd w:val="clear" w:color="auto" w:fill="auto"/>
            <w:noWrap/>
            <w:vAlign w:val="center"/>
            <w:hideMark/>
          </w:tcPr>
          <w:p w14:paraId="4BA0900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4,0</w:t>
            </w:r>
          </w:p>
        </w:tc>
        <w:tc>
          <w:tcPr>
            <w:tcW w:w="680" w:type="dxa"/>
            <w:tcBorders>
              <w:top w:val="nil"/>
              <w:left w:val="nil"/>
              <w:bottom w:val="nil"/>
              <w:right w:val="nil"/>
            </w:tcBorders>
            <w:shd w:val="clear" w:color="auto" w:fill="auto"/>
            <w:noWrap/>
            <w:vAlign w:val="center"/>
            <w:hideMark/>
          </w:tcPr>
          <w:p w14:paraId="69C34878"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03C0063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78BAADD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2CACE13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7F498EA3"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4,6</w:t>
            </w:r>
          </w:p>
        </w:tc>
        <w:tc>
          <w:tcPr>
            <w:tcW w:w="680" w:type="dxa"/>
            <w:tcBorders>
              <w:top w:val="nil"/>
              <w:left w:val="nil"/>
              <w:bottom w:val="nil"/>
              <w:right w:val="nil"/>
            </w:tcBorders>
            <w:shd w:val="clear" w:color="auto" w:fill="auto"/>
            <w:noWrap/>
            <w:vAlign w:val="center"/>
            <w:hideMark/>
          </w:tcPr>
          <w:p w14:paraId="43F20D3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4,7</w:t>
            </w:r>
          </w:p>
        </w:tc>
        <w:tc>
          <w:tcPr>
            <w:tcW w:w="680" w:type="dxa"/>
            <w:tcBorders>
              <w:top w:val="nil"/>
              <w:left w:val="nil"/>
              <w:bottom w:val="nil"/>
              <w:right w:val="nil"/>
            </w:tcBorders>
            <w:shd w:val="clear" w:color="auto" w:fill="auto"/>
            <w:noWrap/>
            <w:vAlign w:val="center"/>
            <w:hideMark/>
          </w:tcPr>
          <w:p w14:paraId="37F280C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4,7</w:t>
            </w:r>
          </w:p>
        </w:tc>
        <w:tc>
          <w:tcPr>
            <w:tcW w:w="680" w:type="dxa"/>
            <w:tcBorders>
              <w:top w:val="nil"/>
              <w:left w:val="nil"/>
              <w:bottom w:val="nil"/>
              <w:right w:val="nil"/>
            </w:tcBorders>
            <w:shd w:val="clear" w:color="auto" w:fill="auto"/>
            <w:noWrap/>
            <w:vAlign w:val="center"/>
            <w:hideMark/>
          </w:tcPr>
          <w:p w14:paraId="6D422A4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1E5DC309"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0E0FFBE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5,9</w:t>
            </w:r>
          </w:p>
        </w:tc>
      </w:tr>
      <w:tr w:rsidR="004D1BAD" w:rsidRPr="00D92E20" w14:paraId="7EDE583E"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768491A1"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680" w:type="dxa"/>
            <w:tcBorders>
              <w:top w:val="nil"/>
              <w:left w:val="nil"/>
              <w:bottom w:val="nil"/>
              <w:right w:val="nil"/>
            </w:tcBorders>
            <w:shd w:val="clear" w:color="auto" w:fill="auto"/>
            <w:noWrap/>
            <w:vAlign w:val="center"/>
            <w:hideMark/>
          </w:tcPr>
          <w:p w14:paraId="56D3C79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159DFB9A"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3,5</w:t>
            </w:r>
          </w:p>
        </w:tc>
        <w:tc>
          <w:tcPr>
            <w:tcW w:w="680" w:type="dxa"/>
            <w:tcBorders>
              <w:top w:val="nil"/>
              <w:left w:val="nil"/>
              <w:bottom w:val="nil"/>
              <w:right w:val="nil"/>
            </w:tcBorders>
            <w:shd w:val="clear" w:color="auto" w:fill="auto"/>
            <w:noWrap/>
            <w:vAlign w:val="center"/>
            <w:hideMark/>
          </w:tcPr>
          <w:p w14:paraId="68C9F87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3,5</w:t>
            </w:r>
          </w:p>
        </w:tc>
        <w:tc>
          <w:tcPr>
            <w:tcW w:w="680" w:type="dxa"/>
            <w:tcBorders>
              <w:top w:val="nil"/>
              <w:left w:val="nil"/>
              <w:bottom w:val="nil"/>
              <w:right w:val="nil"/>
            </w:tcBorders>
            <w:shd w:val="clear" w:color="auto" w:fill="auto"/>
            <w:noWrap/>
            <w:vAlign w:val="center"/>
            <w:hideMark/>
          </w:tcPr>
          <w:p w14:paraId="274CFB6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4F55EEB8"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4,0</w:t>
            </w:r>
          </w:p>
        </w:tc>
        <w:tc>
          <w:tcPr>
            <w:tcW w:w="680" w:type="dxa"/>
            <w:tcBorders>
              <w:top w:val="nil"/>
              <w:left w:val="nil"/>
              <w:bottom w:val="nil"/>
              <w:right w:val="nil"/>
            </w:tcBorders>
            <w:shd w:val="clear" w:color="auto" w:fill="auto"/>
            <w:noWrap/>
            <w:vAlign w:val="center"/>
            <w:hideMark/>
          </w:tcPr>
          <w:p w14:paraId="2EB3E13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45D2A7D5"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4,5</w:t>
            </w:r>
          </w:p>
        </w:tc>
        <w:tc>
          <w:tcPr>
            <w:tcW w:w="680" w:type="dxa"/>
            <w:tcBorders>
              <w:top w:val="nil"/>
              <w:left w:val="nil"/>
              <w:bottom w:val="nil"/>
              <w:right w:val="nil"/>
            </w:tcBorders>
            <w:shd w:val="clear" w:color="auto" w:fill="auto"/>
            <w:noWrap/>
            <w:vAlign w:val="center"/>
            <w:hideMark/>
          </w:tcPr>
          <w:p w14:paraId="3D7D757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11101CF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3233F53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0E521AE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5,9</w:t>
            </w:r>
          </w:p>
        </w:tc>
      </w:tr>
      <w:tr w:rsidR="004D1BAD" w:rsidRPr="00D92E20" w14:paraId="79A3A7D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32EC444D"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680" w:type="dxa"/>
            <w:tcBorders>
              <w:top w:val="nil"/>
              <w:left w:val="nil"/>
              <w:bottom w:val="nil"/>
              <w:right w:val="nil"/>
            </w:tcBorders>
            <w:shd w:val="clear" w:color="auto" w:fill="auto"/>
            <w:noWrap/>
            <w:vAlign w:val="center"/>
            <w:hideMark/>
          </w:tcPr>
          <w:p w14:paraId="2D05088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3524F29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657C6D7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7181494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4,0</w:t>
            </w:r>
          </w:p>
        </w:tc>
        <w:tc>
          <w:tcPr>
            <w:tcW w:w="680" w:type="dxa"/>
            <w:tcBorders>
              <w:top w:val="nil"/>
              <w:left w:val="nil"/>
              <w:bottom w:val="nil"/>
              <w:right w:val="nil"/>
            </w:tcBorders>
            <w:shd w:val="clear" w:color="auto" w:fill="auto"/>
            <w:noWrap/>
            <w:vAlign w:val="center"/>
            <w:hideMark/>
          </w:tcPr>
          <w:p w14:paraId="07E5D03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4,0</w:t>
            </w:r>
          </w:p>
        </w:tc>
        <w:tc>
          <w:tcPr>
            <w:tcW w:w="680" w:type="dxa"/>
            <w:tcBorders>
              <w:top w:val="nil"/>
              <w:left w:val="nil"/>
              <w:bottom w:val="nil"/>
              <w:right w:val="nil"/>
            </w:tcBorders>
            <w:shd w:val="clear" w:color="auto" w:fill="auto"/>
            <w:noWrap/>
            <w:vAlign w:val="center"/>
            <w:hideMark/>
          </w:tcPr>
          <w:p w14:paraId="16726FB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3F351BE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4,5</w:t>
            </w:r>
          </w:p>
        </w:tc>
        <w:tc>
          <w:tcPr>
            <w:tcW w:w="680" w:type="dxa"/>
            <w:tcBorders>
              <w:top w:val="nil"/>
              <w:left w:val="nil"/>
              <w:bottom w:val="nil"/>
              <w:right w:val="nil"/>
            </w:tcBorders>
            <w:shd w:val="clear" w:color="auto" w:fill="auto"/>
            <w:noWrap/>
            <w:vAlign w:val="center"/>
            <w:hideMark/>
          </w:tcPr>
          <w:p w14:paraId="737CEF0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4,6</w:t>
            </w:r>
          </w:p>
        </w:tc>
        <w:tc>
          <w:tcPr>
            <w:tcW w:w="680" w:type="dxa"/>
            <w:tcBorders>
              <w:top w:val="nil"/>
              <w:left w:val="nil"/>
              <w:bottom w:val="nil"/>
              <w:right w:val="nil"/>
            </w:tcBorders>
            <w:shd w:val="clear" w:color="auto" w:fill="auto"/>
            <w:noWrap/>
            <w:vAlign w:val="center"/>
            <w:hideMark/>
          </w:tcPr>
          <w:p w14:paraId="1AEB6FA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4,9</w:t>
            </w:r>
          </w:p>
        </w:tc>
        <w:tc>
          <w:tcPr>
            <w:tcW w:w="680" w:type="dxa"/>
            <w:tcBorders>
              <w:top w:val="nil"/>
              <w:left w:val="nil"/>
              <w:bottom w:val="nil"/>
              <w:right w:val="nil"/>
            </w:tcBorders>
            <w:shd w:val="clear" w:color="auto" w:fill="auto"/>
            <w:noWrap/>
            <w:vAlign w:val="center"/>
            <w:hideMark/>
          </w:tcPr>
          <w:p w14:paraId="55285B9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084FD4C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5,8</w:t>
            </w:r>
          </w:p>
        </w:tc>
      </w:tr>
      <w:tr w:rsidR="004D1BAD" w:rsidRPr="00D92E20" w14:paraId="2C0EEF9D"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66AEE7A"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680" w:type="dxa"/>
            <w:tcBorders>
              <w:top w:val="nil"/>
              <w:left w:val="nil"/>
              <w:bottom w:val="nil"/>
              <w:right w:val="nil"/>
            </w:tcBorders>
            <w:shd w:val="clear" w:color="auto" w:fill="auto"/>
            <w:noWrap/>
            <w:vAlign w:val="center"/>
            <w:hideMark/>
          </w:tcPr>
          <w:p w14:paraId="1F4B6C1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2B7EFA9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c>
          <w:tcPr>
            <w:tcW w:w="680" w:type="dxa"/>
            <w:tcBorders>
              <w:top w:val="nil"/>
              <w:left w:val="nil"/>
              <w:bottom w:val="nil"/>
              <w:right w:val="nil"/>
            </w:tcBorders>
            <w:shd w:val="clear" w:color="auto" w:fill="auto"/>
            <w:noWrap/>
            <w:vAlign w:val="center"/>
            <w:hideMark/>
          </w:tcPr>
          <w:p w14:paraId="4161125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c>
          <w:tcPr>
            <w:tcW w:w="680" w:type="dxa"/>
            <w:tcBorders>
              <w:top w:val="nil"/>
              <w:left w:val="nil"/>
              <w:bottom w:val="nil"/>
              <w:right w:val="nil"/>
            </w:tcBorders>
            <w:shd w:val="clear" w:color="auto" w:fill="auto"/>
            <w:noWrap/>
            <w:vAlign w:val="center"/>
            <w:hideMark/>
          </w:tcPr>
          <w:p w14:paraId="440A052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4,2</w:t>
            </w:r>
          </w:p>
        </w:tc>
        <w:tc>
          <w:tcPr>
            <w:tcW w:w="680" w:type="dxa"/>
            <w:tcBorders>
              <w:top w:val="nil"/>
              <w:left w:val="nil"/>
              <w:bottom w:val="nil"/>
              <w:right w:val="nil"/>
            </w:tcBorders>
            <w:shd w:val="clear" w:color="auto" w:fill="auto"/>
            <w:noWrap/>
            <w:vAlign w:val="center"/>
            <w:hideMark/>
          </w:tcPr>
          <w:p w14:paraId="4F755A33"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641241F9"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4,5</w:t>
            </w:r>
          </w:p>
        </w:tc>
        <w:tc>
          <w:tcPr>
            <w:tcW w:w="680" w:type="dxa"/>
            <w:tcBorders>
              <w:top w:val="nil"/>
              <w:left w:val="nil"/>
              <w:bottom w:val="nil"/>
              <w:right w:val="nil"/>
            </w:tcBorders>
            <w:shd w:val="clear" w:color="auto" w:fill="auto"/>
            <w:noWrap/>
            <w:vAlign w:val="center"/>
            <w:hideMark/>
          </w:tcPr>
          <w:p w14:paraId="2B79D96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4,7</w:t>
            </w:r>
          </w:p>
        </w:tc>
        <w:tc>
          <w:tcPr>
            <w:tcW w:w="680" w:type="dxa"/>
            <w:tcBorders>
              <w:top w:val="nil"/>
              <w:left w:val="nil"/>
              <w:bottom w:val="nil"/>
              <w:right w:val="nil"/>
            </w:tcBorders>
            <w:shd w:val="clear" w:color="auto" w:fill="auto"/>
            <w:noWrap/>
            <w:vAlign w:val="center"/>
            <w:hideMark/>
          </w:tcPr>
          <w:p w14:paraId="7C9720F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4,7</w:t>
            </w:r>
          </w:p>
        </w:tc>
        <w:tc>
          <w:tcPr>
            <w:tcW w:w="680" w:type="dxa"/>
            <w:tcBorders>
              <w:top w:val="nil"/>
              <w:left w:val="nil"/>
              <w:bottom w:val="nil"/>
              <w:right w:val="nil"/>
            </w:tcBorders>
            <w:shd w:val="clear" w:color="auto" w:fill="auto"/>
            <w:noWrap/>
            <w:vAlign w:val="center"/>
            <w:hideMark/>
          </w:tcPr>
          <w:p w14:paraId="4CD93D16"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4509513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117E0EEA"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6,5</w:t>
            </w:r>
          </w:p>
        </w:tc>
      </w:tr>
      <w:tr w:rsidR="004D1BAD" w:rsidRPr="00D92E20" w14:paraId="114ABD25"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540B343F"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680" w:type="dxa"/>
            <w:tcBorders>
              <w:top w:val="nil"/>
              <w:left w:val="nil"/>
              <w:bottom w:val="nil"/>
              <w:right w:val="nil"/>
            </w:tcBorders>
            <w:shd w:val="clear" w:color="auto" w:fill="auto"/>
            <w:noWrap/>
            <w:vAlign w:val="center"/>
            <w:hideMark/>
          </w:tcPr>
          <w:p w14:paraId="4CE04966"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536CB93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0D09CFF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3,5</w:t>
            </w:r>
          </w:p>
        </w:tc>
        <w:tc>
          <w:tcPr>
            <w:tcW w:w="680" w:type="dxa"/>
            <w:tcBorders>
              <w:top w:val="nil"/>
              <w:left w:val="nil"/>
              <w:bottom w:val="nil"/>
              <w:right w:val="nil"/>
            </w:tcBorders>
            <w:shd w:val="clear" w:color="auto" w:fill="auto"/>
            <w:noWrap/>
            <w:vAlign w:val="center"/>
            <w:hideMark/>
          </w:tcPr>
          <w:p w14:paraId="4C7CFD6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7212C9E9"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55D8D9E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7B2BEF8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5F91A10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70DB7B5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4,7</w:t>
            </w:r>
          </w:p>
        </w:tc>
        <w:tc>
          <w:tcPr>
            <w:tcW w:w="680" w:type="dxa"/>
            <w:tcBorders>
              <w:top w:val="nil"/>
              <w:left w:val="nil"/>
              <w:bottom w:val="nil"/>
              <w:right w:val="nil"/>
            </w:tcBorders>
            <w:shd w:val="clear" w:color="auto" w:fill="auto"/>
            <w:noWrap/>
            <w:vAlign w:val="center"/>
            <w:hideMark/>
          </w:tcPr>
          <w:p w14:paraId="2F184EE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4,9</w:t>
            </w:r>
          </w:p>
        </w:tc>
        <w:tc>
          <w:tcPr>
            <w:tcW w:w="680" w:type="dxa"/>
            <w:tcBorders>
              <w:top w:val="nil"/>
              <w:left w:val="nil"/>
              <w:bottom w:val="nil"/>
              <w:right w:val="nil"/>
            </w:tcBorders>
            <w:shd w:val="clear" w:color="auto" w:fill="auto"/>
            <w:noWrap/>
            <w:vAlign w:val="center"/>
            <w:hideMark/>
          </w:tcPr>
          <w:p w14:paraId="52974BF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5,9</w:t>
            </w:r>
          </w:p>
        </w:tc>
      </w:tr>
      <w:tr w:rsidR="004D1BAD" w:rsidRPr="00D92E20" w14:paraId="26ACAD3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7B46E990"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680" w:type="dxa"/>
            <w:tcBorders>
              <w:top w:val="nil"/>
              <w:left w:val="nil"/>
              <w:bottom w:val="nil"/>
              <w:right w:val="nil"/>
            </w:tcBorders>
            <w:shd w:val="clear" w:color="auto" w:fill="auto"/>
            <w:noWrap/>
            <w:vAlign w:val="center"/>
            <w:hideMark/>
          </w:tcPr>
          <w:p w14:paraId="6A7B313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131B3CF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16FF3FA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3,5</w:t>
            </w:r>
          </w:p>
        </w:tc>
        <w:tc>
          <w:tcPr>
            <w:tcW w:w="680" w:type="dxa"/>
            <w:tcBorders>
              <w:top w:val="nil"/>
              <w:left w:val="nil"/>
              <w:bottom w:val="nil"/>
              <w:right w:val="nil"/>
            </w:tcBorders>
            <w:shd w:val="clear" w:color="auto" w:fill="auto"/>
            <w:noWrap/>
            <w:vAlign w:val="center"/>
            <w:hideMark/>
          </w:tcPr>
          <w:p w14:paraId="5939B4A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15D4FD8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c>
          <w:tcPr>
            <w:tcW w:w="680" w:type="dxa"/>
            <w:tcBorders>
              <w:top w:val="nil"/>
              <w:left w:val="nil"/>
              <w:bottom w:val="nil"/>
              <w:right w:val="nil"/>
            </w:tcBorders>
            <w:shd w:val="clear" w:color="auto" w:fill="auto"/>
            <w:noWrap/>
            <w:vAlign w:val="center"/>
            <w:hideMark/>
          </w:tcPr>
          <w:p w14:paraId="270E2198"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642B94F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4,5</w:t>
            </w:r>
          </w:p>
        </w:tc>
        <w:tc>
          <w:tcPr>
            <w:tcW w:w="680" w:type="dxa"/>
            <w:tcBorders>
              <w:top w:val="nil"/>
              <w:left w:val="nil"/>
              <w:bottom w:val="nil"/>
              <w:right w:val="nil"/>
            </w:tcBorders>
            <w:shd w:val="clear" w:color="auto" w:fill="auto"/>
            <w:noWrap/>
            <w:vAlign w:val="center"/>
            <w:hideMark/>
          </w:tcPr>
          <w:p w14:paraId="76FFA6C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4,6</w:t>
            </w:r>
          </w:p>
        </w:tc>
        <w:tc>
          <w:tcPr>
            <w:tcW w:w="680" w:type="dxa"/>
            <w:tcBorders>
              <w:top w:val="nil"/>
              <w:left w:val="nil"/>
              <w:bottom w:val="nil"/>
              <w:right w:val="nil"/>
            </w:tcBorders>
            <w:shd w:val="clear" w:color="auto" w:fill="auto"/>
            <w:noWrap/>
            <w:vAlign w:val="center"/>
            <w:hideMark/>
          </w:tcPr>
          <w:p w14:paraId="48ADACE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4,7</w:t>
            </w:r>
          </w:p>
        </w:tc>
        <w:tc>
          <w:tcPr>
            <w:tcW w:w="680" w:type="dxa"/>
            <w:tcBorders>
              <w:top w:val="nil"/>
              <w:left w:val="nil"/>
              <w:bottom w:val="nil"/>
              <w:right w:val="nil"/>
            </w:tcBorders>
            <w:shd w:val="clear" w:color="auto" w:fill="auto"/>
            <w:noWrap/>
            <w:vAlign w:val="center"/>
            <w:hideMark/>
          </w:tcPr>
          <w:p w14:paraId="49CE215C"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03E2964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5,7</w:t>
            </w:r>
          </w:p>
        </w:tc>
      </w:tr>
      <w:tr w:rsidR="004D1BAD" w:rsidRPr="00D92E20" w14:paraId="1408511B"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497DD505" w14:textId="77777777" w:rsidR="004D1BAD" w:rsidRPr="00D92E20" w:rsidRDefault="003B64A7" w:rsidP="004D1BAD">
            <w:pPr>
              <w:spacing w:after="0" w:line="240" w:lineRule="auto"/>
              <w:ind w:firstLineChars="100" w:firstLine="160"/>
              <w:rPr>
                <w:rFonts w:cs="Arial"/>
                <w:color w:val="000000"/>
                <w:sz w:val="16"/>
                <w:szCs w:val="16"/>
              </w:rPr>
            </w:pPr>
            <w:r w:rsidRPr="00D92E20">
              <w:rPr>
                <w:rFonts w:cs="Arial"/>
                <w:color w:val="000000"/>
                <w:sz w:val="16"/>
                <w:szCs w:val="16"/>
              </w:rPr>
              <w:t xml:space="preserve">Kraj </w:t>
            </w:r>
            <w:r w:rsidR="004D1BAD" w:rsidRPr="00D92E20">
              <w:rPr>
                <w:rFonts w:cs="Arial"/>
                <w:color w:val="000000"/>
                <w:sz w:val="16"/>
                <w:szCs w:val="16"/>
              </w:rPr>
              <w:t>Vysočina</w:t>
            </w:r>
          </w:p>
        </w:tc>
        <w:tc>
          <w:tcPr>
            <w:tcW w:w="680" w:type="dxa"/>
            <w:tcBorders>
              <w:top w:val="nil"/>
              <w:left w:val="nil"/>
              <w:bottom w:val="nil"/>
              <w:right w:val="nil"/>
            </w:tcBorders>
            <w:shd w:val="clear" w:color="auto" w:fill="auto"/>
            <w:noWrap/>
            <w:vAlign w:val="center"/>
            <w:hideMark/>
          </w:tcPr>
          <w:p w14:paraId="7B6209F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c>
          <w:tcPr>
            <w:tcW w:w="680" w:type="dxa"/>
            <w:tcBorders>
              <w:top w:val="nil"/>
              <w:left w:val="nil"/>
              <w:bottom w:val="nil"/>
              <w:right w:val="nil"/>
            </w:tcBorders>
            <w:shd w:val="clear" w:color="auto" w:fill="auto"/>
            <w:noWrap/>
            <w:vAlign w:val="center"/>
            <w:hideMark/>
          </w:tcPr>
          <w:p w14:paraId="7B24365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3744C4A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3,6</w:t>
            </w:r>
          </w:p>
        </w:tc>
        <w:tc>
          <w:tcPr>
            <w:tcW w:w="680" w:type="dxa"/>
            <w:tcBorders>
              <w:top w:val="nil"/>
              <w:left w:val="nil"/>
              <w:bottom w:val="nil"/>
              <w:right w:val="nil"/>
            </w:tcBorders>
            <w:shd w:val="clear" w:color="auto" w:fill="auto"/>
            <w:noWrap/>
            <w:vAlign w:val="center"/>
            <w:hideMark/>
          </w:tcPr>
          <w:p w14:paraId="64380A0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c>
          <w:tcPr>
            <w:tcW w:w="680" w:type="dxa"/>
            <w:tcBorders>
              <w:top w:val="nil"/>
              <w:left w:val="nil"/>
              <w:bottom w:val="nil"/>
              <w:right w:val="nil"/>
            </w:tcBorders>
            <w:shd w:val="clear" w:color="auto" w:fill="auto"/>
            <w:noWrap/>
            <w:vAlign w:val="center"/>
            <w:hideMark/>
          </w:tcPr>
          <w:p w14:paraId="54E6DCC8"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4,0</w:t>
            </w:r>
          </w:p>
        </w:tc>
        <w:tc>
          <w:tcPr>
            <w:tcW w:w="680" w:type="dxa"/>
            <w:tcBorders>
              <w:top w:val="nil"/>
              <w:left w:val="nil"/>
              <w:bottom w:val="nil"/>
              <w:right w:val="nil"/>
            </w:tcBorders>
            <w:shd w:val="clear" w:color="auto" w:fill="auto"/>
            <w:noWrap/>
            <w:vAlign w:val="center"/>
            <w:hideMark/>
          </w:tcPr>
          <w:p w14:paraId="37B0BDB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4,5</w:t>
            </w:r>
          </w:p>
        </w:tc>
        <w:tc>
          <w:tcPr>
            <w:tcW w:w="680" w:type="dxa"/>
            <w:tcBorders>
              <w:top w:val="nil"/>
              <w:left w:val="nil"/>
              <w:bottom w:val="nil"/>
              <w:right w:val="nil"/>
            </w:tcBorders>
            <w:shd w:val="clear" w:color="auto" w:fill="auto"/>
            <w:noWrap/>
            <w:vAlign w:val="center"/>
            <w:hideMark/>
          </w:tcPr>
          <w:p w14:paraId="126C211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4,7</w:t>
            </w:r>
          </w:p>
        </w:tc>
        <w:tc>
          <w:tcPr>
            <w:tcW w:w="680" w:type="dxa"/>
            <w:tcBorders>
              <w:top w:val="nil"/>
              <w:left w:val="nil"/>
              <w:bottom w:val="nil"/>
              <w:right w:val="nil"/>
            </w:tcBorders>
            <w:shd w:val="clear" w:color="auto" w:fill="auto"/>
            <w:noWrap/>
            <w:vAlign w:val="center"/>
            <w:hideMark/>
          </w:tcPr>
          <w:p w14:paraId="593EBEA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57260A0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695C83B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5,4</w:t>
            </w:r>
          </w:p>
        </w:tc>
        <w:tc>
          <w:tcPr>
            <w:tcW w:w="680" w:type="dxa"/>
            <w:tcBorders>
              <w:top w:val="nil"/>
              <w:left w:val="nil"/>
              <w:bottom w:val="nil"/>
              <w:right w:val="nil"/>
            </w:tcBorders>
            <w:shd w:val="clear" w:color="auto" w:fill="auto"/>
            <w:noWrap/>
            <w:vAlign w:val="center"/>
            <w:hideMark/>
          </w:tcPr>
          <w:p w14:paraId="1D34F78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6,4</w:t>
            </w:r>
          </w:p>
        </w:tc>
      </w:tr>
      <w:tr w:rsidR="004D1BAD" w:rsidRPr="00D92E20" w14:paraId="677F6946"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E1C3D98"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680" w:type="dxa"/>
            <w:tcBorders>
              <w:top w:val="nil"/>
              <w:left w:val="nil"/>
              <w:bottom w:val="nil"/>
              <w:right w:val="nil"/>
            </w:tcBorders>
            <w:shd w:val="clear" w:color="auto" w:fill="auto"/>
            <w:noWrap/>
            <w:vAlign w:val="center"/>
            <w:hideMark/>
          </w:tcPr>
          <w:p w14:paraId="3C73C05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3FA5C3E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555A7FD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3,5</w:t>
            </w:r>
          </w:p>
        </w:tc>
        <w:tc>
          <w:tcPr>
            <w:tcW w:w="680" w:type="dxa"/>
            <w:tcBorders>
              <w:top w:val="nil"/>
              <w:left w:val="nil"/>
              <w:bottom w:val="nil"/>
              <w:right w:val="nil"/>
            </w:tcBorders>
            <w:shd w:val="clear" w:color="auto" w:fill="auto"/>
            <w:noWrap/>
            <w:vAlign w:val="center"/>
            <w:hideMark/>
          </w:tcPr>
          <w:p w14:paraId="0BE82B89"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64DAEFF9"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3E350F0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148F5FA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4,2</w:t>
            </w:r>
          </w:p>
        </w:tc>
        <w:tc>
          <w:tcPr>
            <w:tcW w:w="680" w:type="dxa"/>
            <w:tcBorders>
              <w:top w:val="nil"/>
              <w:left w:val="nil"/>
              <w:bottom w:val="nil"/>
              <w:right w:val="nil"/>
            </w:tcBorders>
            <w:shd w:val="clear" w:color="auto" w:fill="auto"/>
            <w:noWrap/>
            <w:vAlign w:val="center"/>
            <w:hideMark/>
          </w:tcPr>
          <w:p w14:paraId="5B5491A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5663CE2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4DE8103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4,6</w:t>
            </w:r>
          </w:p>
        </w:tc>
        <w:tc>
          <w:tcPr>
            <w:tcW w:w="680" w:type="dxa"/>
            <w:tcBorders>
              <w:top w:val="nil"/>
              <w:left w:val="nil"/>
              <w:bottom w:val="nil"/>
              <w:right w:val="nil"/>
            </w:tcBorders>
            <w:shd w:val="clear" w:color="auto" w:fill="auto"/>
            <w:noWrap/>
            <w:vAlign w:val="center"/>
            <w:hideMark/>
          </w:tcPr>
          <w:p w14:paraId="5AC2353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5,4</w:t>
            </w:r>
          </w:p>
        </w:tc>
      </w:tr>
      <w:tr w:rsidR="004D1BAD" w:rsidRPr="00D92E20" w14:paraId="7B2C54D7"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1DF67F6B"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680" w:type="dxa"/>
            <w:tcBorders>
              <w:top w:val="nil"/>
              <w:left w:val="nil"/>
              <w:bottom w:val="nil"/>
              <w:right w:val="nil"/>
            </w:tcBorders>
            <w:shd w:val="clear" w:color="auto" w:fill="auto"/>
            <w:noWrap/>
            <w:vAlign w:val="center"/>
            <w:hideMark/>
          </w:tcPr>
          <w:p w14:paraId="1482EF4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c>
          <w:tcPr>
            <w:tcW w:w="680" w:type="dxa"/>
            <w:tcBorders>
              <w:top w:val="nil"/>
              <w:left w:val="nil"/>
              <w:bottom w:val="nil"/>
              <w:right w:val="nil"/>
            </w:tcBorders>
            <w:shd w:val="clear" w:color="auto" w:fill="auto"/>
            <w:noWrap/>
            <w:vAlign w:val="center"/>
            <w:hideMark/>
          </w:tcPr>
          <w:p w14:paraId="7E236F7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3077B97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3,7</w:t>
            </w:r>
          </w:p>
        </w:tc>
        <w:tc>
          <w:tcPr>
            <w:tcW w:w="680" w:type="dxa"/>
            <w:tcBorders>
              <w:top w:val="nil"/>
              <w:left w:val="nil"/>
              <w:bottom w:val="nil"/>
              <w:right w:val="nil"/>
            </w:tcBorders>
            <w:shd w:val="clear" w:color="auto" w:fill="auto"/>
            <w:noWrap/>
            <w:vAlign w:val="center"/>
            <w:hideMark/>
          </w:tcPr>
          <w:p w14:paraId="7C12DBA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3,8</w:t>
            </w:r>
          </w:p>
        </w:tc>
        <w:tc>
          <w:tcPr>
            <w:tcW w:w="680" w:type="dxa"/>
            <w:tcBorders>
              <w:top w:val="nil"/>
              <w:left w:val="nil"/>
              <w:bottom w:val="nil"/>
              <w:right w:val="nil"/>
            </w:tcBorders>
            <w:shd w:val="clear" w:color="auto" w:fill="auto"/>
            <w:noWrap/>
            <w:vAlign w:val="center"/>
            <w:hideMark/>
          </w:tcPr>
          <w:p w14:paraId="7A8266B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3,9</w:t>
            </w:r>
          </w:p>
        </w:tc>
        <w:tc>
          <w:tcPr>
            <w:tcW w:w="680" w:type="dxa"/>
            <w:tcBorders>
              <w:top w:val="nil"/>
              <w:left w:val="nil"/>
              <w:bottom w:val="nil"/>
              <w:right w:val="nil"/>
            </w:tcBorders>
            <w:shd w:val="clear" w:color="auto" w:fill="auto"/>
            <w:noWrap/>
            <w:vAlign w:val="center"/>
            <w:hideMark/>
          </w:tcPr>
          <w:p w14:paraId="77AA9566"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6632690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4,5</w:t>
            </w:r>
          </w:p>
        </w:tc>
        <w:tc>
          <w:tcPr>
            <w:tcW w:w="680" w:type="dxa"/>
            <w:tcBorders>
              <w:top w:val="nil"/>
              <w:left w:val="nil"/>
              <w:bottom w:val="nil"/>
              <w:right w:val="nil"/>
            </w:tcBorders>
            <w:shd w:val="clear" w:color="auto" w:fill="auto"/>
            <w:noWrap/>
            <w:vAlign w:val="center"/>
            <w:hideMark/>
          </w:tcPr>
          <w:p w14:paraId="36F539C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4,5</w:t>
            </w:r>
          </w:p>
        </w:tc>
        <w:tc>
          <w:tcPr>
            <w:tcW w:w="680" w:type="dxa"/>
            <w:tcBorders>
              <w:top w:val="nil"/>
              <w:left w:val="nil"/>
              <w:bottom w:val="nil"/>
              <w:right w:val="nil"/>
            </w:tcBorders>
            <w:shd w:val="clear" w:color="auto" w:fill="auto"/>
            <w:noWrap/>
            <w:vAlign w:val="center"/>
            <w:hideMark/>
          </w:tcPr>
          <w:p w14:paraId="78B6F65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4,7</w:t>
            </w:r>
          </w:p>
        </w:tc>
        <w:tc>
          <w:tcPr>
            <w:tcW w:w="680" w:type="dxa"/>
            <w:tcBorders>
              <w:top w:val="nil"/>
              <w:left w:val="nil"/>
              <w:bottom w:val="nil"/>
              <w:right w:val="nil"/>
            </w:tcBorders>
            <w:shd w:val="clear" w:color="auto" w:fill="auto"/>
            <w:noWrap/>
            <w:vAlign w:val="center"/>
            <w:hideMark/>
          </w:tcPr>
          <w:p w14:paraId="1E14458A"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5,0</w:t>
            </w:r>
          </w:p>
        </w:tc>
        <w:tc>
          <w:tcPr>
            <w:tcW w:w="680" w:type="dxa"/>
            <w:tcBorders>
              <w:top w:val="nil"/>
              <w:left w:val="nil"/>
              <w:bottom w:val="nil"/>
              <w:right w:val="nil"/>
            </w:tcBorders>
            <w:shd w:val="clear" w:color="auto" w:fill="auto"/>
            <w:noWrap/>
            <w:vAlign w:val="center"/>
            <w:hideMark/>
          </w:tcPr>
          <w:p w14:paraId="0ABC76F5"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6,0</w:t>
            </w:r>
          </w:p>
        </w:tc>
      </w:tr>
      <w:tr w:rsidR="004D1BAD" w:rsidRPr="00D92E20" w14:paraId="4272B8F1"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6EBFB304"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680" w:type="dxa"/>
            <w:tcBorders>
              <w:top w:val="nil"/>
              <w:left w:val="nil"/>
              <w:bottom w:val="nil"/>
              <w:right w:val="nil"/>
            </w:tcBorders>
            <w:shd w:val="clear" w:color="auto" w:fill="auto"/>
            <w:noWrap/>
            <w:vAlign w:val="center"/>
            <w:hideMark/>
          </w:tcPr>
          <w:p w14:paraId="4B43847B"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4,6</w:t>
            </w:r>
          </w:p>
        </w:tc>
        <w:tc>
          <w:tcPr>
            <w:tcW w:w="680" w:type="dxa"/>
            <w:tcBorders>
              <w:top w:val="nil"/>
              <w:left w:val="nil"/>
              <w:bottom w:val="nil"/>
              <w:right w:val="nil"/>
            </w:tcBorders>
            <w:shd w:val="clear" w:color="auto" w:fill="auto"/>
            <w:noWrap/>
            <w:vAlign w:val="center"/>
            <w:hideMark/>
          </w:tcPr>
          <w:p w14:paraId="783E4F6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097911C4"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4,1</w:t>
            </w:r>
          </w:p>
        </w:tc>
        <w:tc>
          <w:tcPr>
            <w:tcW w:w="680" w:type="dxa"/>
            <w:tcBorders>
              <w:top w:val="nil"/>
              <w:left w:val="nil"/>
              <w:bottom w:val="nil"/>
              <w:right w:val="nil"/>
            </w:tcBorders>
            <w:shd w:val="clear" w:color="auto" w:fill="auto"/>
            <w:noWrap/>
            <w:vAlign w:val="center"/>
            <w:hideMark/>
          </w:tcPr>
          <w:p w14:paraId="04AB3CB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3843CD0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1C1E76D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4,9</w:t>
            </w:r>
          </w:p>
        </w:tc>
        <w:tc>
          <w:tcPr>
            <w:tcW w:w="680" w:type="dxa"/>
            <w:tcBorders>
              <w:top w:val="nil"/>
              <w:left w:val="nil"/>
              <w:bottom w:val="nil"/>
              <w:right w:val="nil"/>
            </w:tcBorders>
            <w:shd w:val="clear" w:color="auto" w:fill="auto"/>
            <w:noWrap/>
            <w:vAlign w:val="center"/>
            <w:hideMark/>
          </w:tcPr>
          <w:p w14:paraId="57C2E1E3"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6A60A6FE"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5,2</w:t>
            </w:r>
          </w:p>
        </w:tc>
        <w:tc>
          <w:tcPr>
            <w:tcW w:w="680" w:type="dxa"/>
            <w:tcBorders>
              <w:top w:val="nil"/>
              <w:left w:val="nil"/>
              <w:bottom w:val="nil"/>
              <w:right w:val="nil"/>
            </w:tcBorders>
            <w:shd w:val="clear" w:color="auto" w:fill="auto"/>
            <w:noWrap/>
            <w:vAlign w:val="center"/>
            <w:hideMark/>
          </w:tcPr>
          <w:p w14:paraId="18F33CD6"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5,3</w:t>
            </w:r>
          </w:p>
        </w:tc>
        <w:tc>
          <w:tcPr>
            <w:tcW w:w="680" w:type="dxa"/>
            <w:tcBorders>
              <w:top w:val="nil"/>
              <w:left w:val="nil"/>
              <w:bottom w:val="nil"/>
              <w:right w:val="nil"/>
            </w:tcBorders>
            <w:shd w:val="clear" w:color="auto" w:fill="auto"/>
            <w:noWrap/>
            <w:vAlign w:val="center"/>
            <w:hideMark/>
          </w:tcPr>
          <w:p w14:paraId="46719A0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5,6</w:t>
            </w:r>
          </w:p>
        </w:tc>
        <w:tc>
          <w:tcPr>
            <w:tcW w:w="680" w:type="dxa"/>
            <w:tcBorders>
              <w:top w:val="nil"/>
              <w:left w:val="nil"/>
              <w:bottom w:val="nil"/>
              <w:right w:val="nil"/>
            </w:tcBorders>
            <w:shd w:val="clear" w:color="auto" w:fill="auto"/>
            <w:noWrap/>
            <w:vAlign w:val="center"/>
            <w:hideMark/>
          </w:tcPr>
          <w:p w14:paraId="0F3013C2"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7,0</w:t>
            </w:r>
          </w:p>
        </w:tc>
      </w:tr>
      <w:tr w:rsidR="004D1BAD" w:rsidRPr="00D92E20" w14:paraId="10048B53" w14:textId="77777777" w:rsidTr="004D1BAD">
        <w:trPr>
          <w:trHeight w:val="300"/>
        </w:trPr>
        <w:tc>
          <w:tcPr>
            <w:tcW w:w="2041" w:type="dxa"/>
            <w:tcBorders>
              <w:top w:val="nil"/>
              <w:left w:val="nil"/>
              <w:bottom w:val="nil"/>
              <w:right w:val="single" w:sz="4" w:space="0" w:color="auto"/>
            </w:tcBorders>
            <w:shd w:val="clear" w:color="auto" w:fill="auto"/>
            <w:noWrap/>
            <w:vAlign w:val="center"/>
            <w:hideMark/>
          </w:tcPr>
          <w:p w14:paraId="462DC99F" w14:textId="77777777" w:rsidR="004D1BAD" w:rsidRPr="00D92E20" w:rsidRDefault="004D1BAD" w:rsidP="004D1BAD">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680" w:type="dxa"/>
            <w:tcBorders>
              <w:top w:val="nil"/>
              <w:left w:val="nil"/>
              <w:bottom w:val="nil"/>
              <w:right w:val="nil"/>
            </w:tcBorders>
            <w:shd w:val="clear" w:color="auto" w:fill="auto"/>
            <w:noWrap/>
            <w:vAlign w:val="center"/>
            <w:hideMark/>
          </w:tcPr>
          <w:p w14:paraId="659CAAF5"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46575CC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209048F1"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4,0</w:t>
            </w:r>
          </w:p>
        </w:tc>
        <w:tc>
          <w:tcPr>
            <w:tcW w:w="680" w:type="dxa"/>
            <w:tcBorders>
              <w:top w:val="nil"/>
              <w:left w:val="nil"/>
              <w:bottom w:val="nil"/>
              <w:right w:val="nil"/>
            </w:tcBorders>
            <w:shd w:val="clear" w:color="auto" w:fill="auto"/>
            <w:noWrap/>
            <w:vAlign w:val="center"/>
            <w:hideMark/>
          </w:tcPr>
          <w:p w14:paraId="5A4B13ED"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4,3</w:t>
            </w:r>
          </w:p>
        </w:tc>
        <w:tc>
          <w:tcPr>
            <w:tcW w:w="680" w:type="dxa"/>
            <w:tcBorders>
              <w:top w:val="nil"/>
              <w:left w:val="nil"/>
              <w:bottom w:val="nil"/>
              <w:right w:val="nil"/>
            </w:tcBorders>
            <w:shd w:val="clear" w:color="auto" w:fill="auto"/>
            <w:noWrap/>
            <w:vAlign w:val="center"/>
            <w:hideMark/>
          </w:tcPr>
          <w:p w14:paraId="0D4844CA"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4,4</w:t>
            </w:r>
          </w:p>
        </w:tc>
        <w:tc>
          <w:tcPr>
            <w:tcW w:w="680" w:type="dxa"/>
            <w:tcBorders>
              <w:top w:val="nil"/>
              <w:left w:val="nil"/>
              <w:bottom w:val="nil"/>
              <w:right w:val="nil"/>
            </w:tcBorders>
            <w:shd w:val="clear" w:color="auto" w:fill="auto"/>
            <w:noWrap/>
            <w:vAlign w:val="center"/>
            <w:hideMark/>
          </w:tcPr>
          <w:p w14:paraId="2883BD1F"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4,8</w:t>
            </w:r>
          </w:p>
        </w:tc>
        <w:tc>
          <w:tcPr>
            <w:tcW w:w="680" w:type="dxa"/>
            <w:tcBorders>
              <w:top w:val="nil"/>
              <w:left w:val="nil"/>
              <w:bottom w:val="nil"/>
              <w:right w:val="nil"/>
            </w:tcBorders>
            <w:shd w:val="clear" w:color="auto" w:fill="auto"/>
            <w:noWrap/>
            <w:vAlign w:val="center"/>
            <w:hideMark/>
          </w:tcPr>
          <w:p w14:paraId="60FB0987"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19A973E3"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5,1</w:t>
            </w:r>
          </w:p>
        </w:tc>
        <w:tc>
          <w:tcPr>
            <w:tcW w:w="680" w:type="dxa"/>
            <w:tcBorders>
              <w:top w:val="nil"/>
              <w:left w:val="nil"/>
              <w:bottom w:val="nil"/>
              <w:right w:val="nil"/>
            </w:tcBorders>
            <w:shd w:val="clear" w:color="auto" w:fill="auto"/>
            <w:noWrap/>
            <w:vAlign w:val="center"/>
            <w:hideMark/>
          </w:tcPr>
          <w:p w14:paraId="14CF77E6"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5,4</w:t>
            </w:r>
          </w:p>
        </w:tc>
        <w:tc>
          <w:tcPr>
            <w:tcW w:w="680" w:type="dxa"/>
            <w:tcBorders>
              <w:top w:val="nil"/>
              <w:left w:val="nil"/>
              <w:bottom w:val="nil"/>
              <w:right w:val="nil"/>
            </w:tcBorders>
            <w:shd w:val="clear" w:color="auto" w:fill="auto"/>
            <w:noWrap/>
            <w:vAlign w:val="center"/>
            <w:hideMark/>
          </w:tcPr>
          <w:p w14:paraId="7637816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5,8</w:t>
            </w:r>
          </w:p>
        </w:tc>
        <w:tc>
          <w:tcPr>
            <w:tcW w:w="680" w:type="dxa"/>
            <w:tcBorders>
              <w:top w:val="nil"/>
              <w:left w:val="nil"/>
              <w:bottom w:val="nil"/>
              <w:right w:val="nil"/>
            </w:tcBorders>
            <w:shd w:val="clear" w:color="auto" w:fill="auto"/>
            <w:noWrap/>
            <w:vAlign w:val="center"/>
            <w:hideMark/>
          </w:tcPr>
          <w:p w14:paraId="4A6B4360" w14:textId="77777777" w:rsidR="004D1BAD" w:rsidRPr="00D92E20" w:rsidRDefault="004D1BAD" w:rsidP="004D1BAD">
            <w:pPr>
              <w:spacing w:after="0" w:line="240" w:lineRule="auto"/>
              <w:jc w:val="center"/>
              <w:rPr>
                <w:rFonts w:cs="Arial"/>
                <w:color w:val="000000"/>
                <w:sz w:val="16"/>
                <w:szCs w:val="16"/>
              </w:rPr>
            </w:pPr>
            <w:r w:rsidRPr="00D92E20">
              <w:rPr>
                <w:rFonts w:cs="Arial"/>
                <w:color w:val="000000"/>
                <w:sz w:val="16"/>
                <w:szCs w:val="16"/>
              </w:rPr>
              <w:t>7,0</w:t>
            </w:r>
          </w:p>
        </w:tc>
      </w:tr>
    </w:tbl>
    <w:p w14:paraId="1961B3A4" w14:textId="77777777" w:rsidR="004D1BAD" w:rsidRPr="00D92E20" w:rsidRDefault="004D1BAD" w:rsidP="00000A90">
      <w:pPr>
        <w:spacing w:before="60" w:after="120"/>
        <w:rPr>
          <w:sz w:val="16"/>
        </w:rPr>
      </w:pPr>
      <w:r w:rsidRPr="00D92E20">
        <w:rPr>
          <w:sz w:val="16"/>
        </w:rPr>
        <w:t>Zdroj: ČSÚ</w:t>
      </w:r>
    </w:p>
    <w:p w14:paraId="54354ECD" w14:textId="77777777" w:rsidR="004D1BAD" w:rsidRPr="00D92E20" w:rsidRDefault="004D1BAD" w:rsidP="00000A90">
      <w:pPr>
        <w:spacing w:before="120" w:after="120"/>
        <w:jc w:val="both"/>
      </w:pPr>
      <w:r w:rsidRPr="00D92E20">
        <w:t xml:space="preserve">Obdobný ukazatel jako průměrné procento dočasné pracovní neschopnosti, avšak v absolutním vyjádření představuje </w:t>
      </w:r>
      <w:r w:rsidRPr="00D92E20">
        <w:rPr>
          <w:b/>
        </w:rPr>
        <w:t>průměrný denní stav dočasně práce neschopných</w:t>
      </w:r>
      <w:r w:rsidRPr="00D92E20">
        <w:t>. Říká, kolik nemocensky pojištěných osob bylo ve sledovaném období v průměru denně nepřítomno v práci z důvodu pracovní neschopnosti pro nemoc a úraz.</w:t>
      </w:r>
    </w:p>
    <w:p w14:paraId="1C1CFF78" w14:textId="468F7319" w:rsidR="004D1BAD" w:rsidRPr="00D92E20" w:rsidRDefault="004D1BAD" w:rsidP="00000A90">
      <w:pPr>
        <w:spacing w:before="120" w:after="120"/>
        <w:jc w:val="both"/>
      </w:pPr>
      <w:r w:rsidRPr="00D92E20">
        <w:rPr>
          <w:rFonts w:cs="Arial"/>
          <w:color w:val="000000"/>
          <w:szCs w:val="16"/>
        </w:rPr>
        <w:t>V roce 2020 kvůli dočasné pracovní neschopnosti způsobené nemocí či úrazem denně chybělo na pracovištích 25</w:t>
      </w:r>
      <w:r w:rsidR="00CD287A" w:rsidRPr="00D92E20">
        <w:rPr>
          <w:rFonts w:cs="Arial"/>
          <w:color w:val="000000"/>
          <w:szCs w:val="16"/>
        </w:rPr>
        <w:t>8</w:t>
      </w:r>
      <w:r w:rsidRPr="00D92E20">
        <w:rPr>
          <w:rFonts w:cs="Arial"/>
          <w:color w:val="000000"/>
          <w:szCs w:val="16"/>
        </w:rPr>
        <w:t xml:space="preserve"> </w:t>
      </w:r>
      <w:r w:rsidR="009208D0" w:rsidRPr="00D92E20">
        <w:rPr>
          <w:rFonts w:cs="Arial"/>
          <w:color w:val="000000"/>
          <w:szCs w:val="16"/>
        </w:rPr>
        <w:t>tis.</w:t>
      </w:r>
      <w:r w:rsidRPr="00D92E20">
        <w:rPr>
          <w:rFonts w:cs="Arial"/>
          <w:color w:val="000000"/>
          <w:szCs w:val="16"/>
        </w:rPr>
        <w:t xml:space="preserve"> nemocensky pojištěných osob. Oproti roku 2019, kdy hodnota činila 22</w:t>
      </w:r>
      <w:r w:rsidR="009208D0" w:rsidRPr="00D92E20">
        <w:rPr>
          <w:rFonts w:cs="Arial"/>
          <w:color w:val="000000"/>
          <w:szCs w:val="16"/>
        </w:rPr>
        <w:t>3</w:t>
      </w:r>
      <w:r w:rsidRPr="00D92E20">
        <w:rPr>
          <w:rFonts w:cs="Arial"/>
          <w:color w:val="000000"/>
          <w:szCs w:val="16"/>
        </w:rPr>
        <w:t xml:space="preserve"> </w:t>
      </w:r>
      <w:r w:rsidR="009208D0" w:rsidRPr="00D92E20">
        <w:rPr>
          <w:rFonts w:cs="Arial"/>
          <w:color w:val="000000"/>
          <w:szCs w:val="16"/>
        </w:rPr>
        <w:t>tis.</w:t>
      </w:r>
      <w:r w:rsidRPr="00D92E20">
        <w:rPr>
          <w:rFonts w:cs="Arial"/>
          <w:color w:val="000000"/>
          <w:szCs w:val="16"/>
        </w:rPr>
        <w:t> pojištěnců, se jedná o 16% nárůst (o 35 tis. více). Ve srovnání s rokem 201</w:t>
      </w:r>
      <w:r w:rsidR="007D615C" w:rsidRPr="00D92E20">
        <w:rPr>
          <w:rFonts w:cs="Arial"/>
          <w:color w:val="000000"/>
          <w:szCs w:val="16"/>
        </w:rPr>
        <w:t>0</w:t>
      </w:r>
      <w:r w:rsidRPr="00D92E20">
        <w:rPr>
          <w:rFonts w:cs="Arial"/>
          <w:color w:val="000000"/>
          <w:szCs w:val="16"/>
        </w:rPr>
        <w:t xml:space="preserve"> přibylo 95 tis. (tj. </w:t>
      </w:r>
      <w:r w:rsidR="00537BCC" w:rsidRPr="00D92E20">
        <w:rPr>
          <w:rFonts w:cs="Arial"/>
          <w:color w:val="000000"/>
          <w:szCs w:val="16"/>
        </w:rPr>
        <w:t>59</w:t>
      </w:r>
      <w:r w:rsidRPr="00D92E20">
        <w:rPr>
          <w:rFonts w:cs="Arial"/>
          <w:color w:val="000000"/>
          <w:szCs w:val="16"/>
        </w:rPr>
        <w:t xml:space="preserve"> %) dočasně práce neschopných denně. Na </w:t>
      </w:r>
      <w:r w:rsidR="00216AD5" w:rsidRPr="00D92E20">
        <w:rPr>
          <w:rFonts w:cs="Arial"/>
          <w:color w:val="000000"/>
          <w:szCs w:val="16"/>
        </w:rPr>
        <w:t xml:space="preserve">tomto </w:t>
      </w:r>
      <w:r w:rsidRPr="00D92E20">
        <w:rPr>
          <w:rFonts w:cs="Arial"/>
          <w:color w:val="000000"/>
          <w:szCs w:val="16"/>
        </w:rPr>
        <w:t>nárůstu se podílely především ne</w:t>
      </w:r>
      <w:r w:rsidR="00537BCC" w:rsidRPr="00D92E20">
        <w:rPr>
          <w:rFonts w:cs="Arial"/>
          <w:color w:val="000000"/>
          <w:szCs w:val="16"/>
        </w:rPr>
        <w:t>schopenky zapříčiněné nemocí (+8</w:t>
      </w:r>
      <w:r w:rsidRPr="00D92E20">
        <w:rPr>
          <w:rFonts w:cs="Arial"/>
          <w:color w:val="000000"/>
          <w:szCs w:val="16"/>
        </w:rPr>
        <w:t xml:space="preserve">3 tis.), </w:t>
      </w:r>
      <w:r w:rsidR="00216AD5" w:rsidRPr="00D92E20">
        <w:rPr>
          <w:rFonts w:cs="Arial"/>
          <w:color w:val="000000"/>
          <w:szCs w:val="16"/>
        </w:rPr>
        <w:t>jednou tolik</w:t>
      </w:r>
      <w:r w:rsidRPr="00D92E20">
        <w:rPr>
          <w:rFonts w:cs="Arial"/>
          <w:color w:val="000000"/>
          <w:szCs w:val="16"/>
        </w:rPr>
        <w:t xml:space="preserve"> však vzrostl i počet osob s mimopracovními úrazy za 1 den (+</w:t>
      </w:r>
      <w:r w:rsidR="00537BCC" w:rsidRPr="00D92E20">
        <w:rPr>
          <w:rFonts w:cs="Arial"/>
          <w:color w:val="000000"/>
          <w:szCs w:val="16"/>
        </w:rPr>
        <w:t>12</w:t>
      </w:r>
      <w:r w:rsidRPr="00D92E20">
        <w:rPr>
          <w:rFonts w:cs="Arial"/>
          <w:color w:val="000000"/>
          <w:szCs w:val="16"/>
        </w:rPr>
        <w:t xml:space="preserve"> tis.). </w:t>
      </w:r>
      <w:r w:rsidRPr="00D92E20">
        <w:t xml:space="preserve">Vývoj hodnot ukazatele průměrný denní stav dočasně práce neschopných v posledních deseti letech je zřejmý z tabulky 2.10. </w:t>
      </w:r>
    </w:p>
    <w:p w14:paraId="1F814EC6" w14:textId="31823DE0" w:rsidR="004D1BAD" w:rsidRPr="00D92E20" w:rsidRDefault="004D1BAD" w:rsidP="00000A90">
      <w:pPr>
        <w:spacing w:before="120" w:after="120"/>
        <w:jc w:val="both"/>
        <w:rPr>
          <w:rFonts w:cs="Arial"/>
          <w:color w:val="000000"/>
          <w:szCs w:val="16"/>
        </w:rPr>
      </w:pPr>
      <w:r w:rsidRPr="00D92E20">
        <w:rPr>
          <w:rFonts w:cs="Arial"/>
          <w:color w:val="000000"/>
          <w:szCs w:val="16"/>
        </w:rPr>
        <w:t>Pro nemoc bylo v </w:t>
      </w:r>
      <w:r w:rsidR="00537BCC" w:rsidRPr="00D92E20">
        <w:rPr>
          <w:rFonts w:cs="Arial"/>
          <w:color w:val="000000"/>
          <w:szCs w:val="16"/>
        </w:rPr>
        <w:t xml:space="preserve">roce 2020 </w:t>
      </w:r>
      <w:r w:rsidR="00C24683" w:rsidRPr="00D92E20">
        <w:rPr>
          <w:rFonts w:cs="Arial"/>
          <w:color w:val="000000"/>
          <w:szCs w:val="16"/>
        </w:rPr>
        <w:t xml:space="preserve">průměrně denně </w:t>
      </w:r>
      <w:r w:rsidR="00537BCC" w:rsidRPr="00D92E20">
        <w:rPr>
          <w:rFonts w:cs="Arial"/>
          <w:color w:val="000000"/>
          <w:szCs w:val="16"/>
        </w:rPr>
        <w:t>v neschopnosti 22</w:t>
      </w:r>
      <w:r w:rsidR="009208D0" w:rsidRPr="00D92E20">
        <w:rPr>
          <w:rFonts w:cs="Arial"/>
          <w:color w:val="000000"/>
          <w:szCs w:val="16"/>
        </w:rPr>
        <w:t xml:space="preserve">5 tis. </w:t>
      </w:r>
      <w:r w:rsidRPr="00D92E20">
        <w:rPr>
          <w:rFonts w:cs="Arial"/>
          <w:color w:val="000000"/>
          <w:szCs w:val="16"/>
        </w:rPr>
        <w:t>pojištěnců, v důsledku pracovního úrazu 7 </w:t>
      </w:r>
      <w:r w:rsidR="009208D0" w:rsidRPr="00D92E20">
        <w:rPr>
          <w:rFonts w:cs="Arial"/>
          <w:color w:val="000000"/>
          <w:szCs w:val="16"/>
        </w:rPr>
        <w:t xml:space="preserve">tis. </w:t>
      </w:r>
      <w:r w:rsidRPr="00D92E20">
        <w:rPr>
          <w:rFonts w:cs="Arial"/>
          <w:color w:val="000000"/>
          <w:szCs w:val="16"/>
        </w:rPr>
        <w:t>a následkem ostatních úrazů 2</w:t>
      </w:r>
      <w:r w:rsidR="009208D0" w:rsidRPr="00D92E20">
        <w:rPr>
          <w:rFonts w:cs="Arial"/>
          <w:color w:val="000000"/>
          <w:szCs w:val="16"/>
        </w:rPr>
        <w:t>6</w:t>
      </w:r>
      <w:r w:rsidRPr="00D92E20">
        <w:rPr>
          <w:rFonts w:cs="Arial"/>
          <w:color w:val="000000"/>
          <w:szCs w:val="16"/>
        </w:rPr>
        <w:t> </w:t>
      </w:r>
      <w:r w:rsidR="009208D0" w:rsidRPr="00D92E20">
        <w:rPr>
          <w:rFonts w:cs="Arial"/>
          <w:color w:val="000000"/>
          <w:szCs w:val="16"/>
        </w:rPr>
        <w:t>tis.</w:t>
      </w:r>
      <w:r w:rsidRPr="00D92E20">
        <w:rPr>
          <w:rFonts w:cs="Arial"/>
          <w:color w:val="000000"/>
          <w:szCs w:val="16"/>
        </w:rPr>
        <w:t xml:space="preserve"> nemocensky pojištěných. Ve Zpracovatelském průmyslu chybělo denně 87 </w:t>
      </w:r>
      <w:r w:rsidR="009208D0" w:rsidRPr="00D92E20">
        <w:rPr>
          <w:rFonts w:cs="Arial"/>
          <w:color w:val="000000"/>
          <w:szCs w:val="16"/>
        </w:rPr>
        <w:t>tis.</w:t>
      </w:r>
      <w:r w:rsidRPr="00D92E20">
        <w:rPr>
          <w:rFonts w:cs="Arial"/>
          <w:color w:val="000000"/>
          <w:szCs w:val="16"/>
        </w:rPr>
        <w:t xml:space="preserve"> pojištěnců, v odvětví Velkoobchod a maloobchod, opravy a údržba motorových vozidel </w:t>
      </w:r>
      <w:r w:rsidR="009208D0" w:rsidRPr="00D92E20">
        <w:rPr>
          <w:rFonts w:cs="Arial"/>
          <w:color w:val="000000"/>
          <w:szCs w:val="16"/>
        </w:rPr>
        <w:t>36 tis.</w:t>
      </w:r>
      <w:r w:rsidRPr="00D92E20">
        <w:rPr>
          <w:rFonts w:cs="Arial"/>
          <w:color w:val="000000"/>
          <w:szCs w:val="16"/>
        </w:rPr>
        <w:t> osob. Tyto hodnoty jsou značně ovlivněné velikostí odvětví.</w:t>
      </w:r>
    </w:p>
    <w:p w14:paraId="3EB7D3E7" w14:textId="17490348" w:rsidR="004D1BAD" w:rsidRPr="00D92E20" w:rsidRDefault="00537BCC" w:rsidP="00000A90">
      <w:pPr>
        <w:spacing w:after="0"/>
        <w:jc w:val="both"/>
        <w:rPr>
          <w:b/>
        </w:rPr>
      </w:pPr>
      <w:r w:rsidRPr="00D92E20">
        <w:rPr>
          <w:b/>
        </w:rPr>
        <w:t>Tab. 2.10: Průměrný denní stav dočasně práce neschopných</w:t>
      </w:r>
      <w:r w:rsidR="00330CDD" w:rsidRPr="00D92E20">
        <w:rPr>
          <w:b/>
        </w:rPr>
        <w:t xml:space="preserve"> podle příčiny a pohlaví</w:t>
      </w:r>
      <w:r w:rsidRPr="00D92E20">
        <w:rPr>
          <w:b/>
        </w:rPr>
        <w:t>, 2010–2020 (v tis.)</w:t>
      </w:r>
    </w:p>
    <w:tbl>
      <w:tblPr>
        <w:tblW w:w="9594" w:type="dxa"/>
        <w:tblCellMar>
          <w:left w:w="70" w:type="dxa"/>
          <w:right w:w="70" w:type="dxa"/>
        </w:tblCellMar>
        <w:tblLook w:val="04A0" w:firstRow="1" w:lastRow="0" w:firstColumn="1" w:lastColumn="0" w:noHBand="0" w:noVBand="1"/>
      </w:tblPr>
      <w:tblGrid>
        <w:gridCol w:w="737"/>
        <w:gridCol w:w="737"/>
        <w:gridCol w:w="736"/>
        <w:gridCol w:w="736"/>
        <w:gridCol w:w="737"/>
        <w:gridCol w:w="736"/>
        <w:gridCol w:w="736"/>
        <w:gridCol w:w="754"/>
        <w:gridCol w:w="737"/>
        <w:gridCol w:w="737"/>
        <w:gridCol w:w="737"/>
        <w:gridCol w:w="737"/>
        <w:gridCol w:w="737"/>
      </w:tblGrid>
      <w:tr w:rsidR="00537BCC" w:rsidRPr="00D92E20" w14:paraId="5790EBFE" w14:textId="77777777" w:rsidTr="00537BCC">
        <w:trPr>
          <w:trHeight w:val="300"/>
        </w:trPr>
        <w:tc>
          <w:tcPr>
            <w:tcW w:w="737" w:type="dxa"/>
            <w:vMerge w:val="restart"/>
            <w:tcBorders>
              <w:top w:val="single" w:sz="4" w:space="0" w:color="auto"/>
              <w:left w:val="nil"/>
              <w:bottom w:val="single" w:sz="4" w:space="0" w:color="000000"/>
              <w:right w:val="nil"/>
            </w:tcBorders>
            <w:shd w:val="clear" w:color="000000" w:fill="F5DADD"/>
            <w:vAlign w:val="center"/>
            <w:hideMark/>
          </w:tcPr>
          <w:p w14:paraId="2D4913D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Rok</w:t>
            </w:r>
          </w:p>
        </w:tc>
        <w:tc>
          <w:tcPr>
            <w:tcW w:w="737" w:type="dxa"/>
            <w:vMerge w:val="restart"/>
            <w:tcBorders>
              <w:top w:val="single" w:sz="4" w:space="0" w:color="auto"/>
              <w:left w:val="single" w:sz="4" w:space="0" w:color="auto"/>
              <w:bottom w:val="single" w:sz="4" w:space="0" w:color="000000"/>
              <w:right w:val="nil"/>
            </w:tcBorders>
            <w:shd w:val="clear" w:color="000000" w:fill="F2DBDB"/>
            <w:vAlign w:val="center"/>
            <w:hideMark/>
          </w:tcPr>
          <w:p w14:paraId="678A1D07" w14:textId="77777777" w:rsidR="00537BCC" w:rsidRPr="00D92E20" w:rsidRDefault="00537BCC" w:rsidP="00537BCC">
            <w:pPr>
              <w:spacing w:after="0" w:line="240" w:lineRule="auto"/>
              <w:jc w:val="center"/>
              <w:rPr>
                <w:rFonts w:cs="Arial"/>
                <w:b/>
                <w:bCs/>
                <w:color w:val="000000"/>
                <w:sz w:val="16"/>
                <w:szCs w:val="16"/>
              </w:rPr>
            </w:pPr>
            <w:r w:rsidRPr="00D92E20">
              <w:rPr>
                <w:rFonts w:cs="Arial"/>
                <w:b/>
                <w:bCs/>
                <w:color w:val="000000"/>
                <w:sz w:val="16"/>
                <w:szCs w:val="16"/>
              </w:rPr>
              <w:t>Celkem</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3888892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6902A7C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Pro nemoc</w:t>
            </w:r>
          </w:p>
        </w:tc>
        <w:tc>
          <w:tcPr>
            <w:tcW w:w="1472"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5EBA536"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podle pohlaví</w:t>
            </w:r>
          </w:p>
        </w:tc>
        <w:tc>
          <w:tcPr>
            <w:tcW w:w="754" w:type="dxa"/>
            <w:vMerge w:val="restart"/>
            <w:tcBorders>
              <w:top w:val="single" w:sz="4" w:space="0" w:color="auto"/>
              <w:left w:val="single" w:sz="4" w:space="0" w:color="auto"/>
              <w:right w:val="nil"/>
            </w:tcBorders>
            <w:shd w:val="clear" w:color="000000" w:fill="F2DBDB"/>
            <w:vAlign w:val="center"/>
            <w:hideMark/>
          </w:tcPr>
          <w:p w14:paraId="5C2DBE4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Pro pracovní úrazy</w:t>
            </w:r>
          </w:p>
        </w:tc>
        <w:tc>
          <w:tcPr>
            <w:tcW w:w="1474"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61E912A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podle pohlaví</w:t>
            </w:r>
          </w:p>
        </w:tc>
        <w:tc>
          <w:tcPr>
            <w:tcW w:w="737" w:type="dxa"/>
            <w:vMerge w:val="restart"/>
            <w:tcBorders>
              <w:top w:val="single" w:sz="4" w:space="0" w:color="auto"/>
              <w:left w:val="nil"/>
              <w:right w:val="nil"/>
            </w:tcBorders>
            <w:shd w:val="clear" w:color="000000" w:fill="F2DBDB"/>
            <w:vAlign w:val="center"/>
            <w:hideMark/>
          </w:tcPr>
          <w:p w14:paraId="457CF28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Pro ostatní úrazy</w:t>
            </w:r>
          </w:p>
        </w:tc>
        <w:tc>
          <w:tcPr>
            <w:tcW w:w="1474" w:type="dxa"/>
            <w:gridSpan w:val="2"/>
            <w:tcBorders>
              <w:top w:val="single" w:sz="4" w:space="0" w:color="auto"/>
              <w:left w:val="single" w:sz="4" w:space="0" w:color="auto"/>
              <w:bottom w:val="single" w:sz="4" w:space="0" w:color="auto"/>
            </w:tcBorders>
            <w:shd w:val="clear" w:color="000000" w:fill="F2DBDB"/>
            <w:vAlign w:val="center"/>
            <w:hideMark/>
          </w:tcPr>
          <w:p w14:paraId="6571BDF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podle pohlaví</w:t>
            </w:r>
          </w:p>
        </w:tc>
      </w:tr>
      <w:tr w:rsidR="00537BCC" w:rsidRPr="00D92E20" w14:paraId="617A51DF" w14:textId="77777777" w:rsidTr="00537BCC">
        <w:trPr>
          <w:trHeight w:val="390"/>
        </w:trPr>
        <w:tc>
          <w:tcPr>
            <w:tcW w:w="737" w:type="dxa"/>
            <w:vMerge/>
            <w:tcBorders>
              <w:top w:val="single" w:sz="4" w:space="0" w:color="auto"/>
              <w:left w:val="nil"/>
              <w:bottom w:val="single" w:sz="4" w:space="0" w:color="000000"/>
              <w:right w:val="nil"/>
            </w:tcBorders>
            <w:vAlign w:val="center"/>
            <w:hideMark/>
          </w:tcPr>
          <w:p w14:paraId="6DBA4B82" w14:textId="77777777" w:rsidR="00537BCC" w:rsidRPr="00D92E20" w:rsidRDefault="00537BCC" w:rsidP="00537BCC">
            <w:pPr>
              <w:spacing w:after="0" w:line="240" w:lineRule="auto"/>
              <w:rPr>
                <w:rFonts w:cs="Arial"/>
                <w:color w:val="000000"/>
                <w:sz w:val="16"/>
                <w:szCs w:val="16"/>
              </w:rPr>
            </w:pPr>
          </w:p>
        </w:tc>
        <w:tc>
          <w:tcPr>
            <w:tcW w:w="737" w:type="dxa"/>
            <w:vMerge/>
            <w:tcBorders>
              <w:top w:val="single" w:sz="4" w:space="0" w:color="auto"/>
              <w:left w:val="single" w:sz="4" w:space="0" w:color="auto"/>
              <w:bottom w:val="single" w:sz="4" w:space="0" w:color="000000"/>
              <w:right w:val="nil"/>
            </w:tcBorders>
            <w:vAlign w:val="center"/>
            <w:hideMark/>
          </w:tcPr>
          <w:p w14:paraId="1EEFAB12" w14:textId="77777777" w:rsidR="00537BCC" w:rsidRPr="00D92E20" w:rsidRDefault="00537BCC" w:rsidP="00537BCC">
            <w:pPr>
              <w:spacing w:after="0" w:line="240" w:lineRule="auto"/>
              <w:rPr>
                <w:rFonts w:cs="Arial"/>
                <w:b/>
                <w:bCs/>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6B829A4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0C661766"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000000"/>
              <w:right w:val="nil"/>
            </w:tcBorders>
            <w:vAlign w:val="center"/>
            <w:hideMark/>
          </w:tcPr>
          <w:p w14:paraId="439C6A1D" w14:textId="77777777" w:rsidR="00537BCC" w:rsidRPr="00D92E20" w:rsidRDefault="00537BCC" w:rsidP="00537BCC">
            <w:pPr>
              <w:spacing w:after="0" w:line="240" w:lineRule="auto"/>
              <w:rPr>
                <w:rFonts w:cs="Arial"/>
                <w:color w:val="000000"/>
                <w:sz w:val="16"/>
                <w:szCs w:val="16"/>
              </w:rPr>
            </w:pPr>
          </w:p>
        </w:tc>
        <w:tc>
          <w:tcPr>
            <w:tcW w:w="736" w:type="dxa"/>
            <w:tcBorders>
              <w:top w:val="nil"/>
              <w:left w:val="single" w:sz="4" w:space="0" w:color="auto"/>
              <w:bottom w:val="single" w:sz="4" w:space="0" w:color="auto"/>
              <w:right w:val="single" w:sz="4" w:space="0" w:color="auto"/>
            </w:tcBorders>
            <w:shd w:val="clear" w:color="000000" w:fill="F2DBDB"/>
            <w:vAlign w:val="center"/>
            <w:hideMark/>
          </w:tcPr>
          <w:p w14:paraId="629FAE0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muži</w:t>
            </w:r>
          </w:p>
        </w:tc>
        <w:tc>
          <w:tcPr>
            <w:tcW w:w="736" w:type="dxa"/>
            <w:tcBorders>
              <w:top w:val="nil"/>
              <w:left w:val="nil"/>
              <w:bottom w:val="single" w:sz="4" w:space="0" w:color="auto"/>
              <w:right w:val="single" w:sz="4" w:space="0" w:color="auto"/>
            </w:tcBorders>
            <w:shd w:val="clear" w:color="000000" w:fill="F2DBDB"/>
            <w:vAlign w:val="center"/>
            <w:hideMark/>
          </w:tcPr>
          <w:p w14:paraId="22E3438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ženy</w:t>
            </w:r>
          </w:p>
        </w:tc>
        <w:tc>
          <w:tcPr>
            <w:tcW w:w="754" w:type="dxa"/>
            <w:vMerge/>
            <w:tcBorders>
              <w:left w:val="single" w:sz="4" w:space="0" w:color="auto"/>
              <w:bottom w:val="single" w:sz="4" w:space="0" w:color="000000"/>
              <w:right w:val="nil"/>
            </w:tcBorders>
            <w:vAlign w:val="center"/>
            <w:hideMark/>
          </w:tcPr>
          <w:p w14:paraId="03A2E38C" w14:textId="77777777" w:rsidR="00537BCC" w:rsidRPr="00D92E20" w:rsidRDefault="00537BCC" w:rsidP="00537BCC">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1B00203E"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single" w:sz="4" w:space="0" w:color="auto"/>
            </w:tcBorders>
            <w:shd w:val="clear" w:color="000000" w:fill="F2DBDB"/>
            <w:vAlign w:val="center"/>
            <w:hideMark/>
          </w:tcPr>
          <w:p w14:paraId="6EE1AEB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ženy</w:t>
            </w:r>
          </w:p>
        </w:tc>
        <w:tc>
          <w:tcPr>
            <w:tcW w:w="737" w:type="dxa"/>
            <w:vMerge/>
            <w:tcBorders>
              <w:left w:val="nil"/>
              <w:bottom w:val="single" w:sz="4" w:space="0" w:color="000000"/>
              <w:right w:val="nil"/>
            </w:tcBorders>
            <w:vAlign w:val="center"/>
            <w:hideMark/>
          </w:tcPr>
          <w:p w14:paraId="62F83AD5" w14:textId="77777777" w:rsidR="00537BCC" w:rsidRPr="00D92E20" w:rsidRDefault="00537BCC" w:rsidP="00537BCC">
            <w:pPr>
              <w:spacing w:after="0" w:line="240" w:lineRule="auto"/>
              <w:rPr>
                <w:rFonts w:cs="Arial"/>
                <w:color w:val="000000"/>
                <w:sz w:val="16"/>
                <w:szCs w:val="16"/>
              </w:rPr>
            </w:pPr>
          </w:p>
        </w:tc>
        <w:tc>
          <w:tcPr>
            <w:tcW w:w="737" w:type="dxa"/>
            <w:tcBorders>
              <w:top w:val="nil"/>
              <w:left w:val="single" w:sz="4" w:space="0" w:color="auto"/>
              <w:bottom w:val="single" w:sz="4" w:space="0" w:color="auto"/>
              <w:right w:val="single" w:sz="4" w:space="0" w:color="auto"/>
            </w:tcBorders>
            <w:shd w:val="clear" w:color="000000" w:fill="F2DBDB"/>
            <w:vAlign w:val="center"/>
            <w:hideMark/>
          </w:tcPr>
          <w:p w14:paraId="67F5D89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muži</w:t>
            </w:r>
          </w:p>
        </w:tc>
        <w:tc>
          <w:tcPr>
            <w:tcW w:w="737" w:type="dxa"/>
            <w:tcBorders>
              <w:top w:val="nil"/>
              <w:left w:val="nil"/>
              <w:bottom w:val="single" w:sz="4" w:space="0" w:color="auto"/>
              <w:right w:val="nil"/>
            </w:tcBorders>
            <w:shd w:val="clear" w:color="000000" w:fill="F2DBDB"/>
            <w:vAlign w:val="center"/>
            <w:hideMark/>
          </w:tcPr>
          <w:p w14:paraId="5D820EB0"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ženy</w:t>
            </w:r>
          </w:p>
        </w:tc>
      </w:tr>
      <w:tr w:rsidR="00537BCC" w:rsidRPr="00D92E20" w14:paraId="2DDF13E6" w14:textId="77777777" w:rsidTr="00537BCC">
        <w:trPr>
          <w:trHeight w:val="300"/>
        </w:trPr>
        <w:tc>
          <w:tcPr>
            <w:tcW w:w="737" w:type="dxa"/>
            <w:tcBorders>
              <w:top w:val="nil"/>
              <w:left w:val="nil"/>
              <w:bottom w:val="nil"/>
              <w:right w:val="nil"/>
            </w:tcBorders>
            <w:shd w:val="clear" w:color="auto" w:fill="auto"/>
            <w:vAlign w:val="center"/>
            <w:hideMark/>
          </w:tcPr>
          <w:p w14:paraId="2CA3D35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2010</w:t>
            </w:r>
          </w:p>
        </w:tc>
        <w:tc>
          <w:tcPr>
            <w:tcW w:w="737" w:type="dxa"/>
            <w:tcBorders>
              <w:top w:val="nil"/>
              <w:left w:val="single" w:sz="4" w:space="0" w:color="auto"/>
              <w:bottom w:val="nil"/>
              <w:right w:val="nil"/>
            </w:tcBorders>
            <w:shd w:val="clear" w:color="auto" w:fill="auto"/>
            <w:vAlign w:val="center"/>
            <w:hideMark/>
          </w:tcPr>
          <w:p w14:paraId="23EFB00F"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162,2</w:t>
            </w:r>
          </w:p>
        </w:tc>
        <w:tc>
          <w:tcPr>
            <w:tcW w:w="736" w:type="dxa"/>
            <w:tcBorders>
              <w:top w:val="nil"/>
              <w:left w:val="nil"/>
              <w:bottom w:val="nil"/>
              <w:right w:val="nil"/>
            </w:tcBorders>
            <w:shd w:val="clear" w:color="auto" w:fill="auto"/>
            <w:vAlign w:val="center"/>
            <w:hideMark/>
          </w:tcPr>
          <w:p w14:paraId="3D42082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76,7</w:t>
            </w:r>
          </w:p>
        </w:tc>
        <w:tc>
          <w:tcPr>
            <w:tcW w:w="736" w:type="dxa"/>
            <w:tcBorders>
              <w:top w:val="nil"/>
              <w:left w:val="nil"/>
              <w:bottom w:val="nil"/>
              <w:right w:val="single" w:sz="4" w:space="0" w:color="auto"/>
            </w:tcBorders>
            <w:shd w:val="clear" w:color="auto" w:fill="auto"/>
            <w:vAlign w:val="center"/>
            <w:hideMark/>
          </w:tcPr>
          <w:p w14:paraId="29400F7F"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85,5</w:t>
            </w:r>
          </w:p>
        </w:tc>
        <w:tc>
          <w:tcPr>
            <w:tcW w:w="737" w:type="dxa"/>
            <w:tcBorders>
              <w:top w:val="nil"/>
              <w:left w:val="nil"/>
              <w:bottom w:val="nil"/>
              <w:right w:val="nil"/>
            </w:tcBorders>
            <w:shd w:val="clear" w:color="auto" w:fill="auto"/>
            <w:vAlign w:val="center"/>
            <w:hideMark/>
          </w:tcPr>
          <w:p w14:paraId="199F459E"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141,6</w:t>
            </w:r>
          </w:p>
        </w:tc>
        <w:tc>
          <w:tcPr>
            <w:tcW w:w="736" w:type="dxa"/>
            <w:tcBorders>
              <w:top w:val="nil"/>
              <w:left w:val="nil"/>
              <w:bottom w:val="nil"/>
              <w:right w:val="nil"/>
            </w:tcBorders>
            <w:shd w:val="clear" w:color="auto" w:fill="auto"/>
            <w:vAlign w:val="center"/>
            <w:hideMark/>
          </w:tcPr>
          <w:p w14:paraId="0E3E870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62,7</w:t>
            </w:r>
          </w:p>
        </w:tc>
        <w:tc>
          <w:tcPr>
            <w:tcW w:w="736" w:type="dxa"/>
            <w:tcBorders>
              <w:top w:val="nil"/>
              <w:left w:val="nil"/>
              <w:bottom w:val="nil"/>
              <w:right w:val="nil"/>
            </w:tcBorders>
            <w:shd w:val="clear" w:color="auto" w:fill="auto"/>
            <w:vAlign w:val="center"/>
            <w:hideMark/>
          </w:tcPr>
          <w:p w14:paraId="0FCE0B9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78,9</w:t>
            </w:r>
          </w:p>
        </w:tc>
        <w:tc>
          <w:tcPr>
            <w:tcW w:w="754" w:type="dxa"/>
            <w:tcBorders>
              <w:top w:val="nil"/>
              <w:left w:val="single" w:sz="4" w:space="0" w:color="auto"/>
              <w:bottom w:val="nil"/>
              <w:right w:val="nil"/>
            </w:tcBorders>
            <w:shd w:val="clear" w:color="auto" w:fill="auto"/>
            <w:vAlign w:val="center"/>
            <w:hideMark/>
          </w:tcPr>
          <w:p w14:paraId="6E9EFAE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7,4</w:t>
            </w:r>
          </w:p>
        </w:tc>
        <w:tc>
          <w:tcPr>
            <w:tcW w:w="737" w:type="dxa"/>
            <w:tcBorders>
              <w:top w:val="nil"/>
              <w:left w:val="nil"/>
              <w:bottom w:val="nil"/>
              <w:right w:val="nil"/>
            </w:tcBorders>
            <w:shd w:val="clear" w:color="auto" w:fill="auto"/>
            <w:vAlign w:val="center"/>
            <w:hideMark/>
          </w:tcPr>
          <w:p w14:paraId="640CCE2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5,3</w:t>
            </w:r>
          </w:p>
        </w:tc>
        <w:tc>
          <w:tcPr>
            <w:tcW w:w="737" w:type="dxa"/>
            <w:tcBorders>
              <w:top w:val="nil"/>
              <w:left w:val="nil"/>
              <w:bottom w:val="nil"/>
              <w:right w:val="single" w:sz="4" w:space="0" w:color="auto"/>
            </w:tcBorders>
            <w:shd w:val="clear" w:color="auto" w:fill="auto"/>
            <w:vAlign w:val="center"/>
            <w:hideMark/>
          </w:tcPr>
          <w:p w14:paraId="5A4DA4C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2,1</w:t>
            </w:r>
          </w:p>
        </w:tc>
        <w:tc>
          <w:tcPr>
            <w:tcW w:w="737" w:type="dxa"/>
            <w:tcBorders>
              <w:top w:val="nil"/>
              <w:left w:val="nil"/>
              <w:bottom w:val="nil"/>
              <w:right w:val="nil"/>
            </w:tcBorders>
            <w:shd w:val="clear" w:color="auto" w:fill="auto"/>
            <w:vAlign w:val="center"/>
            <w:hideMark/>
          </w:tcPr>
          <w:p w14:paraId="6FB754B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13,2</w:t>
            </w:r>
          </w:p>
        </w:tc>
        <w:tc>
          <w:tcPr>
            <w:tcW w:w="737" w:type="dxa"/>
            <w:tcBorders>
              <w:top w:val="nil"/>
              <w:left w:val="nil"/>
              <w:bottom w:val="nil"/>
              <w:right w:val="nil"/>
            </w:tcBorders>
            <w:shd w:val="clear" w:color="auto" w:fill="auto"/>
            <w:vAlign w:val="center"/>
            <w:hideMark/>
          </w:tcPr>
          <w:p w14:paraId="673AA67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8,7</w:t>
            </w:r>
          </w:p>
        </w:tc>
        <w:tc>
          <w:tcPr>
            <w:tcW w:w="737" w:type="dxa"/>
            <w:tcBorders>
              <w:top w:val="nil"/>
              <w:left w:val="nil"/>
              <w:bottom w:val="nil"/>
              <w:right w:val="nil"/>
            </w:tcBorders>
            <w:shd w:val="clear" w:color="auto" w:fill="auto"/>
            <w:vAlign w:val="center"/>
            <w:hideMark/>
          </w:tcPr>
          <w:p w14:paraId="5010C19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4,5</w:t>
            </w:r>
          </w:p>
        </w:tc>
      </w:tr>
      <w:tr w:rsidR="00537BCC" w:rsidRPr="00D92E20" w14:paraId="3A13D752" w14:textId="77777777" w:rsidTr="00537BCC">
        <w:trPr>
          <w:trHeight w:val="300"/>
        </w:trPr>
        <w:tc>
          <w:tcPr>
            <w:tcW w:w="737" w:type="dxa"/>
            <w:tcBorders>
              <w:top w:val="nil"/>
              <w:left w:val="nil"/>
              <w:bottom w:val="nil"/>
              <w:right w:val="nil"/>
            </w:tcBorders>
            <w:shd w:val="clear" w:color="auto" w:fill="auto"/>
            <w:vAlign w:val="center"/>
            <w:hideMark/>
          </w:tcPr>
          <w:p w14:paraId="620B1CD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2011</w:t>
            </w:r>
          </w:p>
        </w:tc>
        <w:tc>
          <w:tcPr>
            <w:tcW w:w="737" w:type="dxa"/>
            <w:tcBorders>
              <w:top w:val="nil"/>
              <w:left w:val="single" w:sz="4" w:space="0" w:color="auto"/>
              <w:bottom w:val="nil"/>
              <w:right w:val="nil"/>
            </w:tcBorders>
            <w:shd w:val="clear" w:color="auto" w:fill="auto"/>
            <w:vAlign w:val="center"/>
            <w:hideMark/>
          </w:tcPr>
          <w:p w14:paraId="5F5D7BF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153,2</w:t>
            </w:r>
          </w:p>
        </w:tc>
        <w:tc>
          <w:tcPr>
            <w:tcW w:w="736" w:type="dxa"/>
            <w:tcBorders>
              <w:top w:val="nil"/>
              <w:left w:val="nil"/>
              <w:bottom w:val="nil"/>
              <w:right w:val="nil"/>
            </w:tcBorders>
            <w:shd w:val="clear" w:color="auto" w:fill="auto"/>
            <w:vAlign w:val="center"/>
            <w:hideMark/>
          </w:tcPr>
          <w:p w14:paraId="20692D6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71,2</w:t>
            </w:r>
          </w:p>
        </w:tc>
        <w:tc>
          <w:tcPr>
            <w:tcW w:w="736" w:type="dxa"/>
            <w:tcBorders>
              <w:top w:val="nil"/>
              <w:left w:val="nil"/>
              <w:bottom w:val="nil"/>
              <w:right w:val="single" w:sz="4" w:space="0" w:color="auto"/>
            </w:tcBorders>
            <w:shd w:val="clear" w:color="auto" w:fill="auto"/>
            <w:vAlign w:val="center"/>
            <w:hideMark/>
          </w:tcPr>
          <w:p w14:paraId="7DFFF2F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82,0</w:t>
            </w:r>
          </w:p>
        </w:tc>
        <w:tc>
          <w:tcPr>
            <w:tcW w:w="737" w:type="dxa"/>
            <w:tcBorders>
              <w:top w:val="nil"/>
              <w:left w:val="nil"/>
              <w:bottom w:val="nil"/>
              <w:right w:val="nil"/>
            </w:tcBorders>
            <w:shd w:val="clear" w:color="auto" w:fill="auto"/>
            <w:vAlign w:val="center"/>
            <w:hideMark/>
          </w:tcPr>
          <w:p w14:paraId="5F18645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133,6</w:t>
            </w:r>
          </w:p>
        </w:tc>
        <w:tc>
          <w:tcPr>
            <w:tcW w:w="736" w:type="dxa"/>
            <w:tcBorders>
              <w:top w:val="nil"/>
              <w:left w:val="nil"/>
              <w:bottom w:val="nil"/>
              <w:right w:val="nil"/>
            </w:tcBorders>
            <w:shd w:val="clear" w:color="auto" w:fill="auto"/>
            <w:vAlign w:val="center"/>
            <w:hideMark/>
          </w:tcPr>
          <w:p w14:paraId="45CF290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57,9</w:t>
            </w:r>
          </w:p>
        </w:tc>
        <w:tc>
          <w:tcPr>
            <w:tcW w:w="736" w:type="dxa"/>
            <w:tcBorders>
              <w:top w:val="nil"/>
              <w:left w:val="nil"/>
              <w:bottom w:val="nil"/>
              <w:right w:val="nil"/>
            </w:tcBorders>
            <w:shd w:val="clear" w:color="auto" w:fill="auto"/>
            <w:vAlign w:val="center"/>
            <w:hideMark/>
          </w:tcPr>
          <w:p w14:paraId="3765412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75,7</w:t>
            </w:r>
          </w:p>
        </w:tc>
        <w:tc>
          <w:tcPr>
            <w:tcW w:w="754" w:type="dxa"/>
            <w:tcBorders>
              <w:top w:val="nil"/>
              <w:left w:val="single" w:sz="4" w:space="0" w:color="auto"/>
              <w:bottom w:val="nil"/>
              <w:right w:val="nil"/>
            </w:tcBorders>
            <w:shd w:val="clear" w:color="auto" w:fill="auto"/>
            <w:vAlign w:val="center"/>
            <w:hideMark/>
          </w:tcPr>
          <w:p w14:paraId="4280CEE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628D6E8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5,1</w:t>
            </w:r>
          </w:p>
        </w:tc>
        <w:tc>
          <w:tcPr>
            <w:tcW w:w="737" w:type="dxa"/>
            <w:tcBorders>
              <w:top w:val="nil"/>
              <w:left w:val="nil"/>
              <w:bottom w:val="nil"/>
              <w:right w:val="single" w:sz="4" w:space="0" w:color="auto"/>
            </w:tcBorders>
            <w:shd w:val="clear" w:color="auto" w:fill="auto"/>
            <w:vAlign w:val="center"/>
            <w:hideMark/>
          </w:tcPr>
          <w:p w14:paraId="66D6BE6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57539BE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3D91045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8,2</w:t>
            </w:r>
          </w:p>
        </w:tc>
        <w:tc>
          <w:tcPr>
            <w:tcW w:w="737" w:type="dxa"/>
            <w:tcBorders>
              <w:top w:val="nil"/>
              <w:left w:val="nil"/>
              <w:bottom w:val="nil"/>
              <w:right w:val="nil"/>
            </w:tcBorders>
            <w:shd w:val="clear" w:color="auto" w:fill="auto"/>
            <w:vAlign w:val="center"/>
            <w:hideMark/>
          </w:tcPr>
          <w:p w14:paraId="7F60A7D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4,3</w:t>
            </w:r>
          </w:p>
        </w:tc>
      </w:tr>
      <w:tr w:rsidR="00537BCC" w:rsidRPr="00D92E20" w14:paraId="7A7056E1" w14:textId="77777777" w:rsidTr="00537BCC">
        <w:trPr>
          <w:trHeight w:val="300"/>
        </w:trPr>
        <w:tc>
          <w:tcPr>
            <w:tcW w:w="737" w:type="dxa"/>
            <w:tcBorders>
              <w:top w:val="nil"/>
              <w:left w:val="nil"/>
              <w:bottom w:val="nil"/>
              <w:right w:val="nil"/>
            </w:tcBorders>
            <w:shd w:val="clear" w:color="auto" w:fill="auto"/>
            <w:vAlign w:val="center"/>
            <w:hideMark/>
          </w:tcPr>
          <w:p w14:paraId="2638342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2012</w:t>
            </w:r>
          </w:p>
        </w:tc>
        <w:tc>
          <w:tcPr>
            <w:tcW w:w="737" w:type="dxa"/>
            <w:tcBorders>
              <w:top w:val="nil"/>
              <w:left w:val="single" w:sz="4" w:space="0" w:color="auto"/>
              <w:bottom w:val="nil"/>
              <w:right w:val="nil"/>
            </w:tcBorders>
            <w:shd w:val="clear" w:color="auto" w:fill="auto"/>
            <w:vAlign w:val="center"/>
            <w:hideMark/>
          </w:tcPr>
          <w:p w14:paraId="55350A4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154,4</w:t>
            </w:r>
          </w:p>
        </w:tc>
        <w:tc>
          <w:tcPr>
            <w:tcW w:w="736" w:type="dxa"/>
            <w:tcBorders>
              <w:top w:val="nil"/>
              <w:left w:val="nil"/>
              <w:bottom w:val="nil"/>
              <w:right w:val="nil"/>
            </w:tcBorders>
            <w:shd w:val="clear" w:color="auto" w:fill="auto"/>
            <w:vAlign w:val="center"/>
            <w:hideMark/>
          </w:tcPr>
          <w:p w14:paraId="6ED7AD9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71,6</w:t>
            </w:r>
          </w:p>
        </w:tc>
        <w:tc>
          <w:tcPr>
            <w:tcW w:w="736" w:type="dxa"/>
            <w:tcBorders>
              <w:top w:val="nil"/>
              <w:left w:val="nil"/>
              <w:bottom w:val="nil"/>
              <w:right w:val="single" w:sz="4" w:space="0" w:color="auto"/>
            </w:tcBorders>
            <w:shd w:val="clear" w:color="auto" w:fill="auto"/>
            <w:vAlign w:val="center"/>
            <w:hideMark/>
          </w:tcPr>
          <w:p w14:paraId="632B605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82,8</w:t>
            </w:r>
          </w:p>
        </w:tc>
        <w:tc>
          <w:tcPr>
            <w:tcW w:w="737" w:type="dxa"/>
            <w:tcBorders>
              <w:top w:val="nil"/>
              <w:left w:val="nil"/>
              <w:bottom w:val="nil"/>
              <w:right w:val="nil"/>
            </w:tcBorders>
            <w:shd w:val="clear" w:color="auto" w:fill="auto"/>
            <w:vAlign w:val="center"/>
            <w:hideMark/>
          </w:tcPr>
          <w:p w14:paraId="121C6F7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130,3</w:t>
            </w:r>
          </w:p>
        </w:tc>
        <w:tc>
          <w:tcPr>
            <w:tcW w:w="736" w:type="dxa"/>
            <w:tcBorders>
              <w:top w:val="nil"/>
              <w:left w:val="nil"/>
              <w:bottom w:val="nil"/>
              <w:right w:val="nil"/>
            </w:tcBorders>
            <w:shd w:val="clear" w:color="auto" w:fill="auto"/>
            <w:vAlign w:val="center"/>
            <w:hideMark/>
          </w:tcPr>
          <w:p w14:paraId="67ED952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55,6</w:t>
            </w:r>
          </w:p>
        </w:tc>
        <w:tc>
          <w:tcPr>
            <w:tcW w:w="736" w:type="dxa"/>
            <w:tcBorders>
              <w:top w:val="nil"/>
              <w:left w:val="nil"/>
              <w:bottom w:val="nil"/>
              <w:right w:val="nil"/>
            </w:tcBorders>
            <w:shd w:val="clear" w:color="auto" w:fill="auto"/>
            <w:vAlign w:val="center"/>
            <w:hideMark/>
          </w:tcPr>
          <w:p w14:paraId="207FE05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74,7</w:t>
            </w:r>
          </w:p>
        </w:tc>
        <w:tc>
          <w:tcPr>
            <w:tcW w:w="754" w:type="dxa"/>
            <w:tcBorders>
              <w:top w:val="nil"/>
              <w:left w:val="single" w:sz="4" w:space="0" w:color="auto"/>
              <w:bottom w:val="nil"/>
              <w:right w:val="nil"/>
            </w:tcBorders>
            <w:shd w:val="clear" w:color="auto" w:fill="auto"/>
            <w:vAlign w:val="center"/>
            <w:hideMark/>
          </w:tcPr>
          <w:p w14:paraId="64CE6E60"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6,6</w:t>
            </w:r>
          </w:p>
        </w:tc>
        <w:tc>
          <w:tcPr>
            <w:tcW w:w="737" w:type="dxa"/>
            <w:tcBorders>
              <w:top w:val="nil"/>
              <w:left w:val="nil"/>
              <w:bottom w:val="nil"/>
              <w:right w:val="nil"/>
            </w:tcBorders>
            <w:shd w:val="clear" w:color="auto" w:fill="auto"/>
            <w:vAlign w:val="center"/>
            <w:hideMark/>
          </w:tcPr>
          <w:p w14:paraId="5E6D53F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233BAEB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43AB210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17,5</w:t>
            </w:r>
          </w:p>
        </w:tc>
        <w:tc>
          <w:tcPr>
            <w:tcW w:w="737" w:type="dxa"/>
            <w:tcBorders>
              <w:top w:val="nil"/>
              <w:left w:val="nil"/>
              <w:bottom w:val="nil"/>
              <w:right w:val="nil"/>
            </w:tcBorders>
            <w:shd w:val="clear" w:color="auto" w:fill="auto"/>
            <w:vAlign w:val="center"/>
            <w:hideMark/>
          </w:tcPr>
          <w:p w14:paraId="171E4B3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11,3</w:t>
            </w:r>
          </w:p>
        </w:tc>
        <w:tc>
          <w:tcPr>
            <w:tcW w:w="737" w:type="dxa"/>
            <w:tcBorders>
              <w:top w:val="nil"/>
              <w:left w:val="nil"/>
              <w:bottom w:val="nil"/>
              <w:right w:val="nil"/>
            </w:tcBorders>
            <w:shd w:val="clear" w:color="auto" w:fill="auto"/>
            <w:vAlign w:val="center"/>
            <w:hideMark/>
          </w:tcPr>
          <w:p w14:paraId="0037DEF0"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6,2</w:t>
            </w:r>
          </w:p>
        </w:tc>
      </w:tr>
      <w:tr w:rsidR="00537BCC" w:rsidRPr="00D92E20" w14:paraId="3B69318A" w14:textId="77777777" w:rsidTr="00537BCC">
        <w:trPr>
          <w:trHeight w:val="300"/>
        </w:trPr>
        <w:tc>
          <w:tcPr>
            <w:tcW w:w="737" w:type="dxa"/>
            <w:tcBorders>
              <w:top w:val="nil"/>
              <w:left w:val="nil"/>
              <w:bottom w:val="nil"/>
              <w:right w:val="nil"/>
            </w:tcBorders>
            <w:shd w:val="clear" w:color="auto" w:fill="auto"/>
            <w:vAlign w:val="center"/>
            <w:hideMark/>
          </w:tcPr>
          <w:p w14:paraId="42C1F0B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2013</w:t>
            </w:r>
          </w:p>
        </w:tc>
        <w:tc>
          <w:tcPr>
            <w:tcW w:w="737" w:type="dxa"/>
            <w:tcBorders>
              <w:top w:val="nil"/>
              <w:left w:val="single" w:sz="4" w:space="0" w:color="auto"/>
              <w:bottom w:val="nil"/>
              <w:right w:val="nil"/>
            </w:tcBorders>
            <w:shd w:val="clear" w:color="auto" w:fill="auto"/>
            <w:vAlign w:val="center"/>
            <w:hideMark/>
          </w:tcPr>
          <w:p w14:paraId="253BC7B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160,5</w:t>
            </w:r>
          </w:p>
        </w:tc>
        <w:tc>
          <w:tcPr>
            <w:tcW w:w="736" w:type="dxa"/>
            <w:tcBorders>
              <w:top w:val="nil"/>
              <w:left w:val="nil"/>
              <w:bottom w:val="nil"/>
              <w:right w:val="nil"/>
            </w:tcBorders>
            <w:shd w:val="clear" w:color="auto" w:fill="auto"/>
            <w:vAlign w:val="center"/>
            <w:hideMark/>
          </w:tcPr>
          <w:p w14:paraId="016A66C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74,0</w:t>
            </w:r>
          </w:p>
        </w:tc>
        <w:tc>
          <w:tcPr>
            <w:tcW w:w="736" w:type="dxa"/>
            <w:tcBorders>
              <w:top w:val="nil"/>
              <w:left w:val="nil"/>
              <w:bottom w:val="nil"/>
              <w:right w:val="single" w:sz="4" w:space="0" w:color="auto"/>
            </w:tcBorders>
            <w:shd w:val="clear" w:color="auto" w:fill="auto"/>
            <w:vAlign w:val="center"/>
            <w:hideMark/>
          </w:tcPr>
          <w:p w14:paraId="69F6380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86,5</w:t>
            </w:r>
          </w:p>
        </w:tc>
        <w:tc>
          <w:tcPr>
            <w:tcW w:w="737" w:type="dxa"/>
            <w:tcBorders>
              <w:top w:val="nil"/>
              <w:left w:val="nil"/>
              <w:bottom w:val="nil"/>
              <w:right w:val="nil"/>
            </w:tcBorders>
            <w:shd w:val="clear" w:color="auto" w:fill="auto"/>
            <w:vAlign w:val="center"/>
            <w:hideMark/>
          </w:tcPr>
          <w:p w14:paraId="25CFA2C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135,9</w:t>
            </w:r>
          </w:p>
        </w:tc>
        <w:tc>
          <w:tcPr>
            <w:tcW w:w="736" w:type="dxa"/>
            <w:tcBorders>
              <w:top w:val="nil"/>
              <w:left w:val="nil"/>
              <w:bottom w:val="nil"/>
              <w:right w:val="nil"/>
            </w:tcBorders>
            <w:shd w:val="clear" w:color="auto" w:fill="auto"/>
            <w:vAlign w:val="center"/>
            <w:hideMark/>
          </w:tcPr>
          <w:p w14:paraId="29A3BF5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58,0</w:t>
            </w:r>
          </w:p>
        </w:tc>
        <w:tc>
          <w:tcPr>
            <w:tcW w:w="736" w:type="dxa"/>
            <w:tcBorders>
              <w:top w:val="nil"/>
              <w:left w:val="nil"/>
              <w:bottom w:val="nil"/>
              <w:right w:val="nil"/>
            </w:tcBorders>
            <w:shd w:val="clear" w:color="auto" w:fill="auto"/>
            <w:vAlign w:val="center"/>
            <w:hideMark/>
          </w:tcPr>
          <w:p w14:paraId="09F08F2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77,9</w:t>
            </w:r>
          </w:p>
        </w:tc>
        <w:tc>
          <w:tcPr>
            <w:tcW w:w="754" w:type="dxa"/>
            <w:tcBorders>
              <w:top w:val="nil"/>
              <w:left w:val="single" w:sz="4" w:space="0" w:color="auto"/>
              <w:bottom w:val="nil"/>
              <w:right w:val="nil"/>
            </w:tcBorders>
            <w:shd w:val="clear" w:color="auto" w:fill="auto"/>
            <w:vAlign w:val="center"/>
            <w:hideMark/>
          </w:tcPr>
          <w:p w14:paraId="6CAF97A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6,5</w:t>
            </w:r>
          </w:p>
        </w:tc>
        <w:tc>
          <w:tcPr>
            <w:tcW w:w="737" w:type="dxa"/>
            <w:tcBorders>
              <w:top w:val="nil"/>
              <w:left w:val="nil"/>
              <w:bottom w:val="nil"/>
              <w:right w:val="nil"/>
            </w:tcBorders>
            <w:shd w:val="clear" w:color="auto" w:fill="auto"/>
            <w:vAlign w:val="center"/>
            <w:hideMark/>
          </w:tcPr>
          <w:p w14:paraId="2759405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4,6</w:t>
            </w:r>
          </w:p>
        </w:tc>
        <w:tc>
          <w:tcPr>
            <w:tcW w:w="737" w:type="dxa"/>
            <w:tcBorders>
              <w:top w:val="nil"/>
              <w:left w:val="nil"/>
              <w:bottom w:val="nil"/>
              <w:right w:val="single" w:sz="4" w:space="0" w:color="auto"/>
            </w:tcBorders>
            <w:shd w:val="clear" w:color="auto" w:fill="auto"/>
            <w:vAlign w:val="center"/>
            <w:hideMark/>
          </w:tcPr>
          <w:p w14:paraId="26059096"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1,9</w:t>
            </w:r>
          </w:p>
        </w:tc>
        <w:tc>
          <w:tcPr>
            <w:tcW w:w="737" w:type="dxa"/>
            <w:tcBorders>
              <w:top w:val="nil"/>
              <w:left w:val="nil"/>
              <w:bottom w:val="nil"/>
              <w:right w:val="nil"/>
            </w:tcBorders>
            <w:shd w:val="clear" w:color="auto" w:fill="auto"/>
            <w:vAlign w:val="center"/>
            <w:hideMark/>
          </w:tcPr>
          <w:p w14:paraId="3E889B9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18,1</w:t>
            </w:r>
          </w:p>
        </w:tc>
        <w:tc>
          <w:tcPr>
            <w:tcW w:w="737" w:type="dxa"/>
            <w:tcBorders>
              <w:top w:val="nil"/>
              <w:left w:val="nil"/>
              <w:bottom w:val="nil"/>
              <w:right w:val="nil"/>
            </w:tcBorders>
            <w:shd w:val="clear" w:color="auto" w:fill="auto"/>
            <w:vAlign w:val="center"/>
            <w:hideMark/>
          </w:tcPr>
          <w:p w14:paraId="19C4D1AF"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11,4</w:t>
            </w:r>
          </w:p>
        </w:tc>
        <w:tc>
          <w:tcPr>
            <w:tcW w:w="737" w:type="dxa"/>
            <w:tcBorders>
              <w:top w:val="nil"/>
              <w:left w:val="nil"/>
              <w:bottom w:val="nil"/>
              <w:right w:val="nil"/>
            </w:tcBorders>
            <w:shd w:val="clear" w:color="auto" w:fill="auto"/>
            <w:vAlign w:val="center"/>
            <w:hideMark/>
          </w:tcPr>
          <w:p w14:paraId="2EACEF6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6,7</w:t>
            </w:r>
          </w:p>
        </w:tc>
      </w:tr>
      <w:tr w:rsidR="00537BCC" w:rsidRPr="00D92E20" w14:paraId="3744EB5F" w14:textId="77777777" w:rsidTr="00537BCC">
        <w:trPr>
          <w:trHeight w:val="300"/>
        </w:trPr>
        <w:tc>
          <w:tcPr>
            <w:tcW w:w="737" w:type="dxa"/>
            <w:tcBorders>
              <w:top w:val="nil"/>
              <w:left w:val="nil"/>
              <w:bottom w:val="nil"/>
              <w:right w:val="nil"/>
            </w:tcBorders>
            <w:shd w:val="clear" w:color="auto" w:fill="auto"/>
            <w:vAlign w:val="center"/>
            <w:hideMark/>
          </w:tcPr>
          <w:p w14:paraId="4D9E3CE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2014</w:t>
            </w:r>
          </w:p>
        </w:tc>
        <w:tc>
          <w:tcPr>
            <w:tcW w:w="737" w:type="dxa"/>
            <w:tcBorders>
              <w:top w:val="nil"/>
              <w:left w:val="single" w:sz="4" w:space="0" w:color="auto"/>
              <w:bottom w:val="nil"/>
              <w:right w:val="nil"/>
            </w:tcBorders>
            <w:shd w:val="clear" w:color="auto" w:fill="auto"/>
            <w:vAlign w:val="center"/>
            <w:hideMark/>
          </w:tcPr>
          <w:p w14:paraId="4A93EFA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165,0</w:t>
            </w:r>
          </w:p>
        </w:tc>
        <w:tc>
          <w:tcPr>
            <w:tcW w:w="736" w:type="dxa"/>
            <w:tcBorders>
              <w:top w:val="nil"/>
              <w:left w:val="nil"/>
              <w:bottom w:val="nil"/>
              <w:right w:val="nil"/>
            </w:tcBorders>
            <w:shd w:val="clear" w:color="auto" w:fill="auto"/>
            <w:vAlign w:val="center"/>
            <w:hideMark/>
          </w:tcPr>
          <w:p w14:paraId="285D527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75,1</w:t>
            </w:r>
          </w:p>
        </w:tc>
        <w:tc>
          <w:tcPr>
            <w:tcW w:w="736" w:type="dxa"/>
            <w:tcBorders>
              <w:top w:val="nil"/>
              <w:left w:val="nil"/>
              <w:bottom w:val="nil"/>
              <w:right w:val="single" w:sz="4" w:space="0" w:color="auto"/>
            </w:tcBorders>
            <w:shd w:val="clear" w:color="auto" w:fill="auto"/>
            <w:vAlign w:val="center"/>
            <w:hideMark/>
          </w:tcPr>
          <w:p w14:paraId="1F31DB6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89,9</w:t>
            </w:r>
          </w:p>
        </w:tc>
        <w:tc>
          <w:tcPr>
            <w:tcW w:w="737" w:type="dxa"/>
            <w:tcBorders>
              <w:top w:val="nil"/>
              <w:left w:val="nil"/>
              <w:bottom w:val="nil"/>
              <w:right w:val="nil"/>
            </w:tcBorders>
            <w:shd w:val="clear" w:color="auto" w:fill="auto"/>
            <w:vAlign w:val="center"/>
            <w:hideMark/>
          </w:tcPr>
          <w:p w14:paraId="56B9CF8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139,9</w:t>
            </w:r>
          </w:p>
        </w:tc>
        <w:tc>
          <w:tcPr>
            <w:tcW w:w="736" w:type="dxa"/>
            <w:tcBorders>
              <w:top w:val="nil"/>
              <w:left w:val="nil"/>
              <w:bottom w:val="nil"/>
              <w:right w:val="nil"/>
            </w:tcBorders>
            <w:shd w:val="clear" w:color="auto" w:fill="auto"/>
            <w:vAlign w:val="center"/>
            <w:hideMark/>
          </w:tcPr>
          <w:p w14:paraId="315B968F"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58,7</w:t>
            </w:r>
          </w:p>
        </w:tc>
        <w:tc>
          <w:tcPr>
            <w:tcW w:w="736" w:type="dxa"/>
            <w:tcBorders>
              <w:top w:val="nil"/>
              <w:left w:val="nil"/>
              <w:bottom w:val="nil"/>
              <w:right w:val="nil"/>
            </w:tcBorders>
            <w:shd w:val="clear" w:color="auto" w:fill="auto"/>
            <w:vAlign w:val="center"/>
            <w:hideMark/>
          </w:tcPr>
          <w:p w14:paraId="21ABB2F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81,2</w:t>
            </w:r>
          </w:p>
        </w:tc>
        <w:tc>
          <w:tcPr>
            <w:tcW w:w="754" w:type="dxa"/>
            <w:tcBorders>
              <w:top w:val="nil"/>
              <w:left w:val="single" w:sz="4" w:space="0" w:color="auto"/>
              <w:bottom w:val="nil"/>
              <w:right w:val="nil"/>
            </w:tcBorders>
            <w:shd w:val="clear" w:color="auto" w:fill="auto"/>
            <w:vAlign w:val="center"/>
            <w:hideMark/>
          </w:tcPr>
          <w:p w14:paraId="52FE288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6,7</w:t>
            </w:r>
          </w:p>
        </w:tc>
        <w:tc>
          <w:tcPr>
            <w:tcW w:w="737" w:type="dxa"/>
            <w:tcBorders>
              <w:top w:val="nil"/>
              <w:left w:val="nil"/>
              <w:bottom w:val="nil"/>
              <w:right w:val="nil"/>
            </w:tcBorders>
            <w:shd w:val="clear" w:color="auto" w:fill="auto"/>
            <w:vAlign w:val="center"/>
            <w:hideMark/>
          </w:tcPr>
          <w:p w14:paraId="7B6527E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72B945A6"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w:t>
            </w:r>
          </w:p>
        </w:tc>
        <w:tc>
          <w:tcPr>
            <w:tcW w:w="737" w:type="dxa"/>
            <w:tcBorders>
              <w:top w:val="nil"/>
              <w:left w:val="nil"/>
              <w:bottom w:val="nil"/>
              <w:right w:val="nil"/>
            </w:tcBorders>
            <w:shd w:val="clear" w:color="auto" w:fill="auto"/>
            <w:vAlign w:val="center"/>
            <w:hideMark/>
          </w:tcPr>
          <w:p w14:paraId="48B1E51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18,4</w:t>
            </w:r>
          </w:p>
        </w:tc>
        <w:tc>
          <w:tcPr>
            <w:tcW w:w="737" w:type="dxa"/>
            <w:tcBorders>
              <w:top w:val="nil"/>
              <w:left w:val="nil"/>
              <w:bottom w:val="nil"/>
              <w:right w:val="nil"/>
            </w:tcBorders>
            <w:shd w:val="clear" w:color="auto" w:fill="auto"/>
            <w:vAlign w:val="center"/>
            <w:hideMark/>
          </w:tcPr>
          <w:p w14:paraId="6BADAF70"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11,7</w:t>
            </w:r>
          </w:p>
        </w:tc>
        <w:tc>
          <w:tcPr>
            <w:tcW w:w="737" w:type="dxa"/>
            <w:tcBorders>
              <w:top w:val="nil"/>
              <w:left w:val="nil"/>
              <w:bottom w:val="nil"/>
              <w:right w:val="nil"/>
            </w:tcBorders>
            <w:shd w:val="clear" w:color="auto" w:fill="auto"/>
            <w:vAlign w:val="center"/>
            <w:hideMark/>
          </w:tcPr>
          <w:p w14:paraId="01305BF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6,7</w:t>
            </w:r>
          </w:p>
        </w:tc>
      </w:tr>
      <w:tr w:rsidR="00537BCC" w:rsidRPr="00D92E20" w14:paraId="3BDD3B51" w14:textId="77777777" w:rsidTr="00537BCC">
        <w:trPr>
          <w:trHeight w:val="300"/>
        </w:trPr>
        <w:tc>
          <w:tcPr>
            <w:tcW w:w="737" w:type="dxa"/>
            <w:tcBorders>
              <w:top w:val="nil"/>
              <w:left w:val="nil"/>
              <w:bottom w:val="nil"/>
              <w:right w:val="nil"/>
            </w:tcBorders>
            <w:shd w:val="clear" w:color="auto" w:fill="auto"/>
            <w:vAlign w:val="center"/>
            <w:hideMark/>
          </w:tcPr>
          <w:p w14:paraId="6A0670C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2015</w:t>
            </w:r>
          </w:p>
        </w:tc>
        <w:tc>
          <w:tcPr>
            <w:tcW w:w="737" w:type="dxa"/>
            <w:tcBorders>
              <w:top w:val="nil"/>
              <w:left w:val="single" w:sz="4" w:space="0" w:color="auto"/>
              <w:bottom w:val="nil"/>
              <w:right w:val="nil"/>
            </w:tcBorders>
            <w:shd w:val="clear" w:color="auto" w:fill="auto"/>
            <w:vAlign w:val="center"/>
            <w:hideMark/>
          </w:tcPr>
          <w:p w14:paraId="142182B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183,1</w:t>
            </w:r>
          </w:p>
        </w:tc>
        <w:tc>
          <w:tcPr>
            <w:tcW w:w="736" w:type="dxa"/>
            <w:tcBorders>
              <w:top w:val="nil"/>
              <w:left w:val="nil"/>
              <w:bottom w:val="nil"/>
              <w:right w:val="nil"/>
            </w:tcBorders>
            <w:shd w:val="clear" w:color="auto" w:fill="auto"/>
            <w:vAlign w:val="center"/>
            <w:hideMark/>
          </w:tcPr>
          <w:p w14:paraId="64A0B36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83,5</w:t>
            </w:r>
          </w:p>
        </w:tc>
        <w:tc>
          <w:tcPr>
            <w:tcW w:w="736" w:type="dxa"/>
            <w:tcBorders>
              <w:top w:val="nil"/>
              <w:left w:val="nil"/>
              <w:bottom w:val="nil"/>
              <w:right w:val="single" w:sz="4" w:space="0" w:color="auto"/>
            </w:tcBorders>
            <w:shd w:val="clear" w:color="auto" w:fill="auto"/>
            <w:vAlign w:val="center"/>
            <w:hideMark/>
          </w:tcPr>
          <w:p w14:paraId="0410034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99,6</w:t>
            </w:r>
          </w:p>
        </w:tc>
        <w:tc>
          <w:tcPr>
            <w:tcW w:w="737" w:type="dxa"/>
            <w:tcBorders>
              <w:top w:val="nil"/>
              <w:left w:val="nil"/>
              <w:bottom w:val="nil"/>
              <w:right w:val="nil"/>
            </w:tcBorders>
            <w:shd w:val="clear" w:color="auto" w:fill="auto"/>
            <w:vAlign w:val="center"/>
            <w:hideMark/>
          </w:tcPr>
          <w:p w14:paraId="7559F0B0"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156,2</w:t>
            </w:r>
          </w:p>
        </w:tc>
        <w:tc>
          <w:tcPr>
            <w:tcW w:w="736" w:type="dxa"/>
            <w:tcBorders>
              <w:top w:val="nil"/>
              <w:left w:val="nil"/>
              <w:bottom w:val="nil"/>
              <w:right w:val="nil"/>
            </w:tcBorders>
            <w:shd w:val="clear" w:color="auto" w:fill="auto"/>
            <w:vAlign w:val="center"/>
            <w:hideMark/>
          </w:tcPr>
          <w:p w14:paraId="1673777E"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66,2</w:t>
            </w:r>
          </w:p>
        </w:tc>
        <w:tc>
          <w:tcPr>
            <w:tcW w:w="736" w:type="dxa"/>
            <w:tcBorders>
              <w:top w:val="nil"/>
              <w:left w:val="nil"/>
              <w:bottom w:val="nil"/>
              <w:right w:val="nil"/>
            </w:tcBorders>
            <w:shd w:val="clear" w:color="auto" w:fill="auto"/>
            <w:vAlign w:val="center"/>
            <w:hideMark/>
          </w:tcPr>
          <w:p w14:paraId="66BBD17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90,0</w:t>
            </w:r>
          </w:p>
        </w:tc>
        <w:tc>
          <w:tcPr>
            <w:tcW w:w="754" w:type="dxa"/>
            <w:tcBorders>
              <w:top w:val="nil"/>
              <w:left w:val="single" w:sz="4" w:space="0" w:color="auto"/>
              <w:bottom w:val="nil"/>
              <w:right w:val="nil"/>
            </w:tcBorders>
            <w:shd w:val="clear" w:color="auto" w:fill="auto"/>
            <w:vAlign w:val="center"/>
            <w:hideMark/>
          </w:tcPr>
          <w:p w14:paraId="4E5EF6D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C30ED60"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6C0F501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228088D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19,9</w:t>
            </w:r>
          </w:p>
        </w:tc>
        <w:tc>
          <w:tcPr>
            <w:tcW w:w="737" w:type="dxa"/>
            <w:tcBorders>
              <w:top w:val="nil"/>
              <w:left w:val="nil"/>
              <w:bottom w:val="nil"/>
              <w:right w:val="nil"/>
            </w:tcBorders>
            <w:shd w:val="clear" w:color="auto" w:fill="auto"/>
            <w:vAlign w:val="center"/>
            <w:hideMark/>
          </w:tcPr>
          <w:p w14:paraId="380EEED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12,5</w:t>
            </w:r>
          </w:p>
        </w:tc>
        <w:tc>
          <w:tcPr>
            <w:tcW w:w="737" w:type="dxa"/>
            <w:tcBorders>
              <w:top w:val="nil"/>
              <w:left w:val="nil"/>
              <w:bottom w:val="nil"/>
              <w:right w:val="nil"/>
            </w:tcBorders>
            <w:shd w:val="clear" w:color="auto" w:fill="auto"/>
            <w:vAlign w:val="center"/>
            <w:hideMark/>
          </w:tcPr>
          <w:p w14:paraId="2FED40D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7,4</w:t>
            </w:r>
          </w:p>
        </w:tc>
      </w:tr>
      <w:tr w:rsidR="00537BCC" w:rsidRPr="00D92E20" w14:paraId="3C93E67D" w14:textId="77777777" w:rsidTr="00537BCC">
        <w:trPr>
          <w:trHeight w:val="300"/>
        </w:trPr>
        <w:tc>
          <w:tcPr>
            <w:tcW w:w="737" w:type="dxa"/>
            <w:tcBorders>
              <w:top w:val="nil"/>
              <w:left w:val="nil"/>
              <w:bottom w:val="nil"/>
              <w:right w:val="nil"/>
            </w:tcBorders>
            <w:shd w:val="clear" w:color="auto" w:fill="auto"/>
            <w:vAlign w:val="center"/>
            <w:hideMark/>
          </w:tcPr>
          <w:p w14:paraId="313969A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2016</w:t>
            </w:r>
          </w:p>
        </w:tc>
        <w:tc>
          <w:tcPr>
            <w:tcW w:w="737" w:type="dxa"/>
            <w:tcBorders>
              <w:top w:val="nil"/>
              <w:left w:val="single" w:sz="4" w:space="0" w:color="auto"/>
              <w:bottom w:val="nil"/>
              <w:right w:val="nil"/>
            </w:tcBorders>
            <w:shd w:val="clear" w:color="auto" w:fill="auto"/>
            <w:vAlign w:val="center"/>
            <w:hideMark/>
          </w:tcPr>
          <w:p w14:paraId="0296A2E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191,9</w:t>
            </w:r>
          </w:p>
        </w:tc>
        <w:tc>
          <w:tcPr>
            <w:tcW w:w="736" w:type="dxa"/>
            <w:tcBorders>
              <w:top w:val="nil"/>
              <w:left w:val="nil"/>
              <w:bottom w:val="nil"/>
              <w:right w:val="nil"/>
            </w:tcBorders>
            <w:shd w:val="clear" w:color="auto" w:fill="auto"/>
            <w:vAlign w:val="center"/>
            <w:hideMark/>
          </w:tcPr>
          <w:p w14:paraId="67F4481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87,1</w:t>
            </w:r>
          </w:p>
        </w:tc>
        <w:tc>
          <w:tcPr>
            <w:tcW w:w="736" w:type="dxa"/>
            <w:tcBorders>
              <w:top w:val="nil"/>
              <w:left w:val="nil"/>
              <w:bottom w:val="nil"/>
              <w:right w:val="single" w:sz="4" w:space="0" w:color="auto"/>
            </w:tcBorders>
            <w:shd w:val="clear" w:color="auto" w:fill="auto"/>
            <w:vAlign w:val="center"/>
            <w:hideMark/>
          </w:tcPr>
          <w:p w14:paraId="217E81D6"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104,8</w:t>
            </w:r>
          </w:p>
        </w:tc>
        <w:tc>
          <w:tcPr>
            <w:tcW w:w="737" w:type="dxa"/>
            <w:tcBorders>
              <w:top w:val="nil"/>
              <w:left w:val="nil"/>
              <w:bottom w:val="nil"/>
              <w:right w:val="nil"/>
            </w:tcBorders>
            <w:shd w:val="clear" w:color="auto" w:fill="auto"/>
            <w:vAlign w:val="center"/>
            <w:hideMark/>
          </w:tcPr>
          <w:p w14:paraId="0D47B34E"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164,2</w:t>
            </w:r>
          </w:p>
        </w:tc>
        <w:tc>
          <w:tcPr>
            <w:tcW w:w="736" w:type="dxa"/>
            <w:tcBorders>
              <w:top w:val="nil"/>
              <w:left w:val="nil"/>
              <w:bottom w:val="nil"/>
              <w:right w:val="nil"/>
            </w:tcBorders>
            <w:shd w:val="clear" w:color="auto" w:fill="auto"/>
            <w:vAlign w:val="center"/>
            <w:hideMark/>
          </w:tcPr>
          <w:p w14:paraId="12B6728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69,4</w:t>
            </w:r>
          </w:p>
        </w:tc>
        <w:tc>
          <w:tcPr>
            <w:tcW w:w="736" w:type="dxa"/>
            <w:tcBorders>
              <w:top w:val="nil"/>
              <w:left w:val="nil"/>
              <w:bottom w:val="nil"/>
              <w:right w:val="nil"/>
            </w:tcBorders>
            <w:shd w:val="clear" w:color="auto" w:fill="auto"/>
            <w:vAlign w:val="center"/>
            <w:hideMark/>
          </w:tcPr>
          <w:p w14:paraId="7C5491E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94,8</w:t>
            </w:r>
          </w:p>
        </w:tc>
        <w:tc>
          <w:tcPr>
            <w:tcW w:w="754" w:type="dxa"/>
            <w:tcBorders>
              <w:top w:val="nil"/>
              <w:left w:val="single" w:sz="4" w:space="0" w:color="auto"/>
              <w:bottom w:val="nil"/>
              <w:right w:val="nil"/>
            </w:tcBorders>
            <w:shd w:val="clear" w:color="auto" w:fill="auto"/>
            <w:vAlign w:val="center"/>
            <w:hideMark/>
          </w:tcPr>
          <w:p w14:paraId="536E94E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5454168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38F1D98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313282EF"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20,7</w:t>
            </w:r>
          </w:p>
        </w:tc>
        <w:tc>
          <w:tcPr>
            <w:tcW w:w="737" w:type="dxa"/>
            <w:tcBorders>
              <w:top w:val="nil"/>
              <w:left w:val="nil"/>
              <w:bottom w:val="nil"/>
              <w:right w:val="nil"/>
            </w:tcBorders>
            <w:shd w:val="clear" w:color="auto" w:fill="auto"/>
            <w:vAlign w:val="center"/>
            <w:hideMark/>
          </w:tcPr>
          <w:p w14:paraId="79D5C67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12,9</w:t>
            </w:r>
          </w:p>
        </w:tc>
        <w:tc>
          <w:tcPr>
            <w:tcW w:w="737" w:type="dxa"/>
            <w:tcBorders>
              <w:top w:val="nil"/>
              <w:left w:val="nil"/>
              <w:bottom w:val="nil"/>
              <w:right w:val="nil"/>
            </w:tcBorders>
            <w:shd w:val="clear" w:color="auto" w:fill="auto"/>
            <w:vAlign w:val="center"/>
            <w:hideMark/>
          </w:tcPr>
          <w:p w14:paraId="192BB38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7,8</w:t>
            </w:r>
          </w:p>
        </w:tc>
      </w:tr>
      <w:tr w:rsidR="00537BCC" w:rsidRPr="00D92E20" w14:paraId="79727C70" w14:textId="77777777" w:rsidTr="00537BCC">
        <w:trPr>
          <w:trHeight w:val="300"/>
        </w:trPr>
        <w:tc>
          <w:tcPr>
            <w:tcW w:w="737" w:type="dxa"/>
            <w:tcBorders>
              <w:top w:val="nil"/>
              <w:left w:val="nil"/>
              <w:bottom w:val="nil"/>
              <w:right w:val="nil"/>
            </w:tcBorders>
            <w:shd w:val="clear" w:color="auto" w:fill="auto"/>
            <w:vAlign w:val="center"/>
            <w:hideMark/>
          </w:tcPr>
          <w:p w14:paraId="10FE211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2017</w:t>
            </w:r>
          </w:p>
        </w:tc>
        <w:tc>
          <w:tcPr>
            <w:tcW w:w="737" w:type="dxa"/>
            <w:tcBorders>
              <w:top w:val="nil"/>
              <w:left w:val="single" w:sz="4" w:space="0" w:color="auto"/>
              <w:bottom w:val="nil"/>
              <w:right w:val="nil"/>
            </w:tcBorders>
            <w:shd w:val="clear" w:color="auto" w:fill="auto"/>
            <w:vAlign w:val="center"/>
            <w:hideMark/>
          </w:tcPr>
          <w:p w14:paraId="0047C3A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199,1</w:t>
            </w:r>
          </w:p>
        </w:tc>
        <w:tc>
          <w:tcPr>
            <w:tcW w:w="736" w:type="dxa"/>
            <w:tcBorders>
              <w:top w:val="nil"/>
              <w:left w:val="nil"/>
              <w:bottom w:val="nil"/>
              <w:right w:val="nil"/>
            </w:tcBorders>
            <w:shd w:val="clear" w:color="auto" w:fill="auto"/>
            <w:vAlign w:val="center"/>
            <w:hideMark/>
          </w:tcPr>
          <w:p w14:paraId="5C2A7B4B"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90,6</w:t>
            </w:r>
          </w:p>
        </w:tc>
        <w:tc>
          <w:tcPr>
            <w:tcW w:w="736" w:type="dxa"/>
            <w:tcBorders>
              <w:top w:val="nil"/>
              <w:left w:val="nil"/>
              <w:bottom w:val="nil"/>
              <w:right w:val="single" w:sz="4" w:space="0" w:color="auto"/>
            </w:tcBorders>
            <w:shd w:val="clear" w:color="auto" w:fill="auto"/>
            <w:vAlign w:val="center"/>
            <w:hideMark/>
          </w:tcPr>
          <w:p w14:paraId="64C8D5F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108,5</w:t>
            </w:r>
          </w:p>
        </w:tc>
        <w:tc>
          <w:tcPr>
            <w:tcW w:w="737" w:type="dxa"/>
            <w:tcBorders>
              <w:top w:val="nil"/>
              <w:left w:val="nil"/>
              <w:bottom w:val="nil"/>
              <w:right w:val="nil"/>
            </w:tcBorders>
            <w:shd w:val="clear" w:color="auto" w:fill="auto"/>
            <w:vAlign w:val="center"/>
            <w:hideMark/>
          </w:tcPr>
          <w:p w14:paraId="07C57EA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170,2</w:t>
            </w:r>
          </w:p>
        </w:tc>
        <w:tc>
          <w:tcPr>
            <w:tcW w:w="736" w:type="dxa"/>
            <w:tcBorders>
              <w:top w:val="nil"/>
              <w:left w:val="nil"/>
              <w:bottom w:val="nil"/>
              <w:right w:val="nil"/>
            </w:tcBorders>
            <w:shd w:val="clear" w:color="auto" w:fill="auto"/>
            <w:vAlign w:val="center"/>
            <w:hideMark/>
          </w:tcPr>
          <w:p w14:paraId="3E97EA2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72,5</w:t>
            </w:r>
          </w:p>
        </w:tc>
        <w:tc>
          <w:tcPr>
            <w:tcW w:w="736" w:type="dxa"/>
            <w:tcBorders>
              <w:top w:val="nil"/>
              <w:left w:val="nil"/>
              <w:bottom w:val="nil"/>
              <w:right w:val="nil"/>
            </w:tcBorders>
            <w:shd w:val="clear" w:color="auto" w:fill="auto"/>
            <w:vAlign w:val="center"/>
            <w:hideMark/>
          </w:tcPr>
          <w:p w14:paraId="64FE2006"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97,7</w:t>
            </w:r>
          </w:p>
        </w:tc>
        <w:tc>
          <w:tcPr>
            <w:tcW w:w="754" w:type="dxa"/>
            <w:tcBorders>
              <w:top w:val="nil"/>
              <w:left w:val="single" w:sz="4" w:space="0" w:color="auto"/>
              <w:bottom w:val="nil"/>
              <w:right w:val="nil"/>
            </w:tcBorders>
            <w:shd w:val="clear" w:color="auto" w:fill="auto"/>
            <w:vAlign w:val="center"/>
            <w:hideMark/>
          </w:tcPr>
          <w:p w14:paraId="041F61D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42F86E6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4FAF8F2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1D14889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21,8</w:t>
            </w:r>
          </w:p>
        </w:tc>
        <w:tc>
          <w:tcPr>
            <w:tcW w:w="737" w:type="dxa"/>
            <w:tcBorders>
              <w:top w:val="nil"/>
              <w:left w:val="nil"/>
              <w:bottom w:val="nil"/>
              <w:right w:val="nil"/>
            </w:tcBorders>
            <w:shd w:val="clear" w:color="auto" w:fill="auto"/>
            <w:vAlign w:val="center"/>
            <w:hideMark/>
          </w:tcPr>
          <w:p w14:paraId="37C7E6A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13,3</w:t>
            </w:r>
          </w:p>
        </w:tc>
        <w:tc>
          <w:tcPr>
            <w:tcW w:w="737" w:type="dxa"/>
            <w:tcBorders>
              <w:top w:val="nil"/>
              <w:left w:val="nil"/>
              <w:bottom w:val="nil"/>
              <w:right w:val="nil"/>
            </w:tcBorders>
            <w:shd w:val="clear" w:color="auto" w:fill="auto"/>
            <w:vAlign w:val="center"/>
            <w:hideMark/>
          </w:tcPr>
          <w:p w14:paraId="0AE7CB6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8,5</w:t>
            </w:r>
          </w:p>
        </w:tc>
      </w:tr>
      <w:tr w:rsidR="00537BCC" w:rsidRPr="00D92E20" w14:paraId="6D8E63D0" w14:textId="77777777" w:rsidTr="00537BCC">
        <w:trPr>
          <w:trHeight w:val="300"/>
        </w:trPr>
        <w:tc>
          <w:tcPr>
            <w:tcW w:w="737" w:type="dxa"/>
            <w:tcBorders>
              <w:top w:val="nil"/>
              <w:left w:val="nil"/>
              <w:bottom w:val="nil"/>
              <w:right w:val="nil"/>
            </w:tcBorders>
            <w:shd w:val="clear" w:color="auto" w:fill="auto"/>
            <w:vAlign w:val="center"/>
            <w:hideMark/>
          </w:tcPr>
          <w:p w14:paraId="381CCEF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2018</w:t>
            </w:r>
          </w:p>
        </w:tc>
        <w:tc>
          <w:tcPr>
            <w:tcW w:w="737" w:type="dxa"/>
            <w:tcBorders>
              <w:top w:val="nil"/>
              <w:left w:val="single" w:sz="4" w:space="0" w:color="auto"/>
              <w:bottom w:val="nil"/>
              <w:right w:val="nil"/>
            </w:tcBorders>
            <w:shd w:val="clear" w:color="auto" w:fill="auto"/>
            <w:vAlign w:val="center"/>
            <w:hideMark/>
          </w:tcPr>
          <w:p w14:paraId="443CEAB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211,4</w:t>
            </w:r>
          </w:p>
        </w:tc>
        <w:tc>
          <w:tcPr>
            <w:tcW w:w="736" w:type="dxa"/>
            <w:tcBorders>
              <w:top w:val="nil"/>
              <w:left w:val="nil"/>
              <w:bottom w:val="nil"/>
              <w:right w:val="nil"/>
            </w:tcBorders>
            <w:shd w:val="clear" w:color="auto" w:fill="auto"/>
            <w:vAlign w:val="center"/>
            <w:hideMark/>
          </w:tcPr>
          <w:p w14:paraId="70055A86"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96,5</w:t>
            </w:r>
          </w:p>
        </w:tc>
        <w:tc>
          <w:tcPr>
            <w:tcW w:w="736" w:type="dxa"/>
            <w:tcBorders>
              <w:top w:val="nil"/>
              <w:left w:val="nil"/>
              <w:bottom w:val="nil"/>
              <w:right w:val="single" w:sz="4" w:space="0" w:color="auto"/>
            </w:tcBorders>
            <w:shd w:val="clear" w:color="auto" w:fill="auto"/>
            <w:vAlign w:val="center"/>
            <w:hideMark/>
          </w:tcPr>
          <w:p w14:paraId="186EC40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114,9</w:t>
            </w:r>
          </w:p>
        </w:tc>
        <w:tc>
          <w:tcPr>
            <w:tcW w:w="737" w:type="dxa"/>
            <w:tcBorders>
              <w:top w:val="nil"/>
              <w:left w:val="nil"/>
              <w:bottom w:val="nil"/>
              <w:right w:val="nil"/>
            </w:tcBorders>
            <w:shd w:val="clear" w:color="auto" w:fill="auto"/>
            <w:vAlign w:val="center"/>
            <w:hideMark/>
          </w:tcPr>
          <w:p w14:paraId="6C6362C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181,4</w:t>
            </w:r>
          </w:p>
        </w:tc>
        <w:tc>
          <w:tcPr>
            <w:tcW w:w="736" w:type="dxa"/>
            <w:tcBorders>
              <w:top w:val="nil"/>
              <w:left w:val="nil"/>
              <w:bottom w:val="nil"/>
              <w:right w:val="nil"/>
            </w:tcBorders>
            <w:shd w:val="clear" w:color="auto" w:fill="auto"/>
            <w:vAlign w:val="center"/>
            <w:hideMark/>
          </w:tcPr>
          <w:p w14:paraId="3BD0B65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77,8</w:t>
            </w:r>
          </w:p>
        </w:tc>
        <w:tc>
          <w:tcPr>
            <w:tcW w:w="736" w:type="dxa"/>
            <w:tcBorders>
              <w:top w:val="nil"/>
              <w:left w:val="nil"/>
              <w:bottom w:val="nil"/>
              <w:right w:val="nil"/>
            </w:tcBorders>
            <w:shd w:val="clear" w:color="auto" w:fill="auto"/>
            <w:vAlign w:val="center"/>
            <w:hideMark/>
          </w:tcPr>
          <w:p w14:paraId="50F0303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103,7</w:t>
            </w:r>
          </w:p>
        </w:tc>
        <w:tc>
          <w:tcPr>
            <w:tcW w:w="754" w:type="dxa"/>
            <w:tcBorders>
              <w:top w:val="nil"/>
              <w:left w:val="single" w:sz="4" w:space="0" w:color="auto"/>
              <w:bottom w:val="nil"/>
              <w:right w:val="nil"/>
            </w:tcBorders>
            <w:shd w:val="clear" w:color="auto" w:fill="auto"/>
            <w:vAlign w:val="center"/>
            <w:hideMark/>
          </w:tcPr>
          <w:p w14:paraId="2975F363"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7,0</w:t>
            </w:r>
          </w:p>
        </w:tc>
        <w:tc>
          <w:tcPr>
            <w:tcW w:w="737" w:type="dxa"/>
            <w:tcBorders>
              <w:top w:val="nil"/>
              <w:left w:val="nil"/>
              <w:bottom w:val="nil"/>
              <w:right w:val="nil"/>
            </w:tcBorders>
            <w:shd w:val="clear" w:color="auto" w:fill="auto"/>
            <w:vAlign w:val="center"/>
            <w:hideMark/>
          </w:tcPr>
          <w:p w14:paraId="2D06F52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7EF7D15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0427510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22,9</w:t>
            </w:r>
          </w:p>
        </w:tc>
        <w:tc>
          <w:tcPr>
            <w:tcW w:w="737" w:type="dxa"/>
            <w:tcBorders>
              <w:top w:val="nil"/>
              <w:left w:val="nil"/>
              <w:bottom w:val="nil"/>
              <w:right w:val="nil"/>
            </w:tcBorders>
            <w:shd w:val="clear" w:color="auto" w:fill="auto"/>
            <w:vAlign w:val="center"/>
            <w:hideMark/>
          </w:tcPr>
          <w:p w14:paraId="735C193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14,0</w:t>
            </w:r>
          </w:p>
        </w:tc>
        <w:tc>
          <w:tcPr>
            <w:tcW w:w="737" w:type="dxa"/>
            <w:tcBorders>
              <w:top w:val="nil"/>
              <w:left w:val="nil"/>
              <w:bottom w:val="nil"/>
              <w:right w:val="nil"/>
            </w:tcBorders>
            <w:shd w:val="clear" w:color="auto" w:fill="auto"/>
            <w:vAlign w:val="center"/>
            <w:hideMark/>
          </w:tcPr>
          <w:p w14:paraId="2F410CA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8,9</w:t>
            </w:r>
          </w:p>
        </w:tc>
      </w:tr>
      <w:tr w:rsidR="00537BCC" w:rsidRPr="00D92E20" w14:paraId="794D943E" w14:textId="77777777" w:rsidTr="00537BCC">
        <w:trPr>
          <w:trHeight w:val="300"/>
        </w:trPr>
        <w:tc>
          <w:tcPr>
            <w:tcW w:w="737" w:type="dxa"/>
            <w:tcBorders>
              <w:top w:val="nil"/>
              <w:left w:val="nil"/>
              <w:bottom w:val="nil"/>
              <w:right w:val="nil"/>
            </w:tcBorders>
            <w:shd w:val="clear" w:color="auto" w:fill="auto"/>
            <w:vAlign w:val="center"/>
            <w:hideMark/>
          </w:tcPr>
          <w:p w14:paraId="0A980EE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2019</w:t>
            </w:r>
          </w:p>
        </w:tc>
        <w:tc>
          <w:tcPr>
            <w:tcW w:w="737" w:type="dxa"/>
            <w:tcBorders>
              <w:top w:val="nil"/>
              <w:left w:val="single" w:sz="4" w:space="0" w:color="auto"/>
              <w:bottom w:val="nil"/>
              <w:right w:val="nil"/>
            </w:tcBorders>
            <w:shd w:val="clear" w:color="auto" w:fill="auto"/>
            <w:vAlign w:val="center"/>
            <w:hideMark/>
          </w:tcPr>
          <w:p w14:paraId="0680CD4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222,5</w:t>
            </w:r>
          </w:p>
        </w:tc>
        <w:tc>
          <w:tcPr>
            <w:tcW w:w="736" w:type="dxa"/>
            <w:tcBorders>
              <w:top w:val="nil"/>
              <w:left w:val="nil"/>
              <w:bottom w:val="nil"/>
              <w:right w:val="nil"/>
            </w:tcBorders>
            <w:shd w:val="clear" w:color="auto" w:fill="auto"/>
            <w:vAlign w:val="center"/>
            <w:hideMark/>
          </w:tcPr>
          <w:p w14:paraId="1650AF7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101,5</w:t>
            </w:r>
          </w:p>
        </w:tc>
        <w:tc>
          <w:tcPr>
            <w:tcW w:w="736" w:type="dxa"/>
            <w:tcBorders>
              <w:top w:val="nil"/>
              <w:left w:val="nil"/>
              <w:bottom w:val="nil"/>
              <w:right w:val="single" w:sz="4" w:space="0" w:color="auto"/>
            </w:tcBorders>
            <w:shd w:val="clear" w:color="auto" w:fill="auto"/>
            <w:vAlign w:val="center"/>
            <w:hideMark/>
          </w:tcPr>
          <w:p w14:paraId="3068D77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121,0</w:t>
            </w:r>
          </w:p>
        </w:tc>
        <w:tc>
          <w:tcPr>
            <w:tcW w:w="737" w:type="dxa"/>
            <w:tcBorders>
              <w:top w:val="nil"/>
              <w:left w:val="nil"/>
              <w:bottom w:val="nil"/>
              <w:right w:val="nil"/>
            </w:tcBorders>
            <w:shd w:val="clear" w:color="auto" w:fill="auto"/>
            <w:vAlign w:val="center"/>
            <w:hideMark/>
          </w:tcPr>
          <w:p w14:paraId="411F3C56"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191,5</w:t>
            </w:r>
          </w:p>
        </w:tc>
        <w:tc>
          <w:tcPr>
            <w:tcW w:w="736" w:type="dxa"/>
            <w:tcBorders>
              <w:top w:val="nil"/>
              <w:left w:val="nil"/>
              <w:bottom w:val="nil"/>
              <w:right w:val="nil"/>
            </w:tcBorders>
            <w:shd w:val="clear" w:color="auto" w:fill="auto"/>
            <w:vAlign w:val="center"/>
            <w:hideMark/>
          </w:tcPr>
          <w:p w14:paraId="665A80F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82,2</w:t>
            </w:r>
          </w:p>
        </w:tc>
        <w:tc>
          <w:tcPr>
            <w:tcW w:w="736" w:type="dxa"/>
            <w:tcBorders>
              <w:top w:val="nil"/>
              <w:left w:val="nil"/>
              <w:bottom w:val="nil"/>
              <w:right w:val="nil"/>
            </w:tcBorders>
            <w:shd w:val="clear" w:color="auto" w:fill="auto"/>
            <w:vAlign w:val="center"/>
            <w:hideMark/>
          </w:tcPr>
          <w:p w14:paraId="39134A4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109,3</w:t>
            </w:r>
          </w:p>
        </w:tc>
        <w:tc>
          <w:tcPr>
            <w:tcW w:w="754" w:type="dxa"/>
            <w:tcBorders>
              <w:top w:val="nil"/>
              <w:left w:val="single" w:sz="4" w:space="0" w:color="auto"/>
              <w:bottom w:val="nil"/>
              <w:right w:val="nil"/>
            </w:tcBorders>
            <w:shd w:val="clear" w:color="auto" w:fill="auto"/>
            <w:vAlign w:val="center"/>
            <w:hideMark/>
          </w:tcPr>
          <w:p w14:paraId="3415032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6,9</w:t>
            </w:r>
          </w:p>
        </w:tc>
        <w:tc>
          <w:tcPr>
            <w:tcW w:w="737" w:type="dxa"/>
            <w:tcBorders>
              <w:top w:val="nil"/>
              <w:left w:val="nil"/>
              <w:bottom w:val="nil"/>
              <w:right w:val="nil"/>
            </w:tcBorders>
            <w:shd w:val="clear" w:color="auto" w:fill="auto"/>
            <w:vAlign w:val="center"/>
            <w:hideMark/>
          </w:tcPr>
          <w:p w14:paraId="25277B1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4,7</w:t>
            </w:r>
          </w:p>
        </w:tc>
        <w:tc>
          <w:tcPr>
            <w:tcW w:w="737" w:type="dxa"/>
            <w:tcBorders>
              <w:top w:val="nil"/>
              <w:left w:val="nil"/>
              <w:bottom w:val="nil"/>
              <w:right w:val="single" w:sz="4" w:space="0" w:color="auto"/>
            </w:tcBorders>
            <w:shd w:val="clear" w:color="auto" w:fill="auto"/>
            <w:vAlign w:val="center"/>
            <w:hideMark/>
          </w:tcPr>
          <w:p w14:paraId="76AACFFD"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2,3</w:t>
            </w:r>
          </w:p>
        </w:tc>
        <w:tc>
          <w:tcPr>
            <w:tcW w:w="737" w:type="dxa"/>
            <w:tcBorders>
              <w:top w:val="nil"/>
              <w:left w:val="nil"/>
              <w:bottom w:val="nil"/>
              <w:right w:val="nil"/>
            </w:tcBorders>
            <w:shd w:val="clear" w:color="auto" w:fill="auto"/>
            <w:vAlign w:val="center"/>
            <w:hideMark/>
          </w:tcPr>
          <w:p w14:paraId="11FA0F8E"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24,0</w:t>
            </w:r>
          </w:p>
        </w:tc>
        <w:tc>
          <w:tcPr>
            <w:tcW w:w="737" w:type="dxa"/>
            <w:tcBorders>
              <w:top w:val="nil"/>
              <w:left w:val="nil"/>
              <w:bottom w:val="nil"/>
              <w:right w:val="nil"/>
            </w:tcBorders>
            <w:shd w:val="clear" w:color="auto" w:fill="auto"/>
            <w:vAlign w:val="center"/>
            <w:hideMark/>
          </w:tcPr>
          <w:p w14:paraId="41336AC4"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14,6</w:t>
            </w:r>
          </w:p>
        </w:tc>
        <w:tc>
          <w:tcPr>
            <w:tcW w:w="737" w:type="dxa"/>
            <w:tcBorders>
              <w:top w:val="nil"/>
              <w:left w:val="nil"/>
              <w:bottom w:val="nil"/>
              <w:right w:val="nil"/>
            </w:tcBorders>
            <w:shd w:val="clear" w:color="auto" w:fill="auto"/>
            <w:vAlign w:val="center"/>
            <w:hideMark/>
          </w:tcPr>
          <w:p w14:paraId="6C93B32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9,4</w:t>
            </w:r>
          </w:p>
        </w:tc>
      </w:tr>
      <w:tr w:rsidR="00537BCC" w:rsidRPr="00D92E20" w14:paraId="09337FA5" w14:textId="77777777" w:rsidTr="00537BCC">
        <w:trPr>
          <w:trHeight w:val="300"/>
        </w:trPr>
        <w:tc>
          <w:tcPr>
            <w:tcW w:w="737" w:type="dxa"/>
            <w:tcBorders>
              <w:top w:val="nil"/>
              <w:left w:val="nil"/>
              <w:bottom w:val="nil"/>
              <w:right w:val="single" w:sz="4" w:space="0" w:color="auto"/>
            </w:tcBorders>
            <w:shd w:val="clear" w:color="auto" w:fill="auto"/>
            <w:vAlign w:val="center"/>
            <w:hideMark/>
          </w:tcPr>
          <w:p w14:paraId="303D191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2020</w:t>
            </w:r>
          </w:p>
        </w:tc>
        <w:tc>
          <w:tcPr>
            <w:tcW w:w="737" w:type="dxa"/>
            <w:tcBorders>
              <w:top w:val="nil"/>
              <w:left w:val="nil"/>
              <w:bottom w:val="nil"/>
              <w:right w:val="nil"/>
            </w:tcBorders>
            <w:shd w:val="clear" w:color="auto" w:fill="auto"/>
            <w:vAlign w:val="center"/>
            <w:hideMark/>
          </w:tcPr>
          <w:p w14:paraId="32F7757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257,5</w:t>
            </w:r>
          </w:p>
        </w:tc>
        <w:tc>
          <w:tcPr>
            <w:tcW w:w="736" w:type="dxa"/>
            <w:tcBorders>
              <w:top w:val="nil"/>
              <w:left w:val="nil"/>
              <w:bottom w:val="nil"/>
              <w:right w:val="nil"/>
            </w:tcBorders>
            <w:shd w:val="clear" w:color="auto" w:fill="auto"/>
            <w:vAlign w:val="center"/>
            <w:hideMark/>
          </w:tcPr>
          <w:p w14:paraId="5A6263B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118,1</w:t>
            </w:r>
          </w:p>
        </w:tc>
        <w:tc>
          <w:tcPr>
            <w:tcW w:w="736" w:type="dxa"/>
            <w:tcBorders>
              <w:top w:val="nil"/>
              <w:left w:val="nil"/>
              <w:bottom w:val="nil"/>
              <w:right w:val="single" w:sz="4" w:space="0" w:color="auto"/>
            </w:tcBorders>
            <w:shd w:val="clear" w:color="auto" w:fill="auto"/>
            <w:vAlign w:val="center"/>
            <w:hideMark/>
          </w:tcPr>
          <w:p w14:paraId="0B977B1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139,4</w:t>
            </w:r>
          </w:p>
        </w:tc>
        <w:tc>
          <w:tcPr>
            <w:tcW w:w="737" w:type="dxa"/>
            <w:tcBorders>
              <w:top w:val="nil"/>
              <w:left w:val="nil"/>
              <w:bottom w:val="nil"/>
              <w:right w:val="nil"/>
            </w:tcBorders>
            <w:shd w:val="clear" w:color="auto" w:fill="auto"/>
            <w:vAlign w:val="center"/>
            <w:hideMark/>
          </w:tcPr>
          <w:p w14:paraId="4D5A93AC"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224,8</w:t>
            </w:r>
          </w:p>
        </w:tc>
        <w:tc>
          <w:tcPr>
            <w:tcW w:w="736" w:type="dxa"/>
            <w:tcBorders>
              <w:top w:val="nil"/>
              <w:left w:val="nil"/>
              <w:bottom w:val="nil"/>
              <w:right w:val="nil"/>
            </w:tcBorders>
            <w:shd w:val="clear" w:color="auto" w:fill="auto"/>
            <w:vAlign w:val="center"/>
            <w:hideMark/>
          </w:tcPr>
          <w:p w14:paraId="26E017A9"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98,0</w:t>
            </w:r>
          </w:p>
        </w:tc>
        <w:tc>
          <w:tcPr>
            <w:tcW w:w="736" w:type="dxa"/>
            <w:tcBorders>
              <w:top w:val="nil"/>
              <w:left w:val="nil"/>
              <w:bottom w:val="nil"/>
              <w:right w:val="nil"/>
            </w:tcBorders>
            <w:shd w:val="clear" w:color="auto" w:fill="auto"/>
            <w:vAlign w:val="center"/>
            <w:hideMark/>
          </w:tcPr>
          <w:p w14:paraId="7DF870A1"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126,9</w:t>
            </w:r>
          </w:p>
        </w:tc>
        <w:tc>
          <w:tcPr>
            <w:tcW w:w="754" w:type="dxa"/>
            <w:tcBorders>
              <w:top w:val="nil"/>
              <w:left w:val="single" w:sz="4" w:space="0" w:color="auto"/>
              <w:bottom w:val="nil"/>
              <w:right w:val="nil"/>
            </w:tcBorders>
            <w:shd w:val="clear" w:color="auto" w:fill="auto"/>
            <w:vAlign w:val="center"/>
            <w:hideMark/>
          </w:tcPr>
          <w:p w14:paraId="3F05C035"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7,1</w:t>
            </w:r>
          </w:p>
        </w:tc>
        <w:tc>
          <w:tcPr>
            <w:tcW w:w="737" w:type="dxa"/>
            <w:tcBorders>
              <w:top w:val="nil"/>
              <w:left w:val="nil"/>
              <w:bottom w:val="nil"/>
              <w:right w:val="nil"/>
            </w:tcBorders>
            <w:shd w:val="clear" w:color="auto" w:fill="auto"/>
            <w:vAlign w:val="center"/>
            <w:hideMark/>
          </w:tcPr>
          <w:p w14:paraId="5AAB847F"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4,8</w:t>
            </w:r>
          </w:p>
        </w:tc>
        <w:tc>
          <w:tcPr>
            <w:tcW w:w="737" w:type="dxa"/>
            <w:tcBorders>
              <w:top w:val="nil"/>
              <w:left w:val="nil"/>
              <w:bottom w:val="nil"/>
              <w:right w:val="single" w:sz="4" w:space="0" w:color="auto"/>
            </w:tcBorders>
            <w:shd w:val="clear" w:color="auto" w:fill="auto"/>
            <w:vAlign w:val="center"/>
            <w:hideMark/>
          </w:tcPr>
          <w:p w14:paraId="0106F4C7"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2,2</w:t>
            </w:r>
          </w:p>
        </w:tc>
        <w:tc>
          <w:tcPr>
            <w:tcW w:w="737" w:type="dxa"/>
            <w:tcBorders>
              <w:top w:val="nil"/>
              <w:left w:val="nil"/>
              <w:bottom w:val="nil"/>
              <w:right w:val="nil"/>
            </w:tcBorders>
            <w:shd w:val="clear" w:color="auto" w:fill="auto"/>
            <w:vAlign w:val="center"/>
            <w:hideMark/>
          </w:tcPr>
          <w:p w14:paraId="02E91458"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25,6</w:t>
            </w:r>
          </w:p>
        </w:tc>
        <w:tc>
          <w:tcPr>
            <w:tcW w:w="737" w:type="dxa"/>
            <w:tcBorders>
              <w:top w:val="nil"/>
              <w:left w:val="nil"/>
              <w:bottom w:val="nil"/>
              <w:right w:val="nil"/>
            </w:tcBorders>
            <w:shd w:val="clear" w:color="auto" w:fill="auto"/>
            <w:vAlign w:val="center"/>
            <w:hideMark/>
          </w:tcPr>
          <w:p w14:paraId="42BE213A"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15,3</w:t>
            </w:r>
          </w:p>
        </w:tc>
        <w:tc>
          <w:tcPr>
            <w:tcW w:w="737" w:type="dxa"/>
            <w:tcBorders>
              <w:top w:val="nil"/>
              <w:left w:val="nil"/>
              <w:bottom w:val="nil"/>
              <w:right w:val="nil"/>
            </w:tcBorders>
            <w:shd w:val="clear" w:color="auto" w:fill="auto"/>
            <w:vAlign w:val="center"/>
            <w:hideMark/>
          </w:tcPr>
          <w:p w14:paraId="130D8852" w14:textId="77777777" w:rsidR="00537BCC" w:rsidRPr="00D92E20" w:rsidRDefault="00537BCC" w:rsidP="00537BCC">
            <w:pPr>
              <w:spacing w:after="0" w:line="240" w:lineRule="auto"/>
              <w:jc w:val="center"/>
              <w:rPr>
                <w:rFonts w:cs="Arial"/>
                <w:color w:val="000000"/>
                <w:sz w:val="16"/>
                <w:szCs w:val="16"/>
              </w:rPr>
            </w:pPr>
            <w:r w:rsidRPr="00D92E20">
              <w:rPr>
                <w:rFonts w:cs="Arial"/>
                <w:color w:val="000000"/>
                <w:sz w:val="16"/>
                <w:szCs w:val="16"/>
              </w:rPr>
              <w:t>10,3</w:t>
            </w:r>
          </w:p>
        </w:tc>
      </w:tr>
    </w:tbl>
    <w:p w14:paraId="17B485DB" w14:textId="77777777" w:rsidR="00537BCC" w:rsidRPr="00D92E20" w:rsidRDefault="00537BCC" w:rsidP="00000A90">
      <w:pPr>
        <w:spacing w:before="60" w:after="120"/>
        <w:rPr>
          <w:sz w:val="16"/>
        </w:rPr>
      </w:pPr>
      <w:r w:rsidRPr="00D92E20">
        <w:rPr>
          <w:sz w:val="16"/>
        </w:rPr>
        <w:t>Zdroj: ČSÚ</w:t>
      </w:r>
    </w:p>
    <w:p w14:paraId="037FDCC8" w14:textId="77777777" w:rsidR="002F607D" w:rsidRPr="00D92E20" w:rsidRDefault="002F607D" w:rsidP="005A63A4">
      <w:pPr>
        <w:pStyle w:val="Nadpis3"/>
        <w:numPr>
          <w:ilvl w:val="1"/>
          <w:numId w:val="5"/>
        </w:numPr>
        <w:spacing w:after="120"/>
        <w:ind w:left="425" w:hanging="425"/>
      </w:pPr>
      <w:bookmarkStart w:id="22" w:name="_Toc54262803"/>
      <w:bookmarkStart w:id="23" w:name="_Toc70950132"/>
      <w:r w:rsidRPr="00D92E20">
        <w:lastRenderedPageBreak/>
        <w:t>Ukončené případy dočasné pracovní neschopnosti</w:t>
      </w:r>
      <w:bookmarkEnd w:id="22"/>
      <w:bookmarkEnd w:id="23"/>
    </w:p>
    <w:p w14:paraId="5B459D4D" w14:textId="77777777" w:rsidR="002F607D" w:rsidRPr="00D92E20" w:rsidRDefault="002F607D" w:rsidP="00000A90">
      <w:pPr>
        <w:spacing w:before="120" w:after="120"/>
        <w:jc w:val="both"/>
      </w:pPr>
      <w:r w:rsidRPr="00D92E20">
        <w:t xml:space="preserve">Zatímco doposud se analýza týkala nově hlášených případů dočasné pracovní neschopnosti (kapitola 4.2), </w:t>
      </w:r>
      <w:r w:rsidR="00C24683" w:rsidRPr="00D92E20">
        <w:t>které</w:t>
      </w:r>
      <w:r w:rsidRPr="00D92E20">
        <w:t xml:space="preserve"> ČSÚ </w:t>
      </w:r>
      <w:r w:rsidR="00C24683" w:rsidRPr="00D92E20">
        <w:t xml:space="preserve">zpracovává </w:t>
      </w:r>
      <w:r w:rsidRPr="00D92E20">
        <w:t xml:space="preserve">z evidence ČSSZ, jiný pohled nabízí data o </w:t>
      </w:r>
      <w:r w:rsidRPr="00D92E20">
        <w:rPr>
          <w:b/>
        </w:rPr>
        <w:t>ukončených případech pracovní neschopnosti</w:t>
      </w:r>
      <w:r w:rsidRPr="00D92E20">
        <w:t xml:space="preserve"> přímo publikovaná ČSSZ. Rozdíly v počtech nově hlášených a ukončených případů dočasné pracovní neschopnosti jsou dány odlišnou metodikou sběru dat. Trendy vývoje těchto ukazatelů jsou však konzistentní.</w:t>
      </w:r>
    </w:p>
    <w:p w14:paraId="18B0791A" w14:textId="4EC9E03A" w:rsidR="002F607D" w:rsidRPr="00D92E20" w:rsidRDefault="002F607D" w:rsidP="00000A90">
      <w:pPr>
        <w:spacing w:before="120" w:after="120"/>
        <w:jc w:val="both"/>
      </w:pPr>
      <w:r w:rsidRPr="00D92E20">
        <w:t xml:space="preserve">Na rozdíl od statistik nově hlášených případů, ČSSZ publikuje údaje z hlediska </w:t>
      </w:r>
      <w:r w:rsidRPr="00D92E20">
        <w:rPr>
          <w:b/>
        </w:rPr>
        <w:t>případů ukončených ve sledovaném roce</w:t>
      </w:r>
      <w:r w:rsidRPr="00D92E20">
        <w:t xml:space="preserve">. Případy vzniklé na konci roku přesahující do roku dalšího jsou evidovány až ve zpracování dat roku následujícího. Pro </w:t>
      </w:r>
      <w:r w:rsidR="00C24683" w:rsidRPr="00D92E20">
        <w:t>dokreslení</w:t>
      </w:r>
      <w:r w:rsidRPr="00D92E20">
        <w:t xml:space="preserve"> pohledu na statistiku nemocnosti byla vybraná data z tohoto zdroje využita v této kapitole. Data o ukončených případech jsou k dispozici v třídění z pohledu pojištěnce, nikoliv zaměstnavatele, jak </w:t>
      </w:r>
      <w:r w:rsidR="00C7753B" w:rsidRPr="00D92E20">
        <w:t xml:space="preserve">tomu </w:t>
      </w:r>
      <w:r w:rsidRPr="00D92E20">
        <w:t xml:space="preserve">bylo </w:t>
      </w:r>
      <w:r w:rsidR="00C7753B" w:rsidRPr="00D92E20">
        <w:t>při pohledu na nově hlášené případy.</w:t>
      </w:r>
      <w:r w:rsidRPr="00D92E20">
        <w:t xml:space="preserve"> ČSSZ třídí data např. podle věku dočasně práce neschopných, </w:t>
      </w:r>
      <w:r w:rsidR="00CA3130" w:rsidRPr="00D92E20">
        <w:t>krajů</w:t>
      </w:r>
      <w:r w:rsidRPr="00D92E20">
        <w:t xml:space="preserve"> či skupin diagnóz.</w:t>
      </w:r>
    </w:p>
    <w:p w14:paraId="4522A406" w14:textId="3E0714F9" w:rsidR="002F607D" w:rsidRPr="00D92E20" w:rsidRDefault="002F607D" w:rsidP="00000A90">
      <w:pPr>
        <w:pStyle w:val="Box1"/>
        <w:spacing w:before="120" w:after="120"/>
        <w:ind w:left="0"/>
        <w:contextualSpacing w:val="0"/>
        <w:jc w:val="both"/>
        <w:rPr>
          <w:i/>
        </w:rPr>
      </w:pPr>
      <w:r w:rsidRPr="00D92E20">
        <w:rPr>
          <w:b/>
          <w:i/>
        </w:rPr>
        <w:t xml:space="preserve">Ukončené případy pracovní neschopnosti </w:t>
      </w:r>
      <w:r w:rsidRPr="00D92E20">
        <w:rPr>
          <w:i/>
        </w:rPr>
        <w:t>– zahrnují veškerá onemocnění a úrazy, které zapříčinily alespoň jednodenní pracovní neschopnost u nemocensky pojištěných osob ukončenou v daném roce. Nezahrnuje tedy onemocnění a úrazy, u nichž pracovní neschopnost přesahovala do dalšího roku, ani ty případy, kdy nebylo vystaveno „Rozhodnutí o dočasné pracovní neschopnosti“.</w:t>
      </w:r>
    </w:p>
    <w:p w14:paraId="5CFB6241" w14:textId="1A7441F8" w:rsidR="00B9122C" w:rsidRPr="00D92E20" w:rsidRDefault="00B9122C" w:rsidP="00000A90">
      <w:pPr>
        <w:spacing w:before="120" w:after="120"/>
        <w:jc w:val="both"/>
      </w:pPr>
      <w:r w:rsidRPr="00D92E20">
        <w:t>ČSSZ za rok 2020 evidovala 2</w:t>
      </w:r>
      <w:r w:rsidR="009208D0" w:rsidRPr="00D92E20">
        <w:t> </w:t>
      </w:r>
      <w:r w:rsidRPr="00D92E20">
        <w:t>29</w:t>
      </w:r>
      <w:r w:rsidR="009208D0" w:rsidRPr="00D92E20">
        <w:t xml:space="preserve">4 tis. </w:t>
      </w:r>
      <w:r w:rsidRPr="00D92E20">
        <w:t>ukončených případů dočasné pracovní neschopnosti, což je o čtvrtinu více než v roce 2019.</w:t>
      </w:r>
    </w:p>
    <w:p w14:paraId="32F53CEB" w14:textId="5ACBD27F" w:rsidR="00391FBE" w:rsidRPr="00D92E20" w:rsidRDefault="00391FBE" w:rsidP="00000A90">
      <w:pPr>
        <w:spacing w:before="120" w:after="0"/>
        <w:jc w:val="both"/>
        <w:rPr>
          <w:b/>
        </w:rPr>
      </w:pPr>
      <w:r w:rsidRPr="00D92E20">
        <w:rPr>
          <w:b/>
        </w:rPr>
        <w:t xml:space="preserve">Tab. 3.1: </w:t>
      </w:r>
      <w:r w:rsidR="009F67D0" w:rsidRPr="00D92E20">
        <w:rPr>
          <w:b/>
        </w:rPr>
        <w:t>Počet u</w:t>
      </w:r>
      <w:r w:rsidRPr="00D92E20">
        <w:rPr>
          <w:b/>
        </w:rPr>
        <w:t>končen</w:t>
      </w:r>
      <w:r w:rsidR="009F67D0" w:rsidRPr="00D92E20">
        <w:rPr>
          <w:b/>
        </w:rPr>
        <w:t>ých</w:t>
      </w:r>
      <w:r w:rsidRPr="00D92E20">
        <w:rPr>
          <w:b/>
        </w:rPr>
        <w:t xml:space="preserve"> případ</w:t>
      </w:r>
      <w:r w:rsidR="009F67D0" w:rsidRPr="00D92E20">
        <w:rPr>
          <w:b/>
        </w:rPr>
        <w:t>ů</w:t>
      </w:r>
      <w:r w:rsidRPr="00D92E20">
        <w:rPr>
          <w:b/>
        </w:rPr>
        <w:t xml:space="preserve"> dočasné pracovní neschopnosti, počet prostonaných dnů a</w:t>
      </w:r>
      <w:r w:rsidR="009F67D0" w:rsidRPr="00D92E20">
        <w:rPr>
          <w:b/>
        </w:rPr>
        <w:t> </w:t>
      </w:r>
      <w:r w:rsidRPr="00D92E20">
        <w:rPr>
          <w:b/>
        </w:rPr>
        <w:t xml:space="preserve">průměrná délka trvání případu dočasné pracovní neschopnosti podle krajů ČR, </w:t>
      </w:r>
      <w:r w:rsidR="009208D0" w:rsidRPr="00D92E20">
        <w:rPr>
          <w:b/>
        </w:rPr>
        <w:t xml:space="preserve">2019, </w:t>
      </w:r>
      <w:r w:rsidRPr="00D92E20">
        <w:rPr>
          <w:b/>
        </w:rPr>
        <w:t>2020</w:t>
      </w:r>
    </w:p>
    <w:tbl>
      <w:tblPr>
        <w:tblW w:w="9584" w:type="dxa"/>
        <w:tblCellMar>
          <w:left w:w="70" w:type="dxa"/>
          <w:right w:w="70" w:type="dxa"/>
        </w:tblCellMar>
        <w:tblLook w:val="04A0" w:firstRow="1" w:lastRow="0" w:firstColumn="1" w:lastColumn="0" w:noHBand="0" w:noVBand="1"/>
      </w:tblPr>
      <w:tblGrid>
        <w:gridCol w:w="2438"/>
        <w:gridCol w:w="1191"/>
        <w:gridCol w:w="1191"/>
        <w:gridCol w:w="1191"/>
        <w:gridCol w:w="1191"/>
        <w:gridCol w:w="1191"/>
        <w:gridCol w:w="1191"/>
      </w:tblGrid>
      <w:tr w:rsidR="00330CDD" w:rsidRPr="00D92E20" w14:paraId="70A4C9F3" w14:textId="77777777" w:rsidTr="00330CDD">
        <w:trPr>
          <w:trHeight w:val="1071"/>
        </w:trPr>
        <w:tc>
          <w:tcPr>
            <w:tcW w:w="2438" w:type="dxa"/>
            <w:vMerge w:val="restart"/>
            <w:tcBorders>
              <w:top w:val="single" w:sz="4" w:space="0" w:color="auto"/>
              <w:left w:val="nil"/>
              <w:right w:val="single" w:sz="4" w:space="0" w:color="auto"/>
            </w:tcBorders>
            <w:shd w:val="clear" w:color="000000" w:fill="F2DCDB"/>
            <w:vAlign w:val="center"/>
            <w:hideMark/>
          </w:tcPr>
          <w:p w14:paraId="052ECD08" w14:textId="7777777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Kraj ČR</w:t>
            </w:r>
          </w:p>
        </w:tc>
        <w:tc>
          <w:tcPr>
            <w:tcW w:w="2382" w:type="dxa"/>
            <w:gridSpan w:val="2"/>
            <w:tcBorders>
              <w:top w:val="single" w:sz="4" w:space="0" w:color="auto"/>
              <w:left w:val="nil"/>
              <w:bottom w:val="single" w:sz="4" w:space="0" w:color="auto"/>
              <w:right w:val="single" w:sz="4" w:space="0" w:color="auto"/>
            </w:tcBorders>
            <w:shd w:val="clear" w:color="000000" w:fill="F2DCDB"/>
            <w:vAlign w:val="center"/>
            <w:hideMark/>
          </w:tcPr>
          <w:p w14:paraId="6F7C4E39" w14:textId="1FA7DE0B"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Počet ukončených případů DPN (tis.)</w:t>
            </w:r>
          </w:p>
        </w:tc>
        <w:tc>
          <w:tcPr>
            <w:tcW w:w="2382" w:type="dxa"/>
            <w:gridSpan w:val="2"/>
            <w:tcBorders>
              <w:top w:val="single" w:sz="4" w:space="0" w:color="auto"/>
              <w:left w:val="nil"/>
              <w:bottom w:val="single" w:sz="4" w:space="0" w:color="auto"/>
              <w:right w:val="single" w:sz="4" w:space="0" w:color="auto"/>
            </w:tcBorders>
            <w:shd w:val="clear" w:color="000000" w:fill="F2DCDB"/>
            <w:vAlign w:val="center"/>
            <w:hideMark/>
          </w:tcPr>
          <w:p w14:paraId="0ED1C1E4" w14:textId="06832E0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Počet prostonaných dnů (tis.)</w:t>
            </w:r>
          </w:p>
        </w:tc>
        <w:tc>
          <w:tcPr>
            <w:tcW w:w="2382" w:type="dxa"/>
            <w:gridSpan w:val="2"/>
            <w:tcBorders>
              <w:top w:val="single" w:sz="4" w:space="0" w:color="auto"/>
              <w:left w:val="nil"/>
              <w:bottom w:val="single" w:sz="4" w:space="0" w:color="auto"/>
              <w:right w:val="nil"/>
            </w:tcBorders>
            <w:shd w:val="clear" w:color="000000" w:fill="F2DCDB"/>
            <w:vAlign w:val="center"/>
            <w:hideMark/>
          </w:tcPr>
          <w:p w14:paraId="200811EF" w14:textId="77777777"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330CDD" w:rsidRPr="00D92E20" w14:paraId="31C9C814" w14:textId="77777777" w:rsidTr="006655D4">
        <w:trPr>
          <w:trHeight w:val="389"/>
        </w:trPr>
        <w:tc>
          <w:tcPr>
            <w:tcW w:w="2438" w:type="dxa"/>
            <w:vMerge/>
            <w:tcBorders>
              <w:left w:val="nil"/>
              <w:bottom w:val="single" w:sz="4" w:space="0" w:color="auto"/>
              <w:right w:val="single" w:sz="4" w:space="0" w:color="auto"/>
            </w:tcBorders>
            <w:shd w:val="clear" w:color="000000" w:fill="F2DCDB"/>
            <w:vAlign w:val="center"/>
          </w:tcPr>
          <w:p w14:paraId="584FDB66" w14:textId="77777777" w:rsidR="00330CDD" w:rsidRPr="00D92E20" w:rsidRDefault="00330CDD" w:rsidP="00391FBE">
            <w:pPr>
              <w:spacing w:after="0" w:line="240" w:lineRule="auto"/>
              <w:jc w:val="center"/>
              <w:rPr>
                <w:rFonts w:cs="Arial"/>
                <w:color w:val="000000"/>
                <w:sz w:val="16"/>
                <w:szCs w:val="16"/>
              </w:rPr>
            </w:pPr>
          </w:p>
        </w:tc>
        <w:tc>
          <w:tcPr>
            <w:tcW w:w="1191" w:type="dxa"/>
            <w:tcBorders>
              <w:top w:val="single" w:sz="4" w:space="0" w:color="auto"/>
              <w:left w:val="nil"/>
              <w:bottom w:val="single" w:sz="4" w:space="0" w:color="auto"/>
              <w:right w:val="single" w:sz="4" w:space="0" w:color="auto"/>
            </w:tcBorders>
            <w:shd w:val="clear" w:color="000000" w:fill="F2DCDB"/>
            <w:vAlign w:val="center"/>
          </w:tcPr>
          <w:p w14:paraId="393A2A23" w14:textId="33F416C8"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2019</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0AA0C7B4" w14:textId="58A87BAB"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2020</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32E00378" w14:textId="13607846"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2019</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5519EA3A" w14:textId="7F410049"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2020</w:t>
            </w:r>
          </w:p>
        </w:tc>
        <w:tc>
          <w:tcPr>
            <w:tcW w:w="1191" w:type="dxa"/>
            <w:tcBorders>
              <w:top w:val="single" w:sz="4" w:space="0" w:color="auto"/>
              <w:left w:val="nil"/>
              <w:bottom w:val="single" w:sz="4" w:space="0" w:color="auto"/>
              <w:right w:val="single" w:sz="4" w:space="0" w:color="auto"/>
            </w:tcBorders>
            <w:shd w:val="clear" w:color="000000" w:fill="F2DCDB"/>
            <w:vAlign w:val="center"/>
          </w:tcPr>
          <w:p w14:paraId="36307EDB" w14:textId="6C982180"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2019</w:t>
            </w:r>
          </w:p>
        </w:tc>
        <w:tc>
          <w:tcPr>
            <w:tcW w:w="1191" w:type="dxa"/>
            <w:tcBorders>
              <w:top w:val="single" w:sz="4" w:space="0" w:color="auto"/>
              <w:left w:val="single" w:sz="4" w:space="0" w:color="auto"/>
              <w:bottom w:val="single" w:sz="4" w:space="0" w:color="auto"/>
              <w:right w:val="nil"/>
            </w:tcBorders>
            <w:shd w:val="clear" w:color="000000" w:fill="F2DCDB"/>
            <w:vAlign w:val="center"/>
          </w:tcPr>
          <w:p w14:paraId="5E3BA8DB" w14:textId="714B5E2E" w:rsidR="00330CDD" w:rsidRPr="00D92E20" w:rsidRDefault="00330CDD" w:rsidP="00391FBE">
            <w:pPr>
              <w:spacing w:after="0" w:line="240" w:lineRule="auto"/>
              <w:jc w:val="center"/>
              <w:rPr>
                <w:rFonts w:cs="Arial"/>
                <w:color w:val="000000"/>
                <w:sz w:val="16"/>
                <w:szCs w:val="16"/>
              </w:rPr>
            </w:pPr>
            <w:r w:rsidRPr="00D92E20">
              <w:rPr>
                <w:rFonts w:cs="Arial"/>
                <w:color w:val="000000"/>
                <w:sz w:val="16"/>
                <w:szCs w:val="16"/>
              </w:rPr>
              <w:t>2020</w:t>
            </w:r>
          </w:p>
        </w:tc>
      </w:tr>
      <w:tr w:rsidR="009208D0" w:rsidRPr="00D92E20" w14:paraId="245D5B9B" w14:textId="77777777" w:rsidTr="009F67D0">
        <w:trPr>
          <w:trHeight w:val="285"/>
        </w:trPr>
        <w:tc>
          <w:tcPr>
            <w:tcW w:w="2438" w:type="dxa"/>
            <w:tcBorders>
              <w:top w:val="single" w:sz="4" w:space="0" w:color="auto"/>
              <w:bottom w:val="nil"/>
              <w:right w:val="single" w:sz="4" w:space="0" w:color="auto"/>
            </w:tcBorders>
            <w:shd w:val="clear" w:color="auto" w:fill="auto"/>
            <w:noWrap/>
            <w:vAlign w:val="center"/>
            <w:hideMark/>
          </w:tcPr>
          <w:p w14:paraId="7CE45E18" w14:textId="77777777" w:rsidR="009208D0" w:rsidRPr="00D92E20" w:rsidRDefault="009208D0" w:rsidP="009208D0">
            <w:pPr>
              <w:spacing w:after="0" w:line="240" w:lineRule="auto"/>
              <w:rPr>
                <w:rFonts w:cs="Arial"/>
                <w:b/>
                <w:bCs/>
                <w:color w:val="000000"/>
                <w:sz w:val="16"/>
                <w:szCs w:val="16"/>
              </w:rPr>
            </w:pPr>
            <w:r w:rsidRPr="00D92E20">
              <w:rPr>
                <w:rFonts w:cs="Arial"/>
                <w:b/>
                <w:bCs/>
                <w:color w:val="000000"/>
                <w:sz w:val="16"/>
                <w:szCs w:val="16"/>
              </w:rPr>
              <w:t>ČR celkem</w:t>
            </w:r>
          </w:p>
        </w:tc>
        <w:tc>
          <w:tcPr>
            <w:tcW w:w="1191" w:type="dxa"/>
            <w:tcBorders>
              <w:top w:val="nil"/>
              <w:left w:val="single" w:sz="4" w:space="0" w:color="auto"/>
              <w:bottom w:val="nil"/>
              <w:right w:val="nil"/>
            </w:tcBorders>
            <w:shd w:val="clear" w:color="auto" w:fill="auto"/>
            <w:noWrap/>
            <w:vAlign w:val="center"/>
          </w:tcPr>
          <w:p w14:paraId="3D2992EB" w14:textId="6EDA122F" w:rsidR="009208D0" w:rsidRPr="00D92E20" w:rsidRDefault="002773F6" w:rsidP="009F67D0">
            <w:pPr>
              <w:spacing w:after="0" w:line="240" w:lineRule="auto"/>
              <w:jc w:val="right"/>
              <w:rPr>
                <w:rFonts w:cs="Arial"/>
                <w:b/>
                <w:bCs/>
                <w:color w:val="000000"/>
                <w:sz w:val="16"/>
                <w:szCs w:val="16"/>
              </w:rPr>
            </w:pPr>
            <w:r w:rsidRPr="00D92E20">
              <w:rPr>
                <w:rFonts w:cs="Arial"/>
                <w:b/>
                <w:bCs/>
                <w:color w:val="000000"/>
                <w:sz w:val="16"/>
                <w:szCs w:val="16"/>
              </w:rPr>
              <w:t>1 832,4</w:t>
            </w:r>
          </w:p>
        </w:tc>
        <w:tc>
          <w:tcPr>
            <w:tcW w:w="1191" w:type="dxa"/>
            <w:tcBorders>
              <w:top w:val="nil"/>
              <w:left w:val="single" w:sz="4" w:space="0" w:color="auto"/>
              <w:bottom w:val="nil"/>
              <w:right w:val="nil"/>
            </w:tcBorders>
            <w:shd w:val="clear" w:color="auto" w:fill="auto"/>
            <w:vAlign w:val="center"/>
          </w:tcPr>
          <w:p w14:paraId="5FFAB16F" w14:textId="0FCA0781" w:rsidR="009208D0" w:rsidRPr="00D92E20" w:rsidRDefault="009208D0" w:rsidP="009F67D0">
            <w:pPr>
              <w:spacing w:after="0" w:line="240" w:lineRule="auto"/>
              <w:jc w:val="right"/>
              <w:rPr>
                <w:rFonts w:cs="Arial"/>
                <w:b/>
                <w:bCs/>
                <w:color w:val="000000"/>
                <w:sz w:val="16"/>
                <w:szCs w:val="16"/>
              </w:rPr>
            </w:pPr>
            <w:r w:rsidRPr="00D92E20">
              <w:rPr>
                <w:rFonts w:cs="Arial"/>
                <w:b/>
                <w:bCs/>
                <w:color w:val="000000"/>
                <w:sz w:val="16"/>
                <w:szCs w:val="16"/>
              </w:rPr>
              <w:t>2 293,7</w:t>
            </w:r>
          </w:p>
        </w:tc>
        <w:tc>
          <w:tcPr>
            <w:tcW w:w="1191" w:type="dxa"/>
            <w:tcBorders>
              <w:top w:val="nil"/>
              <w:left w:val="single" w:sz="4" w:space="0" w:color="auto"/>
              <w:bottom w:val="nil"/>
              <w:right w:val="single" w:sz="4" w:space="0" w:color="auto"/>
            </w:tcBorders>
            <w:shd w:val="clear" w:color="auto" w:fill="auto"/>
            <w:noWrap/>
            <w:vAlign w:val="center"/>
          </w:tcPr>
          <w:p w14:paraId="0194022D" w14:textId="6C098CB1" w:rsidR="009208D0" w:rsidRPr="00D92E20" w:rsidRDefault="002773F6" w:rsidP="009F67D0">
            <w:pPr>
              <w:spacing w:after="0" w:line="240" w:lineRule="auto"/>
              <w:jc w:val="right"/>
              <w:rPr>
                <w:rFonts w:cs="Arial"/>
                <w:b/>
                <w:bCs/>
                <w:color w:val="000000"/>
                <w:sz w:val="16"/>
                <w:szCs w:val="16"/>
              </w:rPr>
            </w:pPr>
            <w:r w:rsidRPr="00D92E20">
              <w:rPr>
                <w:rFonts w:cs="Arial"/>
                <w:b/>
                <w:bCs/>
                <w:color w:val="000000"/>
                <w:sz w:val="16"/>
                <w:szCs w:val="16"/>
              </w:rPr>
              <w:t>75 058,7</w:t>
            </w:r>
          </w:p>
        </w:tc>
        <w:tc>
          <w:tcPr>
            <w:tcW w:w="1191" w:type="dxa"/>
            <w:tcBorders>
              <w:top w:val="nil"/>
              <w:left w:val="single" w:sz="4" w:space="0" w:color="auto"/>
              <w:bottom w:val="nil"/>
              <w:right w:val="single" w:sz="4" w:space="0" w:color="auto"/>
            </w:tcBorders>
            <w:shd w:val="clear" w:color="auto" w:fill="auto"/>
            <w:vAlign w:val="center"/>
          </w:tcPr>
          <w:p w14:paraId="2F75CCC3" w14:textId="1ADB0D4C" w:rsidR="009208D0" w:rsidRPr="00D92E20" w:rsidRDefault="009208D0" w:rsidP="009F67D0">
            <w:pPr>
              <w:spacing w:after="0" w:line="240" w:lineRule="auto"/>
              <w:jc w:val="right"/>
              <w:rPr>
                <w:rFonts w:cs="Arial"/>
                <w:b/>
                <w:bCs/>
                <w:color w:val="000000"/>
                <w:sz w:val="16"/>
                <w:szCs w:val="16"/>
              </w:rPr>
            </w:pPr>
            <w:r w:rsidRPr="00D92E20">
              <w:rPr>
                <w:rFonts w:cs="Arial"/>
                <w:b/>
                <w:bCs/>
                <w:color w:val="000000"/>
                <w:sz w:val="16"/>
                <w:szCs w:val="16"/>
              </w:rPr>
              <w:t>86 457,1</w:t>
            </w:r>
          </w:p>
        </w:tc>
        <w:tc>
          <w:tcPr>
            <w:tcW w:w="1191" w:type="dxa"/>
            <w:tcBorders>
              <w:top w:val="single" w:sz="4" w:space="0" w:color="auto"/>
              <w:left w:val="nil"/>
              <w:bottom w:val="nil"/>
              <w:right w:val="single" w:sz="4" w:space="0" w:color="auto"/>
            </w:tcBorders>
            <w:shd w:val="clear" w:color="auto" w:fill="auto"/>
            <w:noWrap/>
            <w:vAlign w:val="center"/>
          </w:tcPr>
          <w:p w14:paraId="034FAD61" w14:textId="09C1BA00" w:rsidR="009208D0" w:rsidRPr="00D92E20" w:rsidRDefault="002773F6" w:rsidP="009F67D0">
            <w:pPr>
              <w:spacing w:after="0" w:line="240" w:lineRule="auto"/>
              <w:jc w:val="right"/>
              <w:rPr>
                <w:rFonts w:cs="Arial"/>
                <w:b/>
                <w:bCs/>
                <w:color w:val="000000"/>
                <w:sz w:val="16"/>
                <w:szCs w:val="16"/>
              </w:rPr>
            </w:pPr>
            <w:r w:rsidRPr="00D92E20">
              <w:rPr>
                <w:rFonts w:cs="Arial"/>
                <w:b/>
                <w:bCs/>
                <w:color w:val="000000"/>
                <w:sz w:val="16"/>
                <w:szCs w:val="16"/>
              </w:rPr>
              <w:t>41,0</w:t>
            </w:r>
          </w:p>
        </w:tc>
        <w:tc>
          <w:tcPr>
            <w:tcW w:w="1191" w:type="dxa"/>
            <w:tcBorders>
              <w:top w:val="nil"/>
              <w:left w:val="single" w:sz="4" w:space="0" w:color="auto"/>
              <w:bottom w:val="nil"/>
              <w:right w:val="nil"/>
            </w:tcBorders>
            <w:shd w:val="clear" w:color="auto" w:fill="auto"/>
            <w:vAlign w:val="center"/>
          </w:tcPr>
          <w:p w14:paraId="553D1BB9" w14:textId="0642E291" w:rsidR="009208D0" w:rsidRPr="00D92E20" w:rsidRDefault="009208D0" w:rsidP="009F67D0">
            <w:pPr>
              <w:spacing w:after="0" w:line="240" w:lineRule="auto"/>
              <w:jc w:val="right"/>
              <w:rPr>
                <w:rFonts w:cs="Arial"/>
                <w:b/>
                <w:bCs/>
                <w:color w:val="000000"/>
                <w:sz w:val="16"/>
                <w:szCs w:val="16"/>
              </w:rPr>
            </w:pPr>
            <w:r w:rsidRPr="00D92E20">
              <w:rPr>
                <w:rFonts w:cs="Arial"/>
                <w:b/>
                <w:bCs/>
                <w:color w:val="000000"/>
                <w:sz w:val="16"/>
                <w:szCs w:val="16"/>
              </w:rPr>
              <w:t>37,7</w:t>
            </w:r>
          </w:p>
        </w:tc>
      </w:tr>
      <w:tr w:rsidR="009208D0" w:rsidRPr="00D92E20" w14:paraId="799E1028"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2C900328"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Hl. m. Praha</w:t>
            </w:r>
          </w:p>
        </w:tc>
        <w:tc>
          <w:tcPr>
            <w:tcW w:w="1191" w:type="dxa"/>
            <w:tcBorders>
              <w:top w:val="nil"/>
              <w:left w:val="single" w:sz="4" w:space="0" w:color="auto"/>
              <w:bottom w:val="nil"/>
              <w:right w:val="nil"/>
            </w:tcBorders>
            <w:shd w:val="clear" w:color="auto" w:fill="auto"/>
            <w:noWrap/>
            <w:vAlign w:val="center"/>
          </w:tcPr>
          <w:p w14:paraId="532E92C5" w14:textId="36BDEC50"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198,1</w:t>
            </w:r>
          </w:p>
        </w:tc>
        <w:tc>
          <w:tcPr>
            <w:tcW w:w="1191" w:type="dxa"/>
            <w:tcBorders>
              <w:top w:val="nil"/>
              <w:left w:val="single" w:sz="4" w:space="0" w:color="auto"/>
              <w:bottom w:val="nil"/>
              <w:right w:val="nil"/>
            </w:tcBorders>
            <w:shd w:val="clear" w:color="auto" w:fill="auto"/>
            <w:vAlign w:val="center"/>
          </w:tcPr>
          <w:p w14:paraId="2BD5D1B3" w14:textId="7F2CC5F4"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254,8</w:t>
            </w:r>
          </w:p>
        </w:tc>
        <w:tc>
          <w:tcPr>
            <w:tcW w:w="1191" w:type="dxa"/>
            <w:tcBorders>
              <w:top w:val="nil"/>
              <w:left w:val="single" w:sz="4" w:space="0" w:color="auto"/>
              <w:bottom w:val="nil"/>
              <w:right w:val="single" w:sz="4" w:space="0" w:color="auto"/>
            </w:tcBorders>
            <w:shd w:val="clear" w:color="auto" w:fill="auto"/>
            <w:noWrap/>
            <w:vAlign w:val="center"/>
          </w:tcPr>
          <w:p w14:paraId="422660F4" w14:textId="5BD61938"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6 161,0</w:t>
            </w:r>
          </w:p>
        </w:tc>
        <w:tc>
          <w:tcPr>
            <w:tcW w:w="1191" w:type="dxa"/>
            <w:tcBorders>
              <w:top w:val="nil"/>
              <w:left w:val="single" w:sz="4" w:space="0" w:color="auto"/>
              <w:bottom w:val="nil"/>
              <w:right w:val="single" w:sz="4" w:space="0" w:color="auto"/>
            </w:tcBorders>
            <w:shd w:val="clear" w:color="auto" w:fill="auto"/>
            <w:vAlign w:val="center"/>
          </w:tcPr>
          <w:p w14:paraId="44DA9466" w14:textId="6099DA0D"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7 666,3</w:t>
            </w:r>
          </w:p>
        </w:tc>
        <w:tc>
          <w:tcPr>
            <w:tcW w:w="1191" w:type="dxa"/>
            <w:tcBorders>
              <w:top w:val="nil"/>
              <w:left w:val="nil"/>
              <w:bottom w:val="nil"/>
              <w:right w:val="single" w:sz="4" w:space="0" w:color="auto"/>
            </w:tcBorders>
            <w:shd w:val="clear" w:color="auto" w:fill="auto"/>
            <w:noWrap/>
            <w:vAlign w:val="center"/>
          </w:tcPr>
          <w:p w14:paraId="74672533" w14:textId="701EE24C"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31,1</w:t>
            </w:r>
          </w:p>
        </w:tc>
        <w:tc>
          <w:tcPr>
            <w:tcW w:w="1191" w:type="dxa"/>
            <w:tcBorders>
              <w:top w:val="nil"/>
              <w:left w:val="single" w:sz="4" w:space="0" w:color="auto"/>
              <w:bottom w:val="nil"/>
              <w:right w:val="nil"/>
            </w:tcBorders>
            <w:shd w:val="clear" w:color="auto" w:fill="auto"/>
            <w:vAlign w:val="center"/>
          </w:tcPr>
          <w:p w14:paraId="107BD4C4" w14:textId="4EFA95A3"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30,1</w:t>
            </w:r>
          </w:p>
        </w:tc>
      </w:tr>
      <w:tr w:rsidR="009208D0" w:rsidRPr="00D92E20" w14:paraId="0E2E4F83"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3FDECE22"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Středočeský kraj</w:t>
            </w:r>
          </w:p>
        </w:tc>
        <w:tc>
          <w:tcPr>
            <w:tcW w:w="1191" w:type="dxa"/>
            <w:tcBorders>
              <w:top w:val="nil"/>
              <w:left w:val="single" w:sz="4" w:space="0" w:color="auto"/>
              <w:bottom w:val="nil"/>
              <w:right w:val="nil"/>
            </w:tcBorders>
            <w:shd w:val="clear" w:color="auto" w:fill="auto"/>
            <w:noWrap/>
            <w:vAlign w:val="center"/>
          </w:tcPr>
          <w:p w14:paraId="0DF1A2B0" w14:textId="7D1F4B82"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219,5</w:t>
            </w:r>
          </w:p>
        </w:tc>
        <w:tc>
          <w:tcPr>
            <w:tcW w:w="1191" w:type="dxa"/>
            <w:tcBorders>
              <w:top w:val="nil"/>
              <w:left w:val="single" w:sz="4" w:space="0" w:color="auto"/>
              <w:bottom w:val="nil"/>
              <w:right w:val="nil"/>
            </w:tcBorders>
            <w:shd w:val="clear" w:color="auto" w:fill="auto"/>
            <w:vAlign w:val="center"/>
          </w:tcPr>
          <w:p w14:paraId="6196D514" w14:textId="370FB0B5"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248,1</w:t>
            </w:r>
          </w:p>
        </w:tc>
        <w:tc>
          <w:tcPr>
            <w:tcW w:w="1191" w:type="dxa"/>
            <w:tcBorders>
              <w:top w:val="nil"/>
              <w:left w:val="single" w:sz="4" w:space="0" w:color="auto"/>
              <w:bottom w:val="nil"/>
              <w:right w:val="single" w:sz="4" w:space="0" w:color="auto"/>
            </w:tcBorders>
            <w:shd w:val="clear" w:color="auto" w:fill="auto"/>
            <w:noWrap/>
            <w:vAlign w:val="center"/>
          </w:tcPr>
          <w:p w14:paraId="3C7205A2" w14:textId="36B87721"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8 152,9</w:t>
            </w:r>
          </w:p>
        </w:tc>
        <w:tc>
          <w:tcPr>
            <w:tcW w:w="1191" w:type="dxa"/>
            <w:tcBorders>
              <w:top w:val="nil"/>
              <w:left w:val="single" w:sz="4" w:space="0" w:color="auto"/>
              <w:bottom w:val="nil"/>
              <w:right w:val="single" w:sz="4" w:space="0" w:color="auto"/>
            </w:tcBorders>
            <w:shd w:val="clear" w:color="auto" w:fill="auto"/>
            <w:vAlign w:val="center"/>
          </w:tcPr>
          <w:p w14:paraId="72793B3A" w14:textId="094EFC78"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8 523,1</w:t>
            </w:r>
          </w:p>
        </w:tc>
        <w:tc>
          <w:tcPr>
            <w:tcW w:w="1191" w:type="dxa"/>
            <w:tcBorders>
              <w:top w:val="nil"/>
              <w:left w:val="nil"/>
              <w:bottom w:val="nil"/>
              <w:right w:val="single" w:sz="4" w:space="0" w:color="auto"/>
            </w:tcBorders>
            <w:shd w:val="clear" w:color="auto" w:fill="auto"/>
            <w:noWrap/>
            <w:vAlign w:val="center"/>
          </w:tcPr>
          <w:p w14:paraId="56485892" w14:textId="741C5130"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37,2</w:t>
            </w:r>
          </w:p>
        </w:tc>
        <w:tc>
          <w:tcPr>
            <w:tcW w:w="1191" w:type="dxa"/>
            <w:tcBorders>
              <w:top w:val="nil"/>
              <w:left w:val="single" w:sz="4" w:space="0" w:color="auto"/>
              <w:bottom w:val="nil"/>
              <w:right w:val="nil"/>
            </w:tcBorders>
            <w:shd w:val="clear" w:color="auto" w:fill="auto"/>
            <w:vAlign w:val="center"/>
          </w:tcPr>
          <w:p w14:paraId="2FE20D8B" w14:textId="7E4B7A8F"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34,4</w:t>
            </w:r>
          </w:p>
        </w:tc>
      </w:tr>
      <w:tr w:rsidR="009208D0" w:rsidRPr="00D92E20" w14:paraId="35A1AB73"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21AD090B"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Jihočeský kraj</w:t>
            </w:r>
          </w:p>
        </w:tc>
        <w:tc>
          <w:tcPr>
            <w:tcW w:w="1191" w:type="dxa"/>
            <w:tcBorders>
              <w:top w:val="nil"/>
              <w:left w:val="single" w:sz="4" w:space="0" w:color="auto"/>
              <w:bottom w:val="nil"/>
              <w:right w:val="nil"/>
            </w:tcBorders>
            <w:shd w:val="clear" w:color="auto" w:fill="auto"/>
            <w:noWrap/>
            <w:vAlign w:val="center"/>
          </w:tcPr>
          <w:p w14:paraId="6DD84B18" w14:textId="4EF90389"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117,3</w:t>
            </w:r>
          </w:p>
        </w:tc>
        <w:tc>
          <w:tcPr>
            <w:tcW w:w="1191" w:type="dxa"/>
            <w:tcBorders>
              <w:top w:val="nil"/>
              <w:left w:val="single" w:sz="4" w:space="0" w:color="auto"/>
              <w:bottom w:val="nil"/>
              <w:right w:val="nil"/>
            </w:tcBorders>
            <w:shd w:val="clear" w:color="auto" w:fill="auto"/>
            <w:vAlign w:val="center"/>
          </w:tcPr>
          <w:p w14:paraId="0640A42C" w14:textId="052E5CEF"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143,7</w:t>
            </w:r>
          </w:p>
        </w:tc>
        <w:tc>
          <w:tcPr>
            <w:tcW w:w="1191" w:type="dxa"/>
            <w:tcBorders>
              <w:top w:val="nil"/>
              <w:left w:val="single" w:sz="4" w:space="0" w:color="auto"/>
              <w:bottom w:val="nil"/>
              <w:right w:val="single" w:sz="4" w:space="0" w:color="auto"/>
            </w:tcBorders>
            <w:shd w:val="clear" w:color="auto" w:fill="auto"/>
            <w:noWrap/>
            <w:vAlign w:val="center"/>
          </w:tcPr>
          <w:p w14:paraId="10062453" w14:textId="683673FB"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5 060,8</w:t>
            </w:r>
          </w:p>
        </w:tc>
        <w:tc>
          <w:tcPr>
            <w:tcW w:w="1191" w:type="dxa"/>
            <w:tcBorders>
              <w:top w:val="nil"/>
              <w:left w:val="single" w:sz="4" w:space="0" w:color="auto"/>
              <w:bottom w:val="nil"/>
              <w:right w:val="single" w:sz="4" w:space="0" w:color="auto"/>
            </w:tcBorders>
            <w:shd w:val="clear" w:color="auto" w:fill="auto"/>
            <w:vAlign w:val="center"/>
          </w:tcPr>
          <w:p w14:paraId="78E6CFCC" w14:textId="36382F9B"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5 597,3</w:t>
            </w:r>
          </w:p>
        </w:tc>
        <w:tc>
          <w:tcPr>
            <w:tcW w:w="1191" w:type="dxa"/>
            <w:tcBorders>
              <w:top w:val="nil"/>
              <w:left w:val="nil"/>
              <w:bottom w:val="nil"/>
              <w:right w:val="single" w:sz="4" w:space="0" w:color="auto"/>
            </w:tcBorders>
            <w:shd w:val="clear" w:color="auto" w:fill="auto"/>
            <w:noWrap/>
            <w:vAlign w:val="center"/>
          </w:tcPr>
          <w:p w14:paraId="4D621D60" w14:textId="7E9DA590"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43,2</w:t>
            </w:r>
          </w:p>
        </w:tc>
        <w:tc>
          <w:tcPr>
            <w:tcW w:w="1191" w:type="dxa"/>
            <w:tcBorders>
              <w:top w:val="nil"/>
              <w:left w:val="single" w:sz="4" w:space="0" w:color="auto"/>
              <w:bottom w:val="nil"/>
              <w:right w:val="nil"/>
            </w:tcBorders>
            <w:shd w:val="clear" w:color="auto" w:fill="auto"/>
            <w:vAlign w:val="center"/>
          </w:tcPr>
          <w:p w14:paraId="49BEBE91" w14:textId="30A9B2D1"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39,0</w:t>
            </w:r>
          </w:p>
        </w:tc>
      </w:tr>
      <w:tr w:rsidR="009208D0" w:rsidRPr="00D92E20" w14:paraId="2575C1CF"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163B2E66"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Plzeňský kraj</w:t>
            </w:r>
          </w:p>
        </w:tc>
        <w:tc>
          <w:tcPr>
            <w:tcW w:w="1191" w:type="dxa"/>
            <w:tcBorders>
              <w:top w:val="nil"/>
              <w:left w:val="single" w:sz="4" w:space="0" w:color="auto"/>
              <w:bottom w:val="nil"/>
              <w:right w:val="nil"/>
            </w:tcBorders>
            <w:shd w:val="clear" w:color="auto" w:fill="auto"/>
            <w:noWrap/>
            <w:vAlign w:val="center"/>
          </w:tcPr>
          <w:p w14:paraId="247E25BB" w14:textId="03351BC4"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120,2</w:t>
            </w:r>
          </w:p>
        </w:tc>
        <w:tc>
          <w:tcPr>
            <w:tcW w:w="1191" w:type="dxa"/>
            <w:tcBorders>
              <w:top w:val="nil"/>
              <w:left w:val="single" w:sz="4" w:space="0" w:color="auto"/>
              <w:bottom w:val="nil"/>
              <w:right w:val="nil"/>
            </w:tcBorders>
            <w:shd w:val="clear" w:color="auto" w:fill="auto"/>
            <w:vAlign w:val="center"/>
          </w:tcPr>
          <w:p w14:paraId="776FCDCD" w14:textId="1D551AA6"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136,8</w:t>
            </w:r>
          </w:p>
        </w:tc>
        <w:tc>
          <w:tcPr>
            <w:tcW w:w="1191" w:type="dxa"/>
            <w:tcBorders>
              <w:top w:val="nil"/>
              <w:left w:val="single" w:sz="4" w:space="0" w:color="auto"/>
              <w:bottom w:val="nil"/>
              <w:right w:val="single" w:sz="4" w:space="0" w:color="auto"/>
            </w:tcBorders>
            <w:shd w:val="clear" w:color="auto" w:fill="auto"/>
            <w:noWrap/>
            <w:vAlign w:val="center"/>
          </w:tcPr>
          <w:p w14:paraId="53977D90" w14:textId="2402BCD6"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4 645,1</w:t>
            </w:r>
          </w:p>
        </w:tc>
        <w:tc>
          <w:tcPr>
            <w:tcW w:w="1191" w:type="dxa"/>
            <w:tcBorders>
              <w:top w:val="nil"/>
              <w:left w:val="single" w:sz="4" w:space="0" w:color="auto"/>
              <w:bottom w:val="nil"/>
              <w:right w:val="single" w:sz="4" w:space="0" w:color="auto"/>
            </w:tcBorders>
            <w:shd w:val="clear" w:color="auto" w:fill="auto"/>
            <w:vAlign w:val="center"/>
          </w:tcPr>
          <w:p w14:paraId="17372E02" w14:textId="24872700"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5 041,9</w:t>
            </w:r>
          </w:p>
        </w:tc>
        <w:tc>
          <w:tcPr>
            <w:tcW w:w="1191" w:type="dxa"/>
            <w:tcBorders>
              <w:top w:val="nil"/>
              <w:left w:val="nil"/>
              <w:bottom w:val="nil"/>
              <w:right w:val="single" w:sz="4" w:space="0" w:color="auto"/>
            </w:tcBorders>
            <w:shd w:val="clear" w:color="auto" w:fill="auto"/>
            <w:noWrap/>
            <w:vAlign w:val="center"/>
          </w:tcPr>
          <w:p w14:paraId="6C5EFCAF" w14:textId="69D374AD"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38,6</w:t>
            </w:r>
          </w:p>
        </w:tc>
        <w:tc>
          <w:tcPr>
            <w:tcW w:w="1191" w:type="dxa"/>
            <w:tcBorders>
              <w:top w:val="nil"/>
              <w:left w:val="single" w:sz="4" w:space="0" w:color="auto"/>
              <w:bottom w:val="nil"/>
              <w:right w:val="nil"/>
            </w:tcBorders>
            <w:shd w:val="clear" w:color="auto" w:fill="auto"/>
            <w:vAlign w:val="center"/>
          </w:tcPr>
          <w:p w14:paraId="3AECB202" w14:textId="793DC0EE"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36,9</w:t>
            </w:r>
          </w:p>
        </w:tc>
      </w:tr>
      <w:tr w:rsidR="009208D0" w:rsidRPr="00D92E20" w14:paraId="6D750AAC"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3198D5D3"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Karlovarský kraj</w:t>
            </w:r>
          </w:p>
        </w:tc>
        <w:tc>
          <w:tcPr>
            <w:tcW w:w="1191" w:type="dxa"/>
            <w:tcBorders>
              <w:top w:val="nil"/>
              <w:left w:val="single" w:sz="4" w:space="0" w:color="auto"/>
              <w:bottom w:val="nil"/>
              <w:right w:val="nil"/>
            </w:tcBorders>
            <w:shd w:val="clear" w:color="auto" w:fill="auto"/>
            <w:noWrap/>
            <w:vAlign w:val="center"/>
          </w:tcPr>
          <w:p w14:paraId="2C4FB532" w14:textId="504942AA"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49,4</w:t>
            </w:r>
          </w:p>
        </w:tc>
        <w:tc>
          <w:tcPr>
            <w:tcW w:w="1191" w:type="dxa"/>
            <w:tcBorders>
              <w:top w:val="nil"/>
              <w:left w:val="single" w:sz="4" w:space="0" w:color="auto"/>
              <w:bottom w:val="nil"/>
              <w:right w:val="nil"/>
            </w:tcBorders>
            <w:shd w:val="clear" w:color="auto" w:fill="auto"/>
            <w:vAlign w:val="center"/>
          </w:tcPr>
          <w:p w14:paraId="4F4FDF43" w14:textId="503BBD95"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53,4</w:t>
            </w:r>
          </w:p>
        </w:tc>
        <w:tc>
          <w:tcPr>
            <w:tcW w:w="1191" w:type="dxa"/>
            <w:tcBorders>
              <w:top w:val="nil"/>
              <w:left w:val="single" w:sz="4" w:space="0" w:color="auto"/>
              <w:bottom w:val="nil"/>
              <w:right w:val="single" w:sz="4" w:space="0" w:color="auto"/>
            </w:tcBorders>
            <w:shd w:val="clear" w:color="auto" w:fill="auto"/>
            <w:noWrap/>
            <w:vAlign w:val="center"/>
          </w:tcPr>
          <w:p w14:paraId="1315E43C" w14:textId="3CB76B73"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1 891,6</w:t>
            </w:r>
          </w:p>
        </w:tc>
        <w:tc>
          <w:tcPr>
            <w:tcW w:w="1191" w:type="dxa"/>
            <w:tcBorders>
              <w:top w:val="nil"/>
              <w:left w:val="single" w:sz="4" w:space="0" w:color="auto"/>
              <w:bottom w:val="nil"/>
              <w:right w:val="single" w:sz="4" w:space="0" w:color="auto"/>
            </w:tcBorders>
            <w:shd w:val="clear" w:color="auto" w:fill="auto"/>
            <w:vAlign w:val="center"/>
          </w:tcPr>
          <w:p w14:paraId="4634DE7D" w14:textId="6FEFEEBC"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2 049,4</w:t>
            </w:r>
          </w:p>
        </w:tc>
        <w:tc>
          <w:tcPr>
            <w:tcW w:w="1191" w:type="dxa"/>
            <w:tcBorders>
              <w:top w:val="nil"/>
              <w:left w:val="nil"/>
              <w:bottom w:val="nil"/>
              <w:right w:val="single" w:sz="4" w:space="0" w:color="auto"/>
            </w:tcBorders>
            <w:shd w:val="clear" w:color="auto" w:fill="auto"/>
            <w:noWrap/>
            <w:vAlign w:val="center"/>
          </w:tcPr>
          <w:p w14:paraId="423EF97C" w14:textId="0645314D"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38,3</w:t>
            </w:r>
          </w:p>
        </w:tc>
        <w:tc>
          <w:tcPr>
            <w:tcW w:w="1191" w:type="dxa"/>
            <w:tcBorders>
              <w:top w:val="nil"/>
              <w:left w:val="single" w:sz="4" w:space="0" w:color="auto"/>
              <w:bottom w:val="nil"/>
              <w:right w:val="nil"/>
            </w:tcBorders>
            <w:shd w:val="clear" w:color="auto" w:fill="auto"/>
            <w:vAlign w:val="center"/>
          </w:tcPr>
          <w:p w14:paraId="75483062" w14:textId="511F75D4"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38,4</w:t>
            </w:r>
          </w:p>
        </w:tc>
      </w:tr>
      <w:tr w:rsidR="009208D0" w:rsidRPr="00D92E20" w14:paraId="6B7122AB"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3E27580E"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Ústecký kraj</w:t>
            </w:r>
          </w:p>
        </w:tc>
        <w:tc>
          <w:tcPr>
            <w:tcW w:w="1191" w:type="dxa"/>
            <w:tcBorders>
              <w:top w:val="nil"/>
              <w:left w:val="single" w:sz="4" w:space="0" w:color="auto"/>
              <w:bottom w:val="nil"/>
              <w:right w:val="nil"/>
            </w:tcBorders>
            <w:shd w:val="clear" w:color="auto" w:fill="auto"/>
            <w:noWrap/>
            <w:vAlign w:val="center"/>
          </w:tcPr>
          <w:p w14:paraId="6D1EF149" w14:textId="3115C48D"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146,6</w:t>
            </w:r>
          </w:p>
        </w:tc>
        <w:tc>
          <w:tcPr>
            <w:tcW w:w="1191" w:type="dxa"/>
            <w:tcBorders>
              <w:top w:val="nil"/>
              <w:left w:val="single" w:sz="4" w:space="0" w:color="auto"/>
              <w:bottom w:val="nil"/>
              <w:right w:val="nil"/>
            </w:tcBorders>
            <w:shd w:val="clear" w:color="auto" w:fill="auto"/>
            <w:vAlign w:val="center"/>
          </w:tcPr>
          <w:p w14:paraId="0669D666" w14:textId="4DB5A724"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171,4</w:t>
            </w:r>
          </w:p>
        </w:tc>
        <w:tc>
          <w:tcPr>
            <w:tcW w:w="1191" w:type="dxa"/>
            <w:tcBorders>
              <w:top w:val="nil"/>
              <w:left w:val="single" w:sz="4" w:space="0" w:color="auto"/>
              <w:bottom w:val="nil"/>
              <w:right w:val="single" w:sz="4" w:space="0" w:color="auto"/>
            </w:tcBorders>
            <w:shd w:val="clear" w:color="auto" w:fill="auto"/>
            <w:noWrap/>
            <w:vAlign w:val="center"/>
          </w:tcPr>
          <w:p w14:paraId="4A038CC0" w14:textId="1973A240"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5 862,2</w:t>
            </w:r>
          </w:p>
        </w:tc>
        <w:tc>
          <w:tcPr>
            <w:tcW w:w="1191" w:type="dxa"/>
            <w:tcBorders>
              <w:top w:val="nil"/>
              <w:left w:val="single" w:sz="4" w:space="0" w:color="auto"/>
              <w:bottom w:val="nil"/>
              <w:right w:val="single" w:sz="4" w:space="0" w:color="auto"/>
            </w:tcBorders>
            <w:shd w:val="clear" w:color="auto" w:fill="auto"/>
            <w:vAlign w:val="center"/>
          </w:tcPr>
          <w:p w14:paraId="2552BB35" w14:textId="62A683ED"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6 419,8</w:t>
            </w:r>
          </w:p>
        </w:tc>
        <w:tc>
          <w:tcPr>
            <w:tcW w:w="1191" w:type="dxa"/>
            <w:tcBorders>
              <w:top w:val="nil"/>
              <w:left w:val="nil"/>
              <w:bottom w:val="nil"/>
              <w:right w:val="single" w:sz="4" w:space="0" w:color="auto"/>
            </w:tcBorders>
            <w:shd w:val="clear" w:color="auto" w:fill="auto"/>
            <w:noWrap/>
            <w:vAlign w:val="center"/>
          </w:tcPr>
          <w:p w14:paraId="34F485B2" w14:textId="0BA2A01F"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40,0</w:t>
            </w:r>
          </w:p>
        </w:tc>
        <w:tc>
          <w:tcPr>
            <w:tcW w:w="1191" w:type="dxa"/>
            <w:tcBorders>
              <w:top w:val="nil"/>
              <w:left w:val="single" w:sz="4" w:space="0" w:color="auto"/>
              <w:bottom w:val="nil"/>
              <w:right w:val="nil"/>
            </w:tcBorders>
            <w:shd w:val="clear" w:color="auto" w:fill="auto"/>
            <w:vAlign w:val="center"/>
          </w:tcPr>
          <w:p w14:paraId="71E4A3E9" w14:textId="3EF81A29"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37,5</w:t>
            </w:r>
          </w:p>
        </w:tc>
      </w:tr>
      <w:tr w:rsidR="009208D0" w:rsidRPr="00D92E20" w14:paraId="1FADCF93"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6E4BF23B"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Liberecký kraj</w:t>
            </w:r>
          </w:p>
        </w:tc>
        <w:tc>
          <w:tcPr>
            <w:tcW w:w="1191" w:type="dxa"/>
            <w:tcBorders>
              <w:top w:val="nil"/>
              <w:left w:val="single" w:sz="4" w:space="0" w:color="auto"/>
              <w:bottom w:val="nil"/>
              <w:right w:val="nil"/>
            </w:tcBorders>
            <w:shd w:val="clear" w:color="auto" w:fill="auto"/>
            <w:noWrap/>
            <w:vAlign w:val="center"/>
          </w:tcPr>
          <w:p w14:paraId="48760506" w14:textId="591FF557"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89,8</w:t>
            </w:r>
          </w:p>
        </w:tc>
        <w:tc>
          <w:tcPr>
            <w:tcW w:w="1191" w:type="dxa"/>
            <w:tcBorders>
              <w:top w:val="nil"/>
              <w:left w:val="single" w:sz="4" w:space="0" w:color="auto"/>
              <w:bottom w:val="nil"/>
              <w:right w:val="nil"/>
            </w:tcBorders>
            <w:shd w:val="clear" w:color="auto" w:fill="auto"/>
            <w:vAlign w:val="center"/>
          </w:tcPr>
          <w:p w14:paraId="7298A1DD" w14:textId="61EC4BA4"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107,3</w:t>
            </w:r>
          </w:p>
        </w:tc>
        <w:tc>
          <w:tcPr>
            <w:tcW w:w="1191" w:type="dxa"/>
            <w:tcBorders>
              <w:top w:val="nil"/>
              <w:left w:val="single" w:sz="4" w:space="0" w:color="auto"/>
              <w:bottom w:val="nil"/>
              <w:right w:val="single" w:sz="4" w:space="0" w:color="auto"/>
            </w:tcBorders>
            <w:shd w:val="clear" w:color="auto" w:fill="auto"/>
            <w:noWrap/>
            <w:vAlign w:val="center"/>
          </w:tcPr>
          <w:p w14:paraId="0AF492E2" w14:textId="2132B115"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3 438,9</w:t>
            </w:r>
          </w:p>
        </w:tc>
        <w:tc>
          <w:tcPr>
            <w:tcW w:w="1191" w:type="dxa"/>
            <w:tcBorders>
              <w:top w:val="nil"/>
              <w:left w:val="single" w:sz="4" w:space="0" w:color="auto"/>
              <w:bottom w:val="nil"/>
              <w:right w:val="single" w:sz="4" w:space="0" w:color="auto"/>
            </w:tcBorders>
            <w:shd w:val="clear" w:color="auto" w:fill="auto"/>
            <w:vAlign w:val="center"/>
          </w:tcPr>
          <w:p w14:paraId="648692CB" w14:textId="29200F03"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3 897,4</w:t>
            </w:r>
          </w:p>
        </w:tc>
        <w:tc>
          <w:tcPr>
            <w:tcW w:w="1191" w:type="dxa"/>
            <w:tcBorders>
              <w:top w:val="nil"/>
              <w:left w:val="nil"/>
              <w:bottom w:val="nil"/>
              <w:right w:val="single" w:sz="4" w:space="0" w:color="auto"/>
            </w:tcBorders>
            <w:shd w:val="clear" w:color="auto" w:fill="auto"/>
            <w:noWrap/>
            <w:vAlign w:val="center"/>
          </w:tcPr>
          <w:p w14:paraId="0E12CE94" w14:textId="55B11F6D"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38,3</w:t>
            </w:r>
          </w:p>
        </w:tc>
        <w:tc>
          <w:tcPr>
            <w:tcW w:w="1191" w:type="dxa"/>
            <w:tcBorders>
              <w:top w:val="nil"/>
              <w:left w:val="single" w:sz="4" w:space="0" w:color="auto"/>
              <w:bottom w:val="nil"/>
              <w:right w:val="nil"/>
            </w:tcBorders>
            <w:shd w:val="clear" w:color="auto" w:fill="auto"/>
            <w:vAlign w:val="center"/>
          </w:tcPr>
          <w:p w14:paraId="19BA6B29" w14:textId="4F10700F"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36,3</w:t>
            </w:r>
          </w:p>
        </w:tc>
      </w:tr>
      <w:tr w:rsidR="009208D0" w:rsidRPr="00D92E20" w14:paraId="5E70E6E2"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6A00FF69"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Královéhradecký kraj</w:t>
            </w:r>
          </w:p>
        </w:tc>
        <w:tc>
          <w:tcPr>
            <w:tcW w:w="1191" w:type="dxa"/>
            <w:tcBorders>
              <w:top w:val="nil"/>
              <w:left w:val="single" w:sz="4" w:space="0" w:color="auto"/>
              <w:bottom w:val="nil"/>
              <w:right w:val="nil"/>
            </w:tcBorders>
            <w:shd w:val="clear" w:color="auto" w:fill="auto"/>
            <w:noWrap/>
            <w:vAlign w:val="center"/>
          </w:tcPr>
          <w:p w14:paraId="043AD8D3" w14:textId="1BDDE484"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100,2</w:t>
            </w:r>
          </w:p>
        </w:tc>
        <w:tc>
          <w:tcPr>
            <w:tcW w:w="1191" w:type="dxa"/>
            <w:tcBorders>
              <w:top w:val="nil"/>
              <w:left w:val="single" w:sz="4" w:space="0" w:color="auto"/>
              <w:bottom w:val="nil"/>
              <w:right w:val="nil"/>
            </w:tcBorders>
            <w:shd w:val="clear" w:color="auto" w:fill="auto"/>
            <w:vAlign w:val="center"/>
          </w:tcPr>
          <w:p w14:paraId="43534426" w14:textId="532ABB20"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129,8</w:t>
            </w:r>
          </w:p>
        </w:tc>
        <w:tc>
          <w:tcPr>
            <w:tcW w:w="1191" w:type="dxa"/>
            <w:tcBorders>
              <w:top w:val="nil"/>
              <w:left w:val="single" w:sz="4" w:space="0" w:color="auto"/>
              <w:bottom w:val="nil"/>
              <w:right w:val="single" w:sz="4" w:space="0" w:color="auto"/>
            </w:tcBorders>
            <w:shd w:val="clear" w:color="auto" w:fill="auto"/>
            <w:noWrap/>
            <w:vAlign w:val="center"/>
          </w:tcPr>
          <w:p w14:paraId="0C338273" w14:textId="24C71410"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3 924,4</w:t>
            </w:r>
          </w:p>
        </w:tc>
        <w:tc>
          <w:tcPr>
            <w:tcW w:w="1191" w:type="dxa"/>
            <w:tcBorders>
              <w:top w:val="nil"/>
              <w:left w:val="single" w:sz="4" w:space="0" w:color="auto"/>
              <w:bottom w:val="nil"/>
              <w:right w:val="single" w:sz="4" w:space="0" w:color="auto"/>
            </w:tcBorders>
            <w:shd w:val="clear" w:color="auto" w:fill="auto"/>
            <w:vAlign w:val="center"/>
          </w:tcPr>
          <w:p w14:paraId="6C6A39F2" w14:textId="4DECBFDA"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4 741,2</w:t>
            </w:r>
          </w:p>
        </w:tc>
        <w:tc>
          <w:tcPr>
            <w:tcW w:w="1191" w:type="dxa"/>
            <w:tcBorders>
              <w:top w:val="nil"/>
              <w:left w:val="nil"/>
              <w:bottom w:val="nil"/>
              <w:right w:val="single" w:sz="4" w:space="0" w:color="auto"/>
            </w:tcBorders>
            <w:shd w:val="clear" w:color="auto" w:fill="auto"/>
            <w:noWrap/>
            <w:vAlign w:val="center"/>
          </w:tcPr>
          <w:p w14:paraId="391730C0" w14:textId="47F39A6F"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39,2</w:t>
            </w:r>
          </w:p>
        </w:tc>
        <w:tc>
          <w:tcPr>
            <w:tcW w:w="1191" w:type="dxa"/>
            <w:tcBorders>
              <w:top w:val="nil"/>
              <w:left w:val="single" w:sz="4" w:space="0" w:color="auto"/>
              <w:bottom w:val="nil"/>
              <w:right w:val="nil"/>
            </w:tcBorders>
            <w:shd w:val="clear" w:color="auto" w:fill="auto"/>
            <w:vAlign w:val="center"/>
          </w:tcPr>
          <w:p w14:paraId="423DF871" w14:textId="44A7CF22"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36,5</w:t>
            </w:r>
          </w:p>
        </w:tc>
      </w:tr>
      <w:tr w:rsidR="009208D0" w:rsidRPr="00D92E20" w14:paraId="0FF080AD"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2C565228"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Pardubický kraj</w:t>
            </w:r>
          </w:p>
        </w:tc>
        <w:tc>
          <w:tcPr>
            <w:tcW w:w="1191" w:type="dxa"/>
            <w:tcBorders>
              <w:top w:val="nil"/>
              <w:left w:val="single" w:sz="4" w:space="0" w:color="auto"/>
              <w:bottom w:val="nil"/>
              <w:right w:val="nil"/>
            </w:tcBorders>
            <w:shd w:val="clear" w:color="auto" w:fill="auto"/>
            <w:noWrap/>
            <w:vAlign w:val="center"/>
          </w:tcPr>
          <w:p w14:paraId="525EB89F" w14:textId="22D0A66C"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94,1</w:t>
            </w:r>
          </w:p>
        </w:tc>
        <w:tc>
          <w:tcPr>
            <w:tcW w:w="1191" w:type="dxa"/>
            <w:tcBorders>
              <w:top w:val="nil"/>
              <w:left w:val="single" w:sz="4" w:space="0" w:color="auto"/>
              <w:bottom w:val="nil"/>
              <w:right w:val="nil"/>
            </w:tcBorders>
            <w:shd w:val="clear" w:color="auto" w:fill="auto"/>
            <w:vAlign w:val="center"/>
          </w:tcPr>
          <w:p w14:paraId="069A8B25" w14:textId="6DDD9CAD"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116,4</w:t>
            </w:r>
          </w:p>
        </w:tc>
        <w:tc>
          <w:tcPr>
            <w:tcW w:w="1191" w:type="dxa"/>
            <w:tcBorders>
              <w:top w:val="nil"/>
              <w:left w:val="single" w:sz="4" w:space="0" w:color="auto"/>
              <w:bottom w:val="nil"/>
              <w:right w:val="single" w:sz="4" w:space="0" w:color="auto"/>
            </w:tcBorders>
            <w:shd w:val="clear" w:color="auto" w:fill="auto"/>
            <w:noWrap/>
            <w:vAlign w:val="center"/>
          </w:tcPr>
          <w:p w14:paraId="48A9A672" w14:textId="6B80A27A"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3 797,2</w:t>
            </w:r>
          </w:p>
        </w:tc>
        <w:tc>
          <w:tcPr>
            <w:tcW w:w="1191" w:type="dxa"/>
            <w:tcBorders>
              <w:top w:val="nil"/>
              <w:left w:val="single" w:sz="4" w:space="0" w:color="auto"/>
              <w:bottom w:val="nil"/>
              <w:right w:val="single" w:sz="4" w:space="0" w:color="auto"/>
            </w:tcBorders>
            <w:shd w:val="clear" w:color="auto" w:fill="auto"/>
            <w:vAlign w:val="center"/>
          </w:tcPr>
          <w:p w14:paraId="71D8D046" w14:textId="0E88FF44"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4 359,7</w:t>
            </w:r>
          </w:p>
        </w:tc>
        <w:tc>
          <w:tcPr>
            <w:tcW w:w="1191" w:type="dxa"/>
            <w:tcBorders>
              <w:top w:val="nil"/>
              <w:left w:val="nil"/>
              <w:bottom w:val="nil"/>
              <w:right w:val="single" w:sz="4" w:space="0" w:color="auto"/>
            </w:tcBorders>
            <w:shd w:val="clear" w:color="auto" w:fill="auto"/>
            <w:noWrap/>
            <w:vAlign w:val="center"/>
          </w:tcPr>
          <w:p w14:paraId="0C57E791" w14:textId="3C44CEA3"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40,3</w:t>
            </w:r>
          </w:p>
        </w:tc>
        <w:tc>
          <w:tcPr>
            <w:tcW w:w="1191" w:type="dxa"/>
            <w:tcBorders>
              <w:top w:val="nil"/>
              <w:left w:val="single" w:sz="4" w:space="0" w:color="auto"/>
              <w:bottom w:val="nil"/>
              <w:right w:val="nil"/>
            </w:tcBorders>
            <w:shd w:val="clear" w:color="auto" w:fill="auto"/>
            <w:vAlign w:val="center"/>
          </w:tcPr>
          <w:p w14:paraId="25BAF25C" w14:textId="74C22377"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37,5</w:t>
            </w:r>
          </w:p>
        </w:tc>
      </w:tr>
      <w:tr w:rsidR="009208D0" w:rsidRPr="00D92E20" w14:paraId="4A3A07D3"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18852ABE"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Kraj Vysočina</w:t>
            </w:r>
          </w:p>
        </w:tc>
        <w:tc>
          <w:tcPr>
            <w:tcW w:w="1191" w:type="dxa"/>
            <w:tcBorders>
              <w:top w:val="nil"/>
              <w:left w:val="single" w:sz="4" w:space="0" w:color="auto"/>
              <w:bottom w:val="nil"/>
              <w:right w:val="nil"/>
            </w:tcBorders>
            <w:shd w:val="clear" w:color="auto" w:fill="auto"/>
            <w:noWrap/>
            <w:vAlign w:val="center"/>
          </w:tcPr>
          <w:p w14:paraId="7B16540B" w14:textId="2D5020AC"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92,4</w:t>
            </w:r>
          </w:p>
        </w:tc>
        <w:tc>
          <w:tcPr>
            <w:tcW w:w="1191" w:type="dxa"/>
            <w:tcBorders>
              <w:top w:val="nil"/>
              <w:left w:val="single" w:sz="4" w:space="0" w:color="auto"/>
              <w:bottom w:val="nil"/>
              <w:right w:val="nil"/>
            </w:tcBorders>
            <w:shd w:val="clear" w:color="auto" w:fill="auto"/>
            <w:vAlign w:val="center"/>
          </w:tcPr>
          <w:p w14:paraId="47C56FD9" w14:textId="7DC9904D"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116,5</w:t>
            </w:r>
          </w:p>
        </w:tc>
        <w:tc>
          <w:tcPr>
            <w:tcW w:w="1191" w:type="dxa"/>
            <w:tcBorders>
              <w:top w:val="nil"/>
              <w:left w:val="single" w:sz="4" w:space="0" w:color="auto"/>
              <w:bottom w:val="nil"/>
              <w:right w:val="single" w:sz="4" w:space="0" w:color="auto"/>
            </w:tcBorders>
            <w:shd w:val="clear" w:color="auto" w:fill="auto"/>
            <w:noWrap/>
            <w:vAlign w:val="center"/>
          </w:tcPr>
          <w:p w14:paraId="4D3C4118" w14:textId="0C8CD57B"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4 095,4</w:t>
            </w:r>
          </w:p>
        </w:tc>
        <w:tc>
          <w:tcPr>
            <w:tcW w:w="1191" w:type="dxa"/>
            <w:tcBorders>
              <w:top w:val="nil"/>
              <w:left w:val="single" w:sz="4" w:space="0" w:color="auto"/>
              <w:bottom w:val="nil"/>
              <w:right w:val="single" w:sz="4" w:space="0" w:color="auto"/>
            </w:tcBorders>
            <w:shd w:val="clear" w:color="auto" w:fill="auto"/>
            <w:vAlign w:val="center"/>
          </w:tcPr>
          <w:p w14:paraId="7C60B3D7" w14:textId="38B58ADA"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4 629,6</w:t>
            </w:r>
          </w:p>
        </w:tc>
        <w:tc>
          <w:tcPr>
            <w:tcW w:w="1191" w:type="dxa"/>
            <w:tcBorders>
              <w:top w:val="nil"/>
              <w:left w:val="nil"/>
              <w:bottom w:val="nil"/>
              <w:right w:val="single" w:sz="4" w:space="0" w:color="auto"/>
            </w:tcBorders>
            <w:shd w:val="clear" w:color="auto" w:fill="auto"/>
            <w:noWrap/>
            <w:vAlign w:val="center"/>
          </w:tcPr>
          <w:p w14:paraId="21582949" w14:textId="70871CB3"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44,3</w:t>
            </w:r>
          </w:p>
        </w:tc>
        <w:tc>
          <w:tcPr>
            <w:tcW w:w="1191" w:type="dxa"/>
            <w:tcBorders>
              <w:top w:val="nil"/>
              <w:left w:val="single" w:sz="4" w:space="0" w:color="auto"/>
              <w:bottom w:val="nil"/>
              <w:right w:val="nil"/>
            </w:tcBorders>
            <w:shd w:val="clear" w:color="auto" w:fill="auto"/>
            <w:vAlign w:val="center"/>
          </w:tcPr>
          <w:p w14:paraId="24E04168" w14:textId="56D77D72"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39,8</w:t>
            </w:r>
          </w:p>
        </w:tc>
      </w:tr>
      <w:tr w:rsidR="009208D0" w:rsidRPr="00D92E20" w14:paraId="0FDFAE32"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2F4B09B6"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Jihomoravský kraj</w:t>
            </w:r>
          </w:p>
        </w:tc>
        <w:tc>
          <w:tcPr>
            <w:tcW w:w="1191" w:type="dxa"/>
            <w:tcBorders>
              <w:top w:val="nil"/>
              <w:left w:val="single" w:sz="4" w:space="0" w:color="auto"/>
              <w:bottom w:val="nil"/>
              <w:right w:val="nil"/>
            </w:tcBorders>
            <w:shd w:val="clear" w:color="auto" w:fill="auto"/>
            <w:noWrap/>
            <w:vAlign w:val="center"/>
          </w:tcPr>
          <w:p w14:paraId="1EE4B7A6" w14:textId="09E2177B"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189,7</w:t>
            </w:r>
          </w:p>
        </w:tc>
        <w:tc>
          <w:tcPr>
            <w:tcW w:w="1191" w:type="dxa"/>
            <w:tcBorders>
              <w:top w:val="nil"/>
              <w:left w:val="single" w:sz="4" w:space="0" w:color="auto"/>
              <w:bottom w:val="nil"/>
              <w:right w:val="nil"/>
            </w:tcBorders>
            <w:shd w:val="clear" w:color="auto" w:fill="auto"/>
            <w:vAlign w:val="center"/>
          </w:tcPr>
          <w:p w14:paraId="6CC05FB5" w14:textId="186AF4ED"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247,2</w:t>
            </w:r>
          </w:p>
        </w:tc>
        <w:tc>
          <w:tcPr>
            <w:tcW w:w="1191" w:type="dxa"/>
            <w:tcBorders>
              <w:top w:val="nil"/>
              <w:left w:val="single" w:sz="4" w:space="0" w:color="auto"/>
              <w:bottom w:val="nil"/>
              <w:right w:val="single" w:sz="4" w:space="0" w:color="auto"/>
            </w:tcBorders>
            <w:shd w:val="clear" w:color="auto" w:fill="auto"/>
            <w:noWrap/>
            <w:vAlign w:val="center"/>
          </w:tcPr>
          <w:p w14:paraId="01BD46D3" w14:textId="24541781"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8 165,9</w:t>
            </w:r>
          </w:p>
        </w:tc>
        <w:tc>
          <w:tcPr>
            <w:tcW w:w="1191" w:type="dxa"/>
            <w:tcBorders>
              <w:top w:val="nil"/>
              <w:left w:val="single" w:sz="4" w:space="0" w:color="auto"/>
              <w:bottom w:val="nil"/>
              <w:right w:val="single" w:sz="4" w:space="0" w:color="auto"/>
            </w:tcBorders>
            <w:shd w:val="clear" w:color="auto" w:fill="auto"/>
            <w:vAlign w:val="center"/>
          </w:tcPr>
          <w:p w14:paraId="2B24A5BB" w14:textId="279C9B0C"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9 766,7</w:t>
            </w:r>
          </w:p>
        </w:tc>
        <w:tc>
          <w:tcPr>
            <w:tcW w:w="1191" w:type="dxa"/>
            <w:tcBorders>
              <w:top w:val="nil"/>
              <w:left w:val="nil"/>
              <w:bottom w:val="nil"/>
              <w:right w:val="single" w:sz="4" w:space="0" w:color="auto"/>
            </w:tcBorders>
            <w:shd w:val="clear" w:color="auto" w:fill="auto"/>
            <w:noWrap/>
            <w:vAlign w:val="center"/>
          </w:tcPr>
          <w:p w14:paraId="590DBFEF" w14:textId="589E06C1"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43,1</w:t>
            </w:r>
          </w:p>
        </w:tc>
        <w:tc>
          <w:tcPr>
            <w:tcW w:w="1191" w:type="dxa"/>
            <w:tcBorders>
              <w:top w:val="nil"/>
              <w:left w:val="single" w:sz="4" w:space="0" w:color="auto"/>
              <w:bottom w:val="nil"/>
              <w:right w:val="nil"/>
            </w:tcBorders>
            <w:shd w:val="clear" w:color="auto" w:fill="auto"/>
            <w:vAlign w:val="center"/>
          </w:tcPr>
          <w:p w14:paraId="37F6BDE4" w14:textId="23F469F0"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39,5</w:t>
            </w:r>
          </w:p>
        </w:tc>
      </w:tr>
      <w:tr w:rsidR="009208D0" w:rsidRPr="00D92E20" w14:paraId="42FF24A9"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132A69E4"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Olomoucký kraj</w:t>
            </w:r>
          </w:p>
        </w:tc>
        <w:tc>
          <w:tcPr>
            <w:tcW w:w="1191" w:type="dxa"/>
            <w:tcBorders>
              <w:top w:val="nil"/>
              <w:left w:val="single" w:sz="4" w:space="0" w:color="auto"/>
              <w:bottom w:val="nil"/>
              <w:right w:val="nil"/>
            </w:tcBorders>
            <w:shd w:val="clear" w:color="auto" w:fill="auto"/>
            <w:noWrap/>
            <w:vAlign w:val="center"/>
          </w:tcPr>
          <w:p w14:paraId="337F1D08" w14:textId="3984519B"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107,9</w:t>
            </w:r>
          </w:p>
        </w:tc>
        <w:tc>
          <w:tcPr>
            <w:tcW w:w="1191" w:type="dxa"/>
            <w:tcBorders>
              <w:top w:val="nil"/>
              <w:left w:val="single" w:sz="4" w:space="0" w:color="auto"/>
              <w:bottom w:val="nil"/>
              <w:right w:val="nil"/>
            </w:tcBorders>
            <w:shd w:val="clear" w:color="auto" w:fill="auto"/>
            <w:vAlign w:val="center"/>
          </w:tcPr>
          <w:p w14:paraId="5D2D0C5E" w14:textId="51840CDC"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154,8</w:t>
            </w:r>
          </w:p>
        </w:tc>
        <w:tc>
          <w:tcPr>
            <w:tcW w:w="1191" w:type="dxa"/>
            <w:tcBorders>
              <w:top w:val="nil"/>
              <w:left w:val="single" w:sz="4" w:space="0" w:color="auto"/>
              <w:bottom w:val="nil"/>
              <w:right w:val="single" w:sz="4" w:space="0" w:color="auto"/>
            </w:tcBorders>
            <w:shd w:val="clear" w:color="auto" w:fill="auto"/>
            <w:noWrap/>
            <w:vAlign w:val="center"/>
          </w:tcPr>
          <w:p w14:paraId="3AAA2D38" w14:textId="6B0DE124"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4 656,8</w:t>
            </w:r>
          </w:p>
        </w:tc>
        <w:tc>
          <w:tcPr>
            <w:tcW w:w="1191" w:type="dxa"/>
            <w:tcBorders>
              <w:top w:val="nil"/>
              <w:left w:val="single" w:sz="4" w:space="0" w:color="auto"/>
              <w:bottom w:val="nil"/>
              <w:right w:val="single" w:sz="4" w:space="0" w:color="auto"/>
            </w:tcBorders>
            <w:shd w:val="clear" w:color="auto" w:fill="auto"/>
            <w:vAlign w:val="center"/>
          </w:tcPr>
          <w:p w14:paraId="2440695D" w14:textId="3DF4EAA2"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5 962,1</w:t>
            </w:r>
          </w:p>
        </w:tc>
        <w:tc>
          <w:tcPr>
            <w:tcW w:w="1191" w:type="dxa"/>
            <w:tcBorders>
              <w:top w:val="nil"/>
              <w:left w:val="nil"/>
              <w:bottom w:val="nil"/>
              <w:right w:val="single" w:sz="4" w:space="0" w:color="auto"/>
            </w:tcBorders>
            <w:shd w:val="clear" w:color="auto" w:fill="auto"/>
            <w:noWrap/>
            <w:vAlign w:val="center"/>
          </w:tcPr>
          <w:p w14:paraId="16B745B8" w14:textId="3B5C4F68"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43,2</w:t>
            </w:r>
          </w:p>
        </w:tc>
        <w:tc>
          <w:tcPr>
            <w:tcW w:w="1191" w:type="dxa"/>
            <w:tcBorders>
              <w:top w:val="nil"/>
              <w:left w:val="single" w:sz="4" w:space="0" w:color="auto"/>
              <w:bottom w:val="nil"/>
              <w:right w:val="nil"/>
            </w:tcBorders>
            <w:shd w:val="clear" w:color="auto" w:fill="auto"/>
            <w:vAlign w:val="center"/>
          </w:tcPr>
          <w:p w14:paraId="5616C7E3" w14:textId="7290E8C3"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38,5</w:t>
            </w:r>
          </w:p>
        </w:tc>
      </w:tr>
      <w:tr w:rsidR="009208D0" w:rsidRPr="00D92E20" w14:paraId="1E3005C3"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512E2F06"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Zlínský kraj</w:t>
            </w:r>
          </w:p>
        </w:tc>
        <w:tc>
          <w:tcPr>
            <w:tcW w:w="1191" w:type="dxa"/>
            <w:tcBorders>
              <w:top w:val="nil"/>
              <w:left w:val="single" w:sz="4" w:space="0" w:color="auto"/>
              <w:bottom w:val="nil"/>
              <w:right w:val="nil"/>
            </w:tcBorders>
            <w:shd w:val="clear" w:color="auto" w:fill="auto"/>
            <w:noWrap/>
            <w:vAlign w:val="center"/>
          </w:tcPr>
          <w:p w14:paraId="5853F82F" w14:textId="37B8E8F3"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101,0</w:t>
            </w:r>
          </w:p>
        </w:tc>
        <w:tc>
          <w:tcPr>
            <w:tcW w:w="1191" w:type="dxa"/>
            <w:tcBorders>
              <w:top w:val="nil"/>
              <w:left w:val="single" w:sz="4" w:space="0" w:color="auto"/>
              <w:bottom w:val="nil"/>
              <w:right w:val="nil"/>
            </w:tcBorders>
            <w:shd w:val="clear" w:color="auto" w:fill="auto"/>
            <w:vAlign w:val="center"/>
          </w:tcPr>
          <w:p w14:paraId="73CEEBE4" w14:textId="3927C5F8"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139,6</w:t>
            </w:r>
          </w:p>
        </w:tc>
        <w:tc>
          <w:tcPr>
            <w:tcW w:w="1191" w:type="dxa"/>
            <w:tcBorders>
              <w:top w:val="nil"/>
              <w:left w:val="single" w:sz="4" w:space="0" w:color="auto"/>
              <w:bottom w:val="nil"/>
              <w:right w:val="single" w:sz="4" w:space="0" w:color="auto"/>
            </w:tcBorders>
            <w:shd w:val="clear" w:color="auto" w:fill="auto"/>
            <w:noWrap/>
            <w:vAlign w:val="center"/>
          </w:tcPr>
          <w:p w14:paraId="1DEC9E90" w14:textId="307D9B5E"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4 964,4</w:t>
            </w:r>
          </w:p>
        </w:tc>
        <w:tc>
          <w:tcPr>
            <w:tcW w:w="1191" w:type="dxa"/>
            <w:tcBorders>
              <w:top w:val="nil"/>
              <w:left w:val="single" w:sz="4" w:space="0" w:color="auto"/>
              <w:bottom w:val="nil"/>
              <w:right w:val="single" w:sz="4" w:space="0" w:color="auto"/>
            </w:tcBorders>
            <w:shd w:val="clear" w:color="auto" w:fill="auto"/>
            <w:vAlign w:val="center"/>
          </w:tcPr>
          <w:p w14:paraId="643C8D8D" w14:textId="77DA296E"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5 914,1</w:t>
            </w:r>
          </w:p>
        </w:tc>
        <w:tc>
          <w:tcPr>
            <w:tcW w:w="1191" w:type="dxa"/>
            <w:tcBorders>
              <w:top w:val="nil"/>
              <w:left w:val="nil"/>
              <w:bottom w:val="nil"/>
              <w:right w:val="single" w:sz="4" w:space="0" w:color="auto"/>
            </w:tcBorders>
            <w:shd w:val="clear" w:color="auto" w:fill="auto"/>
            <w:noWrap/>
            <w:vAlign w:val="center"/>
          </w:tcPr>
          <w:p w14:paraId="0A008656" w14:textId="7B56210E"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49,1</w:t>
            </w:r>
          </w:p>
        </w:tc>
        <w:tc>
          <w:tcPr>
            <w:tcW w:w="1191" w:type="dxa"/>
            <w:tcBorders>
              <w:top w:val="nil"/>
              <w:left w:val="single" w:sz="4" w:space="0" w:color="auto"/>
              <w:bottom w:val="nil"/>
              <w:right w:val="nil"/>
            </w:tcBorders>
            <w:shd w:val="clear" w:color="auto" w:fill="auto"/>
            <w:vAlign w:val="center"/>
          </w:tcPr>
          <w:p w14:paraId="020F40A7" w14:textId="3C3E731B"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42,4</w:t>
            </w:r>
          </w:p>
        </w:tc>
      </w:tr>
      <w:tr w:rsidR="009208D0" w:rsidRPr="00D92E20" w14:paraId="400E6602" w14:textId="77777777" w:rsidTr="009F67D0">
        <w:trPr>
          <w:trHeight w:val="285"/>
        </w:trPr>
        <w:tc>
          <w:tcPr>
            <w:tcW w:w="2438" w:type="dxa"/>
            <w:tcBorders>
              <w:top w:val="nil"/>
              <w:bottom w:val="nil"/>
              <w:right w:val="single" w:sz="4" w:space="0" w:color="auto"/>
            </w:tcBorders>
            <w:shd w:val="clear" w:color="auto" w:fill="auto"/>
            <w:noWrap/>
            <w:vAlign w:val="center"/>
            <w:hideMark/>
          </w:tcPr>
          <w:p w14:paraId="3359BB12" w14:textId="77777777" w:rsidR="009208D0" w:rsidRPr="00D92E20" w:rsidRDefault="009208D0" w:rsidP="009208D0">
            <w:pPr>
              <w:spacing w:after="0" w:line="240" w:lineRule="auto"/>
              <w:ind w:firstLineChars="100" w:firstLine="160"/>
              <w:rPr>
                <w:rFonts w:cs="Arial"/>
                <w:color w:val="000000"/>
                <w:sz w:val="16"/>
                <w:szCs w:val="16"/>
              </w:rPr>
            </w:pPr>
            <w:r w:rsidRPr="00D92E20">
              <w:rPr>
                <w:rFonts w:cs="Arial"/>
                <w:color w:val="000000"/>
                <w:sz w:val="16"/>
                <w:szCs w:val="16"/>
              </w:rPr>
              <w:t>Moravskoslezský kraj</w:t>
            </w:r>
          </w:p>
        </w:tc>
        <w:tc>
          <w:tcPr>
            <w:tcW w:w="1191" w:type="dxa"/>
            <w:tcBorders>
              <w:top w:val="nil"/>
              <w:left w:val="single" w:sz="4" w:space="0" w:color="auto"/>
              <w:bottom w:val="nil"/>
              <w:right w:val="nil"/>
            </w:tcBorders>
            <w:shd w:val="clear" w:color="auto" w:fill="auto"/>
            <w:noWrap/>
            <w:vAlign w:val="center"/>
          </w:tcPr>
          <w:p w14:paraId="68B9C209" w14:textId="13B822F9"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206,2</w:t>
            </w:r>
          </w:p>
        </w:tc>
        <w:tc>
          <w:tcPr>
            <w:tcW w:w="1191" w:type="dxa"/>
            <w:tcBorders>
              <w:top w:val="nil"/>
              <w:left w:val="single" w:sz="4" w:space="0" w:color="auto"/>
              <w:bottom w:val="nil"/>
              <w:right w:val="nil"/>
            </w:tcBorders>
            <w:shd w:val="clear" w:color="auto" w:fill="auto"/>
            <w:vAlign w:val="center"/>
          </w:tcPr>
          <w:p w14:paraId="146A78FC" w14:textId="20A3848F"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274,1</w:t>
            </w:r>
          </w:p>
        </w:tc>
        <w:tc>
          <w:tcPr>
            <w:tcW w:w="1191" w:type="dxa"/>
            <w:tcBorders>
              <w:top w:val="nil"/>
              <w:left w:val="single" w:sz="4" w:space="0" w:color="auto"/>
              <w:bottom w:val="nil"/>
              <w:right w:val="single" w:sz="4" w:space="0" w:color="auto"/>
            </w:tcBorders>
            <w:shd w:val="clear" w:color="auto" w:fill="auto"/>
            <w:noWrap/>
            <w:vAlign w:val="center"/>
          </w:tcPr>
          <w:p w14:paraId="78077ADB" w14:textId="2CF1FA04"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10 242,1</w:t>
            </w:r>
          </w:p>
        </w:tc>
        <w:tc>
          <w:tcPr>
            <w:tcW w:w="1191" w:type="dxa"/>
            <w:tcBorders>
              <w:top w:val="nil"/>
              <w:left w:val="single" w:sz="4" w:space="0" w:color="auto"/>
              <w:bottom w:val="nil"/>
              <w:right w:val="single" w:sz="4" w:space="0" w:color="auto"/>
            </w:tcBorders>
            <w:shd w:val="clear" w:color="auto" w:fill="auto"/>
            <w:vAlign w:val="center"/>
          </w:tcPr>
          <w:p w14:paraId="53B00E0C" w14:textId="07746656"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11 888,7</w:t>
            </w:r>
          </w:p>
        </w:tc>
        <w:tc>
          <w:tcPr>
            <w:tcW w:w="1191" w:type="dxa"/>
            <w:tcBorders>
              <w:top w:val="nil"/>
              <w:left w:val="nil"/>
              <w:bottom w:val="nil"/>
              <w:right w:val="single" w:sz="4" w:space="0" w:color="auto"/>
            </w:tcBorders>
            <w:shd w:val="clear" w:color="auto" w:fill="auto"/>
            <w:noWrap/>
            <w:vAlign w:val="center"/>
          </w:tcPr>
          <w:p w14:paraId="5BBC090B" w14:textId="7397CA60" w:rsidR="009208D0" w:rsidRPr="00D92E20" w:rsidRDefault="002773F6" w:rsidP="009F67D0">
            <w:pPr>
              <w:spacing w:after="0" w:line="240" w:lineRule="auto"/>
              <w:jc w:val="right"/>
              <w:rPr>
                <w:rFonts w:cs="Arial"/>
                <w:color w:val="000000"/>
                <w:sz w:val="16"/>
                <w:szCs w:val="16"/>
              </w:rPr>
            </w:pPr>
            <w:r w:rsidRPr="00D92E20">
              <w:rPr>
                <w:rFonts w:cs="Arial"/>
                <w:color w:val="000000"/>
                <w:sz w:val="16"/>
                <w:szCs w:val="16"/>
              </w:rPr>
              <w:t>49,7</w:t>
            </w:r>
          </w:p>
        </w:tc>
        <w:tc>
          <w:tcPr>
            <w:tcW w:w="1191" w:type="dxa"/>
            <w:tcBorders>
              <w:top w:val="nil"/>
              <w:left w:val="single" w:sz="4" w:space="0" w:color="auto"/>
              <w:bottom w:val="nil"/>
              <w:right w:val="nil"/>
            </w:tcBorders>
            <w:shd w:val="clear" w:color="auto" w:fill="auto"/>
            <w:vAlign w:val="center"/>
          </w:tcPr>
          <w:p w14:paraId="2417CC89" w14:textId="42D2ACCC" w:rsidR="009208D0" w:rsidRPr="00D92E20" w:rsidRDefault="009208D0" w:rsidP="009F67D0">
            <w:pPr>
              <w:spacing w:after="0" w:line="240" w:lineRule="auto"/>
              <w:jc w:val="right"/>
              <w:rPr>
                <w:rFonts w:cs="Arial"/>
                <w:color w:val="000000"/>
                <w:sz w:val="16"/>
                <w:szCs w:val="16"/>
              </w:rPr>
            </w:pPr>
            <w:r w:rsidRPr="00D92E20">
              <w:rPr>
                <w:rFonts w:cs="Arial"/>
                <w:color w:val="000000"/>
                <w:sz w:val="16"/>
                <w:szCs w:val="16"/>
              </w:rPr>
              <w:t>43,4</w:t>
            </w:r>
          </w:p>
        </w:tc>
      </w:tr>
    </w:tbl>
    <w:p w14:paraId="036C2416" w14:textId="77777777" w:rsidR="00391FBE" w:rsidRPr="00D92E20" w:rsidRDefault="00391FBE" w:rsidP="00391FBE">
      <w:pPr>
        <w:spacing w:before="120"/>
        <w:rPr>
          <w:sz w:val="16"/>
        </w:rPr>
      </w:pPr>
      <w:r w:rsidRPr="00D92E20">
        <w:rPr>
          <w:sz w:val="16"/>
        </w:rPr>
        <w:t>Zdroj: ČSSZ</w:t>
      </w:r>
    </w:p>
    <w:p w14:paraId="66B10CCC" w14:textId="73FB3849" w:rsidR="00391FBE" w:rsidRPr="00D92E20" w:rsidRDefault="00391FBE" w:rsidP="00000A90">
      <w:pPr>
        <w:spacing w:before="120" w:after="120"/>
        <w:jc w:val="both"/>
      </w:pPr>
      <w:r w:rsidRPr="00D92E20">
        <w:t xml:space="preserve">Celková </w:t>
      </w:r>
      <w:r w:rsidRPr="00D92E20">
        <w:rPr>
          <w:b/>
        </w:rPr>
        <w:t>prostonaná doba</w:t>
      </w:r>
      <w:r w:rsidRPr="00D92E20">
        <w:t xml:space="preserve"> v roce 2020 činila 86 457 </w:t>
      </w:r>
      <w:r w:rsidR="00CA3130" w:rsidRPr="00D92E20">
        <w:t>tis.</w:t>
      </w:r>
      <w:r w:rsidRPr="00D92E20">
        <w:t xml:space="preserve"> dnů, což je o 11 mil. dnů více než </w:t>
      </w:r>
      <w:r w:rsidR="00CA3130" w:rsidRPr="00D92E20">
        <w:t>v předchozím roce</w:t>
      </w:r>
      <w:r w:rsidRPr="00D92E20">
        <w:t xml:space="preserve">. Jeden případ dočasné pracovní neschopnosti trval </w:t>
      </w:r>
      <w:r w:rsidR="00CA3130" w:rsidRPr="00D92E20">
        <w:t>průměrně</w:t>
      </w:r>
      <w:r w:rsidRPr="00D92E20">
        <w:t xml:space="preserve"> 37,7 dne. </w:t>
      </w:r>
      <w:r w:rsidR="00C7753B" w:rsidRPr="00D92E20">
        <w:t>V průměru n</w:t>
      </w:r>
      <w:r w:rsidRPr="00D92E20">
        <w:t xml:space="preserve">ejdelší </w:t>
      </w:r>
      <w:r w:rsidR="00B527E8" w:rsidRPr="00D92E20">
        <w:t>pracovní neschopnost</w:t>
      </w:r>
      <w:r w:rsidRPr="00D92E20">
        <w:t xml:space="preserve"> </w:t>
      </w:r>
      <w:r w:rsidR="00396FAF" w:rsidRPr="00D92E20">
        <w:t>si vyžádaly nemoci a úrazy v Moravskoslezském a</w:t>
      </w:r>
      <w:r w:rsidRPr="00D92E20">
        <w:t xml:space="preserve"> Zlínském kraji, a sice 4</w:t>
      </w:r>
      <w:r w:rsidR="00396FAF" w:rsidRPr="00D92E20">
        <w:t>3</w:t>
      </w:r>
      <w:r w:rsidRPr="00D92E20">
        <w:t xml:space="preserve"> resp. 4</w:t>
      </w:r>
      <w:r w:rsidR="00396FAF" w:rsidRPr="00D92E20">
        <w:t>2</w:t>
      </w:r>
      <w:r w:rsidR="00C02C40" w:rsidRPr="00D92E20">
        <w:t> </w:t>
      </w:r>
      <w:r w:rsidR="00B527E8" w:rsidRPr="00D92E20">
        <w:t>dnů na jeden případ</w:t>
      </w:r>
      <w:r w:rsidRPr="00D92E20">
        <w:t>.</w:t>
      </w:r>
    </w:p>
    <w:p w14:paraId="3144DFC7" w14:textId="77777777" w:rsidR="00000A90" w:rsidRPr="00D92E20" w:rsidRDefault="00000A90">
      <w:pPr>
        <w:spacing w:after="0" w:line="240" w:lineRule="auto"/>
        <w:rPr>
          <w:b/>
        </w:rPr>
      </w:pPr>
      <w:r w:rsidRPr="00D92E20">
        <w:rPr>
          <w:b/>
        </w:rPr>
        <w:br w:type="page"/>
      </w:r>
    </w:p>
    <w:p w14:paraId="3A499DD3" w14:textId="5EEF6E83" w:rsidR="000E0772" w:rsidRPr="00D92E20" w:rsidRDefault="00B9122C" w:rsidP="00000A90">
      <w:pPr>
        <w:spacing w:after="0"/>
        <w:jc w:val="both"/>
        <w:rPr>
          <w:b/>
        </w:rPr>
      </w:pPr>
      <w:r w:rsidRPr="00D92E20">
        <w:rPr>
          <w:b/>
        </w:rPr>
        <w:lastRenderedPageBreak/>
        <w:t>Tab. 3.</w:t>
      </w:r>
      <w:r w:rsidR="00391FBE" w:rsidRPr="00D92E20">
        <w:rPr>
          <w:b/>
        </w:rPr>
        <w:t>2</w:t>
      </w:r>
      <w:r w:rsidRPr="00D92E20">
        <w:rPr>
          <w:b/>
        </w:rPr>
        <w:t xml:space="preserve">: </w:t>
      </w:r>
      <w:r w:rsidR="009F67D0" w:rsidRPr="00D92E20">
        <w:rPr>
          <w:b/>
        </w:rPr>
        <w:t xml:space="preserve">Počet ukončených </w:t>
      </w:r>
      <w:r w:rsidRPr="00D92E20">
        <w:rPr>
          <w:b/>
        </w:rPr>
        <w:t>případ</w:t>
      </w:r>
      <w:r w:rsidR="009F67D0" w:rsidRPr="00D92E20">
        <w:rPr>
          <w:b/>
        </w:rPr>
        <w:t>ů</w:t>
      </w:r>
      <w:r w:rsidRPr="00D92E20">
        <w:rPr>
          <w:b/>
        </w:rPr>
        <w:t xml:space="preserve"> dočasné pracovní neschopnosti a průměrná délka jejich trvání podle</w:t>
      </w:r>
      <w:r w:rsidR="00C7753B" w:rsidRPr="00D92E20">
        <w:rPr>
          <w:b/>
        </w:rPr>
        <w:t xml:space="preserve"> pohlaví a</w:t>
      </w:r>
      <w:r w:rsidRPr="00D92E20">
        <w:rPr>
          <w:b/>
        </w:rPr>
        <w:t xml:space="preserve"> věkových skupin, 2020, 2019</w:t>
      </w:r>
    </w:p>
    <w:tbl>
      <w:tblPr>
        <w:tblW w:w="9633" w:type="dxa"/>
        <w:tblCellMar>
          <w:left w:w="70" w:type="dxa"/>
          <w:right w:w="70" w:type="dxa"/>
        </w:tblCellMar>
        <w:tblLook w:val="04A0" w:firstRow="1" w:lastRow="0" w:firstColumn="1" w:lastColumn="0" w:noHBand="0" w:noVBand="1"/>
      </w:tblPr>
      <w:tblGrid>
        <w:gridCol w:w="1749"/>
        <w:gridCol w:w="1618"/>
        <w:gridCol w:w="1253"/>
        <w:gridCol w:w="1254"/>
        <w:gridCol w:w="1253"/>
        <w:gridCol w:w="1253"/>
        <w:gridCol w:w="1253"/>
      </w:tblGrid>
      <w:tr w:rsidR="00B9122C" w:rsidRPr="00D92E20" w14:paraId="0610A139" w14:textId="77777777" w:rsidTr="00B9122C">
        <w:trPr>
          <w:trHeight w:val="505"/>
        </w:trPr>
        <w:tc>
          <w:tcPr>
            <w:tcW w:w="1749"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35387AE6"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Věková skupina</w:t>
            </w:r>
          </w:p>
        </w:tc>
        <w:tc>
          <w:tcPr>
            <w:tcW w:w="4125" w:type="dxa"/>
            <w:gridSpan w:val="3"/>
            <w:tcBorders>
              <w:top w:val="single" w:sz="4" w:space="0" w:color="auto"/>
              <w:left w:val="nil"/>
              <w:bottom w:val="single" w:sz="4" w:space="0" w:color="auto"/>
              <w:right w:val="single" w:sz="4" w:space="0" w:color="000000"/>
            </w:tcBorders>
            <w:shd w:val="clear" w:color="000000" w:fill="F2DBDB"/>
            <w:vAlign w:val="center"/>
            <w:hideMark/>
          </w:tcPr>
          <w:p w14:paraId="52CF9BD3" w14:textId="3FDDE528" w:rsidR="00B9122C"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Počet ukončených případů</w:t>
            </w:r>
            <w:r w:rsidR="00B9122C" w:rsidRPr="00D92E20">
              <w:rPr>
                <w:rFonts w:cs="Arial"/>
                <w:color w:val="000000"/>
                <w:sz w:val="16"/>
                <w:szCs w:val="16"/>
              </w:rPr>
              <w:t xml:space="preserve"> DPN</w:t>
            </w:r>
            <w:r w:rsidRPr="00D92E20">
              <w:rPr>
                <w:rFonts w:cs="Arial"/>
                <w:color w:val="000000"/>
                <w:sz w:val="16"/>
                <w:szCs w:val="16"/>
              </w:rPr>
              <w:t xml:space="preserve"> (tis.)</w:t>
            </w:r>
          </w:p>
        </w:tc>
        <w:tc>
          <w:tcPr>
            <w:tcW w:w="3759" w:type="dxa"/>
            <w:gridSpan w:val="3"/>
            <w:tcBorders>
              <w:top w:val="single" w:sz="4" w:space="0" w:color="auto"/>
              <w:left w:val="nil"/>
              <w:bottom w:val="single" w:sz="4" w:space="0" w:color="auto"/>
              <w:right w:val="nil"/>
            </w:tcBorders>
            <w:shd w:val="clear" w:color="000000" w:fill="F2DBDB"/>
            <w:vAlign w:val="center"/>
            <w:hideMark/>
          </w:tcPr>
          <w:p w14:paraId="0199D86E" w14:textId="32E71E80" w:rsidR="00B9122C" w:rsidRPr="00D92E20" w:rsidRDefault="00B9122C" w:rsidP="009F67D0">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B9122C" w:rsidRPr="00D92E20" w14:paraId="7303041B" w14:textId="77777777" w:rsidTr="00B9122C">
        <w:trPr>
          <w:trHeight w:val="288"/>
        </w:trPr>
        <w:tc>
          <w:tcPr>
            <w:tcW w:w="1749" w:type="dxa"/>
            <w:vMerge/>
            <w:tcBorders>
              <w:top w:val="single" w:sz="4" w:space="0" w:color="auto"/>
              <w:left w:val="nil"/>
              <w:bottom w:val="single" w:sz="4" w:space="0" w:color="000000"/>
              <w:right w:val="single" w:sz="4" w:space="0" w:color="auto"/>
            </w:tcBorders>
            <w:vAlign w:val="center"/>
            <w:hideMark/>
          </w:tcPr>
          <w:p w14:paraId="4705B018" w14:textId="77777777" w:rsidR="00B9122C" w:rsidRPr="00D92E20" w:rsidRDefault="00B9122C" w:rsidP="00B9122C">
            <w:pPr>
              <w:spacing w:after="0" w:line="240" w:lineRule="auto"/>
              <w:rPr>
                <w:rFonts w:cs="Arial"/>
                <w:color w:val="000000"/>
                <w:sz w:val="16"/>
                <w:szCs w:val="16"/>
              </w:rPr>
            </w:pPr>
          </w:p>
        </w:tc>
        <w:tc>
          <w:tcPr>
            <w:tcW w:w="1618" w:type="dxa"/>
            <w:vMerge w:val="restart"/>
            <w:tcBorders>
              <w:top w:val="nil"/>
              <w:left w:val="single" w:sz="4" w:space="0" w:color="auto"/>
              <w:bottom w:val="single" w:sz="4" w:space="0" w:color="000000"/>
              <w:right w:val="nil"/>
            </w:tcBorders>
            <w:shd w:val="clear" w:color="000000" w:fill="F2DBDB"/>
            <w:vAlign w:val="center"/>
            <w:hideMark/>
          </w:tcPr>
          <w:p w14:paraId="40416A62" w14:textId="77777777" w:rsidR="00B9122C" w:rsidRPr="00D92E20" w:rsidRDefault="00B9122C" w:rsidP="00B9122C">
            <w:pPr>
              <w:spacing w:after="0" w:line="240" w:lineRule="auto"/>
              <w:jc w:val="center"/>
              <w:rPr>
                <w:rFonts w:cs="Arial"/>
                <w:b/>
                <w:bCs/>
                <w:color w:val="000000"/>
                <w:sz w:val="16"/>
                <w:szCs w:val="16"/>
              </w:rPr>
            </w:pPr>
            <w:r w:rsidRPr="00D92E20">
              <w:rPr>
                <w:rFonts w:cs="Arial"/>
                <w:b/>
                <w:bCs/>
                <w:color w:val="000000"/>
                <w:sz w:val="16"/>
                <w:szCs w:val="16"/>
              </w:rPr>
              <w:t>Celkem</w:t>
            </w:r>
          </w:p>
        </w:tc>
        <w:tc>
          <w:tcPr>
            <w:tcW w:w="2507"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289B0E24"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podle pohlaví</w:t>
            </w:r>
          </w:p>
        </w:tc>
        <w:tc>
          <w:tcPr>
            <w:tcW w:w="1253" w:type="dxa"/>
            <w:vMerge w:val="restart"/>
            <w:tcBorders>
              <w:top w:val="nil"/>
              <w:left w:val="single" w:sz="4" w:space="0" w:color="auto"/>
              <w:bottom w:val="single" w:sz="4" w:space="0" w:color="000000"/>
              <w:right w:val="nil"/>
            </w:tcBorders>
            <w:shd w:val="clear" w:color="000000" w:fill="F2DBDB"/>
            <w:vAlign w:val="center"/>
            <w:hideMark/>
          </w:tcPr>
          <w:p w14:paraId="5F7A3B11" w14:textId="77777777" w:rsidR="00B9122C" w:rsidRPr="00D92E20" w:rsidRDefault="00B9122C" w:rsidP="00B9122C">
            <w:pPr>
              <w:spacing w:after="0" w:line="240" w:lineRule="auto"/>
              <w:jc w:val="center"/>
              <w:rPr>
                <w:rFonts w:cs="Arial"/>
                <w:b/>
                <w:bCs/>
                <w:color w:val="000000"/>
                <w:sz w:val="16"/>
                <w:szCs w:val="16"/>
              </w:rPr>
            </w:pPr>
            <w:r w:rsidRPr="00D92E20">
              <w:rPr>
                <w:rFonts w:cs="Arial"/>
                <w:b/>
                <w:bCs/>
                <w:color w:val="000000"/>
                <w:sz w:val="16"/>
                <w:szCs w:val="16"/>
              </w:rPr>
              <w:t>Celkem</w:t>
            </w:r>
          </w:p>
        </w:tc>
        <w:tc>
          <w:tcPr>
            <w:tcW w:w="2506" w:type="dxa"/>
            <w:gridSpan w:val="2"/>
            <w:tcBorders>
              <w:top w:val="single" w:sz="4" w:space="0" w:color="auto"/>
              <w:left w:val="single" w:sz="4" w:space="0" w:color="auto"/>
              <w:bottom w:val="single" w:sz="4" w:space="0" w:color="auto"/>
            </w:tcBorders>
            <w:shd w:val="clear" w:color="000000" w:fill="F2DBDB"/>
            <w:vAlign w:val="center"/>
            <w:hideMark/>
          </w:tcPr>
          <w:p w14:paraId="6F38D9A8"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podle pohlaví</w:t>
            </w:r>
          </w:p>
        </w:tc>
      </w:tr>
      <w:tr w:rsidR="00B9122C" w:rsidRPr="00D92E20" w14:paraId="4116ABFF" w14:textId="77777777" w:rsidTr="00B9122C">
        <w:trPr>
          <w:trHeight w:val="288"/>
        </w:trPr>
        <w:tc>
          <w:tcPr>
            <w:tcW w:w="1749" w:type="dxa"/>
            <w:vMerge/>
            <w:tcBorders>
              <w:top w:val="single" w:sz="4" w:space="0" w:color="auto"/>
              <w:left w:val="nil"/>
              <w:bottom w:val="single" w:sz="4" w:space="0" w:color="000000"/>
              <w:right w:val="single" w:sz="4" w:space="0" w:color="auto"/>
            </w:tcBorders>
            <w:vAlign w:val="center"/>
            <w:hideMark/>
          </w:tcPr>
          <w:p w14:paraId="55C1663C" w14:textId="77777777" w:rsidR="00B9122C" w:rsidRPr="00D92E20" w:rsidRDefault="00B9122C" w:rsidP="00B9122C">
            <w:pPr>
              <w:spacing w:after="0" w:line="240" w:lineRule="auto"/>
              <w:rPr>
                <w:rFonts w:cs="Arial"/>
                <w:color w:val="000000"/>
                <w:sz w:val="16"/>
                <w:szCs w:val="16"/>
              </w:rPr>
            </w:pPr>
          </w:p>
        </w:tc>
        <w:tc>
          <w:tcPr>
            <w:tcW w:w="1618" w:type="dxa"/>
            <w:vMerge/>
            <w:tcBorders>
              <w:top w:val="nil"/>
              <w:left w:val="single" w:sz="4" w:space="0" w:color="auto"/>
              <w:bottom w:val="single" w:sz="4" w:space="0" w:color="000000"/>
              <w:right w:val="nil"/>
            </w:tcBorders>
            <w:vAlign w:val="center"/>
            <w:hideMark/>
          </w:tcPr>
          <w:p w14:paraId="777BF152" w14:textId="77777777" w:rsidR="00B9122C" w:rsidRPr="00D92E20" w:rsidRDefault="00B9122C" w:rsidP="00B9122C">
            <w:pPr>
              <w:spacing w:after="0" w:line="240" w:lineRule="auto"/>
              <w:rPr>
                <w:rFonts w:cs="Arial"/>
                <w:b/>
                <w:bCs/>
                <w:color w:val="000000"/>
                <w:sz w:val="16"/>
                <w:szCs w:val="16"/>
              </w:rPr>
            </w:pPr>
          </w:p>
        </w:tc>
        <w:tc>
          <w:tcPr>
            <w:tcW w:w="1253" w:type="dxa"/>
            <w:tcBorders>
              <w:top w:val="nil"/>
              <w:left w:val="single" w:sz="4" w:space="0" w:color="auto"/>
              <w:bottom w:val="single" w:sz="4" w:space="0" w:color="auto"/>
              <w:right w:val="single" w:sz="4" w:space="0" w:color="auto"/>
            </w:tcBorders>
            <w:shd w:val="clear" w:color="000000" w:fill="F2DBDB"/>
            <w:vAlign w:val="center"/>
            <w:hideMark/>
          </w:tcPr>
          <w:p w14:paraId="68E5DBB6"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muži</w:t>
            </w:r>
          </w:p>
        </w:tc>
        <w:tc>
          <w:tcPr>
            <w:tcW w:w="1254" w:type="dxa"/>
            <w:tcBorders>
              <w:top w:val="nil"/>
              <w:left w:val="nil"/>
              <w:bottom w:val="single" w:sz="4" w:space="0" w:color="auto"/>
              <w:right w:val="single" w:sz="4" w:space="0" w:color="auto"/>
            </w:tcBorders>
            <w:shd w:val="clear" w:color="000000" w:fill="F2DBDB"/>
            <w:vAlign w:val="center"/>
            <w:hideMark/>
          </w:tcPr>
          <w:p w14:paraId="552AB7F2"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ženy</w:t>
            </w:r>
          </w:p>
        </w:tc>
        <w:tc>
          <w:tcPr>
            <w:tcW w:w="1253" w:type="dxa"/>
            <w:vMerge/>
            <w:tcBorders>
              <w:top w:val="nil"/>
              <w:left w:val="single" w:sz="4" w:space="0" w:color="auto"/>
              <w:bottom w:val="single" w:sz="4" w:space="0" w:color="000000"/>
              <w:right w:val="nil"/>
            </w:tcBorders>
            <w:vAlign w:val="center"/>
            <w:hideMark/>
          </w:tcPr>
          <w:p w14:paraId="62DFAF28" w14:textId="77777777" w:rsidR="00B9122C" w:rsidRPr="00D92E20" w:rsidRDefault="00B9122C" w:rsidP="00B9122C">
            <w:pPr>
              <w:spacing w:after="0" w:line="240" w:lineRule="auto"/>
              <w:rPr>
                <w:rFonts w:cs="Arial"/>
                <w:b/>
                <w:bCs/>
                <w:color w:val="000000"/>
                <w:sz w:val="16"/>
                <w:szCs w:val="16"/>
              </w:rPr>
            </w:pPr>
          </w:p>
        </w:tc>
        <w:tc>
          <w:tcPr>
            <w:tcW w:w="1253" w:type="dxa"/>
            <w:tcBorders>
              <w:top w:val="nil"/>
              <w:left w:val="single" w:sz="4" w:space="0" w:color="auto"/>
              <w:bottom w:val="single" w:sz="4" w:space="0" w:color="auto"/>
              <w:right w:val="single" w:sz="4" w:space="0" w:color="auto"/>
            </w:tcBorders>
            <w:shd w:val="clear" w:color="000000" w:fill="F2DBDB"/>
            <w:vAlign w:val="center"/>
            <w:hideMark/>
          </w:tcPr>
          <w:p w14:paraId="3A4F6F1E"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muži</w:t>
            </w:r>
          </w:p>
        </w:tc>
        <w:tc>
          <w:tcPr>
            <w:tcW w:w="1253" w:type="dxa"/>
            <w:tcBorders>
              <w:top w:val="nil"/>
              <w:left w:val="nil"/>
              <w:bottom w:val="single" w:sz="4" w:space="0" w:color="auto"/>
              <w:right w:val="nil"/>
            </w:tcBorders>
            <w:shd w:val="clear" w:color="000000" w:fill="F2DBDB"/>
            <w:vAlign w:val="center"/>
            <w:hideMark/>
          </w:tcPr>
          <w:p w14:paraId="1466A6B8"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ženy</w:t>
            </w:r>
          </w:p>
        </w:tc>
      </w:tr>
      <w:tr w:rsidR="00B9122C" w:rsidRPr="00D92E20" w14:paraId="69473146" w14:textId="77777777" w:rsidTr="00B9122C">
        <w:trPr>
          <w:trHeight w:val="288"/>
        </w:trPr>
        <w:tc>
          <w:tcPr>
            <w:tcW w:w="1749" w:type="dxa"/>
            <w:vMerge/>
            <w:tcBorders>
              <w:top w:val="single" w:sz="4" w:space="0" w:color="auto"/>
              <w:left w:val="nil"/>
              <w:bottom w:val="single" w:sz="4" w:space="0" w:color="000000"/>
              <w:right w:val="single" w:sz="4" w:space="0" w:color="auto"/>
            </w:tcBorders>
            <w:vAlign w:val="center"/>
            <w:hideMark/>
          </w:tcPr>
          <w:p w14:paraId="1DD13699" w14:textId="77777777" w:rsidR="00B9122C" w:rsidRPr="00D92E20" w:rsidRDefault="00B9122C" w:rsidP="00B9122C">
            <w:pPr>
              <w:spacing w:after="0" w:line="240" w:lineRule="auto"/>
              <w:rPr>
                <w:rFonts w:cs="Arial"/>
                <w:color w:val="000000"/>
                <w:sz w:val="16"/>
                <w:szCs w:val="16"/>
              </w:rPr>
            </w:pPr>
          </w:p>
        </w:tc>
        <w:tc>
          <w:tcPr>
            <w:tcW w:w="7884" w:type="dxa"/>
            <w:gridSpan w:val="6"/>
            <w:tcBorders>
              <w:top w:val="single" w:sz="4" w:space="0" w:color="auto"/>
              <w:left w:val="nil"/>
              <w:bottom w:val="single" w:sz="4" w:space="0" w:color="auto"/>
              <w:right w:val="nil"/>
            </w:tcBorders>
            <w:shd w:val="clear" w:color="000000" w:fill="F2DBDB"/>
            <w:vAlign w:val="center"/>
            <w:hideMark/>
          </w:tcPr>
          <w:p w14:paraId="7E2840B4" w14:textId="77777777" w:rsidR="00B9122C" w:rsidRPr="00D92E20" w:rsidRDefault="00B9122C" w:rsidP="00B9122C">
            <w:pPr>
              <w:spacing w:after="0" w:line="240" w:lineRule="auto"/>
              <w:jc w:val="center"/>
              <w:rPr>
                <w:rFonts w:cs="Arial"/>
                <w:b/>
                <w:bCs/>
                <w:color w:val="000000"/>
                <w:sz w:val="16"/>
                <w:szCs w:val="16"/>
              </w:rPr>
            </w:pPr>
            <w:r w:rsidRPr="00D92E20">
              <w:rPr>
                <w:rFonts w:cs="Arial"/>
                <w:b/>
                <w:bCs/>
                <w:color w:val="000000"/>
                <w:sz w:val="16"/>
                <w:szCs w:val="16"/>
              </w:rPr>
              <w:t>2020</w:t>
            </w:r>
          </w:p>
        </w:tc>
      </w:tr>
      <w:tr w:rsidR="009F67D0" w:rsidRPr="00D92E20" w14:paraId="2ACB1F46"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6B3A3C3E" w14:textId="77777777" w:rsidR="009F67D0" w:rsidRPr="00D92E20" w:rsidRDefault="009F67D0" w:rsidP="009F67D0">
            <w:pPr>
              <w:spacing w:after="0" w:line="240" w:lineRule="auto"/>
              <w:rPr>
                <w:rFonts w:cs="Arial"/>
                <w:b/>
                <w:bCs/>
                <w:color w:val="000000"/>
                <w:sz w:val="16"/>
                <w:szCs w:val="16"/>
              </w:rPr>
            </w:pPr>
            <w:r w:rsidRPr="00D92E20">
              <w:rPr>
                <w:rFonts w:cs="Arial"/>
                <w:b/>
                <w:bCs/>
                <w:color w:val="000000"/>
                <w:sz w:val="16"/>
                <w:szCs w:val="16"/>
              </w:rPr>
              <w:t>Celkem</w:t>
            </w:r>
          </w:p>
        </w:tc>
        <w:tc>
          <w:tcPr>
            <w:tcW w:w="1618" w:type="dxa"/>
            <w:tcBorders>
              <w:top w:val="nil"/>
              <w:left w:val="nil"/>
              <w:bottom w:val="nil"/>
              <w:right w:val="nil"/>
            </w:tcBorders>
            <w:shd w:val="clear" w:color="auto" w:fill="auto"/>
            <w:vAlign w:val="center"/>
            <w:hideMark/>
          </w:tcPr>
          <w:p w14:paraId="3426135B" w14:textId="480E1467"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2 293,7</w:t>
            </w:r>
          </w:p>
        </w:tc>
        <w:tc>
          <w:tcPr>
            <w:tcW w:w="1253" w:type="dxa"/>
            <w:tcBorders>
              <w:top w:val="nil"/>
              <w:left w:val="nil"/>
              <w:bottom w:val="nil"/>
              <w:right w:val="nil"/>
            </w:tcBorders>
            <w:shd w:val="clear" w:color="auto" w:fill="auto"/>
            <w:vAlign w:val="center"/>
            <w:hideMark/>
          </w:tcPr>
          <w:p w14:paraId="33C15536" w14:textId="0C2A2176"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1 095,5</w:t>
            </w:r>
          </w:p>
        </w:tc>
        <w:tc>
          <w:tcPr>
            <w:tcW w:w="1254" w:type="dxa"/>
            <w:tcBorders>
              <w:top w:val="nil"/>
              <w:left w:val="nil"/>
              <w:bottom w:val="nil"/>
              <w:right w:val="single" w:sz="4" w:space="0" w:color="auto"/>
            </w:tcBorders>
            <w:shd w:val="clear" w:color="auto" w:fill="auto"/>
            <w:vAlign w:val="center"/>
            <w:hideMark/>
          </w:tcPr>
          <w:p w14:paraId="1AEED994" w14:textId="3E4E8292"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1 198,2</w:t>
            </w:r>
          </w:p>
        </w:tc>
        <w:tc>
          <w:tcPr>
            <w:tcW w:w="1253" w:type="dxa"/>
            <w:tcBorders>
              <w:top w:val="nil"/>
              <w:left w:val="nil"/>
              <w:bottom w:val="nil"/>
              <w:right w:val="nil"/>
            </w:tcBorders>
            <w:shd w:val="clear" w:color="auto" w:fill="auto"/>
            <w:vAlign w:val="center"/>
            <w:hideMark/>
          </w:tcPr>
          <w:p w14:paraId="581DB7E3" w14:textId="77777777" w:rsidR="009F67D0" w:rsidRPr="00D92E20" w:rsidRDefault="009F67D0" w:rsidP="009F67D0">
            <w:pPr>
              <w:spacing w:after="0" w:line="240" w:lineRule="auto"/>
              <w:jc w:val="center"/>
              <w:rPr>
                <w:rFonts w:cs="Arial"/>
                <w:b/>
                <w:bCs/>
                <w:color w:val="000000"/>
                <w:sz w:val="16"/>
                <w:szCs w:val="16"/>
              </w:rPr>
            </w:pPr>
            <w:r w:rsidRPr="00D92E20">
              <w:rPr>
                <w:rFonts w:cs="Arial"/>
                <w:b/>
                <w:bCs/>
                <w:color w:val="000000"/>
                <w:sz w:val="16"/>
                <w:szCs w:val="16"/>
              </w:rPr>
              <w:t>37,7</w:t>
            </w:r>
          </w:p>
        </w:tc>
        <w:tc>
          <w:tcPr>
            <w:tcW w:w="1253" w:type="dxa"/>
            <w:tcBorders>
              <w:top w:val="nil"/>
              <w:left w:val="nil"/>
              <w:bottom w:val="nil"/>
              <w:right w:val="nil"/>
            </w:tcBorders>
            <w:shd w:val="clear" w:color="auto" w:fill="auto"/>
            <w:vAlign w:val="center"/>
            <w:hideMark/>
          </w:tcPr>
          <w:p w14:paraId="0724775B" w14:textId="77777777" w:rsidR="009F67D0" w:rsidRPr="00D92E20" w:rsidRDefault="009F67D0" w:rsidP="009F67D0">
            <w:pPr>
              <w:spacing w:after="0" w:line="240" w:lineRule="auto"/>
              <w:jc w:val="center"/>
              <w:rPr>
                <w:rFonts w:cs="Arial"/>
                <w:b/>
                <w:bCs/>
                <w:color w:val="000000"/>
                <w:sz w:val="16"/>
                <w:szCs w:val="16"/>
              </w:rPr>
            </w:pPr>
            <w:r w:rsidRPr="00D92E20">
              <w:rPr>
                <w:rFonts w:cs="Arial"/>
                <w:b/>
                <w:bCs/>
                <w:color w:val="000000"/>
                <w:sz w:val="16"/>
                <w:szCs w:val="16"/>
              </w:rPr>
              <w:t>35,8</w:t>
            </w:r>
          </w:p>
        </w:tc>
        <w:tc>
          <w:tcPr>
            <w:tcW w:w="1253" w:type="dxa"/>
            <w:tcBorders>
              <w:top w:val="nil"/>
              <w:left w:val="nil"/>
              <w:bottom w:val="nil"/>
              <w:right w:val="nil"/>
            </w:tcBorders>
            <w:shd w:val="clear" w:color="auto" w:fill="auto"/>
            <w:vAlign w:val="center"/>
            <w:hideMark/>
          </w:tcPr>
          <w:p w14:paraId="1D038327" w14:textId="77777777" w:rsidR="009F67D0" w:rsidRPr="00D92E20" w:rsidRDefault="009F67D0" w:rsidP="009F67D0">
            <w:pPr>
              <w:spacing w:after="0" w:line="240" w:lineRule="auto"/>
              <w:jc w:val="center"/>
              <w:rPr>
                <w:rFonts w:cs="Arial"/>
                <w:b/>
                <w:bCs/>
                <w:color w:val="000000"/>
                <w:sz w:val="16"/>
                <w:szCs w:val="16"/>
              </w:rPr>
            </w:pPr>
            <w:r w:rsidRPr="00D92E20">
              <w:rPr>
                <w:rFonts w:cs="Arial"/>
                <w:b/>
                <w:bCs/>
                <w:color w:val="000000"/>
                <w:sz w:val="16"/>
                <w:szCs w:val="16"/>
              </w:rPr>
              <w:t>39,4</w:t>
            </w:r>
          </w:p>
        </w:tc>
      </w:tr>
      <w:tr w:rsidR="009F67D0" w:rsidRPr="00D92E20" w14:paraId="7B0F614A"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4D7B8B6F"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mladší 20 let</w:t>
            </w:r>
          </w:p>
        </w:tc>
        <w:tc>
          <w:tcPr>
            <w:tcW w:w="1618" w:type="dxa"/>
            <w:tcBorders>
              <w:top w:val="nil"/>
              <w:left w:val="nil"/>
              <w:bottom w:val="nil"/>
              <w:right w:val="nil"/>
            </w:tcBorders>
            <w:shd w:val="clear" w:color="auto" w:fill="auto"/>
            <w:vAlign w:val="center"/>
            <w:hideMark/>
          </w:tcPr>
          <w:p w14:paraId="17A0F459" w14:textId="7F92DB8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25,0</w:t>
            </w:r>
          </w:p>
        </w:tc>
        <w:tc>
          <w:tcPr>
            <w:tcW w:w="1253" w:type="dxa"/>
            <w:tcBorders>
              <w:top w:val="nil"/>
              <w:left w:val="nil"/>
              <w:bottom w:val="nil"/>
              <w:right w:val="nil"/>
            </w:tcBorders>
            <w:shd w:val="clear" w:color="auto" w:fill="auto"/>
            <w:vAlign w:val="center"/>
            <w:hideMark/>
          </w:tcPr>
          <w:p w14:paraId="14CAB7B4" w14:textId="0ED7080E"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14,0</w:t>
            </w:r>
          </w:p>
        </w:tc>
        <w:tc>
          <w:tcPr>
            <w:tcW w:w="1254" w:type="dxa"/>
            <w:tcBorders>
              <w:top w:val="nil"/>
              <w:left w:val="nil"/>
              <w:bottom w:val="nil"/>
              <w:right w:val="single" w:sz="4" w:space="0" w:color="auto"/>
            </w:tcBorders>
            <w:shd w:val="clear" w:color="auto" w:fill="auto"/>
            <w:vAlign w:val="center"/>
            <w:hideMark/>
          </w:tcPr>
          <w:p w14:paraId="3FF61ECD" w14:textId="025F604A"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11,0</w:t>
            </w:r>
          </w:p>
        </w:tc>
        <w:tc>
          <w:tcPr>
            <w:tcW w:w="1253" w:type="dxa"/>
            <w:tcBorders>
              <w:top w:val="nil"/>
              <w:left w:val="nil"/>
              <w:bottom w:val="nil"/>
              <w:right w:val="nil"/>
            </w:tcBorders>
            <w:shd w:val="clear" w:color="auto" w:fill="auto"/>
            <w:vAlign w:val="center"/>
            <w:hideMark/>
          </w:tcPr>
          <w:p w14:paraId="600870F8"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18,6</w:t>
            </w:r>
          </w:p>
        </w:tc>
        <w:tc>
          <w:tcPr>
            <w:tcW w:w="1253" w:type="dxa"/>
            <w:tcBorders>
              <w:top w:val="nil"/>
              <w:left w:val="nil"/>
              <w:bottom w:val="nil"/>
              <w:right w:val="nil"/>
            </w:tcBorders>
            <w:shd w:val="clear" w:color="auto" w:fill="auto"/>
            <w:vAlign w:val="center"/>
            <w:hideMark/>
          </w:tcPr>
          <w:p w14:paraId="3EE2B369"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16,5</w:t>
            </w:r>
          </w:p>
        </w:tc>
        <w:tc>
          <w:tcPr>
            <w:tcW w:w="1253" w:type="dxa"/>
            <w:tcBorders>
              <w:top w:val="nil"/>
              <w:left w:val="nil"/>
              <w:bottom w:val="nil"/>
              <w:right w:val="nil"/>
            </w:tcBorders>
            <w:shd w:val="clear" w:color="auto" w:fill="auto"/>
            <w:vAlign w:val="center"/>
            <w:hideMark/>
          </w:tcPr>
          <w:p w14:paraId="1A098A67"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21,4</w:t>
            </w:r>
          </w:p>
        </w:tc>
      </w:tr>
      <w:tr w:rsidR="009F67D0" w:rsidRPr="00D92E20" w14:paraId="7372BE45"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81445DA"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20–29 let</w:t>
            </w:r>
          </w:p>
        </w:tc>
        <w:tc>
          <w:tcPr>
            <w:tcW w:w="1618" w:type="dxa"/>
            <w:tcBorders>
              <w:top w:val="nil"/>
              <w:left w:val="nil"/>
              <w:bottom w:val="nil"/>
              <w:right w:val="nil"/>
            </w:tcBorders>
            <w:shd w:val="clear" w:color="auto" w:fill="auto"/>
            <w:vAlign w:val="center"/>
            <w:hideMark/>
          </w:tcPr>
          <w:p w14:paraId="5CC87A4F" w14:textId="6118C19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463,1</w:t>
            </w:r>
          </w:p>
        </w:tc>
        <w:tc>
          <w:tcPr>
            <w:tcW w:w="1253" w:type="dxa"/>
            <w:tcBorders>
              <w:top w:val="nil"/>
              <w:left w:val="nil"/>
              <w:bottom w:val="nil"/>
              <w:right w:val="nil"/>
            </w:tcBorders>
            <w:shd w:val="clear" w:color="auto" w:fill="auto"/>
            <w:vAlign w:val="center"/>
            <w:hideMark/>
          </w:tcPr>
          <w:p w14:paraId="120918CC" w14:textId="6D10F09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248,2</w:t>
            </w:r>
          </w:p>
        </w:tc>
        <w:tc>
          <w:tcPr>
            <w:tcW w:w="1254" w:type="dxa"/>
            <w:tcBorders>
              <w:top w:val="nil"/>
              <w:left w:val="nil"/>
              <w:bottom w:val="nil"/>
              <w:right w:val="single" w:sz="4" w:space="0" w:color="auto"/>
            </w:tcBorders>
            <w:shd w:val="clear" w:color="auto" w:fill="auto"/>
            <w:vAlign w:val="center"/>
            <w:hideMark/>
          </w:tcPr>
          <w:p w14:paraId="0208F366" w14:textId="795F44C6"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214,9</w:t>
            </w:r>
          </w:p>
        </w:tc>
        <w:tc>
          <w:tcPr>
            <w:tcW w:w="1253" w:type="dxa"/>
            <w:tcBorders>
              <w:top w:val="nil"/>
              <w:left w:val="nil"/>
              <w:bottom w:val="nil"/>
              <w:right w:val="nil"/>
            </w:tcBorders>
            <w:shd w:val="clear" w:color="auto" w:fill="auto"/>
            <w:vAlign w:val="center"/>
            <w:hideMark/>
          </w:tcPr>
          <w:p w14:paraId="2C6E46C1"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25,2</w:t>
            </w:r>
          </w:p>
        </w:tc>
        <w:tc>
          <w:tcPr>
            <w:tcW w:w="1253" w:type="dxa"/>
            <w:tcBorders>
              <w:top w:val="nil"/>
              <w:left w:val="nil"/>
              <w:bottom w:val="nil"/>
              <w:right w:val="nil"/>
            </w:tcBorders>
            <w:shd w:val="clear" w:color="auto" w:fill="auto"/>
            <w:vAlign w:val="center"/>
            <w:hideMark/>
          </w:tcPr>
          <w:p w14:paraId="1D9D2486"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20,8</w:t>
            </w:r>
          </w:p>
        </w:tc>
        <w:tc>
          <w:tcPr>
            <w:tcW w:w="1253" w:type="dxa"/>
            <w:tcBorders>
              <w:top w:val="nil"/>
              <w:left w:val="nil"/>
              <w:bottom w:val="nil"/>
              <w:right w:val="nil"/>
            </w:tcBorders>
            <w:shd w:val="clear" w:color="auto" w:fill="auto"/>
            <w:vAlign w:val="center"/>
            <w:hideMark/>
          </w:tcPr>
          <w:p w14:paraId="308EDAF5"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30,2</w:t>
            </w:r>
          </w:p>
        </w:tc>
      </w:tr>
      <w:tr w:rsidR="009F67D0" w:rsidRPr="00D92E20" w14:paraId="4C346089"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3FA5208"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30–39 let</w:t>
            </w:r>
          </w:p>
        </w:tc>
        <w:tc>
          <w:tcPr>
            <w:tcW w:w="1618" w:type="dxa"/>
            <w:tcBorders>
              <w:top w:val="nil"/>
              <w:left w:val="nil"/>
              <w:bottom w:val="nil"/>
              <w:right w:val="nil"/>
            </w:tcBorders>
            <w:shd w:val="clear" w:color="auto" w:fill="auto"/>
            <w:vAlign w:val="center"/>
            <w:hideMark/>
          </w:tcPr>
          <w:p w14:paraId="0529C537" w14:textId="29158CF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467,4</w:t>
            </w:r>
          </w:p>
        </w:tc>
        <w:tc>
          <w:tcPr>
            <w:tcW w:w="1253" w:type="dxa"/>
            <w:tcBorders>
              <w:top w:val="nil"/>
              <w:left w:val="nil"/>
              <w:bottom w:val="nil"/>
              <w:right w:val="nil"/>
            </w:tcBorders>
            <w:shd w:val="clear" w:color="auto" w:fill="auto"/>
            <w:vAlign w:val="center"/>
            <w:hideMark/>
          </w:tcPr>
          <w:p w14:paraId="2E7F8D52" w14:textId="7D02397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248,0</w:t>
            </w:r>
          </w:p>
        </w:tc>
        <w:tc>
          <w:tcPr>
            <w:tcW w:w="1254" w:type="dxa"/>
            <w:tcBorders>
              <w:top w:val="nil"/>
              <w:left w:val="nil"/>
              <w:bottom w:val="nil"/>
              <w:right w:val="single" w:sz="4" w:space="0" w:color="auto"/>
            </w:tcBorders>
            <w:shd w:val="clear" w:color="auto" w:fill="auto"/>
            <w:vAlign w:val="center"/>
            <w:hideMark/>
          </w:tcPr>
          <w:p w14:paraId="6E5D616C" w14:textId="0ABD4D64"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219,3</w:t>
            </w:r>
          </w:p>
        </w:tc>
        <w:tc>
          <w:tcPr>
            <w:tcW w:w="1253" w:type="dxa"/>
            <w:tcBorders>
              <w:top w:val="nil"/>
              <w:left w:val="nil"/>
              <w:bottom w:val="nil"/>
              <w:right w:val="nil"/>
            </w:tcBorders>
            <w:shd w:val="clear" w:color="auto" w:fill="auto"/>
            <w:vAlign w:val="center"/>
            <w:hideMark/>
          </w:tcPr>
          <w:p w14:paraId="0F6F55E3"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31,5</w:t>
            </w:r>
          </w:p>
        </w:tc>
        <w:tc>
          <w:tcPr>
            <w:tcW w:w="1253" w:type="dxa"/>
            <w:tcBorders>
              <w:top w:val="nil"/>
              <w:left w:val="nil"/>
              <w:bottom w:val="nil"/>
              <w:right w:val="nil"/>
            </w:tcBorders>
            <w:shd w:val="clear" w:color="auto" w:fill="auto"/>
            <w:vAlign w:val="center"/>
            <w:hideMark/>
          </w:tcPr>
          <w:p w14:paraId="3D3E9D70"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26,9</w:t>
            </w:r>
          </w:p>
        </w:tc>
        <w:tc>
          <w:tcPr>
            <w:tcW w:w="1253" w:type="dxa"/>
            <w:tcBorders>
              <w:top w:val="nil"/>
              <w:left w:val="nil"/>
              <w:bottom w:val="nil"/>
              <w:right w:val="nil"/>
            </w:tcBorders>
            <w:shd w:val="clear" w:color="auto" w:fill="auto"/>
            <w:vAlign w:val="center"/>
            <w:hideMark/>
          </w:tcPr>
          <w:p w14:paraId="262A9F77"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36,6</w:t>
            </w:r>
          </w:p>
        </w:tc>
      </w:tr>
      <w:tr w:rsidR="009F67D0" w:rsidRPr="00D92E20" w14:paraId="2C9DA50E"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0684C7A"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40–49 let</w:t>
            </w:r>
          </w:p>
        </w:tc>
        <w:tc>
          <w:tcPr>
            <w:tcW w:w="1618" w:type="dxa"/>
            <w:tcBorders>
              <w:top w:val="nil"/>
              <w:left w:val="nil"/>
              <w:bottom w:val="nil"/>
              <w:right w:val="nil"/>
            </w:tcBorders>
            <w:shd w:val="clear" w:color="auto" w:fill="auto"/>
            <w:vAlign w:val="center"/>
            <w:hideMark/>
          </w:tcPr>
          <w:p w14:paraId="0C4A9C98" w14:textId="33895A31"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627,2</w:t>
            </w:r>
          </w:p>
        </w:tc>
        <w:tc>
          <w:tcPr>
            <w:tcW w:w="1253" w:type="dxa"/>
            <w:tcBorders>
              <w:top w:val="nil"/>
              <w:left w:val="nil"/>
              <w:bottom w:val="nil"/>
              <w:right w:val="nil"/>
            </w:tcBorders>
            <w:shd w:val="clear" w:color="auto" w:fill="auto"/>
            <w:vAlign w:val="center"/>
            <w:hideMark/>
          </w:tcPr>
          <w:p w14:paraId="25663682" w14:textId="718164FC"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264,7</w:t>
            </w:r>
          </w:p>
        </w:tc>
        <w:tc>
          <w:tcPr>
            <w:tcW w:w="1254" w:type="dxa"/>
            <w:tcBorders>
              <w:top w:val="nil"/>
              <w:left w:val="nil"/>
              <w:bottom w:val="nil"/>
              <w:right w:val="single" w:sz="4" w:space="0" w:color="auto"/>
            </w:tcBorders>
            <w:shd w:val="clear" w:color="auto" w:fill="auto"/>
            <w:vAlign w:val="center"/>
            <w:hideMark/>
          </w:tcPr>
          <w:p w14:paraId="5D45D10C" w14:textId="45F81E1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362,5</w:t>
            </w:r>
          </w:p>
        </w:tc>
        <w:tc>
          <w:tcPr>
            <w:tcW w:w="1253" w:type="dxa"/>
            <w:tcBorders>
              <w:top w:val="nil"/>
              <w:left w:val="nil"/>
              <w:bottom w:val="nil"/>
              <w:right w:val="nil"/>
            </w:tcBorders>
            <w:shd w:val="clear" w:color="auto" w:fill="auto"/>
            <w:vAlign w:val="center"/>
            <w:hideMark/>
          </w:tcPr>
          <w:p w14:paraId="5A719F8F"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37,1</w:t>
            </w:r>
          </w:p>
        </w:tc>
        <w:tc>
          <w:tcPr>
            <w:tcW w:w="1253" w:type="dxa"/>
            <w:tcBorders>
              <w:top w:val="nil"/>
              <w:left w:val="nil"/>
              <w:bottom w:val="nil"/>
              <w:right w:val="nil"/>
            </w:tcBorders>
            <w:shd w:val="clear" w:color="auto" w:fill="auto"/>
            <w:vAlign w:val="center"/>
            <w:hideMark/>
          </w:tcPr>
          <w:p w14:paraId="540327DC"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36,5</w:t>
            </w:r>
          </w:p>
        </w:tc>
        <w:tc>
          <w:tcPr>
            <w:tcW w:w="1253" w:type="dxa"/>
            <w:tcBorders>
              <w:top w:val="nil"/>
              <w:left w:val="nil"/>
              <w:bottom w:val="nil"/>
              <w:right w:val="nil"/>
            </w:tcBorders>
            <w:shd w:val="clear" w:color="auto" w:fill="auto"/>
            <w:vAlign w:val="center"/>
            <w:hideMark/>
          </w:tcPr>
          <w:p w14:paraId="181D06E1"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37,5</w:t>
            </w:r>
          </w:p>
        </w:tc>
      </w:tr>
      <w:tr w:rsidR="009F67D0" w:rsidRPr="00D92E20" w14:paraId="6CE35C38"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36D1D038"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50–59 let</w:t>
            </w:r>
          </w:p>
        </w:tc>
        <w:tc>
          <w:tcPr>
            <w:tcW w:w="1618" w:type="dxa"/>
            <w:tcBorders>
              <w:top w:val="nil"/>
              <w:left w:val="nil"/>
              <w:bottom w:val="nil"/>
              <w:right w:val="nil"/>
            </w:tcBorders>
            <w:shd w:val="clear" w:color="auto" w:fill="auto"/>
            <w:vAlign w:val="center"/>
            <w:hideMark/>
          </w:tcPr>
          <w:p w14:paraId="2A2DCEC9" w14:textId="4F3CA416"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541,1</w:t>
            </w:r>
          </w:p>
        </w:tc>
        <w:tc>
          <w:tcPr>
            <w:tcW w:w="1253" w:type="dxa"/>
            <w:tcBorders>
              <w:top w:val="nil"/>
              <w:left w:val="nil"/>
              <w:bottom w:val="nil"/>
              <w:right w:val="nil"/>
            </w:tcBorders>
            <w:shd w:val="clear" w:color="auto" w:fill="auto"/>
            <w:vAlign w:val="center"/>
            <w:hideMark/>
          </w:tcPr>
          <w:p w14:paraId="3A62B1B6" w14:textId="2C335DD2"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225,0</w:t>
            </w:r>
          </w:p>
        </w:tc>
        <w:tc>
          <w:tcPr>
            <w:tcW w:w="1254" w:type="dxa"/>
            <w:tcBorders>
              <w:top w:val="nil"/>
              <w:left w:val="nil"/>
              <w:bottom w:val="nil"/>
              <w:right w:val="single" w:sz="4" w:space="0" w:color="auto"/>
            </w:tcBorders>
            <w:shd w:val="clear" w:color="auto" w:fill="auto"/>
            <w:vAlign w:val="center"/>
            <w:hideMark/>
          </w:tcPr>
          <w:p w14:paraId="774871E6" w14:textId="0FF8C25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316,0</w:t>
            </w:r>
          </w:p>
        </w:tc>
        <w:tc>
          <w:tcPr>
            <w:tcW w:w="1253" w:type="dxa"/>
            <w:tcBorders>
              <w:top w:val="nil"/>
              <w:left w:val="nil"/>
              <w:bottom w:val="nil"/>
              <w:right w:val="nil"/>
            </w:tcBorders>
            <w:shd w:val="clear" w:color="auto" w:fill="auto"/>
            <w:vAlign w:val="center"/>
            <w:hideMark/>
          </w:tcPr>
          <w:p w14:paraId="31467C24"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48,4</w:t>
            </w:r>
          </w:p>
        </w:tc>
        <w:tc>
          <w:tcPr>
            <w:tcW w:w="1253" w:type="dxa"/>
            <w:tcBorders>
              <w:top w:val="nil"/>
              <w:left w:val="nil"/>
              <w:bottom w:val="nil"/>
              <w:right w:val="nil"/>
            </w:tcBorders>
            <w:shd w:val="clear" w:color="auto" w:fill="auto"/>
            <w:vAlign w:val="center"/>
            <w:hideMark/>
          </w:tcPr>
          <w:p w14:paraId="78154705"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49,4</w:t>
            </w:r>
          </w:p>
        </w:tc>
        <w:tc>
          <w:tcPr>
            <w:tcW w:w="1253" w:type="dxa"/>
            <w:tcBorders>
              <w:top w:val="nil"/>
              <w:left w:val="nil"/>
              <w:bottom w:val="nil"/>
              <w:right w:val="nil"/>
            </w:tcBorders>
            <w:shd w:val="clear" w:color="auto" w:fill="auto"/>
            <w:vAlign w:val="center"/>
            <w:hideMark/>
          </w:tcPr>
          <w:p w14:paraId="635271C4"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47,7</w:t>
            </w:r>
          </w:p>
        </w:tc>
      </w:tr>
      <w:tr w:rsidR="009F67D0" w:rsidRPr="00D92E20" w14:paraId="7C794DF4"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6955BF63"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60 a více let</w:t>
            </w:r>
          </w:p>
        </w:tc>
        <w:tc>
          <w:tcPr>
            <w:tcW w:w="1618" w:type="dxa"/>
            <w:tcBorders>
              <w:top w:val="nil"/>
              <w:left w:val="nil"/>
              <w:bottom w:val="nil"/>
              <w:right w:val="nil"/>
            </w:tcBorders>
            <w:shd w:val="clear" w:color="auto" w:fill="auto"/>
            <w:vAlign w:val="center"/>
            <w:hideMark/>
          </w:tcPr>
          <w:p w14:paraId="199C1A4D" w14:textId="0CAFA2B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169,9</w:t>
            </w:r>
          </w:p>
        </w:tc>
        <w:tc>
          <w:tcPr>
            <w:tcW w:w="1253" w:type="dxa"/>
            <w:tcBorders>
              <w:top w:val="nil"/>
              <w:left w:val="nil"/>
              <w:bottom w:val="single" w:sz="4" w:space="0" w:color="auto"/>
              <w:right w:val="nil"/>
            </w:tcBorders>
            <w:shd w:val="clear" w:color="auto" w:fill="auto"/>
            <w:vAlign w:val="center"/>
            <w:hideMark/>
          </w:tcPr>
          <w:p w14:paraId="14A9AD94" w14:textId="6A60AEE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95,5</w:t>
            </w:r>
          </w:p>
        </w:tc>
        <w:tc>
          <w:tcPr>
            <w:tcW w:w="1254" w:type="dxa"/>
            <w:tcBorders>
              <w:top w:val="nil"/>
              <w:left w:val="nil"/>
              <w:bottom w:val="nil"/>
              <w:right w:val="single" w:sz="4" w:space="0" w:color="auto"/>
            </w:tcBorders>
            <w:shd w:val="clear" w:color="auto" w:fill="auto"/>
            <w:vAlign w:val="center"/>
            <w:hideMark/>
          </w:tcPr>
          <w:p w14:paraId="4C74C3AF" w14:textId="18C7DA6C"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74,5</w:t>
            </w:r>
          </w:p>
        </w:tc>
        <w:tc>
          <w:tcPr>
            <w:tcW w:w="1253" w:type="dxa"/>
            <w:tcBorders>
              <w:top w:val="nil"/>
              <w:left w:val="nil"/>
              <w:bottom w:val="nil"/>
              <w:right w:val="nil"/>
            </w:tcBorders>
            <w:shd w:val="clear" w:color="auto" w:fill="auto"/>
            <w:vAlign w:val="center"/>
            <w:hideMark/>
          </w:tcPr>
          <w:p w14:paraId="3683DDE7"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60,1</w:t>
            </w:r>
          </w:p>
        </w:tc>
        <w:tc>
          <w:tcPr>
            <w:tcW w:w="1253" w:type="dxa"/>
            <w:tcBorders>
              <w:top w:val="nil"/>
              <w:left w:val="nil"/>
              <w:bottom w:val="single" w:sz="4" w:space="0" w:color="auto"/>
              <w:right w:val="nil"/>
            </w:tcBorders>
            <w:shd w:val="clear" w:color="auto" w:fill="auto"/>
            <w:vAlign w:val="center"/>
            <w:hideMark/>
          </w:tcPr>
          <w:p w14:paraId="7BE4ABC6"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66,7</w:t>
            </w:r>
          </w:p>
        </w:tc>
        <w:tc>
          <w:tcPr>
            <w:tcW w:w="1253" w:type="dxa"/>
            <w:tcBorders>
              <w:top w:val="nil"/>
              <w:left w:val="nil"/>
              <w:bottom w:val="nil"/>
              <w:right w:val="nil"/>
            </w:tcBorders>
            <w:shd w:val="clear" w:color="auto" w:fill="auto"/>
            <w:vAlign w:val="center"/>
            <w:hideMark/>
          </w:tcPr>
          <w:p w14:paraId="0E9EC85D"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51,6</w:t>
            </w:r>
          </w:p>
        </w:tc>
      </w:tr>
      <w:tr w:rsidR="00B9122C" w:rsidRPr="00D92E20" w14:paraId="2A5212F4" w14:textId="77777777" w:rsidTr="00B9122C">
        <w:trPr>
          <w:trHeight w:val="288"/>
        </w:trPr>
        <w:tc>
          <w:tcPr>
            <w:tcW w:w="1749" w:type="dxa"/>
            <w:tcBorders>
              <w:top w:val="single" w:sz="4" w:space="0" w:color="auto"/>
              <w:left w:val="nil"/>
              <w:bottom w:val="single" w:sz="4" w:space="0" w:color="auto"/>
              <w:right w:val="single" w:sz="4" w:space="0" w:color="auto"/>
            </w:tcBorders>
            <w:shd w:val="clear" w:color="000000" w:fill="F5DADD"/>
            <w:vAlign w:val="center"/>
            <w:hideMark/>
          </w:tcPr>
          <w:p w14:paraId="54B0965B" w14:textId="77777777" w:rsidR="00B9122C" w:rsidRPr="00D92E20" w:rsidRDefault="00B9122C" w:rsidP="00B9122C">
            <w:pPr>
              <w:spacing w:after="0" w:line="240" w:lineRule="auto"/>
              <w:jc w:val="center"/>
              <w:rPr>
                <w:rFonts w:cs="Arial"/>
                <w:color w:val="000000"/>
                <w:sz w:val="16"/>
                <w:szCs w:val="16"/>
              </w:rPr>
            </w:pPr>
            <w:r w:rsidRPr="00D92E20">
              <w:rPr>
                <w:rFonts w:cs="Arial"/>
                <w:color w:val="000000"/>
                <w:sz w:val="16"/>
                <w:szCs w:val="16"/>
              </w:rPr>
              <w:t> </w:t>
            </w:r>
          </w:p>
        </w:tc>
        <w:tc>
          <w:tcPr>
            <w:tcW w:w="7884" w:type="dxa"/>
            <w:gridSpan w:val="6"/>
            <w:tcBorders>
              <w:top w:val="single" w:sz="4" w:space="0" w:color="auto"/>
              <w:left w:val="nil"/>
              <w:bottom w:val="single" w:sz="4" w:space="0" w:color="auto"/>
              <w:right w:val="nil"/>
            </w:tcBorders>
            <w:shd w:val="clear" w:color="000000" w:fill="F2DBDB"/>
            <w:vAlign w:val="center"/>
            <w:hideMark/>
          </w:tcPr>
          <w:p w14:paraId="1584FFB2" w14:textId="77777777" w:rsidR="00B9122C" w:rsidRPr="00D92E20" w:rsidRDefault="00B9122C" w:rsidP="00B9122C">
            <w:pPr>
              <w:spacing w:after="0" w:line="240" w:lineRule="auto"/>
              <w:jc w:val="center"/>
              <w:rPr>
                <w:rFonts w:cs="Arial"/>
                <w:b/>
                <w:bCs/>
                <w:color w:val="000000"/>
                <w:sz w:val="16"/>
                <w:szCs w:val="16"/>
              </w:rPr>
            </w:pPr>
            <w:r w:rsidRPr="00D92E20">
              <w:rPr>
                <w:rFonts w:cs="Arial"/>
                <w:b/>
                <w:bCs/>
                <w:color w:val="000000"/>
                <w:sz w:val="16"/>
                <w:szCs w:val="16"/>
              </w:rPr>
              <w:t>2019</w:t>
            </w:r>
          </w:p>
        </w:tc>
      </w:tr>
      <w:tr w:rsidR="009F67D0" w:rsidRPr="00D92E20" w14:paraId="34A0EF4C"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29ADD277" w14:textId="77777777" w:rsidR="009F67D0" w:rsidRPr="00D92E20" w:rsidRDefault="009F67D0" w:rsidP="009F67D0">
            <w:pPr>
              <w:spacing w:after="0" w:line="240" w:lineRule="auto"/>
              <w:rPr>
                <w:rFonts w:cs="Arial"/>
                <w:b/>
                <w:bCs/>
                <w:color w:val="000000"/>
                <w:sz w:val="16"/>
                <w:szCs w:val="16"/>
              </w:rPr>
            </w:pPr>
            <w:r w:rsidRPr="00D92E20">
              <w:rPr>
                <w:rFonts w:cs="Arial"/>
                <w:b/>
                <w:bCs/>
                <w:color w:val="000000"/>
                <w:sz w:val="16"/>
                <w:szCs w:val="16"/>
              </w:rPr>
              <w:t>Celkem</w:t>
            </w:r>
          </w:p>
        </w:tc>
        <w:tc>
          <w:tcPr>
            <w:tcW w:w="1618" w:type="dxa"/>
            <w:tcBorders>
              <w:top w:val="nil"/>
              <w:left w:val="nil"/>
              <w:bottom w:val="nil"/>
              <w:right w:val="nil"/>
            </w:tcBorders>
            <w:shd w:val="clear" w:color="auto" w:fill="auto"/>
            <w:vAlign w:val="center"/>
            <w:hideMark/>
          </w:tcPr>
          <w:p w14:paraId="0C6FDF13" w14:textId="119D711B"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1 832,4</w:t>
            </w:r>
          </w:p>
        </w:tc>
        <w:tc>
          <w:tcPr>
            <w:tcW w:w="1253" w:type="dxa"/>
            <w:tcBorders>
              <w:top w:val="nil"/>
              <w:left w:val="nil"/>
              <w:bottom w:val="nil"/>
              <w:right w:val="nil"/>
            </w:tcBorders>
            <w:shd w:val="clear" w:color="auto" w:fill="auto"/>
            <w:vAlign w:val="center"/>
            <w:hideMark/>
          </w:tcPr>
          <w:p w14:paraId="3ACD8616" w14:textId="4DFEEDC4"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862,4</w:t>
            </w:r>
          </w:p>
        </w:tc>
        <w:tc>
          <w:tcPr>
            <w:tcW w:w="1254" w:type="dxa"/>
            <w:tcBorders>
              <w:top w:val="nil"/>
              <w:left w:val="nil"/>
              <w:bottom w:val="nil"/>
              <w:right w:val="single" w:sz="4" w:space="0" w:color="auto"/>
            </w:tcBorders>
            <w:shd w:val="clear" w:color="auto" w:fill="auto"/>
            <w:vAlign w:val="center"/>
            <w:hideMark/>
          </w:tcPr>
          <w:p w14:paraId="799DDDF1" w14:textId="04F90AC8"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970,1</w:t>
            </w:r>
          </w:p>
        </w:tc>
        <w:tc>
          <w:tcPr>
            <w:tcW w:w="1253" w:type="dxa"/>
            <w:tcBorders>
              <w:top w:val="nil"/>
              <w:left w:val="nil"/>
              <w:bottom w:val="nil"/>
              <w:right w:val="nil"/>
            </w:tcBorders>
            <w:shd w:val="clear" w:color="auto" w:fill="auto"/>
            <w:vAlign w:val="center"/>
            <w:hideMark/>
          </w:tcPr>
          <w:p w14:paraId="38587298" w14:textId="77777777" w:rsidR="009F67D0" w:rsidRPr="00D92E20" w:rsidRDefault="009F67D0" w:rsidP="009F67D0">
            <w:pPr>
              <w:spacing w:after="0" w:line="240" w:lineRule="auto"/>
              <w:jc w:val="center"/>
              <w:rPr>
                <w:rFonts w:cs="Arial"/>
                <w:b/>
                <w:bCs/>
                <w:color w:val="000000"/>
                <w:sz w:val="16"/>
                <w:szCs w:val="16"/>
              </w:rPr>
            </w:pPr>
            <w:r w:rsidRPr="00D92E20">
              <w:rPr>
                <w:rFonts w:cs="Arial"/>
                <w:b/>
                <w:bCs/>
                <w:color w:val="000000"/>
                <w:sz w:val="16"/>
                <w:szCs w:val="16"/>
              </w:rPr>
              <w:t>41,0</w:t>
            </w:r>
          </w:p>
        </w:tc>
        <w:tc>
          <w:tcPr>
            <w:tcW w:w="1253" w:type="dxa"/>
            <w:tcBorders>
              <w:top w:val="nil"/>
              <w:left w:val="nil"/>
              <w:bottom w:val="nil"/>
              <w:right w:val="nil"/>
            </w:tcBorders>
            <w:shd w:val="clear" w:color="auto" w:fill="auto"/>
            <w:vAlign w:val="center"/>
            <w:hideMark/>
          </w:tcPr>
          <w:p w14:paraId="3430F76D" w14:textId="77777777" w:rsidR="009F67D0" w:rsidRPr="00D92E20" w:rsidRDefault="009F67D0" w:rsidP="009F67D0">
            <w:pPr>
              <w:spacing w:after="0" w:line="240" w:lineRule="auto"/>
              <w:jc w:val="center"/>
              <w:rPr>
                <w:rFonts w:cs="Arial"/>
                <w:b/>
                <w:bCs/>
                <w:color w:val="000000"/>
                <w:sz w:val="16"/>
                <w:szCs w:val="16"/>
              </w:rPr>
            </w:pPr>
            <w:r w:rsidRPr="00D92E20">
              <w:rPr>
                <w:rFonts w:cs="Arial"/>
                <w:b/>
                <w:bCs/>
                <w:color w:val="000000"/>
                <w:sz w:val="16"/>
                <w:szCs w:val="16"/>
              </w:rPr>
              <w:t>39,1</w:t>
            </w:r>
          </w:p>
        </w:tc>
        <w:tc>
          <w:tcPr>
            <w:tcW w:w="1253" w:type="dxa"/>
            <w:tcBorders>
              <w:top w:val="nil"/>
              <w:left w:val="nil"/>
              <w:bottom w:val="nil"/>
              <w:right w:val="nil"/>
            </w:tcBorders>
            <w:shd w:val="clear" w:color="auto" w:fill="auto"/>
            <w:vAlign w:val="center"/>
            <w:hideMark/>
          </w:tcPr>
          <w:p w14:paraId="5590F201" w14:textId="77777777" w:rsidR="009F67D0" w:rsidRPr="00D92E20" w:rsidRDefault="009F67D0" w:rsidP="009F67D0">
            <w:pPr>
              <w:spacing w:after="0" w:line="240" w:lineRule="auto"/>
              <w:jc w:val="center"/>
              <w:rPr>
                <w:rFonts w:cs="Arial"/>
                <w:b/>
                <w:bCs/>
                <w:color w:val="000000"/>
                <w:sz w:val="16"/>
                <w:szCs w:val="16"/>
              </w:rPr>
            </w:pPr>
            <w:r w:rsidRPr="00D92E20">
              <w:rPr>
                <w:rFonts w:cs="Arial"/>
                <w:b/>
                <w:bCs/>
                <w:color w:val="000000"/>
                <w:sz w:val="16"/>
                <w:szCs w:val="16"/>
              </w:rPr>
              <w:t>42,7</w:t>
            </w:r>
          </w:p>
        </w:tc>
      </w:tr>
      <w:tr w:rsidR="009F67D0" w:rsidRPr="00D92E20" w14:paraId="7CCF88CE"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D0915C5"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mladší 20 let</w:t>
            </w:r>
          </w:p>
        </w:tc>
        <w:tc>
          <w:tcPr>
            <w:tcW w:w="1618" w:type="dxa"/>
            <w:tcBorders>
              <w:top w:val="nil"/>
              <w:left w:val="nil"/>
              <w:bottom w:val="nil"/>
              <w:right w:val="nil"/>
            </w:tcBorders>
            <w:shd w:val="clear" w:color="auto" w:fill="auto"/>
            <w:vAlign w:val="center"/>
            <w:hideMark/>
          </w:tcPr>
          <w:p w14:paraId="0094F445" w14:textId="08DFE1B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25,1</w:t>
            </w:r>
          </w:p>
        </w:tc>
        <w:tc>
          <w:tcPr>
            <w:tcW w:w="1253" w:type="dxa"/>
            <w:tcBorders>
              <w:top w:val="nil"/>
              <w:left w:val="nil"/>
              <w:bottom w:val="nil"/>
              <w:right w:val="nil"/>
            </w:tcBorders>
            <w:shd w:val="clear" w:color="auto" w:fill="auto"/>
            <w:vAlign w:val="center"/>
            <w:hideMark/>
          </w:tcPr>
          <w:p w14:paraId="6D6BBC67" w14:textId="03FA3FA2"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13,8</w:t>
            </w:r>
          </w:p>
        </w:tc>
        <w:tc>
          <w:tcPr>
            <w:tcW w:w="1254" w:type="dxa"/>
            <w:tcBorders>
              <w:top w:val="nil"/>
              <w:left w:val="nil"/>
              <w:bottom w:val="nil"/>
              <w:right w:val="single" w:sz="4" w:space="0" w:color="auto"/>
            </w:tcBorders>
            <w:shd w:val="clear" w:color="auto" w:fill="auto"/>
            <w:vAlign w:val="center"/>
            <w:hideMark/>
          </w:tcPr>
          <w:p w14:paraId="5927A43E" w14:textId="54A2DCB2"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11,3</w:t>
            </w:r>
          </w:p>
        </w:tc>
        <w:tc>
          <w:tcPr>
            <w:tcW w:w="1253" w:type="dxa"/>
            <w:tcBorders>
              <w:top w:val="nil"/>
              <w:left w:val="nil"/>
              <w:bottom w:val="nil"/>
              <w:right w:val="nil"/>
            </w:tcBorders>
            <w:shd w:val="clear" w:color="auto" w:fill="auto"/>
            <w:vAlign w:val="center"/>
            <w:hideMark/>
          </w:tcPr>
          <w:p w14:paraId="60D4C865"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17,9</w:t>
            </w:r>
          </w:p>
        </w:tc>
        <w:tc>
          <w:tcPr>
            <w:tcW w:w="1253" w:type="dxa"/>
            <w:tcBorders>
              <w:top w:val="nil"/>
              <w:left w:val="nil"/>
              <w:bottom w:val="nil"/>
              <w:right w:val="nil"/>
            </w:tcBorders>
            <w:shd w:val="clear" w:color="auto" w:fill="auto"/>
            <w:vAlign w:val="center"/>
            <w:hideMark/>
          </w:tcPr>
          <w:p w14:paraId="5E18BDC8"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15,7</w:t>
            </w:r>
          </w:p>
        </w:tc>
        <w:tc>
          <w:tcPr>
            <w:tcW w:w="1253" w:type="dxa"/>
            <w:tcBorders>
              <w:top w:val="nil"/>
              <w:left w:val="nil"/>
              <w:bottom w:val="nil"/>
              <w:right w:val="nil"/>
            </w:tcBorders>
            <w:shd w:val="clear" w:color="auto" w:fill="auto"/>
            <w:vAlign w:val="center"/>
            <w:hideMark/>
          </w:tcPr>
          <w:p w14:paraId="76357B7E"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20,5</w:t>
            </w:r>
          </w:p>
        </w:tc>
      </w:tr>
      <w:tr w:rsidR="009F67D0" w:rsidRPr="00D92E20" w14:paraId="6D7823B0"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40C046BD"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20–29 let</w:t>
            </w:r>
          </w:p>
        </w:tc>
        <w:tc>
          <w:tcPr>
            <w:tcW w:w="1618" w:type="dxa"/>
            <w:tcBorders>
              <w:top w:val="nil"/>
              <w:left w:val="nil"/>
              <w:bottom w:val="nil"/>
              <w:right w:val="nil"/>
            </w:tcBorders>
            <w:shd w:val="clear" w:color="auto" w:fill="auto"/>
            <w:vAlign w:val="center"/>
            <w:hideMark/>
          </w:tcPr>
          <w:p w14:paraId="2B669CE6" w14:textId="2DD24C32"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398,9</w:t>
            </w:r>
          </w:p>
        </w:tc>
        <w:tc>
          <w:tcPr>
            <w:tcW w:w="1253" w:type="dxa"/>
            <w:tcBorders>
              <w:top w:val="nil"/>
              <w:left w:val="nil"/>
              <w:bottom w:val="nil"/>
              <w:right w:val="nil"/>
            </w:tcBorders>
            <w:shd w:val="clear" w:color="auto" w:fill="auto"/>
            <w:vAlign w:val="center"/>
            <w:hideMark/>
          </w:tcPr>
          <w:p w14:paraId="1A9DEE09" w14:textId="6598491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210,1</w:t>
            </w:r>
          </w:p>
        </w:tc>
        <w:tc>
          <w:tcPr>
            <w:tcW w:w="1254" w:type="dxa"/>
            <w:tcBorders>
              <w:top w:val="nil"/>
              <w:left w:val="nil"/>
              <w:bottom w:val="nil"/>
              <w:right w:val="single" w:sz="4" w:space="0" w:color="auto"/>
            </w:tcBorders>
            <w:shd w:val="clear" w:color="auto" w:fill="auto"/>
            <w:vAlign w:val="center"/>
            <w:hideMark/>
          </w:tcPr>
          <w:p w14:paraId="37C197E0" w14:textId="0F520304"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188,9</w:t>
            </w:r>
          </w:p>
        </w:tc>
        <w:tc>
          <w:tcPr>
            <w:tcW w:w="1253" w:type="dxa"/>
            <w:tcBorders>
              <w:top w:val="nil"/>
              <w:left w:val="nil"/>
              <w:bottom w:val="nil"/>
              <w:right w:val="nil"/>
            </w:tcBorders>
            <w:shd w:val="clear" w:color="auto" w:fill="auto"/>
            <w:vAlign w:val="center"/>
            <w:hideMark/>
          </w:tcPr>
          <w:p w14:paraId="18EC4697"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25,8</w:t>
            </w:r>
          </w:p>
        </w:tc>
        <w:tc>
          <w:tcPr>
            <w:tcW w:w="1253" w:type="dxa"/>
            <w:tcBorders>
              <w:top w:val="nil"/>
              <w:left w:val="nil"/>
              <w:bottom w:val="nil"/>
              <w:right w:val="nil"/>
            </w:tcBorders>
            <w:shd w:val="clear" w:color="auto" w:fill="auto"/>
            <w:vAlign w:val="center"/>
            <w:hideMark/>
          </w:tcPr>
          <w:p w14:paraId="3B5CDD02"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20,9</w:t>
            </w:r>
          </w:p>
        </w:tc>
        <w:tc>
          <w:tcPr>
            <w:tcW w:w="1253" w:type="dxa"/>
            <w:tcBorders>
              <w:top w:val="nil"/>
              <w:left w:val="nil"/>
              <w:bottom w:val="nil"/>
              <w:right w:val="nil"/>
            </w:tcBorders>
            <w:shd w:val="clear" w:color="auto" w:fill="auto"/>
            <w:vAlign w:val="center"/>
            <w:hideMark/>
          </w:tcPr>
          <w:p w14:paraId="74975A82"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31,2</w:t>
            </w:r>
          </w:p>
        </w:tc>
      </w:tr>
      <w:tr w:rsidR="009F67D0" w:rsidRPr="00D92E20" w14:paraId="3129E1F7"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34FDF785"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30–39 let</w:t>
            </w:r>
          </w:p>
        </w:tc>
        <w:tc>
          <w:tcPr>
            <w:tcW w:w="1618" w:type="dxa"/>
            <w:tcBorders>
              <w:top w:val="nil"/>
              <w:left w:val="nil"/>
              <w:bottom w:val="nil"/>
              <w:right w:val="nil"/>
            </w:tcBorders>
            <w:shd w:val="clear" w:color="auto" w:fill="auto"/>
            <w:vAlign w:val="center"/>
            <w:hideMark/>
          </w:tcPr>
          <w:p w14:paraId="0E0D8867" w14:textId="37BD809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397,5</w:t>
            </w:r>
          </w:p>
        </w:tc>
        <w:tc>
          <w:tcPr>
            <w:tcW w:w="1253" w:type="dxa"/>
            <w:tcBorders>
              <w:top w:val="nil"/>
              <w:left w:val="nil"/>
              <w:bottom w:val="nil"/>
              <w:right w:val="nil"/>
            </w:tcBorders>
            <w:shd w:val="clear" w:color="auto" w:fill="auto"/>
            <w:vAlign w:val="center"/>
            <w:hideMark/>
          </w:tcPr>
          <w:p w14:paraId="38369E27" w14:textId="5BDC8A29"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200,4</w:t>
            </w:r>
          </w:p>
        </w:tc>
        <w:tc>
          <w:tcPr>
            <w:tcW w:w="1254" w:type="dxa"/>
            <w:tcBorders>
              <w:top w:val="nil"/>
              <w:left w:val="nil"/>
              <w:bottom w:val="nil"/>
              <w:right w:val="single" w:sz="4" w:space="0" w:color="auto"/>
            </w:tcBorders>
            <w:shd w:val="clear" w:color="auto" w:fill="auto"/>
            <w:vAlign w:val="center"/>
            <w:hideMark/>
          </w:tcPr>
          <w:p w14:paraId="225E03A1" w14:textId="2BD61213"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197,2</w:t>
            </w:r>
          </w:p>
        </w:tc>
        <w:tc>
          <w:tcPr>
            <w:tcW w:w="1253" w:type="dxa"/>
            <w:tcBorders>
              <w:top w:val="nil"/>
              <w:left w:val="nil"/>
              <w:bottom w:val="nil"/>
              <w:right w:val="nil"/>
            </w:tcBorders>
            <w:shd w:val="clear" w:color="auto" w:fill="auto"/>
            <w:vAlign w:val="center"/>
            <w:hideMark/>
          </w:tcPr>
          <w:p w14:paraId="0BBDF994"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33,7</w:t>
            </w:r>
          </w:p>
        </w:tc>
        <w:tc>
          <w:tcPr>
            <w:tcW w:w="1253" w:type="dxa"/>
            <w:tcBorders>
              <w:top w:val="nil"/>
              <w:left w:val="nil"/>
              <w:bottom w:val="nil"/>
              <w:right w:val="nil"/>
            </w:tcBorders>
            <w:shd w:val="clear" w:color="auto" w:fill="auto"/>
            <w:vAlign w:val="center"/>
            <w:hideMark/>
          </w:tcPr>
          <w:p w14:paraId="121C5E30"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28,7</w:t>
            </w:r>
          </w:p>
        </w:tc>
        <w:tc>
          <w:tcPr>
            <w:tcW w:w="1253" w:type="dxa"/>
            <w:tcBorders>
              <w:top w:val="nil"/>
              <w:left w:val="nil"/>
              <w:bottom w:val="nil"/>
              <w:right w:val="nil"/>
            </w:tcBorders>
            <w:shd w:val="clear" w:color="auto" w:fill="auto"/>
            <w:vAlign w:val="center"/>
            <w:hideMark/>
          </w:tcPr>
          <w:p w14:paraId="65560C7C"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38,8</w:t>
            </w:r>
          </w:p>
        </w:tc>
      </w:tr>
      <w:tr w:rsidR="009F67D0" w:rsidRPr="00D92E20" w14:paraId="72325EEA"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2ECE904E"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40–49 let</w:t>
            </w:r>
          </w:p>
        </w:tc>
        <w:tc>
          <w:tcPr>
            <w:tcW w:w="1618" w:type="dxa"/>
            <w:tcBorders>
              <w:top w:val="nil"/>
              <w:left w:val="nil"/>
              <w:bottom w:val="nil"/>
              <w:right w:val="nil"/>
            </w:tcBorders>
            <w:shd w:val="clear" w:color="auto" w:fill="auto"/>
            <w:vAlign w:val="center"/>
            <w:hideMark/>
          </w:tcPr>
          <w:p w14:paraId="4582D66E" w14:textId="238291EE"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469,8</w:t>
            </w:r>
          </w:p>
        </w:tc>
        <w:tc>
          <w:tcPr>
            <w:tcW w:w="1253" w:type="dxa"/>
            <w:tcBorders>
              <w:top w:val="nil"/>
              <w:left w:val="nil"/>
              <w:bottom w:val="nil"/>
              <w:right w:val="nil"/>
            </w:tcBorders>
            <w:shd w:val="clear" w:color="auto" w:fill="auto"/>
            <w:vAlign w:val="center"/>
            <w:hideMark/>
          </w:tcPr>
          <w:p w14:paraId="4769087C" w14:textId="20355E72"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195,8</w:t>
            </w:r>
          </w:p>
        </w:tc>
        <w:tc>
          <w:tcPr>
            <w:tcW w:w="1254" w:type="dxa"/>
            <w:tcBorders>
              <w:top w:val="nil"/>
              <w:left w:val="nil"/>
              <w:bottom w:val="nil"/>
              <w:right w:val="single" w:sz="4" w:space="0" w:color="auto"/>
            </w:tcBorders>
            <w:shd w:val="clear" w:color="auto" w:fill="auto"/>
            <w:vAlign w:val="center"/>
            <w:hideMark/>
          </w:tcPr>
          <w:p w14:paraId="237764AD" w14:textId="36E005C1"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274,0</w:t>
            </w:r>
          </w:p>
        </w:tc>
        <w:tc>
          <w:tcPr>
            <w:tcW w:w="1253" w:type="dxa"/>
            <w:tcBorders>
              <w:top w:val="nil"/>
              <w:left w:val="nil"/>
              <w:bottom w:val="nil"/>
              <w:right w:val="nil"/>
            </w:tcBorders>
            <w:shd w:val="clear" w:color="auto" w:fill="auto"/>
            <w:vAlign w:val="center"/>
            <w:hideMark/>
          </w:tcPr>
          <w:p w14:paraId="365DFC57"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42,2</w:t>
            </w:r>
          </w:p>
        </w:tc>
        <w:tc>
          <w:tcPr>
            <w:tcW w:w="1253" w:type="dxa"/>
            <w:tcBorders>
              <w:top w:val="nil"/>
              <w:left w:val="nil"/>
              <w:bottom w:val="nil"/>
              <w:right w:val="nil"/>
            </w:tcBorders>
            <w:shd w:val="clear" w:color="auto" w:fill="auto"/>
            <w:vAlign w:val="center"/>
            <w:hideMark/>
          </w:tcPr>
          <w:p w14:paraId="4EA677FC"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41,7</w:t>
            </w:r>
          </w:p>
        </w:tc>
        <w:tc>
          <w:tcPr>
            <w:tcW w:w="1253" w:type="dxa"/>
            <w:tcBorders>
              <w:top w:val="nil"/>
              <w:left w:val="nil"/>
              <w:bottom w:val="nil"/>
              <w:right w:val="nil"/>
            </w:tcBorders>
            <w:shd w:val="clear" w:color="auto" w:fill="auto"/>
            <w:vAlign w:val="center"/>
            <w:hideMark/>
          </w:tcPr>
          <w:p w14:paraId="6355EB57"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42,6</w:t>
            </w:r>
          </w:p>
        </w:tc>
      </w:tr>
      <w:tr w:rsidR="009F67D0" w:rsidRPr="00D92E20" w14:paraId="2F67599B"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11702FF2"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50–59 let</w:t>
            </w:r>
          </w:p>
        </w:tc>
        <w:tc>
          <w:tcPr>
            <w:tcW w:w="1618" w:type="dxa"/>
            <w:tcBorders>
              <w:top w:val="nil"/>
              <w:left w:val="nil"/>
              <w:bottom w:val="nil"/>
              <w:right w:val="nil"/>
            </w:tcBorders>
            <w:shd w:val="clear" w:color="auto" w:fill="auto"/>
            <w:vAlign w:val="center"/>
            <w:hideMark/>
          </w:tcPr>
          <w:p w14:paraId="17EC10FC" w14:textId="60286C3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411,8</w:t>
            </w:r>
          </w:p>
        </w:tc>
        <w:tc>
          <w:tcPr>
            <w:tcW w:w="1253" w:type="dxa"/>
            <w:tcBorders>
              <w:top w:val="nil"/>
              <w:left w:val="nil"/>
              <w:bottom w:val="nil"/>
              <w:right w:val="nil"/>
            </w:tcBorders>
            <w:shd w:val="clear" w:color="auto" w:fill="auto"/>
            <w:vAlign w:val="center"/>
            <w:hideMark/>
          </w:tcPr>
          <w:p w14:paraId="5654649E" w14:textId="783AFBB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167,0</w:t>
            </w:r>
          </w:p>
        </w:tc>
        <w:tc>
          <w:tcPr>
            <w:tcW w:w="1254" w:type="dxa"/>
            <w:tcBorders>
              <w:top w:val="nil"/>
              <w:left w:val="nil"/>
              <w:bottom w:val="nil"/>
              <w:right w:val="single" w:sz="4" w:space="0" w:color="auto"/>
            </w:tcBorders>
            <w:shd w:val="clear" w:color="auto" w:fill="auto"/>
            <w:vAlign w:val="center"/>
            <w:hideMark/>
          </w:tcPr>
          <w:p w14:paraId="7EA4EFC4" w14:textId="246FD994"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244,7</w:t>
            </w:r>
          </w:p>
        </w:tc>
        <w:tc>
          <w:tcPr>
            <w:tcW w:w="1253" w:type="dxa"/>
            <w:tcBorders>
              <w:top w:val="nil"/>
              <w:left w:val="nil"/>
              <w:bottom w:val="nil"/>
              <w:right w:val="nil"/>
            </w:tcBorders>
            <w:shd w:val="clear" w:color="auto" w:fill="auto"/>
            <w:vAlign w:val="center"/>
            <w:hideMark/>
          </w:tcPr>
          <w:p w14:paraId="188F2166"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54,5</w:t>
            </w:r>
          </w:p>
        </w:tc>
        <w:tc>
          <w:tcPr>
            <w:tcW w:w="1253" w:type="dxa"/>
            <w:tcBorders>
              <w:top w:val="nil"/>
              <w:left w:val="nil"/>
              <w:bottom w:val="nil"/>
              <w:right w:val="nil"/>
            </w:tcBorders>
            <w:shd w:val="clear" w:color="auto" w:fill="auto"/>
            <w:vAlign w:val="center"/>
            <w:hideMark/>
          </w:tcPr>
          <w:p w14:paraId="46010ECF"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56,9</w:t>
            </w:r>
          </w:p>
        </w:tc>
        <w:tc>
          <w:tcPr>
            <w:tcW w:w="1253" w:type="dxa"/>
            <w:tcBorders>
              <w:top w:val="nil"/>
              <w:left w:val="nil"/>
              <w:bottom w:val="nil"/>
              <w:right w:val="nil"/>
            </w:tcBorders>
            <w:shd w:val="clear" w:color="auto" w:fill="auto"/>
            <w:vAlign w:val="center"/>
            <w:hideMark/>
          </w:tcPr>
          <w:p w14:paraId="31A2035A"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52,9</w:t>
            </w:r>
          </w:p>
        </w:tc>
      </w:tr>
      <w:tr w:rsidR="009F67D0" w:rsidRPr="00D92E20" w14:paraId="5D9C795C" w14:textId="77777777" w:rsidTr="00C7753B">
        <w:trPr>
          <w:trHeight w:val="288"/>
        </w:trPr>
        <w:tc>
          <w:tcPr>
            <w:tcW w:w="1749" w:type="dxa"/>
            <w:tcBorders>
              <w:top w:val="nil"/>
              <w:left w:val="nil"/>
              <w:bottom w:val="nil"/>
              <w:right w:val="single" w:sz="4" w:space="0" w:color="auto"/>
            </w:tcBorders>
            <w:shd w:val="clear" w:color="auto" w:fill="auto"/>
            <w:vAlign w:val="center"/>
            <w:hideMark/>
          </w:tcPr>
          <w:p w14:paraId="2AE554D8"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60 a více let</w:t>
            </w:r>
          </w:p>
        </w:tc>
        <w:tc>
          <w:tcPr>
            <w:tcW w:w="1618" w:type="dxa"/>
            <w:tcBorders>
              <w:top w:val="nil"/>
              <w:left w:val="nil"/>
              <w:bottom w:val="nil"/>
              <w:right w:val="nil"/>
            </w:tcBorders>
            <w:shd w:val="clear" w:color="auto" w:fill="auto"/>
            <w:vAlign w:val="center"/>
            <w:hideMark/>
          </w:tcPr>
          <w:p w14:paraId="3AF4AB86" w14:textId="3F332063"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129,2</w:t>
            </w:r>
          </w:p>
        </w:tc>
        <w:tc>
          <w:tcPr>
            <w:tcW w:w="1253" w:type="dxa"/>
            <w:tcBorders>
              <w:top w:val="nil"/>
              <w:left w:val="nil"/>
              <w:bottom w:val="nil"/>
              <w:right w:val="nil"/>
            </w:tcBorders>
            <w:shd w:val="clear" w:color="auto" w:fill="auto"/>
            <w:vAlign w:val="center"/>
            <w:hideMark/>
          </w:tcPr>
          <w:p w14:paraId="57651157" w14:textId="4DD02551"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75,3</w:t>
            </w:r>
          </w:p>
        </w:tc>
        <w:tc>
          <w:tcPr>
            <w:tcW w:w="1254" w:type="dxa"/>
            <w:tcBorders>
              <w:top w:val="nil"/>
              <w:left w:val="nil"/>
              <w:bottom w:val="nil"/>
              <w:right w:val="single" w:sz="4" w:space="0" w:color="auto"/>
            </w:tcBorders>
            <w:shd w:val="clear" w:color="auto" w:fill="auto"/>
            <w:vAlign w:val="center"/>
            <w:hideMark/>
          </w:tcPr>
          <w:p w14:paraId="5B571264" w14:textId="0A4B57CA"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53,9</w:t>
            </w:r>
          </w:p>
        </w:tc>
        <w:tc>
          <w:tcPr>
            <w:tcW w:w="1253" w:type="dxa"/>
            <w:tcBorders>
              <w:top w:val="nil"/>
              <w:left w:val="nil"/>
              <w:bottom w:val="nil"/>
              <w:right w:val="nil"/>
            </w:tcBorders>
            <w:shd w:val="clear" w:color="auto" w:fill="auto"/>
            <w:vAlign w:val="center"/>
            <w:hideMark/>
          </w:tcPr>
          <w:p w14:paraId="366973B9"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66,9</w:t>
            </w:r>
          </w:p>
        </w:tc>
        <w:tc>
          <w:tcPr>
            <w:tcW w:w="1253" w:type="dxa"/>
            <w:tcBorders>
              <w:top w:val="nil"/>
              <w:left w:val="nil"/>
              <w:bottom w:val="nil"/>
              <w:right w:val="nil"/>
            </w:tcBorders>
            <w:shd w:val="clear" w:color="auto" w:fill="auto"/>
            <w:vAlign w:val="center"/>
            <w:hideMark/>
          </w:tcPr>
          <w:p w14:paraId="0689618B"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75,2</w:t>
            </w:r>
          </w:p>
        </w:tc>
        <w:tc>
          <w:tcPr>
            <w:tcW w:w="1253" w:type="dxa"/>
            <w:tcBorders>
              <w:top w:val="nil"/>
              <w:left w:val="nil"/>
              <w:bottom w:val="nil"/>
              <w:right w:val="nil"/>
            </w:tcBorders>
            <w:shd w:val="clear" w:color="auto" w:fill="auto"/>
            <w:vAlign w:val="center"/>
            <w:hideMark/>
          </w:tcPr>
          <w:p w14:paraId="5F6FC319" w14:textId="77777777" w:rsidR="009F67D0"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55,5</w:t>
            </w:r>
          </w:p>
        </w:tc>
      </w:tr>
    </w:tbl>
    <w:p w14:paraId="56E8B21C" w14:textId="77777777" w:rsidR="00B9122C" w:rsidRPr="00D92E20" w:rsidRDefault="00B9122C" w:rsidP="00B9122C">
      <w:pPr>
        <w:spacing w:before="120"/>
        <w:rPr>
          <w:sz w:val="16"/>
        </w:rPr>
      </w:pPr>
      <w:r w:rsidRPr="00D92E20">
        <w:rPr>
          <w:sz w:val="16"/>
        </w:rPr>
        <w:t>Zdroj: ČSSZ</w:t>
      </w:r>
    </w:p>
    <w:p w14:paraId="3805C765" w14:textId="77777777" w:rsidR="00B9122C" w:rsidRPr="00D92E20" w:rsidRDefault="00B9122C" w:rsidP="00000A90">
      <w:pPr>
        <w:spacing w:before="120" w:after="120"/>
        <w:jc w:val="both"/>
      </w:pPr>
      <w:r w:rsidRPr="00D92E20">
        <w:t xml:space="preserve">Doba, po kterou pracovní neschopnost trvala, rostla </w:t>
      </w:r>
      <w:r w:rsidRPr="00D92E20">
        <w:rPr>
          <w:b/>
        </w:rPr>
        <w:t>s věkem</w:t>
      </w:r>
      <w:r w:rsidRPr="00D92E20">
        <w:t xml:space="preserve"> (viz tab. 3.</w:t>
      </w:r>
      <w:r w:rsidR="00391FBE" w:rsidRPr="00D92E20">
        <w:t>2</w:t>
      </w:r>
      <w:r w:rsidRPr="00D92E20">
        <w:t xml:space="preserve">), a to od </w:t>
      </w:r>
      <w:r w:rsidR="002C05CC" w:rsidRPr="00D92E20">
        <w:t>18,6</w:t>
      </w:r>
      <w:r w:rsidRPr="00D92E20">
        <w:t xml:space="preserve"> dne ve věkové skupině osob mladších 20 let až po </w:t>
      </w:r>
      <w:r w:rsidR="002C05CC" w:rsidRPr="00D92E20">
        <w:t>60,1</w:t>
      </w:r>
      <w:r w:rsidRPr="00D92E20">
        <w:t xml:space="preserve"> dne ve věkové skupině 60letých a starších. To je způsobeno zejména vyšším zastoupením krátkodobých případů pracovní neschopnosti pro nemoci dýchací soustavy v mladším věku a naopak nárůstem dlouhodobých případů pracovní neschopnosti pro nádorová onemocnění a nemoci oběhové soustavy se zvyšujícím se věkem.</w:t>
      </w:r>
    </w:p>
    <w:p w14:paraId="50BF44C2" w14:textId="3301662D" w:rsidR="002C05CC" w:rsidRPr="00D92E20" w:rsidRDefault="002C05CC" w:rsidP="00000A90">
      <w:pPr>
        <w:spacing w:before="120" w:after="120"/>
        <w:jc w:val="both"/>
      </w:pPr>
      <w:r w:rsidRPr="00D92E20">
        <w:t xml:space="preserve">Pracovní neschopnost plyne z různých příčin a statistiky ČSSZ nabízí přehled ukončených případů </w:t>
      </w:r>
      <w:r w:rsidRPr="00D92E20">
        <w:rPr>
          <w:b/>
        </w:rPr>
        <w:t>podle diagnóz</w:t>
      </w:r>
      <w:r w:rsidRPr="00D92E20">
        <w:t xml:space="preserve">. Nejčastějším důvodem pracovní neschopnosti jsou dlouhodobě </w:t>
      </w:r>
      <w:r w:rsidRPr="00D92E20">
        <w:rPr>
          <w:b/>
        </w:rPr>
        <w:t>nemoci dýchací soustavy</w:t>
      </w:r>
      <w:r w:rsidRPr="00D92E20">
        <w:t>, které v roce 2020 způsobily 29 % všech případů. Z nemocí této skupiny jsou neschopenky vystavovány zejména kvůli akutní</w:t>
      </w:r>
      <w:r w:rsidR="00C7753B" w:rsidRPr="00D92E20">
        <w:t>m infekcím dýchacích cest či chřipkám</w:t>
      </w:r>
      <w:r w:rsidR="00216AD5" w:rsidRPr="00D92E20">
        <w:t xml:space="preserve"> a pneumonii</w:t>
      </w:r>
      <w:r w:rsidRPr="00D92E20">
        <w:t>. Na druhou stranu, onemocnění dýchací soustavy tvořila pouze 14 % (11,7 mil. dnů) z ce</w:t>
      </w:r>
      <w:r w:rsidR="00C7753B" w:rsidRPr="00D92E20">
        <w:t xml:space="preserve">lkového počtu prostonaných dnů. To představuje </w:t>
      </w:r>
      <w:r w:rsidRPr="00D92E20">
        <w:t>v průměru nejkratší dobu pracovní neschopnosti ze všech skupin diagnóz, a sice 17,4 dne na 1 případ.</w:t>
      </w:r>
    </w:p>
    <w:p w14:paraId="54BDA2DD" w14:textId="3DE2AC27" w:rsidR="002C05CC" w:rsidRPr="00D92E20" w:rsidRDefault="002C05CC" w:rsidP="00000A90">
      <w:pPr>
        <w:spacing w:before="120" w:after="120"/>
        <w:jc w:val="both"/>
      </w:pPr>
      <w:r w:rsidRPr="00D92E20">
        <w:t xml:space="preserve">Obdobný podíl, tj. 29 %, zaujímaly </w:t>
      </w:r>
      <w:r w:rsidRPr="00D92E20">
        <w:rPr>
          <w:b/>
        </w:rPr>
        <w:t>ostatní nemoci</w:t>
      </w:r>
      <w:r w:rsidRPr="00D92E20">
        <w:t>, kam patří i neschope</w:t>
      </w:r>
      <w:r w:rsidR="00FB3501" w:rsidRPr="00D92E20">
        <w:t xml:space="preserve">nky vydané pro </w:t>
      </w:r>
      <w:r w:rsidR="00FB3501" w:rsidRPr="00D92E20">
        <w:rPr>
          <w:b/>
        </w:rPr>
        <w:t>případ karantény</w:t>
      </w:r>
      <w:r w:rsidRPr="00D92E20">
        <w:t xml:space="preserve">. </w:t>
      </w:r>
      <w:r w:rsidR="00FB3501" w:rsidRPr="00D92E20">
        <w:t xml:space="preserve">Dá se předpokládat, že </w:t>
      </w:r>
      <w:r w:rsidR="0044667F" w:rsidRPr="00D92E20">
        <w:t xml:space="preserve">jsou </w:t>
      </w:r>
      <w:r w:rsidR="00FB3501" w:rsidRPr="00D92E20">
        <w:t xml:space="preserve">zde zahrnuty i </w:t>
      </w:r>
      <w:r w:rsidR="0044667F" w:rsidRPr="00D92E20">
        <w:t xml:space="preserve">některé </w:t>
      </w:r>
      <w:r w:rsidR="00FB3501" w:rsidRPr="00D92E20">
        <w:t>případy osob, u kterých se časem karanténa přetavila v samotné onemocnění. Přesnější zachycení pandemie z těchto dat není možné. Jen pro srovnání v</w:t>
      </w:r>
      <w:r w:rsidRPr="00D92E20">
        <w:t xml:space="preserve"> roce 2019 činil podíl kategorie </w:t>
      </w:r>
      <w:r w:rsidR="005E46F7" w:rsidRPr="00D92E20">
        <w:t xml:space="preserve">ostatní </w:t>
      </w:r>
      <w:r w:rsidRPr="00D92E20">
        <w:t>nemoci 10 %.</w:t>
      </w:r>
    </w:p>
    <w:p w14:paraId="0A1DD0B4" w14:textId="77777777" w:rsidR="002C05CC" w:rsidRPr="00D92E20" w:rsidRDefault="00391FBE" w:rsidP="00000A90">
      <w:pPr>
        <w:spacing w:before="120" w:after="120"/>
        <w:jc w:val="both"/>
      </w:pPr>
      <w:r w:rsidRPr="00D92E20">
        <w:t xml:space="preserve">Šestina neschopenek byla v roce 2020 vydána kvůli </w:t>
      </w:r>
      <w:r w:rsidR="002C05CC" w:rsidRPr="00D92E20">
        <w:rPr>
          <w:b/>
        </w:rPr>
        <w:t>nemoc</w:t>
      </w:r>
      <w:r w:rsidRPr="00D92E20">
        <w:rPr>
          <w:b/>
        </w:rPr>
        <w:t>em</w:t>
      </w:r>
      <w:r w:rsidR="002C05CC" w:rsidRPr="00D92E20">
        <w:rPr>
          <w:b/>
        </w:rPr>
        <w:t xml:space="preserve"> pohybové soustavy</w:t>
      </w:r>
      <w:r w:rsidRPr="00D92E20">
        <w:t>.</w:t>
      </w:r>
      <w:r w:rsidRPr="00D92E20">
        <w:rPr>
          <w:b/>
        </w:rPr>
        <w:t xml:space="preserve"> </w:t>
      </w:r>
      <w:r w:rsidR="002C05CC" w:rsidRPr="00D92E20">
        <w:t>Tyto nemoci se vyznačují poměrně dlouhou délkou trvání, v průměru déle než 2 kalendářní měsíce (6</w:t>
      </w:r>
      <w:r w:rsidRPr="00D92E20">
        <w:t>9</w:t>
      </w:r>
      <w:r w:rsidR="002C05CC" w:rsidRPr="00D92E20">
        <w:t>,</w:t>
      </w:r>
      <w:r w:rsidRPr="00D92E20">
        <w:t>3</w:t>
      </w:r>
      <w:r w:rsidR="002C05CC" w:rsidRPr="00D92E20">
        <w:t xml:space="preserve"> dne) na 1 případ. Na celkovém počtu prostonaných dnů se tato kategorie podílela necelou třetinou, což je dlouhodobě nejvyšší podíl. V absolutních hodnotách se jedná o </w:t>
      </w:r>
      <w:r w:rsidRPr="00D92E20">
        <w:t>26</w:t>
      </w:r>
      <w:r w:rsidR="002C05CC" w:rsidRPr="00D92E20">
        <w:t>,9 mil. dnů. Z nemocí pohybové soustavy zapříčiňují pracovní neschopnost nejčastěji onemocnění páteře.</w:t>
      </w:r>
    </w:p>
    <w:p w14:paraId="34DC49C1" w14:textId="77777777" w:rsidR="002C05CC" w:rsidRPr="00D92E20" w:rsidRDefault="00391FBE" w:rsidP="00000A90">
      <w:pPr>
        <w:spacing w:before="120" w:after="120"/>
        <w:jc w:val="both"/>
      </w:pPr>
      <w:r w:rsidRPr="00D92E20">
        <w:t xml:space="preserve">Další častou příčinu pracovní neschopnosti představovaly </w:t>
      </w:r>
      <w:r w:rsidR="002C05CC" w:rsidRPr="00D92E20">
        <w:rPr>
          <w:b/>
        </w:rPr>
        <w:t>úrazy a otravy</w:t>
      </w:r>
      <w:r w:rsidR="002C05CC" w:rsidRPr="00D92E20">
        <w:t xml:space="preserve">. </w:t>
      </w:r>
      <w:r w:rsidRPr="00D92E20">
        <w:t xml:space="preserve">Na všech neschopenkách se podílely 8 %. </w:t>
      </w:r>
      <w:r w:rsidR="002C05CC" w:rsidRPr="00D92E20">
        <w:t xml:space="preserve">Průměrná délka trvání pracovní neschopnosti byla v tomto případě </w:t>
      </w:r>
      <w:r w:rsidRPr="00D92E20">
        <w:t>56,6</w:t>
      </w:r>
      <w:r w:rsidR="002C05CC" w:rsidRPr="00D92E20">
        <w:t xml:space="preserve"> dne a celkový počet prostonaných dnů činil </w:t>
      </w:r>
      <w:r w:rsidRPr="00D92E20">
        <w:t>1</w:t>
      </w:r>
      <w:r w:rsidR="00374543" w:rsidRPr="00D92E20">
        <w:t>0</w:t>
      </w:r>
      <w:r w:rsidRPr="00D92E20">
        <w:t>,</w:t>
      </w:r>
      <w:r w:rsidR="00374543" w:rsidRPr="00D92E20">
        <w:t>1</w:t>
      </w:r>
      <w:r w:rsidR="002C05CC" w:rsidRPr="00D92E20">
        <w:t xml:space="preserve"> mil.</w:t>
      </w:r>
    </w:p>
    <w:p w14:paraId="02064C15" w14:textId="77777777" w:rsidR="00000A90" w:rsidRPr="00D92E20" w:rsidRDefault="00000A90">
      <w:pPr>
        <w:spacing w:after="0" w:line="240" w:lineRule="auto"/>
        <w:rPr>
          <w:b/>
        </w:rPr>
      </w:pPr>
      <w:r w:rsidRPr="00D92E20">
        <w:rPr>
          <w:b/>
        </w:rPr>
        <w:br w:type="page"/>
      </w:r>
    </w:p>
    <w:p w14:paraId="3C9E5C4E" w14:textId="0DA3D469" w:rsidR="005A63A4" w:rsidRPr="00D92E20" w:rsidRDefault="005A63A4" w:rsidP="005A63A4">
      <w:pPr>
        <w:spacing w:before="120" w:after="120"/>
        <w:jc w:val="both"/>
      </w:pPr>
      <w:r w:rsidRPr="00D92E20">
        <w:lastRenderedPageBreak/>
        <w:t xml:space="preserve">Nejdelší </w:t>
      </w:r>
      <w:r w:rsidRPr="00D92E20">
        <w:rPr>
          <w:b/>
        </w:rPr>
        <w:t>průměrná délka</w:t>
      </w:r>
      <w:r w:rsidRPr="00D92E20">
        <w:t xml:space="preserve"> trvání pracovní neschopnosti byla v roce 2020 evidována u tuberkulózy (202 dnů). Další skupinou diagnóz, která je doprovázena dlouhou pracovní neschopností, jsou zhoubné novotvary (188 dnů). V roce 2020 trvala pracovní neschopnost u této skupiny nemocí 182 dnů u mužů, zatímco u žen 193. </w:t>
      </w:r>
      <w:r w:rsidR="00B527E8" w:rsidRPr="00D92E20">
        <w:t xml:space="preserve">Přes hranici 100 dnů se </w:t>
      </w:r>
      <w:r w:rsidR="005E46F7" w:rsidRPr="00D92E20">
        <w:t xml:space="preserve">v průměru </w:t>
      </w:r>
      <w:r w:rsidR="00B527E8" w:rsidRPr="00D92E20">
        <w:t>dostaly i n</w:t>
      </w:r>
      <w:r w:rsidRPr="00D92E20">
        <w:t>emoci spojené s těhotenstvím, mateřstvím a šestinedělím</w:t>
      </w:r>
      <w:r w:rsidR="00B527E8" w:rsidRPr="00D92E20">
        <w:t>, které</w:t>
      </w:r>
      <w:r w:rsidRPr="00D92E20">
        <w:t xml:space="preserve"> si vyžádaly v průměru 103 dnů v pracovní neschopnosti.</w:t>
      </w:r>
    </w:p>
    <w:p w14:paraId="35382427" w14:textId="77777777" w:rsidR="00B527E8" w:rsidRPr="00D92E20" w:rsidRDefault="005A63A4" w:rsidP="005A63A4">
      <w:pPr>
        <w:spacing w:before="120" w:after="120"/>
        <w:jc w:val="both"/>
      </w:pPr>
      <w:r w:rsidRPr="00D92E20">
        <w:t xml:space="preserve">Z hlediska </w:t>
      </w:r>
      <w:r w:rsidRPr="00D92E20">
        <w:rPr>
          <w:b/>
        </w:rPr>
        <w:t>pohlaví</w:t>
      </w:r>
      <w:r w:rsidRPr="00D92E20">
        <w:t xml:space="preserve"> je výskyt pracovní neschopnosti četnější u žen, v roce 2020 ženy </w:t>
      </w:r>
      <w:r w:rsidR="00B527E8" w:rsidRPr="00D92E20">
        <w:t>zaznamenaly</w:t>
      </w:r>
      <w:r w:rsidRPr="00D92E20">
        <w:t xml:space="preserve"> 1 198 tis. </w:t>
      </w:r>
      <w:r w:rsidR="00B527E8" w:rsidRPr="00D92E20">
        <w:t xml:space="preserve">ukončených </w:t>
      </w:r>
      <w:r w:rsidRPr="00D92E20">
        <w:t xml:space="preserve">případů pracovní neschopnosti, muži 1 096 tis. neschopenek. Pracovní neschopnost u žen také trvala v průměru o 3,6 dne déle než u mužů. Tento rozdíl přetrvává dlouhodobě a je dán zejména indispozicemi spojenými s těhotenstvím. </w:t>
      </w:r>
    </w:p>
    <w:p w14:paraId="2247ED56" w14:textId="5167AAEC" w:rsidR="005A63A4" w:rsidRPr="00D92E20" w:rsidRDefault="005A63A4" w:rsidP="005A63A4">
      <w:pPr>
        <w:spacing w:before="120" w:after="120"/>
        <w:jc w:val="both"/>
      </w:pPr>
      <w:r w:rsidRPr="00D92E20">
        <w:t xml:space="preserve">Výraznější rozdíl v pracovní neschopnosti podle pohlaví se objevuje u nemocí močové a pohlavní soustavy, kdy </w:t>
      </w:r>
      <w:r w:rsidR="00B527E8" w:rsidRPr="00D92E20">
        <w:t xml:space="preserve">je </w:t>
      </w:r>
      <w:r w:rsidRPr="00D92E20">
        <w:t>počet ukončených případů mužů oproti ženám 3,5krát nižší. Duševní onemocnění vedoucí k pracovní neschopnosti byly v roce 2020 téměř dvakrát častější u žen. Muži jsou naopak náchylnější na nemoci oběhové, trávicí či pohybové soustavy. Mnohem častěji jsou v pracovní neschopnosti také z důvodu úrazu či otravy.</w:t>
      </w:r>
    </w:p>
    <w:p w14:paraId="06D60AA5" w14:textId="2E94367C" w:rsidR="00B12C5F" w:rsidRPr="00D92E20" w:rsidRDefault="0070383F" w:rsidP="00000A90">
      <w:pPr>
        <w:pStyle w:val="Seznam"/>
        <w:spacing w:after="0"/>
        <w:contextualSpacing w:val="0"/>
        <w:jc w:val="both"/>
        <w:rPr>
          <w:b/>
        </w:rPr>
      </w:pPr>
      <w:r w:rsidRPr="00D92E20">
        <w:rPr>
          <w:b/>
        </w:rPr>
        <w:t xml:space="preserve">Tab. 3.3: </w:t>
      </w:r>
      <w:r w:rsidR="009F67D0" w:rsidRPr="00D92E20">
        <w:rPr>
          <w:b/>
        </w:rPr>
        <w:t>Počet u</w:t>
      </w:r>
      <w:r w:rsidRPr="00D92E20">
        <w:rPr>
          <w:b/>
        </w:rPr>
        <w:t>končen</w:t>
      </w:r>
      <w:r w:rsidR="009F67D0" w:rsidRPr="00D92E20">
        <w:rPr>
          <w:b/>
        </w:rPr>
        <w:t>ých</w:t>
      </w:r>
      <w:r w:rsidRPr="00D92E20">
        <w:rPr>
          <w:b/>
        </w:rPr>
        <w:t xml:space="preserve"> případ</w:t>
      </w:r>
      <w:r w:rsidR="009F67D0" w:rsidRPr="00D92E20">
        <w:rPr>
          <w:b/>
        </w:rPr>
        <w:t>ů</w:t>
      </w:r>
      <w:r w:rsidRPr="00D92E20">
        <w:rPr>
          <w:b/>
        </w:rPr>
        <w:t xml:space="preserve"> dočasné pracovní neschopnosti a průměrná délka jejich trvání podle skupin diagnóz a pohlaví, 2020</w:t>
      </w:r>
    </w:p>
    <w:tbl>
      <w:tblPr>
        <w:tblW w:w="9752" w:type="dxa"/>
        <w:tblCellMar>
          <w:left w:w="70" w:type="dxa"/>
          <w:right w:w="70" w:type="dxa"/>
        </w:tblCellMar>
        <w:tblLook w:val="04A0" w:firstRow="1" w:lastRow="0" w:firstColumn="1" w:lastColumn="0" w:noHBand="0" w:noVBand="1"/>
      </w:tblPr>
      <w:tblGrid>
        <w:gridCol w:w="2948"/>
        <w:gridCol w:w="1134"/>
        <w:gridCol w:w="1134"/>
        <w:gridCol w:w="1134"/>
        <w:gridCol w:w="1134"/>
        <w:gridCol w:w="1134"/>
        <w:gridCol w:w="1134"/>
      </w:tblGrid>
      <w:tr w:rsidR="0070383F" w:rsidRPr="00D92E20" w14:paraId="5B4F9C4F" w14:textId="77777777" w:rsidTr="00027E79">
        <w:trPr>
          <w:trHeight w:val="525"/>
        </w:trPr>
        <w:tc>
          <w:tcPr>
            <w:tcW w:w="2948" w:type="dxa"/>
            <w:vMerge w:val="restart"/>
            <w:tcBorders>
              <w:top w:val="single" w:sz="4" w:space="0" w:color="auto"/>
              <w:left w:val="nil"/>
              <w:bottom w:val="single" w:sz="4" w:space="0" w:color="000000"/>
              <w:right w:val="single" w:sz="4" w:space="0" w:color="auto"/>
            </w:tcBorders>
            <w:shd w:val="clear" w:color="000000" w:fill="F5DADD"/>
            <w:vAlign w:val="center"/>
            <w:hideMark/>
          </w:tcPr>
          <w:p w14:paraId="5C63078C" w14:textId="77777777" w:rsidR="00EC21A5" w:rsidRPr="00D92E20" w:rsidRDefault="0070383F" w:rsidP="00EC21A5">
            <w:pPr>
              <w:spacing w:after="0" w:line="240" w:lineRule="auto"/>
              <w:jc w:val="center"/>
              <w:rPr>
                <w:rFonts w:cs="Arial"/>
                <w:color w:val="000000"/>
                <w:sz w:val="16"/>
                <w:szCs w:val="16"/>
              </w:rPr>
            </w:pPr>
            <w:r w:rsidRPr="00D92E20">
              <w:rPr>
                <w:rFonts w:cs="Arial"/>
                <w:color w:val="000000"/>
                <w:sz w:val="16"/>
                <w:szCs w:val="16"/>
              </w:rPr>
              <w:t>Skupiny diagnóz</w:t>
            </w:r>
          </w:p>
          <w:p w14:paraId="5E257B1F" w14:textId="77777777" w:rsidR="0070383F" w:rsidRPr="00D92E20" w:rsidRDefault="0070383F" w:rsidP="00EC21A5">
            <w:pPr>
              <w:spacing w:after="0" w:line="240" w:lineRule="auto"/>
              <w:jc w:val="center"/>
              <w:rPr>
                <w:rFonts w:cs="Arial"/>
                <w:color w:val="000000"/>
                <w:sz w:val="16"/>
                <w:szCs w:val="16"/>
              </w:rPr>
            </w:pPr>
            <w:r w:rsidRPr="00D92E20">
              <w:rPr>
                <w:rFonts w:cs="Arial"/>
                <w:color w:val="000000"/>
                <w:sz w:val="16"/>
                <w:szCs w:val="16"/>
              </w:rPr>
              <w:t>(kapitoly podle MKN-10)</w:t>
            </w:r>
          </w:p>
        </w:tc>
        <w:tc>
          <w:tcPr>
            <w:tcW w:w="3402" w:type="dxa"/>
            <w:gridSpan w:val="3"/>
            <w:tcBorders>
              <w:top w:val="single" w:sz="4" w:space="0" w:color="auto"/>
              <w:left w:val="nil"/>
              <w:bottom w:val="single" w:sz="4" w:space="0" w:color="auto"/>
              <w:right w:val="single" w:sz="4" w:space="0" w:color="000000"/>
            </w:tcBorders>
            <w:shd w:val="clear" w:color="000000" w:fill="F2DBDB"/>
            <w:vAlign w:val="center"/>
            <w:hideMark/>
          </w:tcPr>
          <w:p w14:paraId="5EF1385D" w14:textId="1D25A887" w:rsidR="0070383F" w:rsidRPr="00D92E20" w:rsidRDefault="009F67D0" w:rsidP="009F67D0">
            <w:pPr>
              <w:spacing w:after="0" w:line="240" w:lineRule="auto"/>
              <w:jc w:val="center"/>
              <w:rPr>
                <w:rFonts w:cs="Arial"/>
                <w:color w:val="000000"/>
                <w:sz w:val="16"/>
                <w:szCs w:val="16"/>
              </w:rPr>
            </w:pPr>
            <w:r w:rsidRPr="00D92E20">
              <w:rPr>
                <w:rFonts w:cs="Arial"/>
                <w:color w:val="000000"/>
                <w:sz w:val="16"/>
                <w:szCs w:val="16"/>
              </w:rPr>
              <w:t>Počet ukončených</w:t>
            </w:r>
            <w:r w:rsidR="0070383F" w:rsidRPr="00D92E20">
              <w:rPr>
                <w:rFonts w:cs="Arial"/>
                <w:color w:val="000000"/>
                <w:sz w:val="16"/>
                <w:szCs w:val="16"/>
              </w:rPr>
              <w:t xml:space="preserve"> případ</w:t>
            </w:r>
            <w:r w:rsidRPr="00D92E20">
              <w:rPr>
                <w:rFonts w:cs="Arial"/>
                <w:color w:val="000000"/>
                <w:sz w:val="16"/>
                <w:szCs w:val="16"/>
              </w:rPr>
              <w:t>ů</w:t>
            </w:r>
            <w:r w:rsidR="0070383F" w:rsidRPr="00D92E20">
              <w:rPr>
                <w:rFonts w:cs="Arial"/>
                <w:color w:val="000000"/>
                <w:sz w:val="16"/>
                <w:szCs w:val="16"/>
              </w:rPr>
              <w:t xml:space="preserve"> DPN</w:t>
            </w:r>
            <w:r w:rsidRPr="00D92E20">
              <w:rPr>
                <w:rFonts w:cs="Arial"/>
                <w:color w:val="000000"/>
                <w:sz w:val="16"/>
                <w:szCs w:val="16"/>
              </w:rPr>
              <w:t xml:space="preserve"> (tis.)</w:t>
            </w:r>
          </w:p>
        </w:tc>
        <w:tc>
          <w:tcPr>
            <w:tcW w:w="3402" w:type="dxa"/>
            <w:gridSpan w:val="3"/>
            <w:tcBorders>
              <w:top w:val="single" w:sz="4" w:space="0" w:color="auto"/>
              <w:left w:val="nil"/>
              <w:bottom w:val="single" w:sz="4" w:space="0" w:color="auto"/>
              <w:right w:val="nil"/>
            </w:tcBorders>
            <w:shd w:val="clear" w:color="000000" w:fill="F2DBDB"/>
            <w:vAlign w:val="center"/>
            <w:hideMark/>
          </w:tcPr>
          <w:p w14:paraId="670C3B66" w14:textId="6BF6617B" w:rsidR="0070383F" w:rsidRPr="00D92E20" w:rsidRDefault="0070383F" w:rsidP="009F67D0">
            <w:pPr>
              <w:spacing w:after="0" w:line="240" w:lineRule="auto"/>
              <w:jc w:val="center"/>
              <w:rPr>
                <w:rFonts w:cs="Arial"/>
                <w:color w:val="000000"/>
                <w:sz w:val="16"/>
                <w:szCs w:val="16"/>
              </w:rPr>
            </w:pPr>
            <w:r w:rsidRPr="00D92E20">
              <w:rPr>
                <w:rFonts w:cs="Arial"/>
                <w:color w:val="000000"/>
                <w:sz w:val="16"/>
                <w:szCs w:val="16"/>
              </w:rPr>
              <w:t>Průměrná délka trvání případu DPN ve dnech</w:t>
            </w:r>
          </w:p>
        </w:tc>
      </w:tr>
      <w:tr w:rsidR="00EC21A5" w:rsidRPr="00D92E20" w14:paraId="47A6171E" w14:textId="77777777" w:rsidTr="00027E79">
        <w:trPr>
          <w:trHeight w:val="300"/>
        </w:trPr>
        <w:tc>
          <w:tcPr>
            <w:tcW w:w="2948" w:type="dxa"/>
            <w:vMerge/>
            <w:tcBorders>
              <w:top w:val="single" w:sz="4" w:space="0" w:color="auto"/>
              <w:left w:val="nil"/>
              <w:bottom w:val="single" w:sz="4" w:space="0" w:color="000000"/>
              <w:right w:val="single" w:sz="4" w:space="0" w:color="auto"/>
            </w:tcBorders>
            <w:vAlign w:val="center"/>
            <w:hideMark/>
          </w:tcPr>
          <w:p w14:paraId="182C5DE4" w14:textId="77777777" w:rsidR="00EC21A5" w:rsidRPr="00D92E20" w:rsidRDefault="00EC21A5" w:rsidP="00EC21A5">
            <w:pPr>
              <w:spacing w:after="0" w:line="240" w:lineRule="auto"/>
              <w:rPr>
                <w:rFonts w:cs="Arial"/>
                <w:color w:val="000000"/>
                <w:sz w:val="16"/>
                <w:szCs w:val="16"/>
              </w:rPr>
            </w:pPr>
          </w:p>
        </w:tc>
        <w:tc>
          <w:tcPr>
            <w:tcW w:w="1134" w:type="dxa"/>
            <w:vMerge w:val="restart"/>
            <w:tcBorders>
              <w:top w:val="nil"/>
              <w:left w:val="single" w:sz="4" w:space="0" w:color="auto"/>
              <w:bottom w:val="single" w:sz="4" w:space="0" w:color="000000"/>
              <w:right w:val="nil"/>
            </w:tcBorders>
            <w:shd w:val="clear" w:color="000000" w:fill="F2DBDB"/>
            <w:vAlign w:val="center"/>
            <w:hideMark/>
          </w:tcPr>
          <w:p w14:paraId="791AA979" w14:textId="77777777" w:rsidR="00EC21A5" w:rsidRPr="00D92E20" w:rsidRDefault="00EC21A5" w:rsidP="0070383F">
            <w:pPr>
              <w:spacing w:after="0" w:line="240" w:lineRule="auto"/>
              <w:jc w:val="center"/>
              <w:rPr>
                <w:rFonts w:cs="Arial"/>
                <w:b/>
                <w:bCs/>
                <w:color w:val="000000"/>
                <w:sz w:val="16"/>
                <w:szCs w:val="16"/>
              </w:rPr>
            </w:pPr>
            <w:r w:rsidRPr="00D92E20">
              <w:rPr>
                <w:rFonts w:cs="Arial"/>
                <w:b/>
                <w:bCs/>
                <w:color w:val="000000"/>
                <w:sz w:val="16"/>
                <w:szCs w:val="16"/>
              </w:rPr>
              <w:t>Celkem</w:t>
            </w:r>
          </w:p>
        </w:tc>
        <w:tc>
          <w:tcPr>
            <w:tcW w:w="2268" w:type="dxa"/>
            <w:gridSpan w:val="2"/>
            <w:tcBorders>
              <w:top w:val="single" w:sz="4" w:space="0" w:color="auto"/>
              <w:left w:val="single" w:sz="4" w:space="0" w:color="auto"/>
              <w:bottom w:val="single" w:sz="4" w:space="0" w:color="auto"/>
              <w:right w:val="single" w:sz="4" w:space="0" w:color="auto"/>
            </w:tcBorders>
            <w:shd w:val="clear" w:color="000000" w:fill="F2DBDB"/>
            <w:vAlign w:val="center"/>
            <w:hideMark/>
          </w:tcPr>
          <w:p w14:paraId="0EE48943" w14:textId="77777777" w:rsidR="00EC21A5" w:rsidRPr="00D92E20" w:rsidRDefault="00EC21A5" w:rsidP="0070383F">
            <w:pPr>
              <w:spacing w:after="0" w:line="240" w:lineRule="auto"/>
              <w:jc w:val="center"/>
              <w:rPr>
                <w:rFonts w:cs="Arial"/>
                <w:color w:val="000000"/>
                <w:sz w:val="16"/>
                <w:szCs w:val="16"/>
              </w:rPr>
            </w:pPr>
            <w:r w:rsidRPr="00D92E20">
              <w:rPr>
                <w:rFonts w:cs="Arial"/>
                <w:color w:val="000000"/>
                <w:sz w:val="16"/>
                <w:szCs w:val="16"/>
              </w:rPr>
              <w:t>podle pohlaví</w:t>
            </w:r>
          </w:p>
        </w:tc>
        <w:tc>
          <w:tcPr>
            <w:tcW w:w="1134" w:type="dxa"/>
            <w:vMerge w:val="restart"/>
            <w:tcBorders>
              <w:top w:val="nil"/>
              <w:left w:val="single" w:sz="4" w:space="0" w:color="auto"/>
              <w:right w:val="nil"/>
            </w:tcBorders>
            <w:shd w:val="clear" w:color="000000" w:fill="F2DBDB"/>
            <w:vAlign w:val="center"/>
            <w:hideMark/>
          </w:tcPr>
          <w:p w14:paraId="70727E04" w14:textId="77777777" w:rsidR="00EC21A5" w:rsidRPr="00D92E20" w:rsidRDefault="00EC21A5" w:rsidP="0070383F">
            <w:pPr>
              <w:spacing w:after="0" w:line="240" w:lineRule="auto"/>
              <w:jc w:val="center"/>
              <w:rPr>
                <w:rFonts w:cs="Arial"/>
                <w:b/>
                <w:bCs/>
                <w:color w:val="000000"/>
                <w:sz w:val="16"/>
                <w:szCs w:val="16"/>
              </w:rPr>
            </w:pPr>
            <w:r w:rsidRPr="00D92E20">
              <w:rPr>
                <w:rFonts w:cs="Arial"/>
                <w:b/>
                <w:bCs/>
                <w:color w:val="000000"/>
                <w:sz w:val="16"/>
                <w:szCs w:val="16"/>
              </w:rPr>
              <w:t>Celkem</w:t>
            </w:r>
          </w:p>
        </w:tc>
        <w:tc>
          <w:tcPr>
            <w:tcW w:w="2268" w:type="dxa"/>
            <w:gridSpan w:val="2"/>
            <w:tcBorders>
              <w:top w:val="single" w:sz="4" w:space="0" w:color="auto"/>
              <w:left w:val="single" w:sz="4" w:space="0" w:color="auto"/>
              <w:bottom w:val="single" w:sz="4" w:space="0" w:color="auto"/>
            </w:tcBorders>
            <w:shd w:val="clear" w:color="000000" w:fill="F2DBDB"/>
            <w:vAlign w:val="center"/>
            <w:hideMark/>
          </w:tcPr>
          <w:p w14:paraId="735965DF" w14:textId="77777777" w:rsidR="00EC21A5" w:rsidRPr="00D92E20" w:rsidRDefault="00EC21A5" w:rsidP="0070383F">
            <w:pPr>
              <w:spacing w:after="0" w:line="240" w:lineRule="auto"/>
              <w:jc w:val="center"/>
              <w:rPr>
                <w:rFonts w:cs="Arial"/>
                <w:color w:val="000000"/>
                <w:sz w:val="16"/>
                <w:szCs w:val="16"/>
              </w:rPr>
            </w:pPr>
            <w:r w:rsidRPr="00D92E20">
              <w:rPr>
                <w:rFonts w:cs="Arial"/>
                <w:color w:val="000000"/>
                <w:sz w:val="16"/>
                <w:szCs w:val="16"/>
              </w:rPr>
              <w:t>podle pohlaví</w:t>
            </w:r>
          </w:p>
        </w:tc>
      </w:tr>
      <w:tr w:rsidR="00EC21A5" w:rsidRPr="00D92E20" w14:paraId="5E18F793" w14:textId="77777777" w:rsidTr="00027E79">
        <w:trPr>
          <w:trHeight w:val="300"/>
        </w:trPr>
        <w:tc>
          <w:tcPr>
            <w:tcW w:w="2948" w:type="dxa"/>
            <w:vMerge/>
            <w:tcBorders>
              <w:top w:val="single" w:sz="4" w:space="0" w:color="auto"/>
              <w:left w:val="nil"/>
              <w:bottom w:val="single" w:sz="4" w:space="0" w:color="000000"/>
              <w:right w:val="single" w:sz="4" w:space="0" w:color="auto"/>
            </w:tcBorders>
            <w:vAlign w:val="center"/>
            <w:hideMark/>
          </w:tcPr>
          <w:p w14:paraId="49D1C485" w14:textId="77777777" w:rsidR="00EC21A5" w:rsidRPr="00D92E20" w:rsidRDefault="00EC21A5" w:rsidP="00EC21A5">
            <w:pPr>
              <w:spacing w:after="0" w:line="240" w:lineRule="auto"/>
              <w:rPr>
                <w:rFonts w:cs="Arial"/>
                <w:color w:val="000000"/>
                <w:sz w:val="16"/>
                <w:szCs w:val="16"/>
              </w:rPr>
            </w:pPr>
          </w:p>
        </w:tc>
        <w:tc>
          <w:tcPr>
            <w:tcW w:w="1134" w:type="dxa"/>
            <w:vMerge/>
            <w:tcBorders>
              <w:top w:val="nil"/>
              <w:left w:val="single" w:sz="4" w:space="0" w:color="auto"/>
              <w:bottom w:val="single" w:sz="4" w:space="0" w:color="000000"/>
              <w:right w:val="nil"/>
            </w:tcBorders>
            <w:vAlign w:val="center"/>
            <w:hideMark/>
          </w:tcPr>
          <w:p w14:paraId="0F6D0E5E" w14:textId="77777777" w:rsidR="00EC21A5" w:rsidRPr="00D92E20" w:rsidRDefault="00EC21A5" w:rsidP="0070383F">
            <w:pPr>
              <w:spacing w:after="0" w:line="240" w:lineRule="auto"/>
              <w:rPr>
                <w:rFonts w:cs="Arial"/>
                <w:b/>
                <w:bCs/>
                <w:color w:val="000000"/>
                <w:sz w:val="16"/>
                <w:szCs w:val="16"/>
              </w:rPr>
            </w:pPr>
          </w:p>
        </w:tc>
        <w:tc>
          <w:tcPr>
            <w:tcW w:w="1134" w:type="dxa"/>
            <w:tcBorders>
              <w:top w:val="nil"/>
              <w:left w:val="single" w:sz="4" w:space="0" w:color="auto"/>
              <w:bottom w:val="single" w:sz="4" w:space="0" w:color="auto"/>
              <w:right w:val="single" w:sz="4" w:space="0" w:color="auto"/>
            </w:tcBorders>
            <w:shd w:val="clear" w:color="000000" w:fill="F2DBDB"/>
            <w:vAlign w:val="center"/>
            <w:hideMark/>
          </w:tcPr>
          <w:p w14:paraId="65CCDCC6" w14:textId="77777777" w:rsidR="00EC21A5" w:rsidRPr="00D92E20" w:rsidRDefault="00EC21A5" w:rsidP="0070383F">
            <w:pPr>
              <w:spacing w:after="0" w:line="240" w:lineRule="auto"/>
              <w:jc w:val="center"/>
              <w:rPr>
                <w:rFonts w:cs="Arial"/>
                <w:color w:val="000000"/>
                <w:sz w:val="16"/>
                <w:szCs w:val="16"/>
              </w:rPr>
            </w:pPr>
            <w:r w:rsidRPr="00D92E20">
              <w:rPr>
                <w:rFonts w:cs="Arial"/>
                <w:color w:val="000000"/>
                <w:sz w:val="16"/>
                <w:szCs w:val="16"/>
              </w:rPr>
              <w:t>muži</w:t>
            </w:r>
          </w:p>
        </w:tc>
        <w:tc>
          <w:tcPr>
            <w:tcW w:w="1134" w:type="dxa"/>
            <w:tcBorders>
              <w:top w:val="nil"/>
              <w:left w:val="nil"/>
              <w:bottom w:val="single" w:sz="4" w:space="0" w:color="auto"/>
              <w:right w:val="single" w:sz="4" w:space="0" w:color="auto"/>
            </w:tcBorders>
            <w:shd w:val="clear" w:color="000000" w:fill="F2DBDB"/>
            <w:vAlign w:val="center"/>
            <w:hideMark/>
          </w:tcPr>
          <w:p w14:paraId="7F3E93B5" w14:textId="77777777" w:rsidR="00EC21A5" w:rsidRPr="00D92E20" w:rsidRDefault="00EC21A5" w:rsidP="0070383F">
            <w:pPr>
              <w:spacing w:after="0" w:line="240" w:lineRule="auto"/>
              <w:jc w:val="center"/>
              <w:rPr>
                <w:rFonts w:cs="Arial"/>
                <w:color w:val="000000"/>
                <w:sz w:val="16"/>
                <w:szCs w:val="16"/>
              </w:rPr>
            </w:pPr>
            <w:r w:rsidRPr="00D92E20">
              <w:rPr>
                <w:rFonts w:cs="Arial"/>
                <w:color w:val="000000"/>
                <w:sz w:val="16"/>
                <w:szCs w:val="16"/>
              </w:rPr>
              <w:t>ženy</w:t>
            </w:r>
          </w:p>
        </w:tc>
        <w:tc>
          <w:tcPr>
            <w:tcW w:w="1134" w:type="dxa"/>
            <w:vMerge/>
            <w:tcBorders>
              <w:left w:val="single" w:sz="4" w:space="0" w:color="auto"/>
              <w:bottom w:val="single" w:sz="4" w:space="0" w:color="000000"/>
              <w:right w:val="nil"/>
            </w:tcBorders>
            <w:vAlign w:val="center"/>
            <w:hideMark/>
          </w:tcPr>
          <w:p w14:paraId="1EB589A8" w14:textId="77777777" w:rsidR="00EC21A5" w:rsidRPr="00D92E20" w:rsidRDefault="00EC21A5" w:rsidP="0070383F">
            <w:pPr>
              <w:spacing w:after="0" w:line="240" w:lineRule="auto"/>
              <w:rPr>
                <w:rFonts w:cs="Arial"/>
                <w:b/>
                <w:bCs/>
                <w:color w:val="000000"/>
                <w:sz w:val="16"/>
                <w:szCs w:val="16"/>
              </w:rPr>
            </w:pPr>
          </w:p>
        </w:tc>
        <w:tc>
          <w:tcPr>
            <w:tcW w:w="1134" w:type="dxa"/>
            <w:tcBorders>
              <w:top w:val="nil"/>
              <w:left w:val="single" w:sz="4" w:space="0" w:color="auto"/>
              <w:bottom w:val="single" w:sz="4" w:space="0" w:color="auto"/>
              <w:right w:val="single" w:sz="4" w:space="0" w:color="auto"/>
            </w:tcBorders>
            <w:shd w:val="clear" w:color="000000" w:fill="F2DBDB"/>
            <w:vAlign w:val="center"/>
            <w:hideMark/>
          </w:tcPr>
          <w:p w14:paraId="356EB219" w14:textId="77777777" w:rsidR="00EC21A5" w:rsidRPr="00D92E20" w:rsidRDefault="00EC21A5" w:rsidP="0070383F">
            <w:pPr>
              <w:spacing w:after="0" w:line="240" w:lineRule="auto"/>
              <w:jc w:val="center"/>
              <w:rPr>
                <w:rFonts w:cs="Arial"/>
                <w:color w:val="000000"/>
                <w:sz w:val="16"/>
                <w:szCs w:val="16"/>
              </w:rPr>
            </w:pPr>
            <w:r w:rsidRPr="00D92E20">
              <w:rPr>
                <w:rFonts w:cs="Arial"/>
                <w:color w:val="000000"/>
                <w:sz w:val="16"/>
                <w:szCs w:val="16"/>
              </w:rPr>
              <w:t>muži</w:t>
            </w:r>
          </w:p>
        </w:tc>
        <w:tc>
          <w:tcPr>
            <w:tcW w:w="1134" w:type="dxa"/>
            <w:tcBorders>
              <w:top w:val="nil"/>
              <w:left w:val="nil"/>
              <w:bottom w:val="single" w:sz="4" w:space="0" w:color="auto"/>
              <w:right w:val="nil"/>
            </w:tcBorders>
            <w:shd w:val="clear" w:color="000000" w:fill="F2DBDB"/>
            <w:vAlign w:val="center"/>
            <w:hideMark/>
          </w:tcPr>
          <w:p w14:paraId="72B3282B" w14:textId="77777777" w:rsidR="00EC21A5" w:rsidRPr="00D92E20" w:rsidRDefault="00EC21A5" w:rsidP="0070383F">
            <w:pPr>
              <w:spacing w:after="0" w:line="240" w:lineRule="auto"/>
              <w:jc w:val="center"/>
              <w:rPr>
                <w:rFonts w:cs="Arial"/>
                <w:color w:val="000000"/>
                <w:sz w:val="16"/>
                <w:szCs w:val="16"/>
              </w:rPr>
            </w:pPr>
            <w:r w:rsidRPr="00D92E20">
              <w:rPr>
                <w:rFonts w:cs="Arial"/>
                <w:color w:val="000000"/>
                <w:sz w:val="16"/>
                <w:szCs w:val="16"/>
              </w:rPr>
              <w:t>ženy</w:t>
            </w:r>
          </w:p>
        </w:tc>
      </w:tr>
      <w:tr w:rsidR="009F67D0" w:rsidRPr="00D92E20" w14:paraId="0611A931" w14:textId="77777777" w:rsidTr="009F67D0">
        <w:trPr>
          <w:trHeight w:val="300"/>
        </w:trPr>
        <w:tc>
          <w:tcPr>
            <w:tcW w:w="2948" w:type="dxa"/>
            <w:tcBorders>
              <w:top w:val="nil"/>
              <w:left w:val="nil"/>
              <w:bottom w:val="nil"/>
              <w:right w:val="nil"/>
            </w:tcBorders>
            <w:shd w:val="clear" w:color="auto" w:fill="auto"/>
            <w:noWrap/>
            <w:vAlign w:val="center"/>
            <w:hideMark/>
          </w:tcPr>
          <w:p w14:paraId="7EDEA946" w14:textId="77777777" w:rsidR="009F67D0" w:rsidRPr="00D92E20" w:rsidRDefault="009F67D0" w:rsidP="009F67D0">
            <w:pPr>
              <w:spacing w:after="0" w:line="240" w:lineRule="auto"/>
              <w:rPr>
                <w:rFonts w:cs="Arial"/>
                <w:b/>
                <w:bCs/>
                <w:color w:val="000000"/>
                <w:sz w:val="16"/>
                <w:szCs w:val="16"/>
              </w:rPr>
            </w:pPr>
            <w:r w:rsidRPr="00D92E20">
              <w:rPr>
                <w:rFonts w:cs="Arial"/>
                <w:b/>
                <w:bCs/>
                <w:color w:val="000000"/>
                <w:sz w:val="16"/>
                <w:szCs w:val="16"/>
              </w:rPr>
              <w:t>Celkem</w:t>
            </w:r>
          </w:p>
        </w:tc>
        <w:tc>
          <w:tcPr>
            <w:tcW w:w="1134" w:type="dxa"/>
            <w:tcBorders>
              <w:top w:val="nil"/>
              <w:left w:val="single" w:sz="4" w:space="0" w:color="auto"/>
              <w:bottom w:val="nil"/>
              <w:right w:val="nil"/>
            </w:tcBorders>
            <w:shd w:val="clear" w:color="auto" w:fill="auto"/>
            <w:noWrap/>
            <w:vAlign w:val="center"/>
            <w:hideMark/>
          </w:tcPr>
          <w:p w14:paraId="3F10F1B1" w14:textId="3DFB109F"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2 293,7</w:t>
            </w:r>
          </w:p>
        </w:tc>
        <w:tc>
          <w:tcPr>
            <w:tcW w:w="1134" w:type="dxa"/>
            <w:tcBorders>
              <w:top w:val="nil"/>
              <w:left w:val="nil"/>
              <w:bottom w:val="nil"/>
              <w:right w:val="nil"/>
            </w:tcBorders>
            <w:shd w:val="clear" w:color="auto" w:fill="auto"/>
            <w:noWrap/>
            <w:vAlign w:val="center"/>
            <w:hideMark/>
          </w:tcPr>
          <w:p w14:paraId="0814F888" w14:textId="5B488ED1"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1 095,5</w:t>
            </w:r>
          </w:p>
        </w:tc>
        <w:tc>
          <w:tcPr>
            <w:tcW w:w="1134" w:type="dxa"/>
            <w:tcBorders>
              <w:top w:val="nil"/>
              <w:left w:val="nil"/>
              <w:bottom w:val="nil"/>
              <w:right w:val="single" w:sz="4" w:space="0" w:color="auto"/>
            </w:tcBorders>
            <w:shd w:val="clear" w:color="auto" w:fill="auto"/>
            <w:noWrap/>
            <w:vAlign w:val="center"/>
            <w:hideMark/>
          </w:tcPr>
          <w:p w14:paraId="278F3C18" w14:textId="3BA0FD1F"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1 198,2</w:t>
            </w:r>
          </w:p>
        </w:tc>
        <w:tc>
          <w:tcPr>
            <w:tcW w:w="1134" w:type="dxa"/>
            <w:tcBorders>
              <w:top w:val="nil"/>
              <w:left w:val="nil"/>
              <w:bottom w:val="nil"/>
              <w:right w:val="nil"/>
            </w:tcBorders>
            <w:shd w:val="clear" w:color="auto" w:fill="auto"/>
            <w:noWrap/>
            <w:vAlign w:val="center"/>
            <w:hideMark/>
          </w:tcPr>
          <w:p w14:paraId="3D013185" w14:textId="77777777"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37,7</w:t>
            </w:r>
          </w:p>
        </w:tc>
        <w:tc>
          <w:tcPr>
            <w:tcW w:w="1134" w:type="dxa"/>
            <w:tcBorders>
              <w:top w:val="nil"/>
              <w:left w:val="nil"/>
              <w:bottom w:val="nil"/>
              <w:right w:val="nil"/>
            </w:tcBorders>
            <w:shd w:val="clear" w:color="auto" w:fill="auto"/>
            <w:noWrap/>
            <w:vAlign w:val="center"/>
            <w:hideMark/>
          </w:tcPr>
          <w:p w14:paraId="71D59C1F" w14:textId="77777777"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35,8</w:t>
            </w:r>
          </w:p>
        </w:tc>
        <w:tc>
          <w:tcPr>
            <w:tcW w:w="1134" w:type="dxa"/>
            <w:tcBorders>
              <w:top w:val="nil"/>
              <w:left w:val="nil"/>
              <w:bottom w:val="nil"/>
              <w:right w:val="nil"/>
            </w:tcBorders>
            <w:shd w:val="clear" w:color="auto" w:fill="auto"/>
            <w:noWrap/>
            <w:vAlign w:val="center"/>
            <w:hideMark/>
          </w:tcPr>
          <w:p w14:paraId="2AD3452D" w14:textId="77777777" w:rsidR="009F67D0" w:rsidRPr="00D92E20" w:rsidRDefault="009F67D0" w:rsidP="009F67D0">
            <w:pPr>
              <w:spacing w:after="0" w:line="240" w:lineRule="auto"/>
              <w:jc w:val="right"/>
              <w:rPr>
                <w:rFonts w:cs="Arial"/>
                <w:b/>
                <w:bCs/>
                <w:color w:val="000000"/>
                <w:sz w:val="16"/>
                <w:szCs w:val="16"/>
              </w:rPr>
            </w:pPr>
            <w:r w:rsidRPr="00D92E20">
              <w:rPr>
                <w:rFonts w:cs="Arial"/>
                <w:b/>
                <w:bCs/>
                <w:color w:val="000000"/>
                <w:sz w:val="16"/>
                <w:szCs w:val="16"/>
              </w:rPr>
              <w:t>39,4</w:t>
            </w:r>
          </w:p>
        </w:tc>
      </w:tr>
      <w:tr w:rsidR="009F67D0" w:rsidRPr="00D92E20" w14:paraId="7E435868" w14:textId="77777777" w:rsidTr="009F67D0">
        <w:trPr>
          <w:trHeight w:val="300"/>
        </w:trPr>
        <w:tc>
          <w:tcPr>
            <w:tcW w:w="2948" w:type="dxa"/>
            <w:tcBorders>
              <w:top w:val="nil"/>
              <w:left w:val="nil"/>
              <w:bottom w:val="nil"/>
              <w:right w:val="nil"/>
            </w:tcBorders>
            <w:shd w:val="clear" w:color="auto" w:fill="auto"/>
            <w:noWrap/>
            <w:vAlign w:val="center"/>
            <w:hideMark/>
          </w:tcPr>
          <w:p w14:paraId="6E94681B"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Tuberkulóza</w:t>
            </w:r>
          </w:p>
        </w:tc>
        <w:tc>
          <w:tcPr>
            <w:tcW w:w="1134" w:type="dxa"/>
            <w:tcBorders>
              <w:top w:val="nil"/>
              <w:left w:val="single" w:sz="4" w:space="0" w:color="auto"/>
              <w:bottom w:val="nil"/>
              <w:right w:val="nil"/>
            </w:tcBorders>
            <w:shd w:val="clear" w:color="auto" w:fill="auto"/>
            <w:noWrap/>
            <w:vAlign w:val="center"/>
            <w:hideMark/>
          </w:tcPr>
          <w:p w14:paraId="4E6AD390" w14:textId="758740DE"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0,1</w:t>
            </w:r>
          </w:p>
        </w:tc>
        <w:tc>
          <w:tcPr>
            <w:tcW w:w="1134" w:type="dxa"/>
            <w:tcBorders>
              <w:top w:val="nil"/>
              <w:left w:val="nil"/>
              <w:bottom w:val="nil"/>
              <w:right w:val="nil"/>
            </w:tcBorders>
            <w:shd w:val="clear" w:color="auto" w:fill="auto"/>
            <w:noWrap/>
            <w:vAlign w:val="center"/>
            <w:hideMark/>
          </w:tcPr>
          <w:p w14:paraId="7343099C" w14:textId="3AAACF3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0,1</w:t>
            </w:r>
          </w:p>
        </w:tc>
        <w:tc>
          <w:tcPr>
            <w:tcW w:w="1134" w:type="dxa"/>
            <w:tcBorders>
              <w:top w:val="nil"/>
              <w:left w:val="nil"/>
              <w:bottom w:val="nil"/>
              <w:right w:val="single" w:sz="4" w:space="0" w:color="auto"/>
            </w:tcBorders>
            <w:shd w:val="clear" w:color="auto" w:fill="auto"/>
            <w:noWrap/>
            <w:vAlign w:val="center"/>
            <w:hideMark/>
          </w:tcPr>
          <w:p w14:paraId="6DD49EC1" w14:textId="0498367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0,0</w:t>
            </w:r>
          </w:p>
        </w:tc>
        <w:tc>
          <w:tcPr>
            <w:tcW w:w="1134" w:type="dxa"/>
            <w:tcBorders>
              <w:top w:val="nil"/>
              <w:left w:val="nil"/>
              <w:bottom w:val="nil"/>
              <w:right w:val="nil"/>
            </w:tcBorders>
            <w:shd w:val="clear" w:color="auto" w:fill="auto"/>
            <w:noWrap/>
            <w:vAlign w:val="center"/>
            <w:hideMark/>
          </w:tcPr>
          <w:p w14:paraId="10DB4056"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201,9</w:t>
            </w:r>
          </w:p>
        </w:tc>
        <w:tc>
          <w:tcPr>
            <w:tcW w:w="1134" w:type="dxa"/>
            <w:tcBorders>
              <w:top w:val="nil"/>
              <w:left w:val="nil"/>
              <w:bottom w:val="nil"/>
              <w:right w:val="nil"/>
            </w:tcBorders>
            <w:shd w:val="clear" w:color="auto" w:fill="auto"/>
            <w:noWrap/>
            <w:vAlign w:val="center"/>
            <w:hideMark/>
          </w:tcPr>
          <w:p w14:paraId="463FDE36"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201,3</w:t>
            </w:r>
          </w:p>
        </w:tc>
        <w:tc>
          <w:tcPr>
            <w:tcW w:w="1134" w:type="dxa"/>
            <w:tcBorders>
              <w:top w:val="nil"/>
              <w:left w:val="nil"/>
              <w:bottom w:val="nil"/>
              <w:right w:val="nil"/>
            </w:tcBorders>
            <w:shd w:val="clear" w:color="auto" w:fill="auto"/>
            <w:noWrap/>
            <w:vAlign w:val="center"/>
            <w:hideMark/>
          </w:tcPr>
          <w:p w14:paraId="1B3C9596"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203,2</w:t>
            </w:r>
          </w:p>
        </w:tc>
      </w:tr>
      <w:tr w:rsidR="009F67D0" w:rsidRPr="00D92E20" w14:paraId="63580BE6" w14:textId="77777777" w:rsidTr="009F67D0">
        <w:trPr>
          <w:trHeight w:val="300"/>
        </w:trPr>
        <w:tc>
          <w:tcPr>
            <w:tcW w:w="2948" w:type="dxa"/>
            <w:tcBorders>
              <w:top w:val="nil"/>
              <w:left w:val="nil"/>
              <w:bottom w:val="nil"/>
              <w:right w:val="nil"/>
            </w:tcBorders>
            <w:shd w:val="clear" w:color="auto" w:fill="auto"/>
            <w:noWrap/>
            <w:vAlign w:val="center"/>
            <w:hideMark/>
          </w:tcPr>
          <w:p w14:paraId="78A38178"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Zhoubné novotvary</w:t>
            </w:r>
          </w:p>
        </w:tc>
        <w:tc>
          <w:tcPr>
            <w:tcW w:w="1134" w:type="dxa"/>
            <w:tcBorders>
              <w:top w:val="nil"/>
              <w:left w:val="single" w:sz="4" w:space="0" w:color="auto"/>
              <w:bottom w:val="nil"/>
              <w:right w:val="nil"/>
            </w:tcBorders>
            <w:shd w:val="clear" w:color="auto" w:fill="auto"/>
            <w:noWrap/>
            <w:vAlign w:val="center"/>
            <w:hideMark/>
          </w:tcPr>
          <w:p w14:paraId="33AAC3D1" w14:textId="7354709B"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14,3</w:t>
            </w:r>
          </w:p>
        </w:tc>
        <w:tc>
          <w:tcPr>
            <w:tcW w:w="1134" w:type="dxa"/>
            <w:tcBorders>
              <w:top w:val="nil"/>
              <w:left w:val="nil"/>
              <w:bottom w:val="nil"/>
              <w:right w:val="nil"/>
            </w:tcBorders>
            <w:shd w:val="clear" w:color="auto" w:fill="auto"/>
            <w:noWrap/>
            <w:vAlign w:val="center"/>
            <w:hideMark/>
          </w:tcPr>
          <w:p w14:paraId="39270011" w14:textId="4AD6217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6,5</w:t>
            </w:r>
          </w:p>
        </w:tc>
        <w:tc>
          <w:tcPr>
            <w:tcW w:w="1134" w:type="dxa"/>
            <w:tcBorders>
              <w:top w:val="nil"/>
              <w:left w:val="nil"/>
              <w:bottom w:val="nil"/>
              <w:right w:val="single" w:sz="4" w:space="0" w:color="auto"/>
            </w:tcBorders>
            <w:shd w:val="clear" w:color="auto" w:fill="auto"/>
            <w:noWrap/>
            <w:vAlign w:val="center"/>
            <w:hideMark/>
          </w:tcPr>
          <w:p w14:paraId="283A6F88" w14:textId="5464D91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7,8</w:t>
            </w:r>
          </w:p>
        </w:tc>
        <w:tc>
          <w:tcPr>
            <w:tcW w:w="1134" w:type="dxa"/>
            <w:tcBorders>
              <w:top w:val="nil"/>
              <w:left w:val="nil"/>
              <w:bottom w:val="nil"/>
              <w:right w:val="nil"/>
            </w:tcBorders>
            <w:shd w:val="clear" w:color="auto" w:fill="auto"/>
            <w:noWrap/>
            <w:vAlign w:val="center"/>
            <w:hideMark/>
          </w:tcPr>
          <w:p w14:paraId="64D588B3"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188,0</w:t>
            </w:r>
          </w:p>
        </w:tc>
        <w:tc>
          <w:tcPr>
            <w:tcW w:w="1134" w:type="dxa"/>
            <w:tcBorders>
              <w:top w:val="nil"/>
              <w:left w:val="nil"/>
              <w:bottom w:val="nil"/>
              <w:right w:val="nil"/>
            </w:tcBorders>
            <w:shd w:val="clear" w:color="auto" w:fill="auto"/>
            <w:noWrap/>
            <w:vAlign w:val="center"/>
            <w:hideMark/>
          </w:tcPr>
          <w:p w14:paraId="6EEA2220"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182,0</w:t>
            </w:r>
          </w:p>
        </w:tc>
        <w:tc>
          <w:tcPr>
            <w:tcW w:w="1134" w:type="dxa"/>
            <w:tcBorders>
              <w:top w:val="nil"/>
              <w:left w:val="nil"/>
              <w:bottom w:val="nil"/>
              <w:right w:val="nil"/>
            </w:tcBorders>
            <w:shd w:val="clear" w:color="auto" w:fill="auto"/>
            <w:noWrap/>
            <w:vAlign w:val="center"/>
            <w:hideMark/>
          </w:tcPr>
          <w:p w14:paraId="272C236E"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192,9</w:t>
            </w:r>
          </w:p>
        </w:tc>
      </w:tr>
      <w:tr w:rsidR="009F67D0" w:rsidRPr="00D92E20" w14:paraId="552203C6" w14:textId="77777777" w:rsidTr="009F67D0">
        <w:trPr>
          <w:trHeight w:val="300"/>
        </w:trPr>
        <w:tc>
          <w:tcPr>
            <w:tcW w:w="2948" w:type="dxa"/>
            <w:tcBorders>
              <w:top w:val="nil"/>
              <w:left w:val="nil"/>
              <w:bottom w:val="nil"/>
              <w:right w:val="nil"/>
            </w:tcBorders>
            <w:shd w:val="clear" w:color="auto" w:fill="auto"/>
            <w:noWrap/>
            <w:vAlign w:val="center"/>
            <w:hideMark/>
          </w:tcPr>
          <w:p w14:paraId="43CD67B2"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duševní</w:t>
            </w:r>
          </w:p>
        </w:tc>
        <w:tc>
          <w:tcPr>
            <w:tcW w:w="1134" w:type="dxa"/>
            <w:tcBorders>
              <w:top w:val="nil"/>
              <w:left w:val="single" w:sz="4" w:space="0" w:color="auto"/>
              <w:bottom w:val="nil"/>
              <w:right w:val="nil"/>
            </w:tcBorders>
            <w:shd w:val="clear" w:color="auto" w:fill="auto"/>
            <w:noWrap/>
            <w:vAlign w:val="center"/>
            <w:hideMark/>
          </w:tcPr>
          <w:p w14:paraId="3A0FFC25" w14:textId="6F42A4B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49,3</w:t>
            </w:r>
          </w:p>
        </w:tc>
        <w:tc>
          <w:tcPr>
            <w:tcW w:w="1134" w:type="dxa"/>
            <w:tcBorders>
              <w:top w:val="nil"/>
              <w:left w:val="nil"/>
              <w:bottom w:val="nil"/>
              <w:right w:val="nil"/>
            </w:tcBorders>
            <w:shd w:val="clear" w:color="auto" w:fill="auto"/>
            <w:noWrap/>
            <w:vAlign w:val="center"/>
            <w:hideMark/>
          </w:tcPr>
          <w:p w14:paraId="1248E12D" w14:textId="668985C3"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17,3</w:t>
            </w:r>
          </w:p>
        </w:tc>
        <w:tc>
          <w:tcPr>
            <w:tcW w:w="1134" w:type="dxa"/>
            <w:tcBorders>
              <w:top w:val="nil"/>
              <w:left w:val="nil"/>
              <w:bottom w:val="nil"/>
              <w:right w:val="single" w:sz="4" w:space="0" w:color="auto"/>
            </w:tcBorders>
            <w:shd w:val="clear" w:color="auto" w:fill="auto"/>
            <w:noWrap/>
            <w:vAlign w:val="center"/>
            <w:hideMark/>
          </w:tcPr>
          <w:p w14:paraId="10F324A3" w14:textId="7CCCF5CD"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32,0</w:t>
            </w:r>
          </w:p>
        </w:tc>
        <w:tc>
          <w:tcPr>
            <w:tcW w:w="1134" w:type="dxa"/>
            <w:tcBorders>
              <w:top w:val="nil"/>
              <w:left w:val="nil"/>
              <w:bottom w:val="nil"/>
              <w:right w:val="nil"/>
            </w:tcBorders>
            <w:shd w:val="clear" w:color="auto" w:fill="auto"/>
            <w:noWrap/>
            <w:vAlign w:val="center"/>
            <w:hideMark/>
          </w:tcPr>
          <w:p w14:paraId="5AD137E9"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90,9</w:t>
            </w:r>
          </w:p>
        </w:tc>
        <w:tc>
          <w:tcPr>
            <w:tcW w:w="1134" w:type="dxa"/>
            <w:tcBorders>
              <w:top w:val="nil"/>
              <w:left w:val="nil"/>
              <w:bottom w:val="nil"/>
              <w:right w:val="nil"/>
            </w:tcBorders>
            <w:shd w:val="clear" w:color="auto" w:fill="auto"/>
            <w:noWrap/>
            <w:vAlign w:val="center"/>
            <w:hideMark/>
          </w:tcPr>
          <w:p w14:paraId="275AD66A"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86,3</w:t>
            </w:r>
          </w:p>
        </w:tc>
        <w:tc>
          <w:tcPr>
            <w:tcW w:w="1134" w:type="dxa"/>
            <w:tcBorders>
              <w:top w:val="nil"/>
              <w:left w:val="nil"/>
              <w:bottom w:val="nil"/>
              <w:right w:val="nil"/>
            </w:tcBorders>
            <w:shd w:val="clear" w:color="auto" w:fill="auto"/>
            <w:noWrap/>
            <w:vAlign w:val="center"/>
            <w:hideMark/>
          </w:tcPr>
          <w:p w14:paraId="62E06225"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93,4</w:t>
            </w:r>
          </w:p>
        </w:tc>
      </w:tr>
      <w:tr w:rsidR="009F67D0" w:rsidRPr="00D92E20" w14:paraId="559EEC93" w14:textId="77777777" w:rsidTr="009F67D0">
        <w:trPr>
          <w:trHeight w:val="300"/>
        </w:trPr>
        <w:tc>
          <w:tcPr>
            <w:tcW w:w="2948" w:type="dxa"/>
            <w:tcBorders>
              <w:top w:val="nil"/>
              <w:left w:val="nil"/>
              <w:bottom w:val="nil"/>
              <w:right w:val="nil"/>
            </w:tcBorders>
            <w:shd w:val="clear" w:color="auto" w:fill="auto"/>
            <w:noWrap/>
            <w:vAlign w:val="center"/>
            <w:hideMark/>
          </w:tcPr>
          <w:p w14:paraId="14F7B712"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nervové soustavy</w:t>
            </w:r>
          </w:p>
        </w:tc>
        <w:tc>
          <w:tcPr>
            <w:tcW w:w="1134" w:type="dxa"/>
            <w:tcBorders>
              <w:top w:val="nil"/>
              <w:left w:val="single" w:sz="4" w:space="0" w:color="auto"/>
              <w:bottom w:val="nil"/>
              <w:right w:val="nil"/>
            </w:tcBorders>
            <w:shd w:val="clear" w:color="auto" w:fill="auto"/>
            <w:noWrap/>
            <w:vAlign w:val="center"/>
            <w:hideMark/>
          </w:tcPr>
          <w:p w14:paraId="7E36F5D7" w14:textId="0FCCD78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28,5</w:t>
            </w:r>
          </w:p>
        </w:tc>
        <w:tc>
          <w:tcPr>
            <w:tcW w:w="1134" w:type="dxa"/>
            <w:tcBorders>
              <w:top w:val="nil"/>
              <w:left w:val="nil"/>
              <w:bottom w:val="nil"/>
              <w:right w:val="nil"/>
            </w:tcBorders>
            <w:shd w:val="clear" w:color="auto" w:fill="auto"/>
            <w:noWrap/>
            <w:vAlign w:val="center"/>
            <w:hideMark/>
          </w:tcPr>
          <w:p w14:paraId="1D82442D" w14:textId="6C8F4DB1"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11,8</w:t>
            </w:r>
          </w:p>
        </w:tc>
        <w:tc>
          <w:tcPr>
            <w:tcW w:w="1134" w:type="dxa"/>
            <w:tcBorders>
              <w:top w:val="nil"/>
              <w:left w:val="nil"/>
              <w:bottom w:val="nil"/>
              <w:right w:val="single" w:sz="4" w:space="0" w:color="auto"/>
            </w:tcBorders>
            <w:shd w:val="clear" w:color="auto" w:fill="auto"/>
            <w:noWrap/>
            <w:vAlign w:val="center"/>
            <w:hideMark/>
          </w:tcPr>
          <w:p w14:paraId="297E2A9F" w14:textId="4EBCCC11"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16,8</w:t>
            </w:r>
          </w:p>
        </w:tc>
        <w:tc>
          <w:tcPr>
            <w:tcW w:w="1134" w:type="dxa"/>
            <w:tcBorders>
              <w:top w:val="nil"/>
              <w:left w:val="nil"/>
              <w:bottom w:val="nil"/>
              <w:right w:val="nil"/>
            </w:tcBorders>
            <w:shd w:val="clear" w:color="auto" w:fill="auto"/>
            <w:noWrap/>
            <w:vAlign w:val="center"/>
            <w:hideMark/>
          </w:tcPr>
          <w:p w14:paraId="6835D90C"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84,1</w:t>
            </w:r>
          </w:p>
        </w:tc>
        <w:tc>
          <w:tcPr>
            <w:tcW w:w="1134" w:type="dxa"/>
            <w:tcBorders>
              <w:top w:val="nil"/>
              <w:left w:val="nil"/>
              <w:bottom w:val="nil"/>
              <w:right w:val="nil"/>
            </w:tcBorders>
            <w:shd w:val="clear" w:color="auto" w:fill="auto"/>
            <w:noWrap/>
            <w:vAlign w:val="center"/>
            <w:hideMark/>
          </w:tcPr>
          <w:p w14:paraId="74D47F8B"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87,1</w:t>
            </w:r>
          </w:p>
        </w:tc>
        <w:tc>
          <w:tcPr>
            <w:tcW w:w="1134" w:type="dxa"/>
            <w:tcBorders>
              <w:top w:val="nil"/>
              <w:left w:val="nil"/>
              <w:bottom w:val="nil"/>
              <w:right w:val="nil"/>
            </w:tcBorders>
            <w:shd w:val="clear" w:color="auto" w:fill="auto"/>
            <w:noWrap/>
            <w:vAlign w:val="center"/>
            <w:hideMark/>
          </w:tcPr>
          <w:p w14:paraId="172DDDB3"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82,0</w:t>
            </w:r>
          </w:p>
        </w:tc>
      </w:tr>
      <w:tr w:rsidR="009F67D0" w:rsidRPr="00D92E20" w14:paraId="75A5661C" w14:textId="77777777" w:rsidTr="009F67D0">
        <w:trPr>
          <w:trHeight w:val="300"/>
        </w:trPr>
        <w:tc>
          <w:tcPr>
            <w:tcW w:w="2948" w:type="dxa"/>
            <w:tcBorders>
              <w:top w:val="nil"/>
              <w:left w:val="nil"/>
              <w:bottom w:val="nil"/>
              <w:right w:val="nil"/>
            </w:tcBorders>
            <w:shd w:val="clear" w:color="auto" w:fill="auto"/>
            <w:noWrap/>
            <w:vAlign w:val="center"/>
            <w:hideMark/>
          </w:tcPr>
          <w:p w14:paraId="4CE6A75B"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oběhové soustavy</w:t>
            </w:r>
          </w:p>
        </w:tc>
        <w:tc>
          <w:tcPr>
            <w:tcW w:w="1134" w:type="dxa"/>
            <w:tcBorders>
              <w:top w:val="nil"/>
              <w:left w:val="single" w:sz="4" w:space="0" w:color="auto"/>
              <w:bottom w:val="nil"/>
              <w:right w:val="nil"/>
            </w:tcBorders>
            <w:shd w:val="clear" w:color="auto" w:fill="auto"/>
            <w:noWrap/>
            <w:vAlign w:val="center"/>
            <w:hideMark/>
          </w:tcPr>
          <w:p w14:paraId="47AF33BC" w14:textId="1FBBDAFC"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48,0</w:t>
            </w:r>
          </w:p>
        </w:tc>
        <w:tc>
          <w:tcPr>
            <w:tcW w:w="1134" w:type="dxa"/>
            <w:tcBorders>
              <w:top w:val="nil"/>
              <w:left w:val="nil"/>
              <w:bottom w:val="nil"/>
              <w:right w:val="nil"/>
            </w:tcBorders>
            <w:shd w:val="clear" w:color="auto" w:fill="auto"/>
            <w:noWrap/>
            <w:vAlign w:val="center"/>
            <w:hideMark/>
          </w:tcPr>
          <w:p w14:paraId="27609FCB" w14:textId="3B4EF369"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27,5</w:t>
            </w:r>
          </w:p>
        </w:tc>
        <w:tc>
          <w:tcPr>
            <w:tcW w:w="1134" w:type="dxa"/>
            <w:tcBorders>
              <w:top w:val="nil"/>
              <w:left w:val="nil"/>
              <w:bottom w:val="nil"/>
              <w:right w:val="single" w:sz="4" w:space="0" w:color="auto"/>
            </w:tcBorders>
            <w:shd w:val="clear" w:color="auto" w:fill="auto"/>
            <w:noWrap/>
            <w:vAlign w:val="center"/>
            <w:hideMark/>
          </w:tcPr>
          <w:p w14:paraId="40DF092F" w14:textId="5AEE178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20,5</w:t>
            </w:r>
          </w:p>
        </w:tc>
        <w:tc>
          <w:tcPr>
            <w:tcW w:w="1134" w:type="dxa"/>
            <w:tcBorders>
              <w:top w:val="nil"/>
              <w:left w:val="nil"/>
              <w:bottom w:val="nil"/>
              <w:right w:val="nil"/>
            </w:tcBorders>
            <w:shd w:val="clear" w:color="auto" w:fill="auto"/>
            <w:noWrap/>
            <w:vAlign w:val="center"/>
            <w:hideMark/>
          </w:tcPr>
          <w:p w14:paraId="47703321"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85,4</w:t>
            </w:r>
          </w:p>
        </w:tc>
        <w:tc>
          <w:tcPr>
            <w:tcW w:w="1134" w:type="dxa"/>
            <w:tcBorders>
              <w:top w:val="nil"/>
              <w:left w:val="nil"/>
              <w:bottom w:val="nil"/>
              <w:right w:val="nil"/>
            </w:tcBorders>
            <w:shd w:val="clear" w:color="auto" w:fill="auto"/>
            <w:noWrap/>
            <w:vAlign w:val="center"/>
            <w:hideMark/>
          </w:tcPr>
          <w:p w14:paraId="366657C6"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94,8</w:t>
            </w:r>
          </w:p>
        </w:tc>
        <w:tc>
          <w:tcPr>
            <w:tcW w:w="1134" w:type="dxa"/>
            <w:tcBorders>
              <w:top w:val="nil"/>
              <w:left w:val="nil"/>
              <w:bottom w:val="nil"/>
              <w:right w:val="nil"/>
            </w:tcBorders>
            <w:shd w:val="clear" w:color="auto" w:fill="auto"/>
            <w:noWrap/>
            <w:vAlign w:val="center"/>
            <w:hideMark/>
          </w:tcPr>
          <w:p w14:paraId="0F421828"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72,6</w:t>
            </w:r>
          </w:p>
        </w:tc>
      </w:tr>
      <w:tr w:rsidR="009F67D0" w:rsidRPr="00D92E20" w14:paraId="1880F282" w14:textId="77777777" w:rsidTr="009F67D0">
        <w:trPr>
          <w:trHeight w:val="300"/>
        </w:trPr>
        <w:tc>
          <w:tcPr>
            <w:tcW w:w="2948" w:type="dxa"/>
            <w:tcBorders>
              <w:top w:val="nil"/>
              <w:left w:val="nil"/>
              <w:bottom w:val="nil"/>
              <w:right w:val="nil"/>
            </w:tcBorders>
            <w:shd w:val="clear" w:color="auto" w:fill="auto"/>
            <w:noWrap/>
            <w:vAlign w:val="center"/>
            <w:hideMark/>
          </w:tcPr>
          <w:p w14:paraId="654B271F"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hypertenze</w:t>
            </w:r>
          </w:p>
        </w:tc>
        <w:tc>
          <w:tcPr>
            <w:tcW w:w="1134" w:type="dxa"/>
            <w:tcBorders>
              <w:top w:val="nil"/>
              <w:left w:val="single" w:sz="4" w:space="0" w:color="auto"/>
              <w:bottom w:val="nil"/>
              <w:right w:val="nil"/>
            </w:tcBorders>
            <w:shd w:val="clear" w:color="auto" w:fill="auto"/>
            <w:noWrap/>
            <w:vAlign w:val="center"/>
            <w:hideMark/>
          </w:tcPr>
          <w:p w14:paraId="0F28C048" w14:textId="2831EBBB"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14,7</w:t>
            </w:r>
          </w:p>
        </w:tc>
        <w:tc>
          <w:tcPr>
            <w:tcW w:w="1134" w:type="dxa"/>
            <w:tcBorders>
              <w:top w:val="nil"/>
              <w:left w:val="nil"/>
              <w:bottom w:val="nil"/>
              <w:right w:val="nil"/>
            </w:tcBorders>
            <w:shd w:val="clear" w:color="auto" w:fill="auto"/>
            <w:noWrap/>
            <w:vAlign w:val="center"/>
            <w:hideMark/>
          </w:tcPr>
          <w:p w14:paraId="296552D7" w14:textId="475E142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8,0</w:t>
            </w:r>
          </w:p>
        </w:tc>
        <w:tc>
          <w:tcPr>
            <w:tcW w:w="1134" w:type="dxa"/>
            <w:tcBorders>
              <w:top w:val="nil"/>
              <w:left w:val="nil"/>
              <w:bottom w:val="nil"/>
              <w:right w:val="single" w:sz="4" w:space="0" w:color="auto"/>
            </w:tcBorders>
            <w:shd w:val="clear" w:color="auto" w:fill="auto"/>
            <w:noWrap/>
            <w:vAlign w:val="center"/>
            <w:hideMark/>
          </w:tcPr>
          <w:p w14:paraId="2F27BCED" w14:textId="25240B84"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6,7</w:t>
            </w:r>
          </w:p>
        </w:tc>
        <w:tc>
          <w:tcPr>
            <w:tcW w:w="1134" w:type="dxa"/>
            <w:tcBorders>
              <w:top w:val="nil"/>
              <w:left w:val="nil"/>
              <w:bottom w:val="nil"/>
              <w:right w:val="nil"/>
            </w:tcBorders>
            <w:shd w:val="clear" w:color="auto" w:fill="auto"/>
            <w:noWrap/>
            <w:vAlign w:val="center"/>
            <w:hideMark/>
          </w:tcPr>
          <w:p w14:paraId="22879A21"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57,3</w:t>
            </w:r>
          </w:p>
        </w:tc>
        <w:tc>
          <w:tcPr>
            <w:tcW w:w="1134" w:type="dxa"/>
            <w:tcBorders>
              <w:top w:val="nil"/>
              <w:left w:val="nil"/>
              <w:bottom w:val="nil"/>
              <w:right w:val="nil"/>
            </w:tcBorders>
            <w:shd w:val="clear" w:color="auto" w:fill="auto"/>
            <w:noWrap/>
            <w:vAlign w:val="center"/>
            <w:hideMark/>
          </w:tcPr>
          <w:p w14:paraId="4730A926"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59,1</w:t>
            </w:r>
          </w:p>
        </w:tc>
        <w:tc>
          <w:tcPr>
            <w:tcW w:w="1134" w:type="dxa"/>
            <w:tcBorders>
              <w:top w:val="nil"/>
              <w:left w:val="nil"/>
              <w:bottom w:val="nil"/>
              <w:right w:val="nil"/>
            </w:tcBorders>
            <w:shd w:val="clear" w:color="auto" w:fill="auto"/>
            <w:noWrap/>
            <w:vAlign w:val="center"/>
            <w:hideMark/>
          </w:tcPr>
          <w:p w14:paraId="30D5E362"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55,1</w:t>
            </w:r>
          </w:p>
        </w:tc>
      </w:tr>
      <w:tr w:rsidR="009F67D0" w:rsidRPr="00D92E20" w14:paraId="52556D18" w14:textId="77777777" w:rsidTr="009F67D0">
        <w:trPr>
          <w:trHeight w:val="300"/>
        </w:trPr>
        <w:tc>
          <w:tcPr>
            <w:tcW w:w="2948" w:type="dxa"/>
            <w:tcBorders>
              <w:top w:val="nil"/>
              <w:left w:val="nil"/>
              <w:bottom w:val="nil"/>
              <w:right w:val="nil"/>
            </w:tcBorders>
            <w:shd w:val="clear" w:color="auto" w:fill="auto"/>
            <w:noWrap/>
            <w:vAlign w:val="center"/>
            <w:hideMark/>
          </w:tcPr>
          <w:p w14:paraId="25E418C7"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ischemická choroba srdeční</w:t>
            </w:r>
          </w:p>
        </w:tc>
        <w:tc>
          <w:tcPr>
            <w:tcW w:w="1134" w:type="dxa"/>
            <w:tcBorders>
              <w:top w:val="nil"/>
              <w:left w:val="single" w:sz="4" w:space="0" w:color="auto"/>
              <w:bottom w:val="nil"/>
              <w:right w:val="nil"/>
            </w:tcBorders>
            <w:shd w:val="clear" w:color="auto" w:fill="auto"/>
            <w:noWrap/>
            <w:vAlign w:val="center"/>
            <w:hideMark/>
          </w:tcPr>
          <w:p w14:paraId="3A9762EF" w14:textId="44CB0649"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6,2</w:t>
            </w:r>
          </w:p>
        </w:tc>
        <w:tc>
          <w:tcPr>
            <w:tcW w:w="1134" w:type="dxa"/>
            <w:tcBorders>
              <w:top w:val="nil"/>
              <w:left w:val="nil"/>
              <w:bottom w:val="nil"/>
              <w:right w:val="nil"/>
            </w:tcBorders>
            <w:shd w:val="clear" w:color="auto" w:fill="auto"/>
            <w:noWrap/>
            <w:vAlign w:val="center"/>
            <w:hideMark/>
          </w:tcPr>
          <w:p w14:paraId="5CBB4017" w14:textId="5B34B73B"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4,9</w:t>
            </w:r>
          </w:p>
        </w:tc>
        <w:tc>
          <w:tcPr>
            <w:tcW w:w="1134" w:type="dxa"/>
            <w:tcBorders>
              <w:top w:val="nil"/>
              <w:left w:val="nil"/>
              <w:bottom w:val="nil"/>
              <w:right w:val="single" w:sz="4" w:space="0" w:color="auto"/>
            </w:tcBorders>
            <w:shd w:val="clear" w:color="auto" w:fill="auto"/>
            <w:noWrap/>
            <w:vAlign w:val="center"/>
            <w:hideMark/>
          </w:tcPr>
          <w:p w14:paraId="1696A752" w14:textId="3D2FEEE9"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1,3</w:t>
            </w:r>
          </w:p>
        </w:tc>
        <w:tc>
          <w:tcPr>
            <w:tcW w:w="1134" w:type="dxa"/>
            <w:tcBorders>
              <w:top w:val="nil"/>
              <w:left w:val="nil"/>
              <w:bottom w:val="nil"/>
              <w:right w:val="nil"/>
            </w:tcBorders>
            <w:shd w:val="clear" w:color="auto" w:fill="auto"/>
            <w:noWrap/>
            <w:vAlign w:val="center"/>
            <w:hideMark/>
          </w:tcPr>
          <w:p w14:paraId="2C9DBD05"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133,7</w:t>
            </w:r>
          </w:p>
        </w:tc>
        <w:tc>
          <w:tcPr>
            <w:tcW w:w="1134" w:type="dxa"/>
            <w:tcBorders>
              <w:top w:val="nil"/>
              <w:left w:val="nil"/>
              <w:bottom w:val="nil"/>
              <w:right w:val="nil"/>
            </w:tcBorders>
            <w:shd w:val="clear" w:color="auto" w:fill="auto"/>
            <w:noWrap/>
            <w:vAlign w:val="center"/>
            <w:hideMark/>
          </w:tcPr>
          <w:p w14:paraId="3A69468D"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138,8</w:t>
            </w:r>
          </w:p>
        </w:tc>
        <w:tc>
          <w:tcPr>
            <w:tcW w:w="1134" w:type="dxa"/>
            <w:tcBorders>
              <w:top w:val="nil"/>
              <w:left w:val="nil"/>
              <w:bottom w:val="nil"/>
              <w:right w:val="nil"/>
            </w:tcBorders>
            <w:shd w:val="clear" w:color="auto" w:fill="auto"/>
            <w:noWrap/>
            <w:vAlign w:val="center"/>
            <w:hideMark/>
          </w:tcPr>
          <w:p w14:paraId="73C471FA"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114,3</w:t>
            </w:r>
          </w:p>
        </w:tc>
      </w:tr>
      <w:tr w:rsidR="009F67D0" w:rsidRPr="00D92E20" w14:paraId="0C808624" w14:textId="77777777" w:rsidTr="009F67D0">
        <w:trPr>
          <w:trHeight w:val="300"/>
        </w:trPr>
        <w:tc>
          <w:tcPr>
            <w:tcW w:w="2948" w:type="dxa"/>
            <w:tcBorders>
              <w:top w:val="nil"/>
              <w:left w:val="nil"/>
              <w:bottom w:val="nil"/>
              <w:right w:val="nil"/>
            </w:tcBorders>
            <w:shd w:val="clear" w:color="auto" w:fill="auto"/>
            <w:noWrap/>
            <w:vAlign w:val="center"/>
            <w:hideMark/>
          </w:tcPr>
          <w:p w14:paraId="32471380"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cévní nemoci mozku</w:t>
            </w:r>
          </w:p>
        </w:tc>
        <w:tc>
          <w:tcPr>
            <w:tcW w:w="1134" w:type="dxa"/>
            <w:tcBorders>
              <w:top w:val="nil"/>
              <w:left w:val="single" w:sz="4" w:space="0" w:color="auto"/>
              <w:bottom w:val="nil"/>
              <w:right w:val="nil"/>
            </w:tcBorders>
            <w:shd w:val="clear" w:color="auto" w:fill="auto"/>
            <w:noWrap/>
            <w:vAlign w:val="center"/>
            <w:hideMark/>
          </w:tcPr>
          <w:p w14:paraId="6BC3F0E9" w14:textId="0F71152C"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3,1</w:t>
            </w:r>
          </w:p>
        </w:tc>
        <w:tc>
          <w:tcPr>
            <w:tcW w:w="1134" w:type="dxa"/>
            <w:tcBorders>
              <w:top w:val="nil"/>
              <w:left w:val="nil"/>
              <w:bottom w:val="nil"/>
              <w:right w:val="nil"/>
            </w:tcBorders>
            <w:shd w:val="clear" w:color="auto" w:fill="auto"/>
            <w:noWrap/>
            <w:vAlign w:val="center"/>
            <w:hideMark/>
          </w:tcPr>
          <w:p w14:paraId="56FE0B8F" w14:textId="1925132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2,0</w:t>
            </w:r>
          </w:p>
        </w:tc>
        <w:tc>
          <w:tcPr>
            <w:tcW w:w="1134" w:type="dxa"/>
            <w:tcBorders>
              <w:top w:val="nil"/>
              <w:left w:val="nil"/>
              <w:bottom w:val="nil"/>
              <w:right w:val="single" w:sz="4" w:space="0" w:color="auto"/>
            </w:tcBorders>
            <w:shd w:val="clear" w:color="auto" w:fill="auto"/>
            <w:noWrap/>
            <w:vAlign w:val="center"/>
            <w:hideMark/>
          </w:tcPr>
          <w:p w14:paraId="6B0E62F5" w14:textId="04ED5929"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w:t>
            </w:r>
          </w:p>
        </w:tc>
        <w:tc>
          <w:tcPr>
            <w:tcW w:w="1134" w:type="dxa"/>
            <w:tcBorders>
              <w:top w:val="nil"/>
              <w:left w:val="nil"/>
              <w:bottom w:val="nil"/>
              <w:right w:val="nil"/>
            </w:tcBorders>
            <w:shd w:val="clear" w:color="auto" w:fill="auto"/>
            <w:noWrap/>
            <w:vAlign w:val="center"/>
            <w:hideMark/>
          </w:tcPr>
          <w:p w14:paraId="21F7546E"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171,5</w:t>
            </w:r>
          </w:p>
        </w:tc>
        <w:tc>
          <w:tcPr>
            <w:tcW w:w="1134" w:type="dxa"/>
            <w:tcBorders>
              <w:top w:val="nil"/>
              <w:left w:val="nil"/>
              <w:bottom w:val="nil"/>
              <w:right w:val="nil"/>
            </w:tcBorders>
            <w:shd w:val="clear" w:color="auto" w:fill="auto"/>
            <w:noWrap/>
            <w:vAlign w:val="center"/>
            <w:hideMark/>
          </w:tcPr>
          <w:p w14:paraId="286ECA84"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173,4</w:t>
            </w:r>
          </w:p>
        </w:tc>
        <w:tc>
          <w:tcPr>
            <w:tcW w:w="1134" w:type="dxa"/>
            <w:tcBorders>
              <w:top w:val="nil"/>
              <w:left w:val="nil"/>
              <w:bottom w:val="nil"/>
              <w:right w:val="nil"/>
            </w:tcBorders>
            <w:shd w:val="clear" w:color="auto" w:fill="auto"/>
            <w:noWrap/>
            <w:vAlign w:val="center"/>
            <w:hideMark/>
          </w:tcPr>
          <w:p w14:paraId="3D5BF987"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167,8</w:t>
            </w:r>
          </w:p>
        </w:tc>
      </w:tr>
      <w:tr w:rsidR="009F67D0" w:rsidRPr="00D92E20" w14:paraId="4AA549AA" w14:textId="77777777" w:rsidTr="009F67D0">
        <w:trPr>
          <w:trHeight w:val="300"/>
        </w:trPr>
        <w:tc>
          <w:tcPr>
            <w:tcW w:w="2948" w:type="dxa"/>
            <w:tcBorders>
              <w:top w:val="nil"/>
              <w:left w:val="nil"/>
              <w:bottom w:val="nil"/>
              <w:right w:val="nil"/>
            </w:tcBorders>
            <w:shd w:val="clear" w:color="auto" w:fill="auto"/>
            <w:noWrap/>
            <w:vAlign w:val="center"/>
            <w:hideMark/>
          </w:tcPr>
          <w:p w14:paraId="39A6BB3E"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jiné nemoci oběhové soustavy</w:t>
            </w:r>
          </w:p>
        </w:tc>
        <w:tc>
          <w:tcPr>
            <w:tcW w:w="1134" w:type="dxa"/>
            <w:tcBorders>
              <w:top w:val="nil"/>
              <w:left w:val="single" w:sz="4" w:space="0" w:color="auto"/>
              <w:bottom w:val="nil"/>
              <w:right w:val="nil"/>
            </w:tcBorders>
            <w:shd w:val="clear" w:color="auto" w:fill="auto"/>
            <w:noWrap/>
            <w:vAlign w:val="center"/>
            <w:hideMark/>
          </w:tcPr>
          <w:p w14:paraId="4C69FAC9" w14:textId="3F04B0D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24,1</w:t>
            </w:r>
          </w:p>
        </w:tc>
        <w:tc>
          <w:tcPr>
            <w:tcW w:w="1134" w:type="dxa"/>
            <w:tcBorders>
              <w:top w:val="nil"/>
              <w:left w:val="nil"/>
              <w:bottom w:val="nil"/>
              <w:right w:val="nil"/>
            </w:tcBorders>
            <w:shd w:val="clear" w:color="auto" w:fill="auto"/>
            <w:noWrap/>
            <w:vAlign w:val="center"/>
            <w:hideMark/>
          </w:tcPr>
          <w:p w14:paraId="18C6D2E1" w14:textId="40098989"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12,6</w:t>
            </w:r>
          </w:p>
        </w:tc>
        <w:tc>
          <w:tcPr>
            <w:tcW w:w="1134" w:type="dxa"/>
            <w:tcBorders>
              <w:top w:val="nil"/>
              <w:left w:val="nil"/>
              <w:bottom w:val="nil"/>
              <w:right w:val="single" w:sz="4" w:space="0" w:color="auto"/>
            </w:tcBorders>
            <w:shd w:val="clear" w:color="auto" w:fill="auto"/>
            <w:noWrap/>
            <w:vAlign w:val="center"/>
            <w:hideMark/>
          </w:tcPr>
          <w:p w14:paraId="1E94BDC2" w14:textId="71DEF0C4"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11,4</w:t>
            </w:r>
          </w:p>
        </w:tc>
        <w:tc>
          <w:tcPr>
            <w:tcW w:w="1134" w:type="dxa"/>
            <w:tcBorders>
              <w:top w:val="nil"/>
              <w:left w:val="nil"/>
              <w:bottom w:val="nil"/>
              <w:right w:val="nil"/>
            </w:tcBorders>
            <w:shd w:val="clear" w:color="auto" w:fill="auto"/>
            <w:noWrap/>
            <w:vAlign w:val="center"/>
            <w:hideMark/>
          </w:tcPr>
          <w:p w14:paraId="4B4081E9"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79,0</w:t>
            </w:r>
          </w:p>
        </w:tc>
        <w:tc>
          <w:tcPr>
            <w:tcW w:w="1134" w:type="dxa"/>
            <w:tcBorders>
              <w:top w:val="nil"/>
              <w:left w:val="nil"/>
              <w:bottom w:val="nil"/>
              <w:right w:val="nil"/>
            </w:tcBorders>
            <w:shd w:val="clear" w:color="auto" w:fill="auto"/>
            <w:noWrap/>
            <w:vAlign w:val="center"/>
            <w:hideMark/>
          </w:tcPr>
          <w:p w14:paraId="04C49799"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87,8</w:t>
            </w:r>
          </w:p>
        </w:tc>
        <w:tc>
          <w:tcPr>
            <w:tcW w:w="1134" w:type="dxa"/>
            <w:tcBorders>
              <w:top w:val="nil"/>
              <w:left w:val="nil"/>
              <w:bottom w:val="nil"/>
              <w:right w:val="nil"/>
            </w:tcBorders>
            <w:shd w:val="clear" w:color="auto" w:fill="auto"/>
            <w:noWrap/>
            <w:vAlign w:val="center"/>
            <w:hideMark/>
          </w:tcPr>
          <w:p w14:paraId="04F874CB"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69,3</w:t>
            </w:r>
          </w:p>
        </w:tc>
      </w:tr>
      <w:tr w:rsidR="009F67D0" w:rsidRPr="00D92E20" w14:paraId="45B85609" w14:textId="77777777" w:rsidTr="009F67D0">
        <w:trPr>
          <w:trHeight w:val="300"/>
        </w:trPr>
        <w:tc>
          <w:tcPr>
            <w:tcW w:w="2948" w:type="dxa"/>
            <w:tcBorders>
              <w:top w:val="nil"/>
              <w:left w:val="nil"/>
              <w:bottom w:val="nil"/>
              <w:right w:val="nil"/>
            </w:tcBorders>
            <w:shd w:val="clear" w:color="auto" w:fill="auto"/>
            <w:noWrap/>
            <w:vAlign w:val="center"/>
            <w:hideMark/>
          </w:tcPr>
          <w:p w14:paraId="4207E842"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dýchací soustavy</w:t>
            </w:r>
          </w:p>
        </w:tc>
        <w:tc>
          <w:tcPr>
            <w:tcW w:w="1134" w:type="dxa"/>
            <w:tcBorders>
              <w:top w:val="nil"/>
              <w:left w:val="single" w:sz="4" w:space="0" w:color="auto"/>
              <w:bottom w:val="nil"/>
              <w:right w:val="nil"/>
            </w:tcBorders>
            <w:shd w:val="clear" w:color="auto" w:fill="auto"/>
            <w:noWrap/>
            <w:vAlign w:val="center"/>
            <w:hideMark/>
          </w:tcPr>
          <w:p w14:paraId="4465FC3A" w14:textId="50B6130B"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675,0</w:t>
            </w:r>
          </w:p>
        </w:tc>
        <w:tc>
          <w:tcPr>
            <w:tcW w:w="1134" w:type="dxa"/>
            <w:tcBorders>
              <w:top w:val="nil"/>
              <w:left w:val="nil"/>
              <w:bottom w:val="nil"/>
              <w:right w:val="nil"/>
            </w:tcBorders>
            <w:shd w:val="clear" w:color="auto" w:fill="auto"/>
            <w:noWrap/>
            <w:vAlign w:val="center"/>
            <w:hideMark/>
          </w:tcPr>
          <w:p w14:paraId="178A0527" w14:textId="1209E61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314,2</w:t>
            </w:r>
          </w:p>
        </w:tc>
        <w:tc>
          <w:tcPr>
            <w:tcW w:w="1134" w:type="dxa"/>
            <w:tcBorders>
              <w:top w:val="nil"/>
              <w:left w:val="nil"/>
              <w:bottom w:val="nil"/>
              <w:right w:val="single" w:sz="4" w:space="0" w:color="auto"/>
            </w:tcBorders>
            <w:shd w:val="clear" w:color="auto" w:fill="auto"/>
            <w:noWrap/>
            <w:vAlign w:val="center"/>
            <w:hideMark/>
          </w:tcPr>
          <w:p w14:paraId="24F478F8" w14:textId="6DE14193"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360,8</w:t>
            </w:r>
          </w:p>
        </w:tc>
        <w:tc>
          <w:tcPr>
            <w:tcW w:w="1134" w:type="dxa"/>
            <w:tcBorders>
              <w:top w:val="nil"/>
              <w:left w:val="nil"/>
              <w:bottom w:val="nil"/>
              <w:right w:val="nil"/>
            </w:tcBorders>
            <w:shd w:val="clear" w:color="auto" w:fill="auto"/>
            <w:noWrap/>
            <w:vAlign w:val="center"/>
            <w:hideMark/>
          </w:tcPr>
          <w:p w14:paraId="51D186BA"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17,4</w:t>
            </w:r>
          </w:p>
        </w:tc>
        <w:tc>
          <w:tcPr>
            <w:tcW w:w="1134" w:type="dxa"/>
            <w:tcBorders>
              <w:top w:val="nil"/>
              <w:left w:val="nil"/>
              <w:bottom w:val="nil"/>
              <w:right w:val="nil"/>
            </w:tcBorders>
            <w:shd w:val="clear" w:color="auto" w:fill="auto"/>
            <w:noWrap/>
            <w:vAlign w:val="center"/>
            <w:hideMark/>
          </w:tcPr>
          <w:p w14:paraId="6E2A7618"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16,8</w:t>
            </w:r>
          </w:p>
        </w:tc>
        <w:tc>
          <w:tcPr>
            <w:tcW w:w="1134" w:type="dxa"/>
            <w:tcBorders>
              <w:top w:val="nil"/>
              <w:left w:val="nil"/>
              <w:bottom w:val="nil"/>
              <w:right w:val="nil"/>
            </w:tcBorders>
            <w:shd w:val="clear" w:color="auto" w:fill="auto"/>
            <w:noWrap/>
            <w:vAlign w:val="center"/>
            <w:hideMark/>
          </w:tcPr>
          <w:p w14:paraId="6E015F77"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18,0</w:t>
            </w:r>
          </w:p>
        </w:tc>
      </w:tr>
      <w:tr w:rsidR="009F67D0" w:rsidRPr="00D92E20" w14:paraId="40A1FDA0" w14:textId="77777777" w:rsidTr="009F67D0">
        <w:trPr>
          <w:trHeight w:val="300"/>
        </w:trPr>
        <w:tc>
          <w:tcPr>
            <w:tcW w:w="2948" w:type="dxa"/>
            <w:tcBorders>
              <w:top w:val="nil"/>
              <w:left w:val="nil"/>
              <w:bottom w:val="nil"/>
              <w:right w:val="nil"/>
            </w:tcBorders>
            <w:shd w:val="clear" w:color="auto" w:fill="auto"/>
            <w:noWrap/>
            <w:vAlign w:val="center"/>
            <w:hideMark/>
          </w:tcPr>
          <w:p w14:paraId="4BC97036"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akutní infekce dýchacích cest</w:t>
            </w:r>
          </w:p>
        </w:tc>
        <w:tc>
          <w:tcPr>
            <w:tcW w:w="1134" w:type="dxa"/>
            <w:tcBorders>
              <w:top w:val="nil"/>
              <w:left w:val="single" w:sz="4" w:space="0" w:color="auto"/>
              <w:bottom w:val="nil"/>
              <w:right w:val="nil"/>
            </w:tcBorders>
            <w:shd w:val="clear" w:color="auto" w:fill="auto"/>
            <w:noWrap/>
            <w:vAlign w:val="center"/>
            <w:hideMark/>
          </w:tcPr>
          <w:p w14:paraId="09E29266" w14:textId="3A732F0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571,7</w:t>
            </w:r>
          </w:p>
        </w:tc>
        <w:tc>
          <w:tcPr>
            <w:tcW w:w="1134" w:type="dxa"/>
            <w:tcBorders>
              <w:top w:val="nil"/>
              <w:left w:val="nil"/>
              <w:bottom w:val="nil"/>
              <w:right w:val="nil"/>
            </w:tcBorders>
            <w:shd w:val="clear" w:color="auto" w:fill="auto"/>
            <w:noWrap/>
            <w:vAlign w:val="center"/>
            <w:hideMark/>
          </w:tcPr>
          <w:p w14:paraId="5417112B" w14:textId="2A507CD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263,2</w:t>
            </w:r>
          </w:p>
        </w:tc>
        <w:tc>
          <w:tcPr>
            <w:tcW w:w="1134" w:type="dxa"/>
            <w:tcBorders>
              <w:top w:val="nil"/>
              <w:left w:val="nil"/>
              <w:bottom w:val="nil"/>
              <w:right w:val="single" w:sz="4" w:space="0" w:color="auto"/>
            </w:tcBorders>
            <w:shd w:val="clear" w:color="auto" w:fill="auto"/>
            <w:noWrap/>
            <w:vAlign w:val="center"/>
            <w:hideMark/>
          </w:tcPr>
          <w:p w14:paraId="13FA8EB8" w14:textId="7D25C2AA"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308,5</w:t>
            </w:r>
          </w:p>
        </w:tc>
        <w:tc>
          <w:tcPr>
            <w:tcW w:w="1134" w:type="dxa"/>
            <w:tcBorders>
              <w:top w:val="nil"/>
              <w:left w:val="nil"/>
              <w:bottom w:val="nil"/>
              <w:right w:val="nil"/>
            </w:tcBorders>
            <w:shd w:val="clear" w:color="auto" w:fill="auto"/>
            <w:noWrap/>
            <w:vAlign w:val="center"/>
            <w:hideMark/>
          </w:tcPr>
          <w:p w14:paraId="0E41D222"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16,3</w:t>
            </w:r>
          </w:p>
        </w:tc>
        <w:tc>
          <w:tcPr>
            <w:tcW w:w="1134" w:type="dxa"/>
            <w:tcBorders>
              <w:top w:val="nil"/>
              <w:left w:val="nil"/>
              <w:bottom w:val="nil"/>
              <w:right w:val="nil"/>
            </w:tcBorders>
            <w:shd w:val="clear" w:color="auto" w:fill="auto"/>
            <w:noWrap/>
            <w:vAlign w:val="center"/>
            <w:hideMark/>
          </w:tcPr>
          <w:p w14:paraId="0E27190D"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15,5</w:t>
            </w:r>
          </w:p>
        </w:tc>
        <w:tc>
          <w:tcPr>
            <w:tcW w:w="1134" w:type="dxa"/>
            <w:tcBorders>
              <w:top w:val="nil"/>
              <w:left w:val="nil"/>
              <w:bottom w:val="nil"/>
              <w:right w:val="nil"/>
            </w:tcBorders>
            <w:shd w:val="clear" w:color="auto" w:fill="auto"/>
            <w:noWrap/>
            <w:vAlign w:val="center"/>
            <w:hideMark/>
          </w:tcPr>
          <w:p w14:paraId="0CF8D221"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17,0</w:t>
            </w:r>
          </w:p>
        </w:tc>
      </w:tr>
      <w:tr w:rsidR="009F67D0" w:rsidRPr="00D92E20" w14:paraId="5BE36E0D" w14:textId="77777777" w:rsidTr="009F67D0">
        <w:trPr>
          <w:trHeight w:val="300"/>
        </w:trPr>
        <w:tc>
          <w:tcPr>
            <w:tcW w:w="2948" w:type="dxa"/>
            <w:tcBorders>
              <w:top w:val="nil"/>
              <w:left w:val="nil"/>
              <w:bottom w:val="nil"/>
              <w:right w:val="nil"/>
            </w:tcBorders>
            <w:shd w:val="clear" w:color="auto" w:fill="auto"/>
            <w:noWrap/>
            <w:vAlign w:val="center"/>
            <w:hideMark/>
          </w:tcPr>
          <w:p w14:paraId="218BC176"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chřipka a pneumonie</w:t>
            </w:r>
          </w:p>
        </w:tc>
        <w:tc>
          <w:tcPr>
            <w:tcW w:w="1134" w:type="dxa"/>
            <w:tcBorders>
              <w:top w:val="nil"/>
              <w:left w:val="single" w:sz="4" w:space="0" w:color="auto"/>
              <w:bottom w:val="nil"/>
              <w:right w:val="nil"/>
            </w:tcBorders>
            <w:shd w:val="clear" w:color="auto" w:fill="auto"/>
            <w:noWrap/>
            <w:vAlign w:val="center"/>
            <w:hideMark/>
          </w:tcPr>
          <w:p w14:paraId="098999A5" w14:textId="0D298B54"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83,4</w:t>
            </w:r>
          </w:p>
        </w:tc>
        <w:tc>
          <w:tcPr>
            <w:tcW w:w="1134" w:type="dxa"/>
            <w:tcBorders>
              <w:top w:val="nil"/>
              <w:left w:val="nil"/>
              <w:bottom w:val="nil"/>
              <w:right w:val="nil"/>
            </w:tcBorders>
            <w:shd w:val="clear" w:color="auto" w:fill="auto"/>
            <w:noWrap/>
            <w:vAlign w:val="center"/>
            <w:hideMark/>
          </w:tcPr>
          <w:p w14:paraId="7ED8173E" w14:textId="693C380A"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41,4</w:t>
            </w:r>
          </w:p>
        </w:tc>
        <w:tc>
          <w:tcPr>
            <w:tcW w:w="1134" w:type="dxa"/>
            <w:tcBorders>
              <w:top w:val="nil"/>
              <w:left w:val="nil"/>
              <w:bottom w:val="nil"/>
              <w:right w:val="single" w:sz="4" w:space="0" w:color="auto"/>
            </w:tcBorders>
            <w:shd w:val="clear" w:color="auto" w:fill="auto"/>
            <w:noWrap/>
            <w:vAlign w:val="center"/>
            <w:hideMark/>
          </w:tcPr>
          <w:p w14:paraId="4300B097" w14:textId="722D727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42,0</w:t>
            </w:r>
          </w:p>
        </w:tc>
        <w:tc>
          <w:tcPr>
            <w:tcW w:w="1134" w:type="dxa"/>
            <w:tcBorders>
              <w:top w:val="nil"/>
              <w:left w:val="nil"/>
              <w:bottom w:val="nil"/>
              <w:right w:val="nil"/>
            </w:tcBorders>
            <w:shd w:val="clear" w:color="auto" w:fill="auto"/>
            <w:noWrap/>
            <w:vAlign w:val="center"/>
            <w:hideMark/>
          </w:tcPr>
          <w:p w14:paraId="0C836F7E"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17,9</w:t>
            </w:r>
          </w:p>
        </w:tc>
        <w:tc>
          <w:tcPr>
            <w:tcW w:w="1134" w:type="dxa"/>
            <w:tcBorders>
              <w:top w:val="nil"/>
              <w:left w:val="nil"/>
              <w:bottom w:val="nil"/>
              <w:right w:val="nil"/>
            </w:tcBorders>
            <w:shd w:val="clear" w:color="auto" w:fill="auto"/>
            <w:noWrap/>
            <w:vAlign w:val="center"/>
            <w:hideMark/>
          </w:tcPr>
          <w:p w14:paraId="2958F810"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17,6</w:t>
            </w:r>
          </w:p>
        </w:tc>
        <w:tc>
          <w:tcPr>
            <w:tcW w:w="1134" w:type="dxa"/>
            <w:tcBorders>
              <w:top w:val="nil"/>
              <w:left w:val="nil"/>
              <w:bottom w:val="nil"/>
              <w:right w:val="nil"/>
            </w:tcBorders>
            <w:shd w:val="clear" w:color="auto" w:fill="auto"/>
            <w:noWrap/>
            <w:vAlign w:val="center"/>
            <w:hideMark/>
          </w:tcPr>
          <w:p w14:paraId="553135A2"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18,2</w:t>
            </w:r>
          </w:p>
        </w:tc>
      </w:tr>
      <w:tr w:rsidR="009F67D0" w:rsidRPr="00D92E20" w14:paraId="67B8BE53" w14:textId="77777777" w:rsidTr="009F67D0">
        <w:trPr>
          <w:trHeight w:val="300"/>
        </w:trPr>
        <w:tc>
          <w:tcPr>
            <w:tcW w:w="2948" w:type="dxa"/>
            <w:tcBorders>
              <w:top w:val="nil"/>
              <w:left w:val="nil"/>
              <w:bottom w:val="nil"/>
              <w:right w:val="nil"/>
            </w:tcBorders>
            <w:shd w:val="clear" w:color="auto" w:fill="auto"/>
            <w:noWrap/>
            <w:vAlign w:val="center"/>
            <w:hideMark/>
          </w:tcPr>
          <w:p w14:paraId="3F01DFA2"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chronické nemoci dolních </w:t>
            </w:r>
          </w:p>
          <w:p w14:paraId="45ED2DCE"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dýchacích cest</w:t>
            </w:r>
          </w:p>
        </w:tc>
        <w:tc>
          <w:tcPr>
            <w:tcW w:w="1134" w:type="dxa"/>
            <w:tcBorders>
              <w:top w:val="nil"/>
              <w:left w:val="single" w:sz="4" w:space="0" w:color="auto"/>
              <w:bottom w:val="nil"/>
              <w:right w:val="nil"/>
            </w:tcBorders>
            <w:shd w:val="clear" w:color="auto" w:fill="auto"/>
            <w:noWrap/>
            <w:vAlign w:val="center"/>
            <w:hideMark/>
          </w:tcPr>
          <w:p w14:paraId="37031D84" w14:textId="3C34138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11,1</w:t>
            </w:r>
          </w:p>
        </w:tc>
        <w:tc>
          <w:tcPr>
            <w:tcW w:w="1134" w:type="dxa"/>
            <w:tcBorders>
              <w:top w:val="nil"/>
              <w:left w:val="nil"/>
              <w:bottom w:val="nil"/>
              <w:right w:val="nil"/>
            </w:tcBorders>
            <w:shd w:val="clear" w:color="auto" w:fill="auto"/>
            <w:noWrap/>
            <w:vAlign w:val="center"/>
            <w:hideMark/>
          </w:tcPr>
          <w:p w14:paraId="0D901717" w14:textId="1C213F6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4,9</w:t>
            </w:r>
          </w:p>
        </w:tc>
        <w:tc>
          <w:tcPr>
            <w:tcW w:w="1134" w:type="dxa"/>
            <w:tcBorders>
              <w:top w:val="nil"/>
              <w:left w:val="nil"/>
              <w:bottom w:val="nil"/>
              <w:right w:val="single" w:sz="4" w:space="0" w:color="auto"/>
            </w:tcBorders>
            <w:shd w:val="clear" w:color="auto" w:fill="auto"/>
            <w:noWrap/>
            <w:vAlign w:val="center"/>
            <w:hideMark/>
          </w:tcPr>
          <w:p w14:paraId="6BD2816E" w14:textId="4D76E79E"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6,2</w:t>
            </w:r>
          </w:p>
        </w:tc>
        <w:tc>
          <w:tcPr>
            <w:tcW w:w="1134" w:type="dxa"/>
            <w:tcBorders>
              <w:top w:val="nil"/>
              <w:left w:val="nil"/>
              <w:bottom w:val="nil"/>
              <w:right w:val="nil"/>
            </w:tcBorders>
            <w:shd w:val="clear" w:color="auto" w:fill="auto"/>
            <w:noWrap/>
            <w:vAlign w:val="center"/>
            <w:hideMark/>
          </w:tcPr>
          <w:p w14:paraId="05BC3C05"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56,4</w:t>
            </w:r>
          </w:p>
        </w:tc>
        <w:tc>
          <w:tcPr>
            <w:tcW w:w="1134" w:type="dxa"/>
            <w:tcBorders>
              <w:top w:val="nil"/>
              <w:left w:val="nil"/>
              <w:bottom w:val="nil"/>
              <w:right w:val="nil"/>
            </w:tcBorders>
            <w:shd w:val="clear" w:color="auto" w:fill="auto"/>
            <w:noWrap/>
            <w:vAlign w:val="center"/>
            <w:hideMark/>
          </w:tcPr>
          <w:p w14:paraId="21574464"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58,0</w:t>
            </w:r>
          </w:p>
        </w:tc>
        <w:tc>
          <w:tcPr>
            <w:tcW w:w="1134" w:type="dxa"/>
            <w:tcBorders>
              <w:top w:val="nil"/>
              <w:left w:val="nil"/>
              <w:bottom w:val="nil"/>
              <w:right w:val="nil"/>
            </w:tcBorders>
            <w:shd w:val="clear" w:color="auto" w:fill="auto"/>
            <w:noWrap/>
            <w:vAlign w:val="center"/>
            <w:hideMark/>
          </w:tcPr>
          <w:p w14:paraId="2BE76920"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55,3</w:t>
            </w:r>
          </w:p>
        </w:tc>
      </w:tr>
      <w:tr w:rsidR="009F67D0" w:rsidRPr="00D92E20" w14:paraId="75AC1603" w14:textId="77777777" w:rsidTr="009F67D0">
        <w:trPr>
          <w:trHeight w:val="300"/>
        </w:trPr>
        <w:tc>
          <w:tcPr>
            <w:tcW w:w="2948" w:type="dxa"/>
            <w:tcBorders>
              <w:top w:val="nil"/>
              <w:left w:val="nil"/>
              <w:bottom w:val="nil"/>
              <w:right w:val="nil"/>
            </w:tcBorders>
            <w:shd w:val="clear" w:color="auto" w:fill="auto"/>
            <w:noWrap/>
            <w:vAlign w:val="center"/>
            <w:hideMark/>
          </w:tcPr>
          <w:p w14:paraId="356A5DDB"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jiné nemoci dýchacích cest</w:t>
            </w:r>
          </w:p>
        </w:tc>
        <w:tc>
          <w:tcPr>
            <w:tcW w:w="1134" w:type="dxa"/>
            <w:tcBorders>
              <w:top w:val="nil"/>
              <w:left w:val="single" w:sz="4" w:space="0" w:color="auto"/>
              <w:bottom w:val="nil"/>
              <w:right w:val="nil"/>
            </w:tcBorders>
            <w:shd w:val="clear" w:color="auto" w:fill="auto"/>
            <w:noWrap/>
            <w:vAlign w:val="center"/>
            <w:hideMark/>
          </w:tcPr>
          <w:p w14:paraId="4C9F5D05" w14:textId="57BB7ACA"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8,8</w:t>
            </w:r>
          </w:p>
        </w:tc>
        <w:tc>
          <w:tcPr>
            <w:tcW w:w="1134" w:type="dxa"/>
            <w:tcBorders>
              <w:top w:val="nil"/>
              <w:left w:val="nil"/>
              <w:bottom w:val="nil"/>
              <w:right w:val="nil"/>
            </w:tcBorders>
            <w:shd w:val="clear" w:color="auto" w:fill="auto"/>
            <w:noWrap/>
            <w:vAlign w:val="center"/>
            <w:hideMark/>
          </w:tcPr>
          <w:p w14:paraId="18C06714" w14:textId="307656B3"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4,7</w:t>
            </w:r>
          </w:p>
        </w:tc>
        <w:tc>
          <w:tcPr>
            <w:tcW w:w="1134" w:type="dxa"/>
            <w:tcBorders>
              <w:top w:val="nil"/>
              <w:left w:val="nil"/>
              <w:bottom w:val="nil"/>
              <w:right w:val="single" w:sz="4" w:space="0" w:color="auto"/>
            </w:tcBorders>
            <w:shd w:val="clear" w:color="auto" w:fill="auto"/>
            <w:noWrap/>
            <w:vAlign w:val="center"/>
            <w:hideMark/>
          </w:tcPr>
          <w:p w14:paraId="283F3113" w14:textId="70D4B4D3"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4,1</w:t>
            </w:r>
          </w:p>
        </w:tc>
        <w:tc>
          <w:tcPr>
            <w:tcW w:w="1134" w:type="dxa"/>
            <w:tcBorders>
              <w:top w:val="nil"/>
              <w:left w:val="nil"/>
              <w:bottom w:val="nil"/>
              <w:right w:val="nil"/>
            </w:tcBorders>
            <w:shd w:val="clear" w:color="auto" w:fill="auto"/>
            <w:noWrap/>
            <w:vAlign w:val="center"/>
            <w:hideMark/>
          </w:tcPr>
          <w:p w14:paraId="1B4A7255"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34,3</w:t>
            </w:r>
          </w:p>
        </w:tc>
        <w:tc>
          <w:tcPr>
            <w:tcW w:w="1134" w:type="dxa"/>
            <w:tcBorders>
              <w:top w:val="nil"/>
              <w:left w:val="nil"/>
              <w:bottom w:val="nil"/>
              <w:right w:val="nil"/>
            </w:tcBorders>
            <w:shd w:val="clear" w:color="auto" w:fill="auto"/>
            <w:noWrap/>
            <w:vAlign w:val="center"/>
            <w:hideMark/>
          </w:tcPr>
          <w:p w14:paraId="1210E4D9"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35,9</w:t>
            </w:r>
          </w:p>
        </w:tc>
        <w:tc>
          <w:tcPr>
            <w:tcW w:w="1134" w:type="dxa"/>
            <w:tcBorders>
              <w:top w:val="nil"/>
              <w:left w:val="nil"/>
              <w:bottom w:val="nil"/>
              <w:right w:val="nil"/>
            </w:tcBorders>
            <w:shd w:val="clear" w:color="auto" w:fill="auto"/>
            <w:noWrap/>
            <w:vAlign w:val="center"/>
            <w:hideMark/>
          </w:tcPr>
          <w:p w14:paraId="2D2814A0"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32,5</w:t>
            </w:r>
          </w:p>
        </w:tc>
      </w:tr>
      <w:tr w:rsidR="009F67D0" w:rsidRPr="00D92E20" w14:paraId="67EDE805" w14:textId="77777777" w:rsidTr="009F67D0">
        <w:trPr>
          <w:trHeight w:val="300"/>
        </w:trPr>
        <w:tc>
          <w:tcPr>
            <w:tcW w:w="2948" w:type="dxa"/>
            <w:tcBorders>
              <w:top w:val="nil"/>
              <w:left w:val="nil"/>
              <w:bottom w:val="nil"/>
              <w:right w:val="nil"/>
            </w:tcBorders>
            <w:shd w:val="clear" w:color="auto" w:fill="auto"/>
            <w:noWrap/>
            <w:vAlign w:val="center"/>
            <w:hideMark/>
          </w:tcPr>
          <w:p w14:paraId="65D573C3"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trávicí soustavy</w:t>
            </w:r>
          </w:p>
        </w:tc>
        <w:tc>
          <w:tcPr>
            <w:tcW w:w="1134" w:type="dxa"/>
            <w:tcBorders>
              <w:top w:val="nil"/>
              <w:left w:val="single" w:sz="4" w:space="0" w:color="auto"/>
              <w:bottom w:val="nil"/>
              <w:right w:val="nil"/>
            </w:tcBorders>
            <w:shd w:val="clear" w:color="auto" w:fill="auto"/>
            <w:noWrap/>
            <w:vAlign w:val="center"/>
            <w:hideMark/>
          </w:tcPr>
          <w:p w14:paraId="48C6F7A6" w14:textId="063DB76A"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121,8</w:t>
            </w:r>
          </w:p>
        </w:tc>
        <w:tc>
          <w:tcPr>
            <w:tcW w:w="1134" w:type="dxa"/>
            <w:tcBorders>
              <w:top w:val="nil"/>
              <w:left w:val="nil"/>
              <w:bottom w:val="nil"/>
              <w:right w:val="nil"/>
            </w:tcBorders>
            <w:shd w:val="clear" w:color="auto" w:fill="auto"/>
            <w:noWrap/>
            <w:vAlign w:val="center"/>
            <w:hideMark/>
          </w:tcPr>
          <w:p w14:paraId="14178628" w14:textId="33257B01"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66,6</w:t>
            </w:r>
          </w:p>
        </w:tc>
        <w:tc>
          <w:tcPr>
            <w:tcW w:w="1134" w:type="dxa"/>
            <w:tcBorders>
              <w:top w:val="nil"/>
              <w:left w:val="nil"/>
              <w:bottom w:val="nil"/>
              <w:right w:val="single" w:sz="4" w:space="0" w:color="auto"/>
            </w:tcBorders>
            <w:shd w:val="clear" w:color="auto" w:fill="auto"/>
            <w:noWrap/>
            <w:vAlign w:val="center"/>
            <w:hideMark/>
          </w:tcPr>
          <w:p w14:paraId="658260C1" w14:textId="732D308A"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55,1</w:t>
            </w:r>
          </w:p>
        </w:tc>
        <w:tc>
          <w:tcPr>
            <w:tcW w:w="1134" w:type="dxa"/>
            <w:tcBorders>
              <w:top w:val="nil"/>
              <w:left w:val="nil"/>
              <w:bottom w:val="nil"/>
              <w:right w:val="nil"/>
            </w:tcBorders>
            <w:shd w:val="clear" w:color="auto" w:fill="auto"/>
            <w:noWrap/>
            <w:vAlign w:val="center"/>
            <w:hideMark/>
          </w:tcPr>
          <w:p w14:paraId="55C6BD1B"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31,6</w:t>
            </w:r>
          </w:p>
        </w:tc>
        <w:tc>
          <w:tcPr>
            <w:tcW w:w="1134" w:type="dxa"/>
            <w:tcBorders>
              <w:top w:val="nil"/>
              <w:left w:val="nil"/>
              <w:bottom w:val="nil"/>
              <w:right w:val="nil"/>
            </w:tcBorders>
            <w:shd w:val="clear" w:color="auto" w:fill="auto"/>
            <w:noWrap/>
            <w:vAlign w:val="center"/>
            <w:hideMark/>
          </w:tcPr>
          <w:p w14:paraId="44518B5A"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31,7</w:t>
            </w:r>
          </w:p>
        </w:tc>
        <w:tc>
          <w:tcPr>
            <w:tcW w:w="1134" w:type="dxa"/>
            <w:tcBorders>
              <w:top w:val="nil"/>
              <w:left w:val="nil"/>
              <w:bottom w:val="nil"/>
              <w:right w:val="nil"/>
            </w:tcBorders>
            <w:shd w:val="clear" w:color="auto" w:fill="auto"/>
            <w:noWrap/>
            <w:vAlign w:val="center"/>
            <w:hideMark/>
          </w:tcPr>
          <w:p w14:paraId="075BCDAC"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31,5</w:t>
            </w:r>
          </w:p>
        </w:tc>
      </w:tr>
      <w:tr w:rsidR="009F67D0" w:rsidRPr="00D92E20" w14:paraId="6C3B12A6" w14:textId="77777777" w:rsidTr="009F67D0">
        <w:trPr>
          <w:trHeight w:val="300"/>
        </w:trPr>
        <w:tc>
          <w:tcPr>
            <w:tcW w:w="2948" w:type="dxa"/>
            <w:tcBorders>
              <w:top w:val="nil"/>
              <w:left w:val="nil"/>
              <w:bottom w:val="nil"/>
              <w:right w:val="nil"/>
            </w:tcBorders>
            <w:shd w:val="clear" w:color="auto" w:fill="auto"/>
            <w:noWrap/>
            <w:vAlign w:val="center"/>
            <w:hideMark/>
          </w:tcPr>
          <w:p w14:paraId="2CEAEBEC"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kůže</w:t>
            </w:r>
          </w:p>
        </w:tc>
        <w:tc>
          <w:tcPr>
            <w:tcW w:w="1134" w:type="dxa"/>
            <w:tcBorders>
              <w:top w:val="nil"/>
              <w:left w:val="single" w:sz="4" w:space="0" w:color="auto"/>
              <w:bottom w:val="nil"/>
              <w:right w:val="nil"/>
            </w:tcBorders>
            <w:shd w:val="clear" w:color="auto" w:fill="auto"/>
            <w:noWrap/>
            <w:vAlign w:val="center"/>
            <w:hideMark/>
          </w:tcPr>
          <w:p w14:paraId="4B6989FC" w14:textId="0D85641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28,3</w:t>
            </w:r>
          </w:p>
        </w:tc>
        <w:tc>
          <w:tcPr>
            <w:tcW w:w="1134" w:type="dxa"/>
            <w:tcBorders>
              <w:top w:val="nil"/>
              <w:left w:val="nil"/>
              <w:bottom w:val="nil"/>
              <w:right w:val="nil"/>
            </w:tcBorders>
            <w:shd w:val="clear" w:color="auto" w:fill="auto"/>
            <w:noWrap/>
            <w:vAlign w:val="center"/>
            <w:hideMark/>
          </w:tcPr>
          <w:p w14:paraId="2ADF6CCD" w14:textId="642C86C8"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16,4</w:t>
            </w:r>
          </w:p>
        </w:tc>
        <w:tc>
          <w:tcPr>
            <w:tcW w:w="1134" w:type="dxa"/>
            <w:tcBorders>
              <w:top w:val="nil"/>
              <w:left w:val="nil"/>
              <w:bottom w:val="nil"/>
              <w:right w:val="single" w:sz="4" w:space="0" w:color="auto"/>
            </w:tcBorders>
            <w:shd w:val="clear" w:color="auto" w:fill="auto"/>
            <w:noWrap/>
            <w:vAlign w:val="center"/>
            <w:hideMark/>
          </w:tcPr>
          <w:p w14:paraId="585DCFA9" w14:textId="59100804"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11,9</w:t>
            </w:r>
          </w:p>
        </w:tc>
        <w:tc>
          <w:tcPr>
            <w:tcW w:w="1134" w:type="dxa"/>
            <w:tcBorders>
              <w:top w:val="nil"/>
              <w:left w:val="nil"/>
              <w:bottom w:val="nil"/>
              <w:right w:val="nil"/>
            </w:tcBorders>
            <w:shd w:val="clear" w:color="auto" w:fill="auto"/>
            <w:noWrap/>
            <w:vAlign w:val="center"/>
            <w:hideMark/>
          </w:tcPr>
          <w:p w14:paraId="21F46269"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35,3</w:t>
            </w:r>
          </w:p>
        </w:tc>
        <w:tc>
          <w:tcPr>
            <w:tcW w:w="1134" w:type="dxa"/>
            <w:tcBorders>
              <w:top w:val="nil"/>
              <w:left w:val="nil"/>
              <w:bottom w:val="nil"/>
              <w:right w:val="nil"/>
            </w:tcBorders>
            <w:shd w:val="clear" w:color="auto" w:fill="auto"/>
            <w:noWrap/>
            <w:vAlign w:val="center"/>
            <w:hideMark/>
          </w:tcPr>
          <w:p w14:paraId="37700BB8"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34,6</w:t>
            </w:r>
          </w:p>
        </w:tc>
        <w:tc>
          <w:tcPr>
            <w:tcW w:w="1134" w:type="dxa"/>
            <w:tcBorders>
              <w:top w:val="nil"/>
              <w:left w:val="nil"/>
              <w:bottom w:val="nil"/>
              <w:right w:val="nil"/>
            </w:tcBorders>
            <w:shd w:val="clear" w:color="auto" w:fill="auto"/>
            <w:noWrap/>
            <w:vAlign w:val="center"/>
            <w:hideMark/>
          </w:tcPr>
          <w:p w14:paraId="607E66D0"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36,3</w:t>
            </w:r>
          </w:p>
        </w:tc>
      </w:tr>
      <w:tr w:rsidR="009F67D0" w:rsidRPr="00D92E20" w14:paraId="1BC1C619" w14:textId="77777777" w:rsidTr="009F67D0">
        <w:trPr>
          <w:trHeight w:val="300"/>
        </w:trPr>
        <w:tc>
          <w:tcPr>
            <w:tcW w:w="2948" w:type="dxa"/>
            <w:tcBorders>
              <w:top w:val="nil"/>
              <w:left w:val="nil"/>
              <w:bottom w:val="nil"/>
              <w:right w:val="nil"/>
            </w:tcBorders>
            <w:shd w:val="clear" w:color="auto" w:fill="auto"/>
            <w:noWrap/>
            <w:vAlign w:val="center"/>
            <w:hideMark/>
          </w:tcPr>
          <w:p w14:paraId="31476962"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pohybové soustavy</w:t>
            </w:r>
          </w:p>
        </w:tc>
        <w:tc>
          <w:tcPr>
            <w:tcW w:w="1134" w:type="dxa"/>
            <w:tcBorders>
              <w:top w:val="nil"/>
              <w:left w:val="single" w:sz="4" w:space="0" w:color="auto"/>
              <w:bottom w:val="nil"/>
              <w:right w:val="nil"/>
            </w:tcBorders>
            <w:shd w:val="clear" w:color="auto" w:fill="auto"/>
            <w:noWrap/>
            <w:vAlign w:val="center"/>
            <w:hideMark/>
          </w:tcPr>
          <w:p w14:paraId="1BA2B0D7" w14:textId="2D2B9426"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388,7</w:t>
            </w:r>
          </w:p>
        </w:tc>
        <w:tc>
          <w:tcPr>
            <w:tcW w:w="1134" w:type="dxa"/>
            <w:tcBorders>
              <w:top w:val="nil"/>
              <w:left w:val="nil"/>
              <w:bottom w:val="nil"/>
              <w:right w:val="nil"/>
            </w:tcBorders>
            <w:shd w:val="clear" w:color="auto" w:fill="auto"/>
            <w:noWrap/>
            <w:vAlign w:val="center"/>
            <w:hideMark/>
          </w:tcPr>
          <w:p w14:paraId="4B66F295" w14:textId="3CEBCD8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198,5</w:t>
            </w:r>
          </w:p>
        </w:tc>
        <w:tc>
          <w:tcPr>
            <w:tcW w:w="1134" w:type="dxa"/>
            <w:tcBorders>
              <w:top w:val="nil"/>
              <w:left w:val="nil"/>
              <w:bottom w:val="nil"/>
              <w:right w:val="single" w:sz="4" w:space="0" w:color="auto"/>
            </w:tcBorders>
            <w:shd w:val="clear" w:color="auto" w:fill="auto"/>
            <w:noWrap/>
            <w:vAlign w:val="center"/>
            <w:hideMark/>
          </w:tcPr>
          <w:p w14:paraId="47752D19" w14:textId="6B8ED816"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190,2</w:t>
            </w:r>
          </w:p>
        </w:tc>
        <w:tc>
          <w:tcPr>
            <w:tcW w:w="1134" w:type="dxa"/>
            <w:tcBorders>
              <w:top w:val="nil"/>
              <w:left w:val="nil"/>
              <w:bottom w:val="nil"/>
              <w:right w:val="nil"/>
            </w:tcBorders>
            <w:shd w:val="clear" w:color="auto" w:fill="auto"/>
            <w:noWrap/>
            <w:vAlign w:val="center"/>
            <w:hideMark/>
          </w:tcPr>
          <w:p w14:paraId="754FF24B"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69,3</w:t>
            </w:r>
          </w:p>
        </w:tc>
        <w:tc>
          <w:tcPr>
            <w:tcW w:w="1134" w:type="dxa"/>
            <w:tcBorders>
              <w:top w:val="nil"/>
              <w:left w:val="nil"/>
              <w:bottom w:val="nil"/>
              <w:right w:val="nil"/>
            </w:tcBorders>
            <w:shd w:val="clear" w:color="auto" w:fill="auto"/>
            <w:noWrap/>
            <w:vAlign w:val="center"/>
            <w:hideMark/>
          </w:tcPr>
          <w:p w14:paraId="170F1BC3"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63,6</w:t>
            </w:r>
          </w:p>
        </w:tc>
        <w:tc>
          <w:tcPr>
            <w:tcW w:w="1134" w:type="dxa"/>
            <w:tcBorders>
              <w:top w:val="nil"/>
              <w:left w:val="nil"/>
              <w:bottom w:val="nil"/>
              <w:right w:val="nil"/>
            </w:tcBorders>
            <w:shd w:val="clear" w:color="auto" w:fill="auto"/>
            <w:noWrap/>
            <w:vAlign w:val="center"/>
            <w:hideMark/>
          </w:tcPr>
          <w:p w14:paraId="39A8CCB3"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75,2</w:t>
            </w:r>
          </w:p>
        </w:tc>
      </w:tr>
      <w:tr w:rsidR="009F67D0" w:rsidRPr="00D92E20" w14:paraId="1CC708E5" w14:textId="77777777" w:rsidTr="009F67D0">
        <w:trPr>
          <w:trHeight w:val="300"/>
        </w:trPr>
        <w:tc>
          <w:tcPr>
            <w:tcW w:w="2948" w:type="dxa"/>
            <w:tcBorders>
              <w:top w:val="nil"/>
              <w:left w:val="nil"/>
              <w:bottom w:val="nil"/>
              <w:right w:val="nil"/>
            </w:tcBorders>
            <w:shd w:val="clear" w:color="auto" w:fill="auto"/>
            <w:noWrap/>
            <w:vAlign w:val="center"/>
            <w:hideMark/>
          </w:tcPr>
          <w:p w14:paraId="73D9631A"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nemoci páteře</w:t>
            </w:r>
          </w:p>
        </w:tc>
        <w:tc>
          <w:tcPr>
            <w:tcW w:w="1134" w:type="dxa"/>
            <w:tcBorders>
              <w:top w:val="nil"/>
              <w:left w:val="single" w:sz="4" w:space="0" w:color="auto"/>
              <w:bottom w:val="nil"/>
              <w:right w:val="nil"/>
            </w:tcBorders>
            <w:shd w:val="clear" w:color="auto" w:fill="auto"/>
            <w:noWrap/>
            <w:vAlign w:val="center"/>
            <w:hideMark/>
          </w:tcPr>
          <w:p w14:paraId="75BBDB39" w14:textId="6B074DF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269,3</w:t>
            </w:r>
          </w:p>
        </w:tc>
        <w:tc>
          <w:tcPr>
            <w:tcW w:w="1134" w:type="dxa"/>
            <w:tcBorders>
              <w:top w:val="nil"/>
              <w:left w:val="nil"/>
              <w:bottom w:val="nil"/>
              <w:right w:val="nil"/>
            </w:tcBorders>
            <w:shd w:val="clear" w:color="auto" w:fill="auto"/>
            <w:noWrap/>
            <w:vAlign w:val="center"/>
            <w:hideMark/>
          </w:tcPr>
          <w:p w14:paraId="42D6006F" w14:textId="73C81AA6"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137,3</w:t>
            </w:r>
          </w:p>
        </w:tc>
        <w:tc>
          <w:tcPr>
            <w:tcW w:w="1134" w:type="dxa"/>
            <w:tcBorders>
              <w:top w:val="nil"/>
              <w:left w:val="nil"/>
              <w:bottom w:val="nil"/>
              <w:right w:val="single" w:sz="4" w:space="0" w:color="auto"/>
            </w:tcBorders>
            <w:shd w:val="clear" w:color="auto" w:fill="auto"/>
            <w:noWrap/>
            <w:vAlign w:val="center"/>
            <w:hideMark/>
          </w:tcPr>
          <w:p w14:paraId="26DB7D5D" w14:textId="1F4EC41D"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132,0</w:t>
            </w:r>
          </w:p>
        </w:tc>
        <w:tc>
          <w:tcPr>
            <w:tcW w:w="1134" w:type="dxa"/>
            <w:tcBorders>
              <w:top w:val="nil"/>
              <w:left w:val="nil"/>
              <w:bottom w:val="nil"/>
              <w:right w:val="nil"/>
            </w:tcBorders>
            <w:shd w:val="clear" w:color="auto" w:fill="auto"/>
            <w:noWrap/>
            <w:vAlign w:val="center"/>
            <w:hideMark/>
          </w:tcPr>
          <w:p w14:paraId="4D6526DC"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63,6</w:t>
            </w:r>
          </w:p>
        </w:tc>
        <w:tc>
          <w:tcPr>
            <w:tcW w:w="1134" w:type="dxa"/>
            <w:tcBorders>
              <w:top w:val="nil"/>
              <w:left w:val="nil"/>
              <w:bottom w:val="nil"/>
              <w:right w:val="nil"/>
            </w:tcBorders>
            <w:shd w:val="clear" w:color="auto" w:fill="auto"/>
            <w:noWrap/>
            <w:vAlign w:val="center"/>
            <w:hideMark/>
          </w:tcPr>
          <w:p w14:paraId="3C90AA1A"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57,9</w:t>
            </w:r>
          </w:p>
        </w:tc>
        <w:tc>
          <w:tcPr>
            <w:tcW w:w="1134" w:type="dxa"/>
            <w:tcBorders>
              <w:top w:val="nil"/>
              <w:left w:val="nil"/>
              <w:bottom w:val="nil"/>
              <w:right w:val="nil"/>
            </w:tcBorders>
            <w:shd w:val="clear" w:color="auto" w:fill="auto"/>
            <w:noWrap/>
            <w:vAlign w:val="center"/>
            <w:hideMark/>
          </w:tcPr>
          <w:p w14:paraId="14DA7BAB"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69,5</w:t>
            </w:r>
          </w:p>
        </w:tc>
      </w:tr>
      <w:tr w:rsidR="009F67D0" w:rsidRPr="00D92E20" w14:paraId="5E10E5AA" w14:textId="77777777" w:rsidTr="009F67D0">
        <w:trPr>
          <w:trHeight w:val="300"/>
        </w:trPr>
        <w:tc>
          <w:tcPr>
            <w:tcW w:w="2948" w:type="dxa"/>
            <w:tcBorders>
              <w:top w:val="nil"/>
              <w:left w:val="nil"/>
              <w:bottom w:val="nil"/>
              <w:right w:val="nil"/>
            </w:tcBorders>
            <w:shd w:val="clear" w:color="auto" w:fill="auto"/>
            <w:noWrap/>
            <w:vAlign w:val="center"/>
            <w:hideMark/>
          </w:tcPr>
          <w:p w14:paraId="1AACEE65" w14:textId="77777777" w:rsidR="009F67D0" w:rsidRPr="00D92E20" w:rsidRDefault="009F67D0" w:rsidP="009F67D0">
            <w:pPr>
              <w:spacing w:after="0" w:line="240" w:lineRule="auto"/>
              <w:ind w:firstLineChars="200" w:firstLine="320"/>
              <w:rPr>
                <w:rFonts w:cs="Arial"/>
                <w:color w:val="000000"/>
                <w:sz w:val="16"/>
                <w:szCs w:val="16"/>
              </w:rPr>
            </w:pPr>
            <w:r w:rsidRPr="00D92E20">
              <w:rPr>
                <w:rFonts w:cs="Arial"/>
                <w:color w:val="000000"/>
                <w:sz w:val="16"/>
                <w:szCs w:val="16"/>
              </w:rPr>
              <w:t xml:space="preserve"> jiné nemoci pohybové soustavy</w:t>
            </w:r>
          </w:p>
        </w:tc>
        <w:tc>
          <w:tcPr>
            <w:tcW w:w="1134" w:type="dxa"/>
            <w:tcBorders>
              <w:top w:val="nil"/>
              <w:left w:val="single" w:sz="4" w:space="0" w:color="auto"/>
              <w:bottom w:val="nil"/>
              <w:right w:val="nil"/>
            </w:tcBorders>
            <w:shd w:val="clear" w:color="auto" w:fill="auto"/>
            <w:noWrap/>
            <w:vAlign w:val="center"/>
            <w:hideMark/>
          </w:tcPr>
          <w:p w14:paraId="77424AD1" w14:textId="70BA977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119,4</w:t>
            </w:r>
          </w:p>
        </w:tc>
        <w:tc>
          <w:tcPr>
            <w:tcW w:w="1134" w:type="dxa"/>
            <w:tcBorders>
              <w:top w:val="nil"/>
              <w:left w:val="nil"/>
              <w:bottom w:val="nil"/>
              <w:right w:val="nil"/>
            </w:tcBorders>
            <w:shd w:val="clear" w:color="auto" w:fill="auto"/>
            <w:noWrap/>
            <w:vAlign w:val="center"/>
            <w:hideMark/>
          </w:tcPr>
          <w:p w14:paraId="453D219F" w14:textId="4D3C188B"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61,2</w:t>
            </w:r>
          </w:p>
        </w:tc>
        <w:tc>
          <w:tcPr>
            <w:tcW w:w="1134" w:type="dxa"/>
            <w:tcBorders>
              <w:top w:val="nil"/>
              <w:left w:val="nil"/>
              <w:bottom w:val="nil"/>
              <w:right w:val="single" w:sz="4" w:space="0" w:color="auto"/>
            </w:tcBorders>
            <w:shd w:val="clear" w:color="auto" w:fill="auto"/>
            <w:noWrap/>
            <w:vAlign w:val="center"/>
            <w:hideMark/>
          </w:tcPr>
          <w:p w14:paraId="553FA79A" w14:textId="61165725"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58,2</w:t>
            </w:r>
          </w:p>
        </w:tc>
        <w:tc>
          <w:tcPr>
            <w:tcW w:w="1134" w:type="dxa"/>
            <w:tcBorders>
              <w:top w:val="nil"/>
              <w:left w:val="nil"/>
              <w:bottom w:val="nil"/>
              <w:right w:val="nil"/>
            </w:tcBorders>
            <w:shd w:val="clear" w:color="auto" w:fill="auto"/>
            <w:noWrap/>
            <w:vAlign w:val="center"/>
            <w:hideMark/>
          </w:tcPr>
          <w:p w14:paraId="060DACCB"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82,2</w:t>
            </w:r>
          </w:p>
        </w:tc>
        <w:tc>
          <w:tcPr>
            <w:tcW w:w="1134" w:type="dxa"/>
            <w:tcBorders>
              <w:top w:val="nil"/>
              <w:left w:val="nil"/>
              <w:bottom w:val="nil"/>
              <w:right w:val="nil"/>
            </w:tcBorders>
            <w:shd w:val="clear" w:color="auto" w:fill="auto"/>
            <w:noWrap/>
            <w:vAlign w:val="center"/>
            <w:hideMark/>
          </w:tcPr>
          <w:p w14:paraId="55AAA629"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76,6</w:t>
            </w:r>
          </w:p>
        </w:tc>
        <w:tc>
          <w:tcPr>
            <w:tcW w:w="1134" w:type="dxa"/>
            <w:tcBorders>
              <w:top w:val="nil"/>
              <w:left w:val="nil"/>
              <w:bottom w:val="nil"/>
              <w:right w:val="nil"/>
            </w:tcBorders>
            <w:shd w:val="clear" w:color="auto" w:fill="auto"/>
            <w:noWrap/>
            <w:vAlign w:val="center"/>
            <w:hideMark/>
          </w:tcPr>
          <w:p w14:paraId="0EB55880"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88,1</w:t>
            </w:r>
          </w:p>
        </w:tc>
      </w:tr>
      <w:tr w:rsidR="009F67D0" w:rsidRPr="00D92E20" w14:paraId="3514D31D" w14:textId="77777777" w:rsidTr="009F67D0">
        <w:trPr>
          <w:trHeight w:val="300"/>
        </w:trPr>
        <w:tc>
          <w:tcPr>
            <w:tcW w:w="2948" w:type="dxa"/>
            <w:tcBorders>
              <w:top w:val="nil"/>
              <w:left w:val="nil"/>
              <w:bottom w:val="nil"/>
              <w:right w:val="nil"/>
            </w:tcBorders>
            <w:shd w:val="clear" w:color="auto" w:fill="auto"/>
            <w:noWrap/>
            <w:vAlign w:val="center"/>
            <w:hideMark/>
          </w:tcPr>
          <w:p w14:paraId="49478951"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močové a pohlavní soustavy</w:t>
            </w:r>
          </w:p>
        </w:tc>
        <w:tc>
          <w:tcPr>
            <w:tcW w:w="1134" w:type="dxa"/>
            <w:tcBorders>
              <w:top w:val="nil"/>
              <w:left w:val="single" w:sz="4" w:space="0" w:color="auto"/>
              <w:bottom w:val="nil"/>
              <w:right w:val="nil"/>
            </w:tcBorders>
            <w:shd w:val="clear" w:color="auto" w:fill="auto"/>
            <w:noWrap/>
            <w:vAlign w:val="center"/>
            <w:hideMark/>
          </w:tcPr>
          <w:p w14:paraId="586BCB1B" w14:textId="4EC2EDBB"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70,8</w:t>
            </w:r>
          </w:p>
        </w:tc>
        <w:tc>
          <w:tcPr>
            <w:tcW w:w="1134" w:type="dxa"/>
            <w:tcBorders>
              <w:top w:val="nil"/>
              <w:left w:val="nil"/>
              <w:bottom w:val="nil"/>
              <w:right w:val="nil"/>
            </w:tcBorders>
            <w:shd w:val="clear" w:color="auto" w:fill="auto"/>
            <w:noWrap/>
            <w:vAlign w:val="center"/>
            <w:hideMark/>
          </w:tcPr>
          <w:p w14:paraId="3A5BAD1D" w14:textId="1EBDA31C"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15,7</w:t>
            </w:r>
          </w:p>
        </w:tc>
        <w:tc>
          <w:tcPr>
            <w:tcW w:w="1134" w:type="dxa"/>
            <w:tcBorders>
              <w:top w:val="nil"/>
              <w:left w:val="nil"/>
              <w:bottom w:val="nil"/>
              <w:right w:val="single" w:sz="4" w:space="0" w:color="auto"/>
            </w:tcBorders>
            <w:shd w:val="clear" w:color="auto" w:fill="auto"/>
            <w:noWrap/>
            <w:vAlign w:val="center"/>
            <w:hideMark/>
          </w:tcPr>
          <w:p w14:paraId="6A0D175C" w14:textId="371D94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55,0</w:t>
            </w:r>
          </w:p>
        </w:tc>
        <w:tc>
          <w:tcPr>
            <w:tcW w:w="1134" w:type="dxa"/>
            <w:tcBorders>
              <w:top w:val="nil"/>
              <w:left w:val="nil"/>
              <w:bottom w:val="nil"/>
              <w:right w:val="nil"/>
            </w:tcBorders>
            <w:shd w:val="clear" w:color="auto" w:fill="auto"/>
            <w:noWrap/>
            <w:vAlign w:val="center"/>
            <w:hideMark/>
          </w:tcPr>
          <w:p w14:paraId="13461EDC"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35,2</w:t>
            </w:r>
          </w:p>
        </w:tc>
        <w:tc>
          <w:tcPr>
            <w:tcW w:w="1134" w:type="dxa"/>
            <w:tcBorders>
              <w:top w:val="nil"/>
              <w:left w:val="nil"/>
              <w:bottom w:val="nil"/>
              <w:right w:val="nil"/>
            </w:tcBorders>
            <w:shd w:val="clear" w:color="auto" w:fill="auto"/>
            <w:noWrap/>
            <w:vAlign w:val="center"/>
            <w:hideMark/>
          </w:tcPr>
          <w:p w14:paraId="041A89C2"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39,1</w:t>
            </w:r>
          </w:p>
        </w:tc>
        <w:tc>
          <w:tcPr>
            <w:tcW w:w="1134" w:type="dxa"/>
            <w:tcBorders>
              <w:top w:val="nil"/>
              <w:left w:val="nil"/>
              <w:bottom w:val="nil"/>
              <w:right w:val="nil"/>
            </w:tcBorders>
            <w:shd w:val="clear" w:color="auto" w:fill="auto"/>
            <w:noWrap/>
            <w:vAlign w:val="center"/>
            <w:hideMark/>
          </w:tcPr>
          <w:p w14:paraId="092394EC"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34,1</w:t>
            </w:r>
          </w:p>
        </w:tc>
      </w:tr>
      <w:tr w:rsidR="009F67D0" w:rsidRPr="00D92E20" w14:paraId="32B14331" w14:textId="77777777" w:rsidTr="009F67D0">
        <w:trPr>
          <w:trHeight w:val="300"/>
        </w:trPr>
        <w:tc>
          <w:tcPr>
            <w:tcW w:w="2948" w:type="dxa"/>
            <w:tcBorders>
              <w:top w:val="nil"/>
              <w:left w:val="nil"/>
              <w:bottom w:val="nil"/>
              <w:right w:val="nil"/>
            </w:tcBorders>
            <w:shd w:val="clear" w:color="auto" w:fill="auto"/>
            <w:noWrap/>
            <w:vAlign w:val="center"/>
            <w:hideMark/>
          </w:tcPr>
          <w:p w14:paraId="7AF3CDE8"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Těhotenství, porod, šestinedělí</w:t>
            </w:r>
          </w:p>
        </w:tc>
        <w:tc>
          <w:tcPr>
            <w:tcW w:w="1134" w:type="dxa"/>
            <w:tcBorders>
              <w:top w:val="nil"/>
              <w:left w:val="single" w:sz="4" w:space="0" w:color="auto"/>
              <w:bottom w:val="nil"/>
              <w:right w:val="nil"/>
            </w:tcBorders>
            <w:shd w:val="clear" w:color="auto" w:fill="auto"/>
            <w:noWrap/>
            <w:vAlign w:val="center"/>
            <w:hideMark/>
          </w:tcPr>
          <w:p w14:paraId="762F3D55" w14:textId="08D7EBCE"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32,1</w:t>
            </w:r>
          </w:p>
        </w:tc>
        <w:tc>
          <w:tcPr>
            <w:tcW w:w="1134" w:type="dxa"/>
            <w:tcBorders>
              <w:top w:val="nil"/>
              <w:left w:val="nil"/>
              <w:bottom w:val="nil"/>
              <w:right w:val="nil"/>
            </w:tcBorders>
            <w:shd w:val="clear" w:color="auto" w:fill="auto"/>
            <w:noWrap/>
            <w:vAlign w:val="center"/>
            <w:hideMark/>
          </w:tcPr>
          <w:p w14:paraId="0D50D00E" w14:textId="20F597DB" w:rsidR="009F67D0" w:rsidRPr="00D92E20" w:rsidRDefault="009F67D0" w:rsidP="009F67D0">
            <w:pPr>
              <w:spacing w:after="0" w:line="240" w:lineRule="auto"/>
              <w:jc w:val="right"/>
              <w:rPr>
                <w:rFonts w:ascii="Calibri" w:hAnsi="Calibri" w:cs="Calibri"/>
                <w:color w:val="000000"/>
                <w:sz w:val="16"/>
                <w:szCs w:val="16"/>
              </w:rPr>
            </w:pPr>
            <w:r w:rsidRPr="00D92E20">
              <w:rPr>
                <w:rFonts w:ascii="Calibri" w:hAnsi="Calibri" w:cs="Calibri"/>
                <w:color w:val="000000"/>
                <w:sz w:val="16"/>
                <w:szCs w:val="16"/>
              </w:rPr>
              <w:t>x</w:t>
            </w:r>
          </w:p>
        </w:tc>
        <w:tc>
          <w:tcPr>
            <w:tcW w:w="1134" w:type="dxa"/>
            <w:tcBorders>
              <w:top w:val="nil"/>
              <w:left w:val="nil"/>
              <w:bottom w:val="nil"/>
              <w:right w:val="single" w:sz="4" w:space="0" w:color="auto"/>
            </w:tcBorders>
            <w:shd w:val="clear" w:color="auto" w:fill="auto"/>
            <w:noWrap/>
            <w:vAlign w:val="center"/>
            <w:hideMark/>
          </w:tcPr>
          <w:p w14:paraId="704A6B65" w14:textId="1B0AD840"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32,1</w:t>
            </w:r>
          </w:p>
        </w:tc>
        <w:tc>
          <w:tcPr>
            <w:tcW w:w="1134" w:type="dxa"/>
            <w:tcBorders>
              <w:top w:val="nil"/>
              <w:left w:val="nil"/>
              <w:bottom w:val="nil"/>
              <w:right w:val="nil"/>
            </w:tcBorders>
            <w:shd w:val="clear" w:color="auto" w:fill="auto"/>
            <w:noWrap/>
            <w:vAlign w:val="center"/>
            <w:hideMark/>
          </w:tcPr>
          <w:p w14:paraId="7206F860"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103,3</w:t>
            </w:r>
          </w:p>
        </w:tc>
        <w:tc>
          <w:tcPr>
            <w:tcW w:w="1134" w:type="dxa"/>
            <w:tcBorders>
              <w:top w:val="nil"/>
              <w:left w:val="nil"/>
              <w:bottom w:val="nil"/>
              <w:right w:val="nil"/>
            </w:tcBorders>
            <w:shd w:val="clear" w:color="auto" w:fill="auto"/>
            <w:noWrap/>
            <w:vAlign w:val="center"/>
            <w:hideMark/>
          </w:tcPr>
          <w:p w14:paraId="1073704A" w14:textId="77777777" w:rsidR="009F67D0" w:rsidRPr="00D92E20" w:rsidRDefault="009F67D0" w:rsidP="009F67D0">
            <w:pPr>
              <w:spacing w:after="0" w:line="240" w:lineRule="auto"/>
              <w:jc w:val="right"/>
              <w:rPr>
                <w:rFonts w:ascii="Calibri" w:hAnsi="Calibri" w:cs="Calibri"/>
                <w:color w:val="000000"/>
                <w:sz w:val="16"/>
                <w:szCs w:val="16"/>
              </w:rPr>
            </w:pPr>
            <w:r w:rsidRPr="00D92E20">
              <w:rPr>
                <w:rFonts w:ascii="Calibri" w:hAnsi="Calibri" w:cs="Calibri"/>
                <w:color w:val="000000"/>
                <w:sz w:val="16"/>
                <w:szCs w:val="16"/>
              </w:rPr>
              <w:t>x</w:t>
            </w:r>
          </w:p>
        </w:tc>
        <w:tc>
          <w:tcPr>
            <w:tcW w:w="1134" w:type="dxa"/>
            <w:tcBorders>
              <w:top w:val="nil"/>
              <w:left w:val="nil"/>
              <w:bottom w:val="nil"/>
              <w:right w:val="nil"/>
            </w:tcBorders>
            <w:shd w:val="clear" w:color="auto" w:fill="auto"/>
            <w:noWrap/>
            <w:vAlign w:val="center"/>
            <w:hideMark/>
          </w:tcPr>
          <w:p w14:paraId="37A792A3"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103,3</w:t>
            </w:r>
          </w:p>
        </w:tc>
      </w:tr>
      <w:tr w:rsidR="009F67D0" w:rsidRPr="00D92E20" w14:paraId="37471E0A" w14:textId="77777777" w:rsidTr="009F67D0">
        <w:trPr>
          <w:trHeight w:val="300"/>
        </w:trPr>
        <w:tc>
          <w:tcPr>
            <w:tcW w:w="2948" w:type="dxa"/>
            <w:tcBorders>
              <w:top w:val="nil"/>
              <w:left w:val="nil"/>
              <w:bottom w:val="nil"/>
              <w:right w:val="nil"/>
            </w:tcBorders>
            <w:shd w:val="clear" w:color="auto" w:fill="auto"/>
            <w:noWrap/>
            <w:vAlign w:val="center"/>
            <w:hideMark/>
          </w:tcPr>
          <w:p w14:paraId="556B8FAF"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Úrazy, otravy</w:t>
            </w:r>
          </w:p>
        </w:tc>
        <w:tc>
          <w:tcPr>
            <w:tcW w:w="1134" w:type="dxa"/>
            <w:tcBorders>
              <w:top w:val="nil"/>
              <w:left w:val="single" w:sz="4" w:space="0" w:color="auto"/>
              <w:bottom w:val="nil"/>
              <w:right w:val="nil"/>
            </w:tcBorders>
            <w:shd w:val="clear" w:color="auto" w:fill="auto"/>
            <w:noWrap/>
            <w:vAlign w:val="center"/>
            <w:hideMark/>
          </w:tcPr>
          <w:p w14:paraId="1A740119" w14:textId="2586F343"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178,3</w:t>
            </w:r>
          </w:p>
        </w:tc>
        <w:tc>
          <w:tcPr>
            <w:tcW w:w="1134" w:type="dxa"/>
            <w:tcBorders>
              <w:top w:val="nil"/>
              <w:left w:val="nil"/>
              <w:bottom w:val="nil"/>
              <w:right w:val="nil"/>
            </w:tcBorders>
            <w:shd w:val="clear" w:color="auto" w:fill="auto"/>
            <w:noWrap/>
            <w:vAlign w:val="center"/>
            <w:hideMark/>
          </w:tcPr>
          <w:p w14:paraId="6F5ACB5C" w14:textId="3B92ECA9"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114,0</w:t>
            </w:r>
          </w:p>
        </w:tc>
        <w:tc>
          <w:tcPr>
            <w:tcW w:w="1134" w:type="dxa"/>
            <w:tcBorders>
              <w:top w:val="nil"/>
              <w:left w:val="nil"/>
              <w:bottom w:val="nil"/>
              <w:right w:val="single" w:sz="4" w:space="0" w:color="auto"/>
            </w:tcBorders>
            <w:shd w:val="clear" w:color="auto" w:fill="auto"/>
            <w:noWrap/>
            <w:vAlign w:val="center"/>
            <w:hideMark/>
          </w:tcPr>
          <w:p w14:paraId="093879DE" w14:textId="77169EF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64,3</w:t>
            </w:r>
          </w:p>
        </w:tc>
        <w:tc>
          <w:tcPr>
            <w:tcW w:w="1134" w:type="dxa"/>
            <w:tcBorders>
              <w:top w:val="nil"/>
              <w:left w:val="nil"/>
              <w:bottom w:val="nil"/>
              <w:right w:val="nil"/>
            </w:tcBorders>
            <w:shd w:val="clear" w:color="auto" w:fill="auto"/>
            <w:noWrap/>
            <w:vAlign w:val="center"/>
            <w:hideMark/>
          </w:tcPr>
          <w:p w14:paraId="56A7ED6C"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56,6</w:t>
            </w:r>
          </w:p>
        </w:tc>
        <w:tc>
          <w:tcPr>
            <w:tcW w:w="1134" w:type="dxa"/>
            <w:tcBorders>
              <w:top w:val="nil"/>
              <w:left w:val="nil"/>
              <w:bottom w:val="nil"/>
              <w:right w:val="nil"/>
            </w:tcBorders>
            <w:shd w:val="clear" w:color="auto" w:fill="auto"/>
            <w:noWrap/>
            <w:vAlign w:val="center"/>
            <w:hideMark/>
          </w:tcPr>
          <w:p w14:paraId="034C35C9"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54,9</w:t>
            </w:r>
          </w:p>
        </w:tc>
        <w:tc>
          <w:tcPr>
            <w:tcW w:w="1134" w:type="dxa"/>
            <w:tcBorders>
              <w:top w:val="nil"/>
              <w:left w:val="nil"/>
              <w:bottom w:val="nil"/>
              <w:right w:val="nil"/>
            </w:tcBorders>
            <w:shd w:val="clear" w:color="auto" w:fill="auto"/>
            <w:noWrap/>
            <w:vAlign w:val="center"/>
            <w:hideMark/>
          </w:tcPr>
          <w:p w14:paraId="1DB80290"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59,7</w:t>
            </w:r>
          </w:p>
        </w:tc>
      </w:tr>
      <w:tr w:rsidR="009F67D0" w:rsidRPr="00D92E20" w14:paraId="18566DD8" w14:textId="77777777" w:rsidTr="009F67D0">
        <w:trPr>
          <w:trHeight w:val="300"/>
        </w:trPr>
        <w:tc>
          <w:tcPr>
            <w:tcW w:w="2948" w:type="dxa"/>
            <w:tcBorders>
              <w:top w:val="nil"/>
              <w:left w:val="nil"/>
              <w:bottom w:val="nil"/>
              <w:right w:val="nil"/>
            </w:tcBorders>
            <w:shd w:val="clear" w:color="auto" w:fill="auto"/>
            <w:noWrap/>
            <w:vAlign w:val="center"/>
            <w:hideMark/>
          </w:tcPr>
          <w:p w14:paraId="3E583A4D" w14:textId="77777777" w:rsidR="009F67D0" w:rsidRPr="00D92E20" w:rsidRDefault="009F67D0" w:rsidP="009F67D0">
            <w:pPr>
              <w:spacing w:after="0" w:line="240" w:lineRule="auto"/>
              <w:ind w:firstLineChars="100" w:firstLine="160"/>
              <w:rPr>
                <w:rFonts w:cs="Arial"/>
                <w:color w:val="000000"/>
                <w:sz w:val="16"/>
                <w:szCs w:val="16"/>
              </w:rPr>
            </w:pPr>
            <w:r w:rsidRPr="00D92E20">
              <w:rPr>
                <w:rFonts w:cs="Arial"/>
                <w:color w:val="000000"/>
                <w:sz w:val="16"/>
                <w:szCs w:val="16"/>
              </w:rPr>
              <w:t>Nemoci ostatní</w:t>
            </w:r>
          </w:p>
        </w:tc>
        <w:tc>
          <w:tcPr>
            <w:tcW w:w="1134" w:type="dxa"/>
            <w:tcBorders>
              <w:top w:val="nil"/>
              <w:left w:val="single" w:sz="4" w:space="0" w:color="auto"/>
              <w:bottom w:val="nil"/>
              <w:right w:val="nil"/>
            </w:tcBorders>
            <w:shd w:val="clear" w:color="auto" w:fill="auto"/>
            <w:noWrap/>
            <w:vAlign w:val="center"/>
            <w:hideMark/>
          </w:tcPr>
          <w:p w14:paraId="59C17F8D" w14:textId="2D19AB82"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658,8</w:t>
            </w:r>
          </w:p>
        </w:tc>
        <w:tc>
          <w:tcPr>
            <w:tcW w:w="1134" w:type="dxa"/>
            <w:tcBorders>
              <w:top w:val="nil"/>
              <w:left w:val="nil"/>
              <w:bottom w:val="nil"/>
              <w:right w:val="nil"/>
            </w:tcBorders>
            <w:shd w:val="clear" w:color="auto" w:fill="auto"/>
            <w:noWrap/>
            <w:vAlign w:val="center"/>
            <w:hideMark/>
          </w:tcPr>
          <w:p w14:paraId="6F472D6B" w14:textId="3162BDEA"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307,0</w:t>
            </w:r>
          </w:p>
        </w:tc>
        <w:tc>
          <w:tcPr>
            <w:tcW w:w="1134" w:type="dxa"/>
            <w:tcBorders>
              <w:top w:val="nil"/>
              <w:left w:val="nil"/>
              <w:bottom w:val="nil"/>
              <w:right w:val="single" w:sz="4" w:space="0" w:color="auto"/>
            </w:tcBorders>
            <w:shd w:val="clear" w:color="auto" w:fill="auto"/>
            <w:noWrap/>
            <w:vAlign w:val="center"/>
            <w:hideMark/>
          </w:tcPr>
          <w:p w14:paraId="18A662FA" w14:textId="4358CBEF"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351,8</w:t>
            </w:r>
          </w:p>
        </w:tc>
        <w:tc>
          <w:tcPr>
            <w:tcW w:w="1134" w:type="dxa"/>
            <w:tcBorders>
              <w:top w:val="nil"/>
              <w:left w:val="nil"/>
              <w:bottom w:val="nil"/>
              <w:right w:val="nil"/>
            </w:tcBorders>
            <w:shd w:val="clear" w:color="auto" w:fill="auto"/>
            <w:noWrap/>
            <w:vAlign w:val="center"/>
            <w:hideMark/>
          </w:tcPr>
          <w:p w14:paraId="422FC319"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20,3</w:t>
            </w:r>
          </w:p>
        </w:tc>
        <w:tc>
          <w:tcPr>
            <w:tcW w:w="1134" w:type="dxa"/>
            <w:tcBorders>
              <w:top w:val="nil"/>
              <w:left w:val="nil"/>
              <w:bottom w:val="nil"/>
              <w:right w:val="nil"/>
            </w:tcBorders>
            <w:shd w:val="clear" w:color="auto" w:fill="auto"/>
            <w:noWrap/>
            <w:vAlign w:val="center"/>
            <w:hideMark/>
          </w:tcPr>
          <w:p w14:paraId="3D5C6B5A"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17,7</w:t>
            </w:r>
          </w:p>
        </w:tc>
        <w:tc>
          <w:tcPr>
            <w:tcW w:w="1134" w:type="dxa"/>
            <w:tcBorders>
              <w:top w:val="nil"/>
              <w:left w:val="nil"/>
              <w:bottom w:val="nil"/>
              <w:right w:val="nil"/>
            </w:tcBorders>
            <w:shd w:val="clear" w:color="auto" w:fill="auto"/>
            <w:noWrap/>
            <w:vAlign w:val="center"/>
            <w:hideMark/>
          </w:tcPr>
          <w:p w14:paraId="1D8F2A4C" w14:textId="77777777" w:rsidR="009F67D0" w:rsidRPr="00D92E20" w:rsidRDefault="009F67D0" w:rsidP="009F67D0">
            <w:pPr>
              <w:spacing w:after="0" w:line="240" w:lineRule="auto"/>
              <w:jc w:val="right"/>
              <w:rPr>
                <w:rFonts w:cs="Arial"/>
                <w:color w:val="000000"/>
                <w:sz w:val="16"/>
                <w:szCs w:val="16"/>
              </w:rPr>
            </w:pPr>
            <w:r w:rsidRPr="00D92E20">
              <w:rPr>
                <w:rFonts w:cs="Arial"/>
                <w:color w:val="000000"/>
                <w:sz w:val="16"/>
                <w:szCs w:val="16"/>
              </w:rPr>
              <w:t>22,5</w:t>
            </w:r>
          </w:p>
        </w:tc>
      </w:tr>
    </w:tbl>
    <w:p w14:paraId="46C0AED7" w14:textId="54994A80" w:rsidR="005A63A4" w:rsidRPr="00D92E20" w:rsidRDefault="0070383F" w:rsidP="00000A90">
      <w:pPr>
        <w:spacing w:before="120" w:after="120"/>
        <w:rPr>
          <w:sz w:val="16"/>
        </w:rPr>
      </w:pPr>
      <w:r w:rsidRPr="00D92E20">
        <w:rPr>
          <w:sz w:val="16"/>
        </w:rPr>
        <w:t>Zdroj: ČSSZ</w:t>
      </w:r>
    </w:p>
    <w:p w14:paraId="17CBEF5D" w14:textId="77777777" w:rsidR="005A63A4" w:rsidRPr="00D92E20" w:rsidRDefault="005A63A4">
      <w:pPr>
        <w:spacing w:after="0" w:line="240" w:lineRule="auto"/>
        <w:rPr>
          <w:sz w:val="16"/>
        </w:rPr>
      </w:pPr>
      <w:r w:rsidRPr="00D92E20">
        <w:rPr>
          <w:sz w:val="16"/>
        </w:rPr>
        <w:br w:type="page"/>
      </w:r>
    </w:p>
    <w:p w14:paraId="00BA1C1E" w14:textId="77777777" w:rsidR="005A63A4" w:rsidRPr="00D92E20" w:rsidRDefault="005A63A4" w:rsidP="005A63A4">
      <w:pPr>
        <w:spacing w:after="0"/>
        <w:jc w:val="both"/>
        <w:rPr>
          <w:b/>
        </w:rPr>
      </w:pPr>
      <w:r w:rsidRPr="00D92E20">
        <w:rPr>
          <w:b/>
        </w:rPr>
        <w:lastRenderedPageBreak/>
        <w:t>Graf 3.1: Struktura ukončených případů dočasné pracovní neschopnosti podle skupin diagnóz, 2020</w:t>
      </w:r>
    </w:p>
    <w:p w14:paraId="08108188" w14:textId="1E3A2A28" w:rsidR="005A63A4" w:rsidRPr="00D92E20" w:rsidRDefault="005A63A4" w:rsidP="00000A90">
      <w:pPr>
        <w:spacing w:before="120" w:after="120"/>
        <w:rPr>
          <w:sz w:val="16"/>
        </w:rPr>
      </w:pPr>
      <w:r w:rsidRPr="00D92E20">
        <w:rPr>
          <w:noProof/>
        </w:rPr>
        <w:drawing>
          <wp:inline distT="0" distB="0" distL="0" distR="0" wp14:anchorId="6C458C37" wp14:editId="39761913">
            <wp:extent cx="6120130" cy="3306445"/>
            <wp:effectExtent l="0" t="0" r="13970" b="8255"/>
            <wp:docPr id="38" name="Graf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645095E" w14:textId="77777777" w:rsidR="005A63A4" w:rsidRPr="00D92E20" w:rsidRDefault="005A63A4" w:rsidP="005A63A4">
      <w:pPr>
        <w:spacing w:before="120" w:after="120"/>
        <w:rPr>
          <w:sz w:val="16"/>
        </w:rPr>
      </w:pPr>
      <w:r w:rsidRPr="00D92E20">
        <w:rPr>
          <w:sz w:val="16"/>
        </w:rPr>
        <w:t>Zdroj: ČSSZ</w:t>
      </w:r>
    </w:p>
    <w:p w14:paraId="690050DC" w14:textId="77777777" w:rsidR="009F0B87" w:rsidRPr="00D92E20" w:rsidRDefault="009F0B87" w:rsidP="00000A90">
      <w:pPr>
        <w:pStyle w:val="Nadpis3"/>
        <w:numPr>
          <w:ilvl w:val="1"/>
          <w:numId w:val="5"/>
        </w:numPr>
        <w:spacing w:after="120"/>
        <w:ind w:left="426" w:hanging="403"/>
      </w:pPr>
      <w:bookmarkStart w:id="24" w:name="_Toc54262804"/>
      <w:bookmarkStart w:id="25" w:name="_Toc70950133"/>
      <w:r w:rsidRPr="00D92E20">
        <w:t>Výdaje na nemocenské</w:t>
      </w:r>
      <w:bookmarkEnd w:id="24"/>
      <w:bookmarkEnd w:id="25"/>
    </w:p>
    <w:p w14:paraId="4C2AF132" w14:textId="77777777" w:rsidR="009F0B87" w:rsidRPr="00D92E20" w:rsidRDefault="009F0B87" w:rsidP="00000A90">
      <w:pPr>
        <w:spacing w:before="120" w:after="120"/>
        <w:jc w:val="both"/>
      </w:pPr>
      <w:r w:rsidRPr="00D92E20">
        <w:t>Systém nemocenského pojištění je určen pro výdělečně činné osoby, které při ztrátě příjmu v případech tzv. krátkodobých sociálních událostí zabezpečuje peněžitými dávkami nemocenského pojištění.</w:t>
      </w:r>
    </w:p>
    <w:p w14:paraId="2673ECDF" w14:textId="77777777" w:rsidR="009F0B87" w:rsidRPr="00D92E20" w:rsidRDefault="009F0B87" w:rsidP="00000A90">
      <w:pPr>
        <w:spacing w:after="60"/>
        <w:jc w:val="both"/>
      </w:pPr>
      <w:r w:rsidRPr="00D92E20">
        <w:t>Z nemocenského pojištění se poskytuje 6 peněžitých dávek, a to:</w:t>
      </w:r>
    </w:p>
    <w:p w14:paraId="4852FB75" w14:textId="77777777" w:rsidR="009F0B87" w:rsidRPr="00D92E20" w:rsidRDefault="009F0B87" w:rsidP="00277304">
      <w:pPr>
        <w:pStyle w:val="Odstavecseseznamem"/>
        <w:numPr>
          <w:ilvl w:val="0"/>
          <w:numId w:val="15"/>
        </w:numPr>
        <w:spacing w:after="0"/>
        <w:jc w:val="both"/>
      </w:pPr>
      <w:r w:rsidRPr="00D92E20">
        <w:t>Nemocenské,</w:t>
      </w:r>
    </w:p>
    <w:p w14:paraId="3285862E" w14:textId="77777777" w:rsidR="009F0B87" w:rsidRPr="00D92E20" w:rsidRDefault="009F0B87" w:rsidP="00277304">
      <w:pPr>
        <w:pStyle w:val="Odstavecseseznamem"/>
        <w:numPr>
          <w:ilvl w:val="0"/>
          <w:numId w:val="15"/>
        </w:numPr>
        <w:spacing w:after="0"/>
        <w:jc w:val="both"/>
      </w:pPr>
      <w:r w:rsidRPr="00D92E20">
        <w:t>Peněžitá pomoc v mateřství,</w:t>
      </w:r>
    </w:p>
    <w:p w14:paraId="477961E9" w14:textId="77777777" w:rsidR="009F0B87" w:rsidRPr="00D92E20" w:rsidRDefault="009F0B87" w:rsidP="00277304">
      <w:pPr>
        <w:pStyle w:val="Odstavecseseznamem"/>
        <w:numPr>
          <w:ilvl w:val="0"/>
          <w:numId w:val="15"/>
        </w:numPr>
        <w:spacing w:after="0"/>
        <w:jc w:val="both"/>
      </w:pPr>
      <w:r w:rsidRPr="00D92E20">
        <w:t>Ošetřovné,</w:t>
      </w:r>
    </w:p>
    <w:p w14:paraId="16AE0143" w14:textId="77777777" w:rsidR="009F0B87" w:rsidRPr="00D92E20" w:rsidRDefault="009F0B87" w:rsidP="00277304">
      <w:pPr>
        <w:pStyle w:val="Odstavecseseznamem"/>
        <w:numPr>
          <w:ilvl w:val="0"/>
          <w:numId w:val="15"/>
        </w:numPr>
        <w:spacing w:after="0"/>
        <w:jc w:val="both"/>
      </w:pPr>
      <w:r w:rsidRPr="00D92E20">
        <w:t>Vyrovnávací příspěvek v těhotenství a mateřství,</w:t>
      </w:r>
    </w:p>
    <w:p w14:paraId="2C73241C" w14:textId="77777777" w:rsidR="009F0B87" w:rsidRPr="00D92E20" w:rsidRDefault="009F0B87" w:rsidP="00277304">
      <w:pPr>
        <w:pStyle w:val="Odstavecseseznamem"/>
        <w:numPr>
          <w:ilvl w:val="0"/>
          <w:numId w:val="15"/>
        </w:numPr>
        <w:spacing w:after="0"/>
        <w:jc w:val="both"/>
      </w:pPr>
      <w:r w:rsidRPr="00D92E20">
        <w:t>Dávka otcovské poporodní péče (tzv. otcovská),</w:t>
      </w:r>
    </w:p>
    <w:p w14:paraId="583D058F" w14:textId="77777777" w:rsidR="009F0B87" w:rsidRPr="00D92E20" w:rsidRDefault="009F0B87" w:rsidP="00000A90">
      <w:pPr>
        <w:pStyle w:val="Odstavecseseznamem"/>
        <w:numPr>
          <w:ilvl w:val="0"/>
          <w:numId w:val="15"/>
        </w:numPr>
        <w:spacing w:after="60"/>
        <w:ind w:left="714" w:hanging="357"/>
        <w:contextualSpacing w:val="0"/>
        <w:jc w:val="both"/>
      </w:pPr>
      <w:r w:rsidRPr="00D92E20">
        <w:t>Dlouhodobé ošetřovné.</w:t>
      </w:r>
    </w:p>
    <w:p w14:paraId="380B326A" w14:textId="77777777" w:rsidR="009F0B87" w:rsidRPr="00D92E20" w:rsidRDefault="009F0B87" w:rsidP="00000A90">
      <w:pPr>
        <w:spacing w:before="120" w:after="120"/>
        <w:jc w:val="both"/>
      </w:pPr>
      <w:r w:rsidRPr="00D92E20">
        <w:t xml:space="preserve">Výše dávek nemocenského pojištění </w:t>
      </w:r>
      <w:r w:rsidRPr="00D92E20">
        <w:rPr>
          <w:b/>
        </w:rPr>
        <w:t>závisí</w:t>
      </w:r>
      <w:r w:rsidRPr="00D92E20">
        <w:t xml:space="preserve"> na dosahovaném </w:t>
      </w:r>
      <w:r w:rsidRPr="00D92E20">
        <w:rPr>
          <w:b/>
        </w:rPr>
        <w:t>výdělku, redukčních hranicích</w:t>
      </w:r>
      <w:r w:rsidRPr="00D92E20">
        <w:t xml:space="preserve"> pro redukci denního vyměřovacího základu, </w:t>
      </w:r>
      <w:r w:rsidRPr="00D92E20">
        <w:rPr>
          <w:b/>
        </w:rPr>
        <w:t xml:space="preserve">redukci mezi </w:t>
      </w:r>
      <w:r w:rsidRPr="00D92E20">
        <w:t xml:space="preserve">jednotlivými redukčními </w:t>
      </w:r>
      <w:r w:rsidRPr="00D92E20">
        <w:rPr>
          <w:b/>
        </w:rPr>
        <w:t>hranicemi</w:t>
      </w:r>
      <w:r w:rsidRPr="00D92E20">
        <w:t xml:space="preserve"> a na </w:t>
      </w:r>
      <w:r w:rsidRPr="00D92E20">
        <w:rPr>
          <w:b/>
        </w:rPr>
        <w:t>procentní sazbě</w:t>
      </w:r>
      <w:r w:rsidRPr="00D92E20">
        <w:t xml:space="preserve"> pro jednotlivé dávky.</w:t>
      </w:r>
    </w:p>
    <w:p w14:paraId="2099E2D4" w14:textId="77777777" w:rsidR="009F0B87" w:rsidRPr="00D92E20" w:rsidRDefault="009F0B87" w:rsidP="00000A90">
      <w:pPr>
        <w:spacing w:before="120" w:after="120"/>
        <w:jc w:val="both"/>
      </w:pPr>
      <w:r w:rsidRPr="00D92E20">
        <w:t>Všechny dávky nemocenského pojištění vyplácí okresní správa sociálního zabezpečení a hradí se ze státního rozpočtu (z příjmů z pojistného). Dávky nemocenského pojištění se vyplácejí za kalendářní dny.</w:t>
      </w:r>
    </w:p>
    <w:p w14:paraId="4A9F9C15" w14:textId="77777777" w:rsidR="009F0B87" w:rsidRPr="00D92E20" w:rsidRDefault="009F0B87" w:rsidP="00000A90">
      <w:pPr>
        <w:pStyle w:val="Box1"/>
        <w:spacing w:before="120" w:after="120"/>
        <w:ind w:left="0"/>
        <w:contextualSpacing w:val="0"/>
        <w:jc w:val="both"/>
        <w:rPr>
          <w:i/>
        </w:rPr>
      </w:pPr>
      <w:r w:rsidRPr="00D92E20">
        <w:rPr>
          <w:b/>
          <w:i/>
        </w:rPr>
        <w:t xml:space="preserve">Nemocenské </w:t>
      </w:r>
      <w:r w:rsidRPr="00D92E20">
        <w:rPr>
          <w:i/>
        </w:rPr>
        <w:t>– je základní peněžitou dávkou systému nemocenského pojištění. Na nemocenské má nárok pojištěnec, který je uznán ošetřujícím lékařem dočasně práce neschopným, a to od 15. kalendářního dne trvání jeho dočasné pracovní neschopnosti do konce dočasné pracovní neschopnosti, maximálně však 380 kalendářních dnů počítaných od vzniku dočasné pracovní neschopnosti.</w:t>
      </w:r>
    </w:p>
    <w:p w14:paraId="6833ACE4" w14:textId="1FA5163F" w:rsidR="003B04F2" w:rsidRPr="00D92E20" w:rsidRDefault="009F0B87" w:rsidP="00000A90">
      <w:pPr>
        <w:pStyle w:val="Default"/>
        <w:spacing w:before="120" w:after="120" w:line="288" w:lineRule="auto"/>
        <w:jc w:val="both"/>
        <w:rPr>
          <w:rFonts w:eastAsia="Times New Roman" w:cs="Times New Roman"/>
          <w:color w:val="auto"/>
          <w:sz w:val="20"/>
          <w:lang w:eastAsia="cs-CZ"/>
        </w:rPr>
      </w:pPr>
      <w:r w:rsidRPr="00D92E20">
        <w:rPr>
          <w:rFonts w:eastAsia="Times New Roman" w:cs="Times New Roman"/>
          <w:b/>
          <w:color w:val="auto"/>
          <w:sz w:val="20"/>
          <w:lang w:eastAsia="cs-CZ"/>
        </w:rPr>
        <w:t>Výdaje na dávky nemocenského</w:t>
      </w:r>
      <w:r w:rsidRPr="00D92E20">
        <w:rPr>
          <w:rFonts w:eastAsia="Times New Roman" w:cs="Times New Roman"/>
          <w:color w:val="auto"/>
          <w:sz w:val="20"/>
          <w:lang w:eastAsia="cs-CZ"/>
        </w:rPr>
        <w:t xml:space="preserve"> </w:t>
      </w:r>
      <w:r w:rsidRPr="00D92E20">
        <w:rPr>
          <w:rFonts w:eastAsia="Times New Roman" w:cs="Times New Roman"/>
          <w:b/>
          <w:color w:val="auto"/>
          <w:sz w:val="20"/>
          <w:lang w:eastAsia="cs-CZ"/>
        </w:rPr>
        <w:t>pojištění</w:t>
      </w:r>
      <w:r w:rsidRPr="00D92E20">
        <w:rPr>
          <w:rFonts w:eastAsia="Times New Roman" w:cs="Times New Roman"/>
          <w:color w:val="auto"/>
          <w:sz w:val="20"/>
          <w:lang w:eastAsia="cs-CZ"/>
        </w:rPr>
        <w:t xml:space="preserve"> za rok 2020 činily 55 mld. Kč, tedy o 16 mld. Kč více než před rokem. </w:t>
      </w:r>
      <w:r w:rsidRPr="00D92E20">
        <w:rPr>
          <w:rFonts w:eastAsia="Times New Roman" w:cs="Times New Roman"/>
          <w:b/>
          <w:color w:val="auto"/>
          <w:sz w:val="20"/>
          <w:lang w:eastAsia="cs-CZ"/>
        </w:rPr>
        <w:t xml:space="preserve">Výdaje </w:t>
      </w:r>
      <w:r w:rsidRPr="00D92E20">
        <w:rPr>
          <w:rFonts w:eastAsia="Times New Roman" w:cs="Times New Roman"/>
          <w:color w:val="auto"/>
          <w:sz w:val="20"/>
          <w:lang w:eastAsia="cs-CZ"/>
        </w:rPr>
        <w:t xml:space="preserve">na objemově </w:t>
      </w:r>
      <w:r w:rsidRPr="00D92E20">
        <w:rPr>
          <w:rFonts w:eastAsia="Times New Roman" w:cs="Times New Roman"/>
          <w:b/>
          <w:color w:val="auto"/>
          <w:sz w:val="20"/>
          <w:lang w:eastAsia="cs-CZ"/>
        </w:rPr>
        <w:t>nejvýznamnější dávku</w:t>
      </w:r>
      <w:r w:rsidRPr="00D92E20">
        <w:rPr>
          <w:rFonts w:eastAsia="Times New Roman" w:cs="Times New Roman"/>
          <w:color w:val="auto"/>
          <w:sz w:val="20"/>
          <w:lang w:eastAsia="cs-CZ"/>
        </w:rPr>
        <w:t xml:space="preserve"> – </w:t>
      </w:r>
      <w:r w:rsidRPr="00D92E20">
        <w:rPr>
          <w:rFonts w:eastAsia="Times New Roman" w:cs="Times New Roman"/>
          <w:b/>
          <w:color w:val="auto"/>
          <w:sz w:val="20"/>
          <w:lang w:eastAsia="cs-CZ"/>
        </w:rPr>
        <w:t>nemocenské</w:t>
      </w:r>
      <w:r w:rsidRPr="00D92E20">
        <w:rPr>
          <w:rFonts w:eastAsia="Times New Roman" w:cs="Times New Roman"/>
          <w:color w:val="auto"/>
          <w:sz w:val="20"/>
          <w:lang w:eastAsia="cs-CZ"/>
        </w:rPr>
        <w:t xml:space="preserve"> – meziročně vzrostly o 6 mld. Kč, tj.</w:t>
      </w:r>
      <w:r w:rsidR="00C02C40" w:rsidRPr="00D92E20">
        <w:rPr>
          <w:rFonts w:eastAsia="Times New Roman" w:cs="Times New Roman"/>
          <w:color w:val="auto"/>
          <w:sz w:val="20"/>
          <w:lang w:eastAsia="cs-CZ"/>
        </w:rPr>
        <w:t> </w:t>
      </w:r>
      <w:r w:rsidRPr="00D92E20">
        <w:rPr>
          <w:rFonts w:eastAsia="Times New Roman" w:cs="Times New Roman"/>
          <w:color w:val="auto"/>
          <w:sz w:val="20"/>
          <w:lang w:eastAsia="cs-CZ"/>
        </w:rPr>
        <w:t>o</w:t>
      </w:r>
      <w:r w:rsidR="00C02C40" w:rsidRPr="00D92E20">
        <w:rPr>
          <w:rFonts w:eastAsia="Times New Roman" w:cs="Times New Roman"/>
          <w:color w:val="auto"/>
          <w:sz w:val="20"/>
          <w:lang w:eastAsia="cs-CZ"/>
        </w:rPr>
        <w:t> </w:t>
      </w:r>
      <w:r w:rsidRPr="00D92E20">
        <w:rPr>
          <w:rFonts w:eastAsia="Times New Roman" w:cs="Times New Roman"/>
          <w:color w:val="auto"/>
          <w:sz w:val="20"/>
          <w:lang w:eastAsia="cs-CZ"/>
        </w:rPr>
        <w:t>23</w:t>
      </w:r>
      <w:r w:rsidR="00C02C40" w:rsidRPr="00D92E20">
        <w:rPr>
          <w:rFonts w:eastAsia="Times New Roman" w:cs="Times New Roman"/>
          <w:color w:val="auto"/>
          <w:sz w:val="20"/>
          <w:lang w:eastAsia="cs-CZ"/>
        </w:rPr>
        <w:t> </w:t>
      </w:r>
      <w:r w:rsidRPr="00D92E20">
        <w:rPr>
          <w:rFonts w:eastAsia="Times New Roman" w:cs="Times New Roman"/>
          <w:color w:val="auto"/>
          <w:sz w:val="20"/>
          <w:lang w:eastAsia="cs-CZ"/>
        </w:rPr>
        <w:t xml:space="preserve">%. Činily necelých 33 mld. Kč. To je téměř celková suma výdajů na </w:t>
      </w:r>
      <w:r w:rsidR="000974A8" w:rsidRPr="00D92E20">
        <w:rPr>
          <w:rFonts w:eastAsia="Times New Roman" w:cs="Times New Roman"/>
          <w:color w:val="auto"/>
          <w:sz w:val="20"/>
          <w:lang w:eastAsia="cs-CZ"/>
        </w:rPr>
        <w:t xml:space="preserve">veškeré </w:t>
      </w:r>
      <w:r w:rsidRPr="00D92E20">
        <w:rPr>
          <w:rFonts w:eastAsia="Times New Roman" w:cs="Times New Roman"/>
          <w:color w:val="auto"/>
          <w:sz w:val="20"/>
          <w:lang w:eastAsia="cs-CZ"/>
        </w:rPr>
        <w:t xml:space="preserve">dávky nemocenského pojištění v roce 2018. </w:t>
      </w:r>
      <w:r w:rsidR="00FF302A" w:rsidRPr="00D92E20">
        <w:rPr>
          <w:rFonts w:eastAsia="Times New Roman" w:cs="Times New Roman"/>
          <w:color w:val="auto"/>
          <w:sz w:val="20"/>
          <w:lang w:eastAsia="cs-CZ"/>
        </w:rPr>
        <w:t>Meziroční zvýšení výdajů na nemocenské bylo způsobeno</w:t>
      </w:r>
      <w:r w:rsidRPr="00D92E20">
        <w:rPr>
          <w:rFonts w:eastAsia="Times New Roman" w:cs="Times New Roman"/>
          <w:color w:val="auto"/>
          <w:sz w:val="20"/>
          <w:lang w:eastAsia="cs-CZ"/>
        </w:rPr>
        <w:t xml:space="preserve"> zejména </w:t>
      </w:r>
      <w:r w:rsidR="00FF302A" w:rsidRPr="00D92E20">
        <w:rPr>
          <w:rFonts w:eastAsia="Times New Roman" w:cs="Times New Roman"/>
          <w:color w:val="auto"/>
          <w:sz w:val="20"/>
          <w:lang w:eastAsia="cs-CZ"/>
        </w:rPr>
        <w:t>nárůstem počtu</w:t>
      </w:r>
      <w:r w:rsidRPr="00D92E20">
        <w:rPr>
          <w:rFonts w:eastAsia="Times New Roman" w:cs="Times New Roman"/>
          <w:color w:val="auto"/>
          <w:sz w:val="20"/>
          <w:lang w:eastAsia="cs-CZ"/>
        </w:rPr>
        <w:t xml:space="preserve"> proplacených dnů. Výše průměrné denní dávky nemocenského v</w:t>
      </w:r>
      <w:r w:rsidR="003B04F2" w:rsidRPr="00D92E20">
        <w:rPr>
          <w:rFonts w:eastAsia="Times New Roman" w:cs="Times New Roman"/>
          <w:color w:val="auto"/>
          <w:sz w:val="20"/>
          <w:lang w:eastAsia="cs-CZ"/>
        </w:rPr>
        <w:t> roce 2020</w:t>
      </w:r>
      <w:r w:rsidRPr="00D92E20">
        <w:rPr>
          <w:rFonts w:eastAsia="Times New Roman" w:cs="Times New Roman"/>
          <w:color w:val="auto"/>
          <w:sz w:val="20"/>
          <w:lang w:eastAsia="cs-CZ"/>
        </w:rPr>
        <w:t xml:space="preserve"> činila 5</w:t>
      </w:r>
      <w:r w:rsidR="003B04F2" w:rsidRPr="00D92E20">
        <w:rPr>
          <w:rFonts w:eastAsia="Times New Roman" w:cs="Times New Roman"/>
          <w:color w:val="auto"/>
          <w:sz w:val="20"/>
          <w:lang w:eastAsia="cs-CZ"/>
        </w:rPr>
        <w:t>22</w:t>
      </w:r>
      <w:r w:rsidRPr="00D92E20">
        <w:rPr>
          <w:rFonts w:eastAsia="Times New Roman" w:cs="Times New Roman"/>
          <w:color w:val="auto"/>
          <w:sz w:val="20"/>
          <w:lang w:eastAsia="cs-CZ"/>
        </w:rPr>
        <w:t xml:space="preserve"> Kč. V </w:t>
      </w:r>
      <w:r w:rsidR="003B04F2" w:rsidRPr="00D92E20">
        <w:rPr>
          <w:rFonts w:eastAsia="Times New Roman" w:cs="Times New Roman"/>
          <w:color w:val="auto"/>
          <w:sz w:val="20"/>
          <w:lang w:eastAsia="cs-CZ"/>
        </w:rPr>
        <w:t>roce</w:t>
      </w:r>
      <w:r w:rsidRPr="00D92E20">
        <w:rPr>
          <w:rFonts w:eastAsia="Times New Roman" w:cs="Times New Roman"/>
          <w:color w:val="auto"/>
          <w:sz w:val="20"/>
          <w:lang w:eastAsia="cs-CZ"/>
        </w:rPr>
        <w:t xml:space="preserve"> 2019 byla průměrná denní dávka nemocenského ve výši 4</w:t>
      </w:r>
      <w:r w:rsidR="003B04F2" w:rsidRPr="00D92E20">
        <w:rPr>
          <w:rFonts w:eastAsia="Times New Roman" w:cs="Times New Roman"/>
          <w:color w:val="auto"/>
          <w:sz w:val="20"/>
          <w:lang w:eastAsia="cs-CZ"/>
        </w:rPr>
        <w:t>91</w:t>
      </w:r>
      <w:r w:rsidRPr="00D92E20">
        <w:rPr>
          <w:rFonts w:eastAsia="Times New Roman" w:cs="Times New Roman"/>
          <w:color w:val="auto"/>
          <w:sz w:val="20"/>
          <w:lang w:eastAsia="cs-CZ"/>
        </w:rPr>
        <w:t xml:space="preserve"> Kč, což je o </w:t>
      </w:r>
      <w:r w:rsidR="003B04F2" w:rsidRPr="00D92E20">
        <w:rPr>
          <w:rFonts w:eastAsia="Times New Roman" w:cs="Times New Roman"/>
          <w:color w:val="auto"/>
          <w:sz w:val="20"/>
          <w:lang w:eastAsia="cs-CZ"/>
        </w:rPr>
        <w:t>6</w:t>
      </w:r>
      <w:r w:rsidRPr="00D92E20">
        <w:rPr>
          <w:rFonts w:eastAsia="Times New Roman" w:cs="Times New Roman"/>
          <w:color w:val="auto"/>
          <w:sz w:val="20"/>
          <w:lang w:eastAsia="cs-CZ"/>
        </w:rPr>
        <w:t xml:space="preserve"> % méně.</w:t>
      </w:r>
      <w:r w:rsidR="008B7D64" w:rsidRPr="00D92E20">
        <w:rPr>
          <w:rFonts w:eastAsia="Times New Roman" w:cs="Times New Roman"/>
          <w:color w:val="auto"/>
          <w:sz w:val="20"/>
          <w:lang w:eastAsia="cs-CZ"/>
        </w:rPr>
        <w:t xml:space="preserve"> Výdaje na nemocenské v přepočtu na jednoho pojištěnce se v roce 2020 blížily 7 tis. Kč.</w:t>
      </w:r>
    </w:p>
    <w:p w14:paraId="217C89D0" w14:textId="77777777" w:rsidR="003B04F2" w:rsidRPr="00D92E20" w:rsidRDefault="003B04F2" w:rsidP="00000A90">
      <w:pPr>
        <w:spacing w:before="120" w:after="120"/>
        <w:jc w:val="both"/>
      </w:pPr>
      <w:r w:rsidRPr="00D92E20">
        <w:lastRenderedPageBreak/>
        <w:t xml:space="preserve">V roce 2017 </w:t>
      </w:r>
      <w:r w:rsidRPr="00D92E20">
        <w:rPr>
          <w:b/>
        </w:rPr>
        <w:t>bylo přijato několik významných legislativních opatření</w:t>
      </w:r>
      <w:r w:rsidRPr="00D92E20">
        <w:t xml:space="preserve"> v oblasti nemocenského pojištění, </w:t>
      </w:r>
      <w:r w:rsidRPr="00D92E20">
        <w:rPr>
          <w:b/>
        </w:rPr>
        <w:t>s účinností od roku 2018</w:t>
      </w:r>
      <w:r w:rsidRPr="00D92E20">
        <w:t xml:space="preserve">, která zásadním způsobem ovlivnila jeho finanční bilanci. Jednalo se o </w:t>
      </w:r>
      <w:r w:rsidRPr="00D92E20">
        <w:rPr>
          <w:b/>
        </w:rPr>
        <w:t>zvýšení nemocenského od 31. kalendářního dne DPN</w:t>
      </w:r>
      <w:r w:rsidR="003657FA" w:rsidRPr="00D92E20">
        <w:t xml:space="preserve"> </w:t>
      </w:r>
      <w:r w:rsidRPr="00D92E20">
        <w:t>nebo karantény z 60 % na 66 % redukovaného denního vyměřovacího základu a od</w:t>
      </w:r>
      <w:r w:rsidRPr="00D92E20">
        <w:rPr>
          <w:b/>
        </w:rPr>
        <w:t xml:space="preserve"> 61. kalendářního dne DPN</w:t>
      </w:r>
      <w:r w:rsidRPr="00D92E20">
        <w:t xml:space="preserve"> nebo karantény z 60 % na 72 % redukovaného denního vyměřovacího základu </w:t>
      </w:r>
      <w:r w:rsidR="003657FA" w:rsidRPr="00D92E20">
        <w:t>s účinností od 1. ledna 2018. D</w:t>
      </w:r>
      <w:r w:rsidRPr="00D92E20">
        <w:t xml:space="preserve">ále </w:t>
      </w:r>
      <w:r w:rsidR="003657FA" w:rsidRPr="00D92E20">
        <w:t>byl rozšířen</w:t>
      </w:r>
      <w:r w:rsidRPr="00D92E20">
        <w:t xml:space="preserve"> okru</w:t>
      </w:r>
      <w:r w:rsidR="003657FA" w:rsidRPr="00D92E20">
        <w:t>h</w:t>
      </w:r>
      <w:r w:rsidRPr="00D92E20">
        <w:t xml:space="preserve"> dávek poskytovaných z</w:t>
      </w:r>
      <w:r w:rsidR="00C02C40" w:rsidRPr="00D92E20">
        <w:t> </w:t>
      </w:r>
      <w:r w:rsidRPr="00D92E20">
        <w:t>nemocenského pojištění o novou dávku otcovské poporodní péče (tzv. „otcovská“) s účinností od 1. února 2018 a dávku dlouhodobého ošetřovného s účinností od 1. června 2018.</w:t>
      </w:r>
    </w:p>
    <w:p w14:paraId="41BFA204" w14:textId="77777777" w:rsidR="003B04F2" w:rsidRPr="00D92E20" w:rsidRDefault="003B04F2" w:rsidP="00000A90">
      <w:pPr>
        <w:spacing w:before="120" w:after="120"/>
        <w:jc w:val="both"/>
      </w:pPr>
      <w:r w:rsidRPr="00D92E20">
        <w:t>K zásadním změnám v úrovni výdajů na nemocenské došlo v roce 2009 v souvislosti s legislativní úpravou nemocenského pojištění. Nový zákon o nemocenském pojištění znatelně snížil výši dávek nemocenského pojištění a zejména stanovil, že po dobu prvních 14 dnů pracovní neschopnosti je zaměstnanec zabezpečen náhradou mzdy nebo platu, kterou mu poskytuje zaměstnavatel (do 1. 7. 2019 s výjimkou prvních 3 pracovních dnů). Poskytování náhrady mzdy nebo platu zaměstnavatelem bylo přijetím úsporných opatření v letech 2011 až 2013 dočasně prodlouženo z prvních 14 na 21 dnů pracovní neschopnosti. V důsledku těchto legislativních změn došlo k rapidnímu poklesu nemocnosti, což rovněž mělo vliv na pokles výdajů na nemocenské. Oproti roku 201</w:t>
      </w:r>
      <w:r w:rsidR="0028392B" w:rsidRPr="00D92E20">
        <w:t>3</w:t>
      </w:r>
      <w:r w:rsidRPr="00D92E20">
        <w:t xml:space="preserve"> však byly výdaje na nemocenské v roce 2020 </w:t>
      </w:r>
      <w:r w:rsidR="0028392B" w:rsidRPr="00D92E20">
        <w:t>téměř trojnásobné</w:t>
      </w:r>
      <w:r w:rsidRPr="00D92E20">
        <w:t>.</w:t>
      </w:r>
    </w:p>
    <w:p w14:paraId="65708FAD" w14:textId="77777777" w:rsidR="00FB50FB" w:rsidRPr="00D92E20" w:rsidRDefault="009F0B87" w:rsidP="00000A90">
      <w:pPr>
        <w:spacing w:after="0"/>
        <w:rPr>
          <w:b/>
        </w:rPr>
      </w:pPr>
      <w:r w:rsidRPr="00D92E20">
        <w:rPr>
          <w:b/>
        </w:rPr>
        <w:t>Tab. 4.1: Výdaje na dávky nemocenského pojištění, 2010–2020 (v mld. Kč)</w:t>
      </w:r>
    </w:p>
    <w:tbl>
      <w:tblPr>
        <w:tblW w:w="9736" w:type="dxa"/>
        <w:tblCellMar>
          <w:left w:w="70" w:type="dxa"/>
          <w:right w:w="70" w:type="dxa"/>
        </w:tblCellMar>
        <w:tblLook w:val="04A0" w:firstRow="1" w:lastRow="0" w:firstColumn="1" w:lastColumn="0" w:noHBand="0" w:noVBand="1"/>
      </w:tblPr>
      <w:tblGrid>
        <w:gridCol w:w="2333"/>
        <w:gridCol w:w="673"/>
        <w:gridCol w:w="673"/>
        <w:gridCol w:w="673"/>
        <w:gridCol w:w="673"/>
        <w:gridCol w:w="673"/>
        <w:gridCol w:w="673"/>
        <w:gridCol w:w="673"/>
        <w:gridCol w:w="673"/>
        <w:gridCol w:w="673"/>
        <w:gridCol w:w="673"/>
        <w:gridCol w:w="673"/>
      </w:tblGrid>
      <w:tr w:rsidR="009F0B87" w:rsidRPr="00D92E20" w14:paraId="1322F35D" w14:textId="77777777" w:rsidTr="009F0B87">
        <w:trPr>
          <w:trHeight w:val="315"/>
        </w:trPr>
        <w:tc>
          <w:tcPr>
            <w:tcW w:w="2333" w:type="dxa"/>
            <w:tcBorders>
              <w:top w:val="single" w:sz="4" w:space="0" w:color="auto"/>
              <w:left w:val="nil"/>
              <w:bottom w:val="single" w:sz="8" w:space="0" w:color="auto"/>
              <w:right w:val="single" w:sz="4" w:space="0" w:color="auto"/>
            </w:tcBorders>
            <w:shd w:val="clear" w:color="000000" w:fill="F5DADD"/>
            <w:vAlign w:val="center"/>
            <w:hideMark/>
          </w:tcPr>
          <w:p w14:paraId="2A44CA79" w14:textId="77777777" w:rsidR="009F0B87" w:rsidRPr="00D92E20" w:rsidRDefault="009F0B87" w:rsidP="009F0B87">
            <w:pPr>
              <w:spacing w:after="0" w:line="240" w:lineRule="auto"/>
              <w:rPr>
                <w:rFonts w:cs="Arial"/>
                <w:sz w:val="16"/>
                <w:szCs w:val="16"/>
              </w:rPr>
            </w:pPr>
            <w:r w:rsidRPr="00D92E20">
              <w:rPr>
                <w:rFonts w:cs="Arial"/>
                <w:sz w:val="16"/>
                <w:szCs w:val="16"/>
              </w:rPr>
              <w:t>Druh dávky</w:t>
            </w:r>
          </w:p>
        </w:tc>
        <w:tc>
          <w:tcPr>
            <w:tcW w:w="673" w:type="dxa"/>
            <w:tcBorders>
              <w:top w:val="single" w:sz="4" w:space="0" w:color="auto"/>
              <w:left w:val="nil"/>
              <w:bottom w:val="single" w:sz="8" w:space="0" w:color="auto"/>
              <w:right w:val="nil"/>
            </w:tcBorders>
            <w:shd w:val="clear" w:color="000000" w:fill="F5DADD"/>
            <w:noWrap/>
            <w:vAlign w:val="center"/>
            <w:hideMark/>
          </w:tcPr>
          <w:p w14:paraId="2C1849A4"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2010</w:t>
            </w:r>
          </w:p>
        </w:tc>
        <w:tc>
          <w:tcPr>
            <w:tcW w:w="673" w:type="dxa"/>
            <w:tcBorders>
              <w:top w:val="single" w:sz="4" w:space="0" w:color="auto"/>
              <w:left w:val="nil"/>
              <w:bottom w:val="single" w:sz="8" w:space="0" w:color="auto"/>
              <w:right w:val="nil"/>
            </w:tcBorders>
            <w:shd w:val="clear" w:color="000000" w:fill="F5DADD"/>
            <w:noWrap/>
            <w:vAlign w:val="center"/>
            <w:hideMark/>
          </w:tcPr>
          <w:p w14:paraId="3ACDEF92"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2011</w:t>
            </w:r>
          </w:p>
        </w:tc>
        <w:tc>
          <w:tcPr>
            <w:tcW w:w="673" w:type="dxa"/>
            <w:tcBorders>
              <w:top w:val="single" w:sz="4" w:space="0" w:color="auto"/>
              <w:left w:val="nil"/>
              <w:bottom w:val="single" w:sz="8" w:space="0" w:color="auto"/>
              <w:right w:val="nil"/>
            </w:tcBorders>
            <w:shd w:val="clear" w:color="000000" w:fill="F5DADD"/>
            <w:noWrap/>
            <w:vAlign w:val="center"/>
            <w:hideMark/>
          </w:tcPr>
          <w:p w14:paraId="096C8976"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2012</w:t>
            </w:r>
          </w:p>
        </w:tc>
        <w:tc>
          <w:tcPr>
            <w:tcW w:w="673" w:type="dxa"/>
            <w:tcBorders>
              <w:top w:val="single" w:sz="4" w:space="0" w:color="auto"/>
              <w:left w:val="nil"/>
              <w:bottom w:val="single" w:sz="8" w:space="0" w:color="auto"/>
              <w:right w:val="nil"/>
            </w:tcBorders>
            <w:shd w:val="clear" w:color="000000" w:fill="F5DADD"/>
            <w:noWrap/>
            <w:vAlign w:val="center"/>
            <w:hideMark/>
          </w:tcPr>
          <w:p w14:paraId="23E22A0B"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2013</w:t>
            </w:r>
          </w:p>
        </w:tc>
        <w:tc>
          <w:tcPr>
            <w:tcW w:w="673" w:type="dxa"/>
            <w:tcBorders>
              <w:top w:val="single" w:sz="4" w:space="0" w:color="auto"/>
              <w:left w:val="nil"/>
              <w:bottom w:val="single" w:sz="8" w:space="0" w:color="auto"/>
              <w:right w:val="nil"/>
            </w:tcBorders>
            <w:shd w:val="clear" w:color="000000" w:fill="F5DADD"/>
            <w:noWrap/>
            <w:vAlign w:val="center"/>
            <w:hideMark/>
          </w:tcPr>
          <w:p w14:paraId="3673A7FC"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2014</w:t>
            </w:r>
          </w:p>
        </w:tc>
        <w:tc>
          <w:tcPr>
            <w:tcW w:w="673" w:type="dxa"/>
            <w:tcBorders>
              <w:top w:val="single" w:sz="4" w:space="0" w:color="auto"/>
              <w:left w:val="nil"/>
              <w:bottom w:val="single" w:sz="8" w:space="0" w:color="auto"/>
              <w:right w:val="nil"/>
            </w:tcBorders>
            <w:shd w:val="clear" w:color="000000" w:fill="F5DADD"/>
            <w:noWrap/>
            <w:vAlign w:val="center"/>
            <w:hideMark/>
          </w:tcPr>
          <w:p w14:paraId="0E004D09"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2015</w:t>
            </w:r>
          </w:p>
        </w:tc>
        <w:tc>
          <w:tcPr>
            <w:tcW w:w="673" w:type="dxa"/>
            <w:tcBorders>
              <w:top w:val="single" w:sz="4" w:space="0" w:color="auto"/>
              <w:left w:val="nil"/>
              <w:bottom w:val="single" w:sz="8" w:space="0" w:color="auto"/>
              <w:right w:val="nil"/>
            </w:tcBorders>
            <w:shd w:val="clear" w:color="000000" w:fill="F5DADD"/>
            <w:noWrap/>
            <w:vAlign w:val="center"/>
            <w:hideMark/>
          </w:tcPr>
          <w:p w14:paraId="3C98079E"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2016</w:t>
            </w:r>
          </w:p>
        </w:tc>
        <w:tc>
          <w:tcPr>
            <w:tcW w:w="673" w:type="dxa"/>
            <w:tcBorders>
              <w:top w:val="single" w:sz="4" w:space="0" w:color="auto"/>
              <w:left w:val="nil"/>
              <w:bottom w:val="single" w:sz="8" w:space="0" w:color="auto"/>
              <w:right w:val="nil"/>
            </w:tcBorders>
            <w:shd w:val="clear" w:color="000000" w:fill="F5DADD"/>
            <w:noWrap/>
            <w:vAlign w:val="center"/>
            <w:hideMark/>
          </w:tcPr>
          <w:p w14:paraId="2F691ED4"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2017</w:t>
            </w:r>
          </w:p>
        </w:tc>
        <w:tc>
          <w:tcPr>
            <w:tcW w:w="673" w:type="dxa"/>
            <w:tcBorders>
              <w:top w:val="single" w:sz="4" w:space="0" w:color="auto"/>
              <w:left w:val="nil"/>
              <w:bottom w:val="single" w:sz="8" w:space="0" w:color="auto"/>
              <w:right w:val="nil"/>
            </w:tcBorders>
            <w:shd w:val="clear" w:color="000000" w:fill="F5DADD"/>
            <w:noWrap/>
            <w:vAlign w:val="center"/>
            <w:hideMark/>
          </w:tcPr>
          <w:p w14:paraId="6ED06A1A"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2018</w:t>
            </w:r>
          </w:p>
        </w:tc>
        <w:tc>
          <w:tcPr>
            <w:tcW w:w="673" w:type="dxa"/>
            <w:tcBorders>
              <w:top w:val="single" w:sz="4" w:space="0" w:color="auto"/>
              <w:left w:val="nil"/>
              <w:bottom w:val="single" w:sz="8" w:space="0" w:color="auto"/>
              <w:right w:val="nil"/>
            </w:tcBorders>
            <w:shd w:val="clear" w:color="000000" w:fill="F5DADD"/>
            <w:noWrap/>
            <w:vAlign w:val="center"/>
            <w:hideMark/>
          </w:tcPr>
          <w:p w14:paraId="4C836566" w14:textId="77777777" w:rsidR="009F0B87" w:rsidRPr="00D92E20" w:rsidRDefault="009F0B87" w:rsidP="009F0B87">
            <w:pPr>
              <w:spacing w:after="0" w:line="240" w:lineRule="auto"/>
              <w:jc w:val="center"/>
              <w:rPr>
                <w:rFonts w:cs="Arial"/>
                <w:sz w:val="16"/>
                <w:szCs w:val="16"/>
              </w:rPr>
            </w:pPr>
            <w:r w:rsidRPr="00D92E20">
              <w:rPr>
                <w:rFonts w:cs="Arial"/>
                <w:sz w:val="16"/>
                <w:szCs w:val="16"/>
              </w:rPr>
              <w:t>2019</w:t>
            </w:r>
          </w:p>
        </w:tc>
        <w:tc>
          <w:tcPr>
            <w:tcW w:w="673" w:type="dxa"/>
            <w:tcBorders>
              <w:top w:val="single" w:sz="4" w:space="0" w:color="auto"/>
              <w:left w:val="nil"/>
              <w:bottom w:val="single" w:sz="8" w:space="0" w:color="auto"/>
              <w:right w:val="nil"/>
            </w:tcBorders>
            <w:shd w:val="clear" w:color="000000" w:fill="F5DADD"/>
            <w:noWrap/>
            <w:vAlign w:val="center"/>
            <w:hideMark/>
          </w:tcPr>
          <w:p w14:paraId="67D5E0EE" w14:textId="77777777" w:rsidR="009F0B87" w:rsidRPr="00D92E20" w:rsidRDefault="009F0B87" w:rsidP="009F0B87">
            <w:pPr>
              <w:spacing w:after="0" w:line="240" w:lineRule="auto"/>
              <w:jc w:val="center"/>
              <w:rPr>
                <w:rFonts w:cs="Arial"/>
                <w:sz w:val="16"/>
                <w:szCs w:val="16"/>
              </w:rPr>
            </w:pPr>
            <w:r w:rsidRPr="00D92E20">
              <w:rPr>
                <w:rFonts w:cs="Arial"/>
                <w:sz w:val="16"/>
                <w:szCs w:val="16"/>
              </w:rPr>
              <w:t>2020</w:t>
            </w:r>
          </w:p>
        </w:tc>
      </w:tr>
      <w:tr w:rsidR="009F0B87" w:rsidRPr="00D92E20" w14:paraId="5663CD02"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3EDEF5A7" w14:textId="77777777" w:rsidR="009F0B87" w:rsidRPr="00D92E20" w:rsidRDefault="009F0B87" w:rsidP="009F0B87">
            <w:pPr>
              <w:spacing w:after="0" w:line="240" w:lineRule="auto"/>
              <w:rPr>
                <w:rFonts w:cs="Arial"/>
                <w:b/>
                <w:bCs/>
                <w:sz w:val="16"/>
                <w:szCs w:val="16"/>
              </w:rPr>
            </w:pPr>
            <w:r w:rsidRPr="00D92E20">
              <w:rPr>
                <w:rFonts w:cs="Arial"/>
                <w:b/>
                <w:bCs/>
                <w:sz w:val="16"/>
                <w:szCs w:val="16"/>
              </w:rPr>
              <w:t>Celkem</w:t>
            </w:r>
          </w:p>
        </w:tc>
        <w:tc>
          <w:tcPr>
            <w:tcW w:w="673" w:type="dxa"/>
            <w:tcBorders>
              <w:top w:val="nil"/>
              <w:left w:val="nil"/>
              <w:bottom w:val="nil"/>
              <w:right w:val="nil"/>
            </w:tcBorders>
            <w:shd w:val="clear" w:color="auto" w:fill="auto"/>
            <w:noWrap/>
            <w:vAlign w:val="center"/>
            <w:hideMark/>
          </w:tcPr>
          <w:p w14:paraId="0A82CA5C"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22,79</w:t>
            </w:r>
          </w:p>
        </w:tc>
        <w:tc>
          <w:tcPr>
            <w:tcW w:w="673" w:type="dxa"/>
            <w:tcBorders>
              <w:top w:val="nil"/>
              <w:left w:val="nil"/>
              <w:bottom w:val="nil"/>
              <w:right w:val="nil"/>
            </w:tcBorders>
            <w:shd w:val="clear" w:color="auto" w:fill="auto"/>
            <w:noWrap/>
            <w:vAlign w:val="center"/>
            <w:hideMark/>
          </w:tcPr>
          <w:p w14:paraId="5699D1DC"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21,51</w:t>
            </w:r>
          </w:p>
        </w:tc>
        <w:tc>
          <w:tcPr>
            <w:tcW w:w="673" w:type="dxa"/>
            <w:tcBorders>
              <w:top w:val="nil"/>
              <w:left w:val="nil"/>
              <w:bottom w:val="nil"/>
              <w:right w:val="nil"/>
            </w:tcBorders>
            <w:shd w:val="clear" w:color="auto" w:fill="auto"/>
            <w:noWrap/>
            <w:vAlign w:val="center"/>
            <w:hideMark/>
          </w:tcPr>
          <w:p w14:paraId="6614C5BA"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19,38</w:t>
            </w:r>
          </w:p>
        </w:tc>
        <w:tc>
          <w:tcPr>
            <w:tcW w:w="673" w:type="dxa"/>
            <w:tcBorders>
              <w:top w:val="nil"/>
              <w:left w:val="nil"/>
              <w:bottom w:val="nil"/>
              <w:right w:val="nil"/>
            </w:tcBorders>
            <w:shd w:val="clear" w:color="auto" w:fill="auto"/>
            <w:noWrap/>
            <w:vAlign w:val="center"/>
            <w:hideMark/>
          </w:tcPr>
          <w:p w14:paraId="45F2647C"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20,14</w:t>
            </w:r>
          </w:p>
        </w:tc>
        <w:tc>
          <w:tcPr>
            <w:tcW w:w="673" w:type="dxa"/>
            <w:tcBorders>
              <w:top w:val="nil"/>
              <w:left w:val="nil"/>
              <w:bottom w:val="nil"/>
              <w:right w:val="nil"/>
            </w:tcBorders>
            <w:shd w:val="clear" w:color="auto" w:fill="auto"/>
            <w:noWrap/>
            <w:vAlign w:val="center"/>
            <w:hideMark/>
          </w:tcPr>
          <w:p w14:paraId="7F05C2CF"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22,08</w:t>
            </w:r>
          </w:p>
        </w:tc>
        <w:tc>
          <w:tcPr>
            <w:tcW w:w="673" w:type="dxa"/>
            <w:tcBorders>
              <w:top w:val="nil"/>
              <w:left w:val="nil"/>
              <w:bottom w:val="nil"/>
              <w:right w:val="nil"/>
            </w:tcBorders>
            <w:shd w:val="clear" w:color="auto" w:fill="auto"/>
            <w:noWrap/>
            <w:vAlign w:val="center"/>
            <w:hideMark/>
          </w:tcPr>
          <w:p w14:paraId="1B0F7045"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24,11</w:t>
            </w:r>
          </w:p>
        </w:tc>
        <w:tc>
          <w:tcPr>
            <w:tcW w:w="673" w:type="dxa"/>
            <w:tcBorders>
              <w:top w:val="nil"/>
              <w:left w:val="nil"/>
              <w:bottom w:val="nil"/>
              <w:right w:val="nil"/>
            </w:tcBorders>
            <w:shd w:val="clear" w:color="auto" w:fill="auto"/>
            <w:noWrap/>
            <w:vAlign w:val="center"/>
            <w:hideMark/>
          </w:tcPr>
          <w:p w14:paraId="3A52BE4A"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26,28</w:t>
            </w:r>
          </w:p>
        </w:tc>
        <w:tc>
          <w:tcPr>
            <w:tcW w:w="673" w:type="dxa"/>
            <w:tcBorders>
              <w:top w:val="nil"/>
              <w:left w:val="nil"/>
              <w:bottom w:val="nil"/>
              <w:right w:val="nil"/>
            </w:tcBorders>
            <w:shd w:val="clear" w:color="auto" w:fill="auto"/>
            <w:noWrap/>
            <w:vAlign w:val="center"/>
            <w:hideMark/>
          </w:tcPr>
          <w:p w14:paraId="135AF1B4"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28,32</w:t>
            </w:r>
          </w:p>
        </w:tc>
        <w:tc>
          <w:tcPr>
            <w:tcW w:w="673" w:type="dxa"/>
            <w:tcBorders>
              <w:top w:val="nil"/>
              <w:left w:val="nil"/>
              <w:bottom w:val="nil"/>
              <w:right w:val="nil"/>
            </w:tcBorders>
            <w:shd w:val="clear" w:color="auto" w:fill="auto"/>
            <w:noWrap/>
            <w:vAlign w:val="center"/>
            <w:hideMark/>
          </w:tcPr>
          <w:p w14:paraId="22F7518C"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33,97</w:t>
            </w:r>
          </w:p>
        </w:tc>
        <w:tc>
          <w:tcPr>
            <w:tcW w:w="673" w:type="dxa"/>
            <w:tcBorders>
              <w:top w:val="nil"/>
              <w:left w:val="nil"/>
              <w:bottom w:val="nil"/>
              <w:right w:val="nil"/>
            </w:tcBorders>
            <w:shd w:val="clear" w:color="auto" w:fill="auto"/>
            <w:noWrap/>
            <w:vAlign w:val="center"/>
            <w:hideMark/>
          </w:tcPr>
          <w:p w14:paraId="05002275"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38,89</w:t>
            </w:r>
          </w:p>
        </w:tc>
        <w:tc>
          <w:tcPr>
            <w:tcW w:w="673" w:type="dxa"/>
            <w:tcBorders>
              <w:top w:val="nil"/>
              <w:left w:val="nil"/>
              <w:bottom w:val="nil"/>
              <w:right w:val="nil"/>
            </w:tcBorders>
            <w:shd w:val="clear" w:color="auto" w:fill="auto"/>
            <w:noWrap/>
            <w:vAlign w:val="center"/>
            <w:hideMark/>
          </w:tcPr>
          <w:p w14:paraId="713697A0" w14:textId="77777777" w:rsidR="009F0B87" w:rsidRPr="00D92E20" w:rsidRDefault="009F0B87" w:rsidP="009F0B87">
            <w:pPr>
              <w:spacing w:after="0" w:line="240" w:lineRule="auto"/>
              <w:jc w:val="right"/>
              <w:rPr>
                <w:rFonts w:cs="Arial"/>
                <w:b/>
                <w:bCs/>
                <w:sz w:val="16"/>
                <w:szCs w:val="16"/>
              </w:rPr>
            </w:pPr>
            <w:r w:rsidRPr="00D92E20">
              <w:rPr>
                <w:rFonts w:cs="Arial"/>
                <w:b/>
                <w:bCs/>
                <w:sz w:val="16"/>
                <w:szCs w:val="16"/>
              </w:rPr>
              <w:t>55,21</w:t>
            </w:r>
          </w:p>
        </w:tc>
      </w:tr>
      <w:tr w:rsidR="009F0B87" w:rsidRPr="00D92E20" w14:paraId="5FE51748" w14:textId="77777777" w:rsidTr="009F0B87">
        <w:trPr>
          <w:trHeight w:val="300"/>
        </w:trPr>
        <w:tc>
          <w:tcPr>
            <w:tcW w:w="2333" w:type="dxa"/>
            <w:tcBorders>
              <w:top w:val="nil"/>
              <w:left w:val="nil"/>
              <w:bottom w:val="nil"/>
              <w:right w:val="single" w:sz="4" w:space="0" w:color="auto"/>
            </w:tcBorders>
            <w:shd w:val="clear" w:color="000000" w:fill="F5DADD"/>
            <w:vAlign w:val="center"/>
            <w:hideMark/>
          </w:tcPr>
          <w:p w14:paraId="4DBCB78B" w14:textId="77777777" w:rsidR="009F0B87" w:rsidRPr="00D92E20" w:rsidRDefault="009F0B87" w:rsidP="009F0B87">
            <w:pPr>
              <w:spacing w:after="0" w:line="240" w:lineRule="auto"/>
              <w:ind w:firstLineChars="100" w:firstLine="160"/>
              <w:rPr>
                <w:rFonts w:cs="Arial"/>
                <w:sz w:val="16"/>
                <w:szCs w:val="16"/>
              </w:rPr>
            </w:pPr>
            <w:r w:rsidRPr="00D92E20">
              <w:rPr>
                <w:rFonts w:cs="Arial"/>
                <w:sz w:val="16"/>
                <w:szCs w:val="16"/>
              </w:rPr>
              <w:t>nemocenské</w:t>
            </w:r>
          </w:p>
        </w:tc>
        <w:tc>
          <w:tcPr>
            <w:tcW w:w="673" w:type="dxa"/>
            <w:tcBorders>
              <w:top w:val="nil"/>
              <w:left w:val="nil"/>
              <w:bottom w:val="nil"/>
              <w:right w:val="nil"/>
            </w:tcBorders>
            <w:shd w:val="clear" w:color="000000" w:fill="F5DADD"/>
            <w:noWrap/>
            <w:vAlign w:val="center"/>
            <w:hideMark/>
          </w:tcPr>
          <w:p w14:paraId="5BDA25F6" w14:textId="77777777" w:rsidR="009F0B87" w:rsidRPr="00D92E20" w:rsidRDefault="009F0B87" w:rsidP="009F0B87">
            <w:pPr>
              <w:spacing w:after="0" w:line="240" w:lineRule="auto"/>
              <w:jc w:val="right"/>
              <w:rPr>
                <w:rFonts w:cs="Arial"/>
                <w:sz w:val="16"/>
                <w:szCs w:val="16"/>
              </w:rPr>
            </w:pPr>
            <w:r w:rsidRPr="00D92E20">
              <w:rPr>
                <w:rFonts w:cs="Arial"/>
                <w:sz w:val="16"/>
                <w:szCs w:val="16"/>
              </w:rPr>
              <w:t>14,94</w:t>
            </w:r>
          </w:p>
        </w:tc>
        <w:tc>
          <w:tcPr>
            <w:tcW w:w="673" w:type="dxa"/>
            <w:tcBorders>
              <w:top w:val="nil"/>
              <w:left w:val="nil"/>
              <w:bottom w:val="nil"/>
              <w:right w:val="nil"/>
            </w:tcBorders>
            <w:shd w:val="clear" w:color="000000" w:fill="F5DADD"/>
            <w:noWrap/>
            <w:vAlign w:val="center"/>
            <w:hideMark/>
          </w:tcPr>
          <w:p w14:paraId="5AEF3FBB" w14:textId="77777777" w:rsidR="009F0B87" w:rsidRPr="00D92E20" w:rsidRDefault="009F0B87" w:rsidP="009F0B87">
            <w:pPr>
              <w:spacing w:after="0" w:line="240" w:lineRule="auto"/>
              <w:jc w:val="right"/>
              <w:rPr>
                <w:rFonts w:cs="Arial"/>
                <w:sz w:val="16"/>
                <w:szCs w:val="16"/>
              </w:rPr>
            </w:pPr>
            <w:r w:rsidRPr="00D92E20">
              <w:rPr>
                <w:rFonts w:cs="Arial"/>
                <w:sz w:val="16"/>
                <w:szCs w:val="16"/>
              </w:rPr>
              <w:t>13,35</w:t>
            </w:r>
          </w:p>
        </w:tc>
        <w:tc>
          <w:tcPr>
            <w:tcW w:w="673" w:type="dxa"/>
            <w:tcBorders>
              <w:top w:val="nil"/>
              <w:left w:val="nil"/>
              <w:bottom w:val="nil"/>
              <w:right w:val="nil"/>
            </w:tcBorders>
            <w:shd w:val="clear" w:color="000000" w:fill="F5DADD"/>
            <w:noWrap/>
            <w:vAlign w:val="center"/>
            <w:hideMark/>
          </w:tcPr>
          <w:p w14:paraId="276CE252" w14:textId="77777777" w:rsidR="009F0B87" w:rsidRPr="00D92E20" w:rsidRDefault="009F0B87" w:rsidP="009F0B87">
            <w:pPr>
              <w:spacing w:after="0" w:line="240" w:lineRule="auto"/>
              <w:jc w:val="right"/>
              <w:rPr>
                <w:rFonts w:cs="Arial"/>
                <w:sz w:val="16"/>
                <w:szCs w:val="16"/>
              </w:rPr>
            </w:pPr>
            <w:r w:rsidRPr="00D92E20">
              <w:rPr>
                <w:rFonts w:cs="Arial"/>
                <w:sz w:val="16"/>
                <w:szCs w:val="16"/>
              </w:rPr>
              <w:t>11,47</w:t>
            </w:r>
          </w:p>
        </w:tc>
        <w:tc>
          <w:tcPr>
            <w:tcW w:w="673" w:type="dxa"/>
            <w:tcBorders>
              <w:top w:val="nil"/>
              <w:left w:val="nil"/>
              <w:bottom w:val="nil"/>
              <w:right w:val="nil"/>
            </w:tcBorders>
            <w:shd w:val="clear" w:color="000000" w:fill="F5DADD"/>
            <w:noWrap/>
            <w:vAlign w:val="center"/>
            <w:hideMark/>
          </w:tcPr>
          <w:p w14:paraId="17332128" w14:textId="77777777" w:rsidR="009F0B87" w:rsidRPr="00D92E20" w:rsidRDefault="009F0B87" w:rsidP="009F0B87">
            <w:pPr>
              <w:spacing w:after="0" w:line="240" w:lineRule="auto"/>
              <w:jc w:val="right"/>
              <w:rPr>
                <w:rFonts w:cs="Arial"/>
                <w:sz w:val="16"/>
                <w:szCs w:val="16"/>
              </w:rPr>
            </w:pPr>
            <w:r w:rsidRPr="00D92E20">
              <w:rPr>
                <w:rFonts w:cs="Arial"/>
                <w:sz w:val="16"/>
                <w:szCs w:val="16"/>
              </w:rPr>
              <w:t>12,04</w:t>
            </w:r>
          </w:p>
        </w:tc>
        <w:tc>
          <w:tcPr>
            <w:tcW w:w="673" w:type="dxa"/>
            <w:tcBorders>
              <w:top w:val="nil"/>
              <w:left w:val="nil"/>
              <w:bottom w:val="nil"/>
              <w:right w:val="nil"/>
            </w:tcBorders>
            <w:shd w:val="clear" w:color="000000" w:fill="F5DADD"/>
            <w:noWrap/>
            <w:vAlign w:val="center"/>
            <w:hideMark/>
          </w:tcPr>
          <w:p w14:paraId="1F8BCC4E" w14:textId="77777777" w:rsidR="009F0B87" w:rsidRPr="00D92E20" w:rsidRDefault="009F0B87" w:rsidP="009F0B87">
            <w:pPr>
              <w:spacing w:after="0" w:line="240" w:lineRule="auto"/>
              <w:jc w:val="right"/>
              <w:rPr>
                <w:rFonts w:cs="Arial"/>
                <w:sz w:val="16"/>
                <w:szCs w:val="16"/>
              </w:rPr>
            </w:pPr>
            <w:r w:rsidRPr="00D92E20">
              <w:rPr>
                <w:rFonts w:cs="Arial"/>
                <w:sz w:val="16"/>
                <w:szCs w:val="16"/>
              </w:rPr>
              <w:t>13,88</w:t>
            </w:r>
          </w:p>
        </w:tc>
        <w:tc>
          <w:tcPr>
            <w:tcW w:w="673" w:type="dxa"/>
            <w:tcBorders>
              <w:top w:val="nil"/>
              <w:left w:val="nil"/>
              <w:bottom w:val="nil"/>
              <w:right w:val="nil"/>
            </w:tcBorders>
            <w:shd w:val="clear" w:color="000000" w:fill="F5DADD"/>
            <w:noWrap/>
            <w:vAlign w:val="center"/>
            <w:hideMark/>
          </w:tcPr>
          <w:p w14:paraId="51299ED5" w14:textId="77777777" w:rsidR="009F0B87" w:rsidRPr="00D92E20" w:rsidRDefault="009F0B87" w:rsidP="009F0B87">
            <w:pPr>
              <w:spacing w:after="0" w:line="240" w:lineRule="auto"/>
              <w:jc w:val="right"/>
              <w:rPr>
                <w:rFonts w:cs="Arial"/>
                <w:sz w:val="16"/>
                <w:szCs w:val="16"/>
              </w:rPr>
            </w:pPr>
            <w:r w:rsidRPr="00D92E20">
              <w:rPr>
                <w:rFonts w:cs="Arial"/>
                <w:sz w:val="16"/>
                <w:szCs w:val="16"/>
              </w:rPr>
              <w:t>15,43</w:t>
            </w:r>
          </w:p>
        </w:tc>
        <w:tc>
          <w:tcPr>
            <w:tcW w:w="673" w:type="dxa"/>
            <w:tcBorders>
              <w:top w:val="nil"/>
              <w:left w:val="nil"/>
              <w:bottom w:val="nil"/>
              <w:right w:val="nil"/>
            </w:tcBorders>
            <w:shd w:val="clear" w:color="000000" w:fill="F5DADD"/>
            <w:noWrap/>
            <w:vAlign w:val="center"/>
            <w:hideMark/>
          </w:tcPr>
          <w:p w14:paraId="44BF2AB2" w14:textId="77777777" w:rsidR="009F0B87" w:rsidRPr="00D92E20" w:rsidRDefault="009F0B87" w:rsidP="009F0B87">
            <w:pPr>
              <w:spacing w:after="0" w:line="240" w:lineRule="auto"/>
              <w:jc w:val="right"/>
              <w:rPr>
                <w:rFonts w:cs="Arial"/>
                <w:sz w:val="16"/>
                <w:szCs w:val="16"/>
              </w:rPr>
            </w:pPr>
            <w:r w:rsidRPr="00D92E20">
              <w:rPr>
                <w:rFonts w:cs="Arial"/>
                <w:sz w:val="16"/>
                <w:szCs w:val="16"/>
              </w:rPr>
              <w:t>16,99</w:t>
            </w:r>
          </w:p>
        </w:tc>
        <w:tc>
          <w:tcPr>
            <w:tcW w:w="673" w:type="dxa"/>
            <w:tcBorders>
              <w:top w:val="nil"/>
              <w:left w:val="nil"/>
              <w:bottom w:val="nil"/>
              <w:right w:val="nil"/>
            </w:tcBorders>
            <w:shd w:val="clear" w:color="000000" w:fill="F5DADD"/>
            <w:noWrap/>
            <w:vAlign w:val="center"/>
            <w:hideMark/>
          </w:tcPr>
          <w:p w14:paraId="74D5B5EB"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18,29</w:t>
            </w:r>
          </w:p>
        </w:tc>
        <w:tc>
          <w:tcPr>
            <w:tcW w:w="673" w:type="dxa"/>
            <w:tcBorders>
              <w:top w:val="nil"/>
              <w:left w:val="nil"/>
              <w:bottom w:val="nil"/>
              <w:right w:val="nil"/>
            </w:tcBorders>
            <w:shd w:val="clear" w:color="000000" w:fill="F5DADD"/>
            <w:noWrap/>
            <w:vAlign w:val="center"/>
            <w:hideMark/>
          </w:tcPr>
          <w:p w14:paraId="45B0EE9C"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22,68</w:t>
            </w:r>
          </w:p>
        </w:tc>
        <w:tc>
          <w:tcPr>
            <w:tcW w:w="673" w:type="dxa"/>
            <w:tcBorders>
              <w:top w:val="nil"/>
              <w:left w:val="nil"/>
              <w:bottom w:val="nil"/>
              <w:right w:val="nil"/>
            </w:tcBorders>
            <w:shd w:val="clear" w:color="000000" w:fill="F5DADD"/>
            <w:noWrap/>
            <w:vAlign w:val="center"/>
            <w:hideMark/>
          </w:tcPr>
          <w:p w14:paraId="2FBEA26D"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26,67</w:t>
            </w:r>
          </w:p>
        </w:tc>
        <w:tc>
          <w:tcPr>
            <w:tcW w:w="673" w:type="dxa"/>
            <w:tcBorders>
              <w:top w:val="nil"/>
              <w:left w:val="nil"/>
              <w:bottom w:val="nil"/>
              <w:right w:val="nil"/>
            </w:tcBorders>
            <w:shd w:val="clear" w:color="000000" w:fill="F5DADD"/>
            <w:noWrap/>
            <w:vAlign w:val="center"/>
            <w:hideMark/>
          </w:tcPr>
          <w:p w14:paraId="3F69FB93"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32,77</w:t>
            </w:r>
          </w:p>
        </w:tc>
      </w:tr>
      <w:tr w:rsidR="009F0B87" w:rsidRPr="00D92E20" w14:paraId="70608900"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72BB2009" w14:textId="77777777" w:rsidR="009F0B87" w:rsidRPr="00D92E20" w:rsidRDefault="009F0B87" w:rsidP="009F0B87">
            <w:pPr>
              <w:spacing w:after="0" w:line="240" w:lineRule="auto"/>
              <w:ind w:firstLineChars="100" w:firstLine="160"/>
              <w:rPr>
                <w:rFonts w:cs="Arial"/>
                <w:b/>
                <w:sz w:val="16"/>
                <w:szCs w:val="16"/>
              </w:rPr>
            </w:pPr>
            <w:r w:rsidRPr="00D92E20">
              <w:rPr>
                <w:rFonts w:cs="Arial"/>
                <w:b/>
                <w:sz w:val="16"/>
                <w:szCs w:val="16"/>
              </w:rPr>
              <w:t>ošetřovné</w:t>
            </w:r>
          </w:p>
        </w:tc>
        <w:tc>
          <w:tcPr>
            <w:tcW w:w="673" w:type="dxa"/>
            <w:tcBorders>
              <w:top w:val="nil"/>
              <w:left w:val="nil"/>
              <w:bottom w:val="nil"/>
              <w:right w:val="nil"/>
            </w:tcBorders>
            <w:shd w:val="clear" w:color="auto" w:fill="auto"/>
            <w:noWrap/>
            <w:vAlign w:val="center"/>
            <w:hideMark/>
          </w:tcPr>
          <w:p w14:paraId="0FC8F547"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0,43</w:t>
            </w:r>
          </w:p>
        </w:tc>
        <w:tc>
          <w:tcPr>
            <w:tcW w:w="673" w:type="dxa"/>
            <w:tcBorders>
              <w:top w:val="nil"/>
              <w:left w:val="nil"/>
              <w:bottom w:val="nil"/>
              <w:right w:val="nil"/>
            </w:tcBorders>
            <w:shd w:val="clear" w:color="auto" w:fill="auto"/>
            <w:noWrap/>
            <w:vAlign w:val="center"/>
            <w:hideMark/>
          </w:tcPr>
          <w:p w14:paraId="2B766FF3"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0,64</w:t>
            </w:r>
          </w:p>
        </w:tc>
        <w:tc>
          <w:tcPr>
            <w:tcW w:w="673" w:type="dxa"/>
            <w:tcBorders>
              <w:top w:val="nil"/>
              <w:left w:val="nil"/>
              <w:bottom w:val="nil"/>
              <w:right w:val="nil"/>
            </w:tcBorders>
            <w:shd w:val="clear" w:color="auto" w:fill="auto"/>
            <w:noWrap/>
            <w:vAlign w:val="center"/>
            <w:hideMark/>
          </w:tcPr>
          <w:p w14:paraId="79B177DE"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0,68</w:t>
            </w:r>
          </w:p>
        </w:tc>
        <w:tc>
          <w:tcPr>
            <w:tcW w:w="673" w:type="dxa"/>
            <w:tcBorders>
              <w:top w:val="nil"/>
              <w:left w:val="nil"/>
              <w:bottom w:val="nil"/>
              <w:right w:val="nil"/>
            </w:tcBorders>
            <w:shd w:val="clear" w:color="auto" w:fill="auto"/>
            <w:noWrap/>
            <w:vAlign w:val="center"/>
            <w:hideMark/>
          </w:tcPr>
          <w:p w14:paraId="28508180"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0,84</w:t>
            </w:r>
          </w:p>
        </w:tc>
        <w:tc>
          <w:tcPr>
            <w:tcW w:w="673" w:type="dxa"/>
            <w:tcBorders>
              <w:top w:val="nil"/>
              <w:left w:val="nil"/>
              <w:bottom w:val="nil"/>
              <w:right w:val="nil"/>
            </w:tcBorders>
            <w:shd w:val="clear" w:color="auto" w:fill="auto"/>
            <w:noWrap/>
            <w:vAlign w:val="center"/>
            <w:hideMark/>
          </w:tcPr>
          <w:p w14:paraId="3384DD19"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0,85</w:t>
            </w:r>
          </w:p>
        </w:tc>
        <w:tc>
          <w:tcPr>
            <w:tcW w:w="673" w:type="dxa"/>
            <w:tcBorders>
              <w:top w:val="nil"/>
              <w:left w:val="nil"/>
              <w:bottom w:val="nil"/>
              <w:right w:val="nil"/>
            </w:tcBorders>
            <w:shd w:val="clear" w:color="auto" w:fill="auto"/>
            <w:noWrap/>
            <w:vAlign w:val="center"/>
            <w:hideMark/>
          </w:tcPr>
          <w:p w14:paraId="0B22DA82"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1,06</w:t>
            </w:r>
          </w:p>
        </w:tc>
        <w:tc>
          <w:tcPr>
            <w:tcW w:w="673" w:type="dxa"/>
            <w:tcBorders>
              <w:top w:val="nil"/>
              <w:left w:val="nil"/>
              <w:bottom w:val="nil"/>
              <w:right w:val="nil"/>
            </w:tcBorders>
            <w:shd w:val="clear" w:color="auto" w:fill="auto"/>
            <w:noWrap/>
            <w:vAlign w:val="center"/>
            <w:hideMark/>
          </w:tcPr>
          <w:p w14:paraId="53255935"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1,18</w:t>
            </w:r>
          </w:p>
        </w:tc>
        <w:tc>
          <w:tcPr>
            <w:tcW w:w="673" w:type="dxa"/>
            <w:tcBorders>
              <w:top w:val="nil"/>
              <w:left w:val="nil"/>
              <w:bottom w:val="nil"/>
              <w:right w:val="nil"/>
            </w:tcBorders>
            <w:shd w:val="clear" w:color="auto" w:fill="auto"/>
            <w:noWrap/>
            <w:vAlign w:val="center"/>
            <w:hideMark/>
          </w:tcPr>
          <w:p w14:paraId="5ADC37FE"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1,40</w:t>
            </w:r>
          </w:p>
        </w:tc>
        <w:tc>
          <w:tcPr>
            <w:tcW w:w="673" w:type="dxa"/>
            <w:tcBorders>
              <w:top w:val="nil"/>
              <w:left w:val="nil"/>
              <w:bottom w:val="nil"/>
              <w:right w:val="nil"/>
            </w:tcBorders>
            <w:shd w:val="clear" w:color="auto" w:fill="auto"/>
            <w:noWrap/>
            <w:vAlign w:val="center"/>
            <w:hideMark/>
          </w:tcPr>
          <w:p w14:paraId="4D5D0123"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1,63</w:t>
            </w:r>
          </w:p>
        </w:tc>
        <w:tc>
          <w:tcPr>
            <w:tcW w:w="673" w:type="dxa"/>
            <w:tcBorders>
              <w:top w:val="nil"/>
              <w:left w:val="nil"/>
              <w:bottom w:val="nil"/>
              <w:right w:val="nil"/>
            </w:tcBorders>
            <w:shd w:val="clear" w:color="auto" w:fill="auto"/>
            <w:noWrap/>
            <w:vAlign w:val="center"/>
            <w:hideMark/>
          </w:tcPr>
          <w:p w14:paraId="04016AD8"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1,73</w:t>
            </w:r>
          </w:p>
        </w:tc>
        <w:tc>
          <w:tcPr>
            <w:tcW w:w="673" w:type="dxa"/>
            <w:tcBorders>
              <w:top w:val="nil"/>
              <w:left w:val="nil"/>
              <w:bottom w:val="nil"/>
              <w:right w:val="nil"/>
            </w:tcBorders>
            <w:shd w:val="clear" w:color="auto" w:fill="auto"/>
            <w:noWrap/>
            <w:vAlign w:val="center"/>
            <w:hideMark/>
          </w:tcPr>
          <w:p w14:paraId="456C8CC0" w14:textId="77777777" w:rsidR="009F0B87" w:rsidRPr="00D92E20" w:rsidRDefault="009F0B87" w:rsidP="009F0B87">
            <w:pPr>
              <w:spacing w:after="0" w:line="240" w:lineRule="auto"/>
              <w:jc w:val="right"/>
              <w:rPr>
                <w:rFonts w:cs="Arial"/>
                <w:b/>
                <w:sz w:val="16"/>
                <w:szCs w:val="16"/>
              </w:rPr>
            </w:pPr>
            <w:r w:rsidRPr="00D92E20">
              <w:rPr>
                <w:rFonts w:cs="Arial"/>
                <w:b/>
                <w:sz w:val="16"/>
                <w:szCs w:val="16"/>
              </w:rPr>
              <w:t>11,44</w:t>
            </w:r>
          </w:p>
        </w:tc>
      </w:tr>
      <w:tr w:rsidR="009F0B87" w:rsidRPr="00D92E20" w14:paraId="72559DC3" w14:textId="77777777" w:rsidTr="000974A8">
        <w:trPr>
          <w:trHeight w:val="300"/>
        </w:trPr>
        <w:tc>
          <w:tcPr>
            <w:tcW w:w="2333" w:type="dxa"/>
            <w:tcBorders>
              <w:top w:val="nil"/>
              <w:left w:val="nil"/>
              <w:bottom w:val="nil"/>
              <w:right w:val="single" w:sz="4" w:space="0" w:color="auto"/>
            </w:tcBorders>
            <w:shd w:val="clear" w:color="auto" w:fill="auto"/>
            <w:vAlign w:val="center"/>
            <w:hideMark/>
          </w:tcPr>
          <w:p w14:paraId="10B91BF0" w14:textId="3A899D3C" w:rsidR="009F0B87" w:rsidRPr="00D92E20" w:rsidRDefault="009F0B87" w:rsidP="000974A8">
            <w:pPr>
              <w:spacing w:after="0" w:line="240" w:lineRule="auto"/>
              <w:ind w:firstLineChars="100" w:firstLine="160"/>
              <w:rPr>
                <w:rFonts w:cs="Arial"/>
                <w:sz w:val="16"/>
                <w:szCs w:val="16"/>
              </w:rPr>
            </w:pPr>
            <w:r w:rsidRPr="00D92E20">
              <w:rPr>
                <w:rFonts w:cs="Arial"/>
                <w:sz w:val="16"/>
                <w:szCs w:val="16"/>
              </w:rPr>
              <w:t xml:space="preserve">peněžitá pomoc </w:t>
            </w:r>
            <w:r w:rsidR="000974A8" w:rsidRPr="00D92E20">
              <w:rPr>
                <w:rFonts w:cs="Arial"/>
                <w:sz w:val="16"/>
                <w:szCs w:val="16"/>
              </w:rPr>
              <w:t>v</w:t>
            </w:r>
            <w:r w:rsidR="0028392B" w:rsidRPr="00D92E20">
              <w:rPr>
                <w:rFonts w:cs="Arial"/>
                <w:sz w:val="16"/>
                <w:szCs w:val="16"/>
              </w:rPr>
              <w:t xml:space="preserve"> m</w:t>
            </w:r>
            <w:r w:rsidRPr="00D92E20">
              <w:rPr>
                <w:rFonts w:cs="Arial"/>
                <w:sz w:val="16"/>
                <w:szCs w:val="16"/>
              </w:rPr>
              <w:t>ateřství</w:t>
            </w:r>
          </w:p>
        </w:tc>
        <w:tc>
          <w:tcPr>
            <w:tcW w:w="673" w:type="dxa"/>
            <w:tcBorders>
              <w:top w:val="nil"/>
              <w:left w:val="nil"/>
              <w:bottom w:val="nil"/>
              <w:right w:val="nil"/>
            </w:tcBorders>
            <w:shd w:val="clear" w:color="auto" w:fill="auto"/>
            <w:noWrap/>
            <w:vAlign w:val="center"/>
            <w:hideMark/>
          </w:tcPr>
          <w:p w14:paraId="287191B8" w14:textId="77777777" w:rsidR="009F0B87" w:rsidRPr="00D92E20" w:rsidRDefault="009F0B87" w:rsidP="009F0B87">
            <w:pPr>
              <w:spacing w:after="0" w:line="240" w:lineRule="auto"/>
              <w:jc w:val="right"/>
              <w:rPr>
                <w:rFonts w:cs="Arial"/>
                <w:sz w:val="16"/>
                <w:szCs w:val="16"/>
              </w:rPr>
            </w:pPr>
            <w:r w:rsidRPr="00D92E20">
              <w:rPr>
                <w:rFonts w:cs="Arial"/>
                <w:sz w:val="16"/>
                <w:szCs w:val="16"/>
              </w:rPr>
              <w:t>7,41</w:t>
            </w:r>
          </w:p>
        </w:tc>
        <w:tc>
          <w:tcPr>
            <w:tcW w:w="673" w:type="dxa"/>
            <w:tcBorders>
              <w:top w:val="nil"/>
              <w:left w:val="nil"/>
              <w:bottom w:val="nil"/>
              <w:right w:val="nil"/>
            </w:tcBorders>
            <w:shd w:val="clear" w:color="auto" w:fill="auto"/>
            <w:noWrap/>
            <w:vAlign w:val="center"/>
            <w:hideMark/>
          </w:tcPr>
          <w:p w14:paraId="27EFF6EB" w14:textId="77777777" w:rsidR="009F0B87" w:rsidRPr="00D92E20" w:rsidRDefault="009F0B87" w:rsidP="009F0B87">
            <w:pPr>
              <w:spacing w:after="0" w:line="240" w:lineRule="auto"/>
              <w:jc w:val="right"/>
              <w:rPr>
                <w:rFonts w:cs="Arial"/>
                <w:sz w:val="16"/>
                <w:szCs w:val="16"/>
              </w:rPr>
            </w:pPr>
            <w:r w:rsidRPr="00D92E20">
              <w:rPr>
                <w:rFonts w:cs="Arial"/>
                <w:sz w:val="16"/>
                <w:szCs w:val="16"/>
              </w:rPr>
              <w:t>7,51</w:t>
            </w:r>
          </w:p>
        </w:tc>
        <w:tc>
          <w:tcPr>
            <w:tcW w:w="673" w:type="dxa"/>
            <w:tcBorders>
              <w:top w:val="nil"/>
              <w:left w:val="nil"/>
              <w:bottom w:val="nil"/>
              <w:right w:val="nil"/>
            </w:tcBorders>
            <w:shd w:val="clear" w:color="auto" w:fill="auto"/>
            <w:noWrap/>
            <w:vAlign w:val="center"/>
            <w:hideMark/>
          </w:tcPr>
          <w:p w14:paraId="3BE05C41" w14:textId="77777777" w:rsidR="009F0B87" w:rsidRPr="00D92E20" w:rsidRDefault="009F0B87" w:rsidP="009F0B87">
            <w:pPr>
              <w:spacing w:after="0" w:line="240" w:lineRule="auto"/>
              <w:jc w:val="right"/>
              <w:rPr>
                <w:rFonts w:cs="Arial"/>
                <w:sz w:val="16"/>
                <w:szCs w:val="16"/>
              </w:rPr>
            </w:pPr>
            <w:r w:rsidRPr="00D92E20">
              <w:rPr>
                <w:rFonts w:cs="Arial"/>
                <w:sz w:val="16"/>
                <w:szCs w:val="16"/>
              </w:rPr>
              <w:t>7,22</w:t>
            </w:r>
          </w:p>
        </w:tc>
        <w:tc>
          <w:tcPr>
            <w:tcW w:w="673" w:type="dxa"/>
            <w:tcBorders>
              <w:top w:val="nil"/>
              <w:left w:val="nil"/>
              <w:bottom w:val="nil"/>
              <w:right w:val="nil"/>
            </w:tcBorders>
            <w:shd w:val="clear" w:color="auto" w:fill="auto"/>
            <w:noWrap/>
            <w:vAlign w:val="center"/>
            <w:hideMark/>
          </w:tcPr>
          <w:p w14:paraId="293FFD03" w14:textId="77777777" w:rsidR="009F0B87" w:rsidRPr="00D92E20" w:rsidRDefault="009F0B87" w:rsidP="009F0B87">
            <w:pPr>
              <w:spacing w:after="0" w:line="240" w:lineRule="auto"/>
              <w:jc w:val="right"/>
              <w:rPr>
                <w:rFonts w:cs="Arial"/>
                <w:sz w:val="16"/>
                <w:szCs w:val="16"/>
              </w:rPr>
            </w:pPr>
            <w:r w:rsidRPr="00D92E20">
              <w:rPr>
                <w:rFonts w:cs="Arial"/>
                <w:sz w:val="16"/>
                <w:szCs w:val="16"/>
              </w:rPr>
              <w:t>7,26</w:t>
            </w:r>
          </w:p>
        </w:tc>
        <w:tc>
          <w:tcPr>
            <w:tcW w:w="673" w:type="dxa"/>
            <w:tcBorders>
              <w:top w:val="nil"/>
              <w:left w:val="nil"/>
              <w:bottom w:val="nil"/>
              <w:right w:val="nil"/>
            </w:tcBorders>
            <w:shd w:val="clear" w:color="auto" w:fill="auto"/>
            <w:noWrap/>
            <w:vAlign w:val="center"/>
            <w:hideMark/>
          </w:tcPr>
          <w:p w14:paraId="16DA15F0" w14:textId="77777777" w:rsidR="009F0B87" w:rsidRPr="00D92E20" w:rsidRDefault="009F0B87" w:rsidP="009F0B87">
            <w:pPr>
              <w:spacing w:after="0" w:line="240" w:lineRule="auto"/>
              <w:jc w:val="right"/>
              <w:rPr>
                <w:rFonts w:cs="Arial"/>
                <w:sz w:val="16"/>
                <w:szCs w:val="16"/>
              </w:rPr>
            </w:pPr>
            <w:r w:rsidRPr="00D92E20">
              <w:rPr>
                <w:rFonts w:cs="Arial"/>
                <w:sz w:val="16"/>
                <w:szCs w:val="16"/>
              </w:rPr>
              <w:t>7,33</w:t>
            </w:r>
          </w:p>
        </w:tc>
        <w:tc>
          <w:tcPr>
            <w:tcW w:w="673" w:type="dxa"/>
            <w:tcBorders>
              <w:top w:val="nil"/>
              <w:left w:val="nil"/>
              <w:bottom w:val="nil"/>
              <w:right w:val="nil"/>
            </w:tcBorders>
            <w:shd w:val="clear" w:color="auto" w:fill="auto"/>
            <w:noWrap/>
            <w:vAlign w:val="center"/>
            <w:hideMark/>
          </w:tcPr>
          <w:p w14:paraId="4788545B" w14:textId="77777777" w:rsidR="009F0B87" w:rsidRPr="00D92E20" w:rsidRDefault="009F0B87" w:rsidP="009F0B87">
            <w:pPr>
              <w:spacing w:after="0" w:line="240" w:lineRule="auto"/>
              <w:jc w:val="right"/>
              <w:rPr>
                <w:rFonts w:cs="Arial"/>
                <w:sz w:val="16"/>
                <w:szCs w:val="16"/>
              </w:rPr>
            </w:pPr>
            <w:r w:rsidRPr="00D92E20">
              <w:rPr>
                <w:rFonts w:cs="Arial"/>
                <w:sz w:val="16"/>
                <w:szCs w:val="16"/>
              </w:rPr>
              <w:t>7,61</w:t>
            </w:r>
          </w:p>
        </w:tc>
        <w:tc>
          <w:tcPr>
            <w:tcW w:w="673" w:type="dxa"/>
            <w:tcBorders>
              <w:top w:val="nil"/>
              <w:left w:val="nil"/>
              <w:bottom w:val="nil"/>
              <w:right w:val="nil"/>
            </w:tcBorders>
            <w:shd w:val="clear" w:color="auto" w:fill="auto"/>
            <w:noWrap/>
            <w:vAlign w:val="center"/>
            <w:hideMark/>
          </w:tcPr>
          <w:p w14:paraId="5418FB6D" w14:textId="77777777" w:rsidR="009F0B87" w:rsidRPr="00D92E20" w:rsidRDefault="009F0B87" w:rsidP="009F0B87">
            <w:pPr>
              <w:spacing w:after="0" w:line="240" w:lineRule="auto"/>
              <w:jc w:val="right"/>
              <w:rPr>
                <w:rFonts w:cs="Arial"/>
                <w:sz w:val="16"/>
                <w:szCs w:val="16"/>
              </w:rPr>
            </w:pPr>
            <w:r w:rsidRPr="00D92E20">
              <w:rPr>
                <w:rFonts w:cs="Arial"/>
                <w:sz w:val="16"/>
                <w:szCs w:val="16"/>
              </w:rPr>
              <w:t>8,11</w:t>
            </w:r>
          </w:p>
        </w:tc>
        <w:tc>
          <w:tcPr>
            <w:tcW w:w="673" w:type="dxa"/>
            <w:tcBorders>
              <w:top w:val="nil"/>
              <w:left w:val="nil"/>
              <w:bottom w:val="nil"/>
              <w:right w:val="nil"/>
            </w:tcBorders>
            <w:shd w:val="clear" w:color="auto" w:fill="auto"/>
            <w:noWrap/>
            <w:vAlign w:val="center"/>
            <w:hideMark/>
          </w:tcPr>
          <w:p w14:paraId="5D7272AA"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8,62</w:t>
            </w:r>
          </w:p>
        </w:tc>
        <w:tc>
          <w:tcPr>
            <w:tcW w:w="673" w:type="dxa"/>
            <w:tcBorders>
              <w:top w:val="nil"/>
              <w:left w:val="nil"/>
              <w:bottom w:val="nil"/>
              <w:right w:val="nil"/>
            </w:tcBorders>
            <w:shd w:val="clear" w:color="auto" w:fill="auto"/>
            <w:noWrap/>
            <w:vAlign w:val="center"/>
            <w:hideMark/>
          </w:tcPr>
          <w:p w14:paraId="0AA5DD72"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9,40</w:t>
            </w:r>
          </w:p>
        </w:tc>
        <w:tc>
          <w:tcPr>
            <w:tcW w:w="673" w:type="dxa"/>
            <w:tcBorders>
              <w:top w:val="nil"/>
              <w:left w:val="nil"/>
              <w:bottom w:val="nil"/>
              <w:right w:val="nil"/>
            </w:tcBorders>
            <w:shd w:val="clear" w:color="auto" w:fill="auto"/>
            <w:noWrap/>
            <w:vAlign w:val="center"/>
            <w:hideMark/>
          </w:tcPr>
          <w:p w14:paraId="182D114B"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10,10</w:t>
            </w:r>
          </w:p>
        </w:tc>
        <w:tc>
          <w:tcPr>
            <w:tcW w:w="673" w:type="dxa"/>
            <w:tcBorders>
              <w:top w:val="nil"/>
              <w:left w:val="nil"/>
              <w:bottom w:val="nil"/>
              <w:right w:val="nil"/>
            </w:tcBorders>
            <w:shd w:val="clear" w:color="auto" w:fill="auto"/>
            <w:noWrap/>
            <w:vAlign w:val="center"/>
            <w:hideMark/>
          </w:tcPr>
          <w:p w14:paraId="13FD2A8A"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10,58</w:t>
            </w:r>
          </w:p>
        </w:tc>
      </w:tr>
      <w:tr w:rsidR="009F0B87" w:rsidRPr="00D92E20" w14:paraId="1FC8DBA1" w14:textId="77777777" w:rsidTr="009F0B87">
        <w:trPr>
          <w:trHeight w:val="480"/>
        </w:trPr>
        <w:tc>
          <w:tcPr>
            <w:tcW w:w="2333" w:type="dxa"/>
            <w:tcBorders>
              <w:top w:val="nil"/>
              <w:left w:val="nil"/>
              <w:bottom w:val="nil"/>
              <w:right w:val="single" w:sz="4" w:space="0" w:color="auto"/>
            </w:tcBorders>
            <w:shd w:val="clear" w:color="auto" w:fill="auto"/>
            <w:vAlign w:val="center"/>
            <w:hideMark/>
          </w:tcPr>
          <w:p w14:paraId="5992336E" w14:textId="77777777" w:rsidR="009F0B87" w:rsidRPr="00D92E20" w:rsidRDefault="009F0B87" w:rsidP="009F0B87">
            <w:pPr>
              <w:spacing w:after="0" w:line="240" w:lineRule="auto"/>
              <w:ind w:firstLineChars="100" w:firstLine="160"/>
              <w:rPr>
                <w:rFonts w:cs="Arial"/>
                <w:sz w:val="16"/>
                <w:szCs w:val="16"/>
              </w:rPr>
            </w:pPr>
            <w:r w:rsidRPr="00D92E20">
              <w:rPr>
                <w:rFonts w:cs="Arial"/>
                <w:sz w:val="16"/>
                <w:szCs w:val="16"/>
              </w:rPr>
              <w:t xml:space="preserve">vyrovnávací příspěvek </w:t>
            </w:r>
            <w:r w:rsidRPr="00D92E20">
              <w:rPr>
                <w:rFonts w:cs="Arial"/>
                <w:sz w:val="16"/>
                <w:szCs w:val="16"/>
              </w:rPr>
              <w:br/>
              <w:t xml:space="preserve">    v těhotenství a mateřství</w:t>
            </w:r>
          </w:p>
        </w:tc>
        <w:tc>
          <w:tcPr>
            <w:tcW w:w="673" w:type="dxa"/>
            <w:tcBorders>
              <w:top w:val="nil"/>
              <w:left w:val="nil"/>
              <w:bottom w:val="nil"/>
              <w:right w:val="nil"/>
            </w:tcBorders>
            <w:shd w:val="clear" w:color="auto" w:fill="auto"/>
            <w:noWrap/>
            <w:vAlign w:val="center"/>
            <w:hideMark/>
          </w:tcPr>
          <w:p w14:paraId="58CBEAE3" w14:textId="77777777" w:rsidR="009F0B87" w:rsidRPr="00D92E20" w:rsidRDefault="009F0B87" w:rsidP="009F0B87">
            <w:pPr>
              <w:spacing w:after="0" w:line="240" w:lineRule="auto"/>
              <w:jc w:val="right"/>
              <w:rPr>
                <w:rFonts w:cs="Arial"/>
                <w:sz w:val="16"/>
                <w:szCs w:val="16"/>
              </w:rPr>
            </w:pPr>
            <w:r w:rsidRPr="00D92E20">
              <w:rPr>
                <w:rFonts w:cs="Arial"/>
                <w:sz w:val="16"/>
                <w:szCs w:val="16"/>
              </w:rPr>
              <w:t>0,004</w:t>
            </w:r>
          </w:p>
        </w:tc>
        <w:tc>
          <w:tcPr>
            <w:tcW w:w="673" w:type="dxa"/>
            <w:tcBorders>
              <w:top w:val="nil"/>
              <w:left w:val="nil"/>
              <w:bottom w:val="nil"/>
              <w:right w:val="nil"/>
            </w:tcBorders>
            <w:shd w:val="clear" w:color="auto" w:fill="auto"/>
            <w:noWrap/>
            <w:vAlign w:val="center"/>
            <w:hideMark/>
          </w:tcPr>
          <w:p w14:paraId="21FEDDD5" w14:textId="77777777" w:rsidR="009F0B87" w:rsidRPr="00D92E20" w:rsidRDefault="009F0B87" w:rsidP="009F0B87">
            <w:pPr>
              <w:spacing w:after="0" w:line="240" w:lineRule="auto"/>
              <w:jc w:val="right"/>
              <w:rPr>
                <w:rFonts w:cs="Arial"/>
                <w:sz w:val="16"/>
                <w:szCs w:val="16"/>
              </w:rPr>
            </w:pPr>
            <w:r w:rsidRPr="00D92E20">
              <w:rPr>
                <w:rFonts w:cs="Arial"/>
                <w:sz w:val="16"/>
                <w:szCs w:val="16"/>
              </w:rPr>
              <w:t>0,006</w:t>
            </w:r>
          </w:p>
        </w:tc>
        <w:tc>
          <w:tcPr>
            <w:tcW w:w="673" w:type="dxa"/>
            <w:tcBorders>
              <w:top w:val="nil"/>
              <w:left w:val="nil"/>
              <w:bottom w:val="nil"/>
              <w:right w:val="nil"/>
            </w:tcBorders>
            <w:shd w:val="clear" w:color="auto" w:fill="auto"/>
            <w:noWrap/>
            <w:vAlign w:val="center"/>
            <w:hideMark/>
          </w:tcPr>
          <w:p w14:paraId="49910646" w14:textId="77777777" w:rsidR="009F0B87" w:rsidRPr="00D92E20" w:rsidRDefault="009F0B87" w:rsidP="009F0B87">
            <w:pPr>
              <w:spacing w:after="0" w:line="240" w:lineRule="auto"/>
              <w:jc w:val="right"/>
              <w:rPr>
                <w:rFonts w:cs="Arial"/>
                <w:sz w:val="16"/>
                <w:szCs w:val="16"/>
              </w:rPr>
            </w:pPr>
            <w:r w:rsidRPr="00D92E20">
              <w:rPr>
                <w:rFonts w:cs="Arial"/>
                <w:sz w:val="16"/>
                <w:szCs w:val="16"/>
              </w:rPr>
              <w:t>0,007</w:t>
            </w:r>
          </w:p>
        </w:tc>
        <w:tc>
          <w:tcPr>
            <w:tcW w:w="673" w:type="dxa"/>
            <w:tcBorders>
              <w:top w:val="nil"/>
              <w:left w:val="nil"/>
              <w:bottom w:val="nil"/>
              <w:right w:val="nil"/>
            </w:tcBorders>
            <w:shd w:val="clear" w:color="auto" w:fill="auto"/>
            <w:noWrap/>
            <w:vAlign w:val="center"/>
            <w:hideMark/>
          </w:tcPr>
          <w:p w14:paraId="5BAA99B9" w14:textId="77777777" w:rsidR="009F0B87" w:rsidRPr="00D92E20" w:rsidRDefault="009F0B87" w:rsidP="009F0B87">
            <w:pPr>
              <w:spacing w:after="0" w:line="240" w:lineRule="auto"/>
              <w:jc w:val="right"/>
              <w:rPr>
                <w:rFonts w:cs="Arial"/>
                <w:sz w:val="16"/>
                <w:szCs w:val="16"/>
              </w:rPr>
            </w:pPr>
            <w:r w:rsidRPr="00D92E20">
              <w:rPr>
                <w:rFonts w:cs="Arial"/>
                <w:sz w:val="16"/>
                <w:szCs w:val="16"/>
              </w:rPr>
              <w:t>0,007</w:t>
            </w:r>
          </w:p>
        </w:tc>
        <w:tc>
          <w:tcPr>
            <w:tcW w:w="673" w:type="dxa"/>
            <w:tcBorders>
              <w:top w:val="nil"/>
              <w:left w:val="nil"/>
              <w:bottom w:val="nil"/>
              <w:right w:val="nil"/>
            </w:tcBorders>
            <w:shd w:val="clear" w:color="auto" w:fill="auto"/>
            <w:noWrap/>
            <w:vAlign w:val="center"/>
            <w:hideMark/>
          </w:tcPr>
          <w:p w14:paraId="3AD8366F" w14:textId="77777777" w:rsidR="009F0B87" w:rsidRPr="00D92E20" w:rsidRDefault="009F0B87" w:rsidP="009F0B87">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13AD0D34" w14:textId="77777777" w:rsidR="009F0B87" w:rsidRPr="00D92E20" w:rsidRDefault="009F0B87" w:rsidP="009F0B87">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70E0454D" w14:textId="77777777" w:rsidR="009F0B87" w:rsidRPr="00D92E20" w:rsidRDefault="009F0B87" w:rsidP="009F0B87">
            <w:pPr>
              <w:spacing w:after="0" w:line="240" w:lineRule="auto"/>
              <w:jc w:val="right"/>
              <w:rPr>
                <w:rFonts w:cs="Arial"/>
                <w:sz w:val="16"/>
                <w:szCs w:val="16"/>
              </w:rPr>
            </w:pPr>
            <w:r w:rsidRPr="00D92E20">
              <w:rPr>
                <w:rFonts w:cs="Arial"/>
                <w:sz w:val="16"/>
                <w:szCs w:val="16"/>
              </w:rPr>
              <w:t>0,009</w:t>
            </w:r>
          </w:p>
        </w:tc>
        <w:tc>
          <w:tcPr>
            <w:tcW w:w="673" w:type="dxa"/>
            <w:tcBorders>
              <w:top w:val="nil"/>
              <w:left w:val="nil"/>
              <w:bottom w:val="nil"/>
              <w:right w:val="nil"/>
            </w:tcBorders>
            <w:shd w:val="clear" w:color="auto" w:fill="auto"/>
            <w:noWrap/>
            <w:vAlign w:val="center"/>
            <w:hideMark/>
          </w:tcPr>
          <w:p w14:paraId="66CF8AC3"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0,008</w:t>
            </w:r>
          </w:p>
        </w:tc>
        <w:tc>
          <w:tcPr>
            <w:tcW w:w="673" w:type="dxa"/>
            <w:tcBorders>
              <w:top w:val="nil"/>
              <w:left w:val="nil"/>
              <w:bottom w:val="nil"/>
              <w:right w:val="nil"/>
            </w:tcBorders>
            <w:shd w:val="clear" w:color="auto" w:fill="auto"/>
            <w:noWrap/>
            <w:vAlign w:val="center"/>
            <w:hideMark/>
          </w:tcPr>
          <w:p w14:paraId="430B5B58"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25BC0627"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0,009</w:t>
            </w:r>
          </w:p>
        </w:tc>
        <w:tc>
          <w:tcPr>
            <w:tcW w:w="673" w:type="dxa"/>
            <w:tcBorders>
              <w:top w:val="nil"/>
              <w:left w:val="nil"/>
              <w:bottom w:val="nil"/>
              <w:right w:val="nil"/>
            </w:tcBorders>
            <w:shd w:val="clear" w:color="auto" w:fill="auto"/>
            <w:noWrap/>
            <w:vAlign w:val="center"/>
            <w:hideMark/>
          </w:tcPr>
          <w:p w14:paraId="3944CF13"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0,007</w:t>
            </w:r>
          </w:p>
        </w:tc>
      </w:tr>
      <w:tr w:rsidR="009F0B87" w:rsidRPr="00D92E20" w14:paraId="46EEA8E2"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779E6D27" w14:textId="77777777" w:rsidR="009F0B87" w:rsidRPr="00D92E20" w:rsidRDefault="009F0B87" w:rsidP="009F0B87">
            <w:pPr>
              <w:spacing w:after="0" w:line="240" w:lineRule="auto"/>
              <w:ind w:firstLineChars="100" w:firstLine="160"/>
              <w:rPr>
                <w:rFonts w:cs="Arial"/>
                <w:sz w:val="16"/>
                <w:szCs w:val="16"/>
              </w:rPr>
            </w:pPr>
            <w:r w:rsidRPr="00D92E20">
              <w:rPr>
                <w:rFonts w:cs="Arial"/>
                <w:sz w:val="16"/>
                <w:szCs w:val="16"/>
              </w:rPr>
              <w:t>otcovská poporodní péče</w:t>
            </w:r>
            <w:r w:rsidRPr="00D92E20">
              <w:rPr>
                <w:rFonts w:cs="Arial"/>
                <w:sz w:val="16"/>
                <w:szCs w:val="16"/>
                <w:vertAlign w:val="superscript"/>
              </w:rPr>
              <w:t>1)</w:t>
            </w:r>
          </w:p>
        </w:tc>
        <w:tc>
          <w:tcPr>
            <w:tcW w:w="673" w:type="dxa"/>
            <w:tcBorders>
              <w:top w:val="nil"/>
              <w:left w:val="nil"/>
              <w:bottom w:val="nil"/>
              <w:right w:val="nil"/>
            </w:tcBorders>
            <w:shd w:val="clear" w:color="auto" w:fill="auto"/>
            <w:noWrap/>
            <w:vAlign w:val="bottom"/>
            <w:hideMark/>
          </w:tcPr>
          <w:p w14:paraId="13CE5DD1"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EF1DD16"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FBB7DBE"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6D3B976"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37EE318"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5DAF9E5"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0CB1886E"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1CBAD52"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4DC4CF98"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0,221</w:t>
            </w:r>
          </w:p>
        </w:tc>
        <w:tc>
          <w:tcPr>
            <w:tcW w:w="673" w:type="dxa"/>
            <w:tcBorders>
              <w:top w:val="nil"/>
              <w:left w:val="nil"/>
              <w:bottom w:val="nil"/>
              <w:right w:val="nil"/>
            </w:tcBorders>
            <w:shd w:val="clear" w:color="auto" w:fill="auto"/>
            <w:noWrap/>
            <w:vAlign w:val="center"/>
            <w:hideMark/>
          </w:tcPr>
          <w:p w14:paraId="125CEBE3"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0,273</w:t>
            </w:r>
          </w:p>
        </w:tc>
        <w:tc>
          <w:tcPr>
            <w:tcW w:w="673" w:type="dxa"/>
            <w:tcBorders>
              <w:top w:val="nil"/>
              <w:left w:val="nil"/>
              <w:bottom w:val="nil"/>
              <w:right w:val="nil"/>
            </w:tcBorders>
            <w:shd w:val="clear" w:color="auto" w:fill="auto"/>
            <w:noWrap/>
            <w:vAlign w:val="center"/>
            <w:hideMark/>
          </w:tcPr>
          <w:p w14:paraId="11D22C00"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0,269</w:t>
            </w:r>
          </w:p>
        </w:tc>
      </w:tr>
      <w:tr w:rsidR="009F0B87" w:rsidRPr="00D92E20" w14:paraId="2CD89E10" w14:textId="77777777" w:rsidTr="009F0B87">
        <w:trPr>
          <w:trHeight w:val="300"/>
        </w:trPr>
        <w:tc>
          <w:tcPr>
            <w:tcW w:w="2333" w:type="dxa"/>
            <w:tcBorders>
              <w:top w:val="nil"/>
              <w:left w:val="nil"/>
              <w:bottom w:val="nil"/>
              <w:right w:val="single" w:sz="4" w:space="0" w:color="auto"/>
            </w:tcBorders>
            <w:shd w:val="clear" w:color="auto" w:fill="auto"/>
            <w:vAlign w:val="center"/>
            <w:hideMark/>
          </w:tcPr>
          <w:p w14:paraId="4CD1B85F" w14:textId="77777777" w:rsidR="009F0B87" w:rsidRPr="00D92E20" w:rsidRDefault="009F0B87" w:rsidP="009F0B87">
            <w:pPr>
              <w:spacing w:after="0" w:line="240" w:lineRule="auto"/>
              <w:ind w:firstLineChars="100" w:firstLine="160"/>
              <w:rPr>
                <w:rFonts w:cs="Arial"/>
                <w:sz w:val="16"/>
                <w:szCs w:val="16"/>
              </w:rPr>
            </w:pPr>
            <w:r w:rsidRPr="00D92E20">
              <w:rPr>
                <w:rFonts w:cs="Arial"/>
                <w:sz w:val="16"/>
                <w:szCs w:val="16"/>
              </w:rPr>
              <w:t>dlouhodobé ošetřovné</w:t>
            </w:r>
            <w:r w:rsidRPr="00D92E20">
              <w:rPr>
                <w:rFonts w:cs="Arial"/>
                <w:sz w:val="16"/>
                <w:szCs w:val="16"/>
                <w:vertAlign w:val="superscript"/>
              </w:rPr>
              <w:t>2)</w:t>
            </w:r>
          </w:p>
        </w:tc>
        <w:tc>
          <w:tcPr>
            <w:tcW w:w="673" w:type="dxa"/>
            <w:tcBorders>
              <w:top w:val="nil"/>
              <w:left w:val="nil"/>
              <w:bottom w:val="nil"/>
              <w:right w:val="nil"/>
            </w:tcBorders>
            <w:shd w:val="clear" w:color="auto" w:fill="auto"/>
            <w:noWrap/>
            <w:vAlign w:val="bottom"/>
            <w:hideMark/>
          </w:tcPr>
          <w:p w14:paraId="249AFF49"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9406723"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66C19ED3"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2CF7012F"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1AF53D92"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4D47C72E"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55B111F1"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bottom"/>
            <w:hideMark/>
          </w:tcPr>
          <w:p w14:paraId="050A296A" w14:textId="77777777" w:rsidR="009F0B87" w:rsidRPr="00D92E20" w:rsidRDefault="009F0B87" w:rsidP="009F0B87">
            <w:pPr>
              <w:spacing w:after="0" w:line="240" w:lineRule="auto"/>
              <w:jc w:val="right"/>
              <w:rPr>
                <w:rFonts w:ascii="Calibri" w:hAnsi="Calibri" w:cs="Calibri"/>
                <w:color w:val="000000"/>
                <w:sz w:val="22"/>
                <w:szCs w:val="22"/>
              </w:rPr>
            </w:pPr>
            <w:r w:rsidRPr="00D92E20">
              <w:rPr>
                <w:rFonts w:ascii="Calibri" w:hAnsi="Calibri" w:cs="Calibri"/>
                <w:color w:val="000000"/>
                <w:sz w:val="22"/>
                <w:szCs w:val="22"/>
              </w:rPr>
              <w:t>–</w:t>
            </w:r>
          </w:p>
        </w:tc>
        <w:tc>
          <w:tcPr>
            <w:tcW w:w="673" w:type="dxa"/>
            <w:tcBorders>
              <w:top w:val="nil"/>
              <w:left w:val="nil"/>
              <w:bottom w:val="nil"/>
              <w:right w:val="nil"/>
            </w:tcBorders>
            <w:shd w:val="clear" w:color="auto" w:fill="auto"/>
            <w:noWrap/>
            <w:vAlign w:val="center"/>
            <w:hideMark/>
          </w:tcPr>
          <w:p w14:paraId="71E37955"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0,032</w:t>
            </w:r>
          </w:p>
        </w:tc>
        <w:tc>
          <w:tcPr>
            <w:tcW w:w="673" w:type="dxa"/>
            <w:tcBorders>
              <w:top w:val="nil"/>
              <w:left w:val="nil"/>
              <w:bottom w:val="nil"/>
              <w:right w:val="nil"/>
            </w:tcBorders>
            <w:shd w:val="clear" w:color="auto" w:fill="auto"/>
            <w:noWrap/>
            <w:vAlign w:val="center"/>
            <w:hideMark/>
          </w:tcPr>
          <w:p w14:paraId="3EB2AA10"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0,110</w:t>
            </w:r>
          </w:p>
        </w:tc>
        <w:tc>
          <w:tcPr>
            <w:tcW w:w="673" w:type="dxa"/>
            <w:tcBorders>
              <w:top w:val="nil"/>
              <w:left w:val="nil"/>
              <w:bottom w:val="nil"/>
              <w:right w:val="nil"/>
            </w:tcBorders>
            <w:shd w:val="clear" w:color="auto" w:fill="auto"/>
            <w:noWrap/>
            <w:vAlign w:val="center"/>
            <w:hideMark/>
          </w:tcPr>
          <w:p w14:paraId="67330F23" w14:textId="77777777" w:rsidR="009F0B87" w:rsidRPr="00D92E20" w:rsidRDefault="009F0B87" w:rsidP="009F0B87">
            <w:pPr>
              <w:spacing w:after="0" w:line="240" w:lineRule="auto"/>
              <w:jc w:val="right"/>
              <w:rPr>
                <w:rFonts w:cs="Arial"/>
                <w:color w:val="000000"/>
                <w:sz w:val="16"/>
                <w:szCs w:val="16"/>
              </w:rPr>
            </w:pPr>
            <w:r w:rsidRPr="00D92E20">
              <w:rPr>
                <w:rFonts w:cs="Arial"/>
                <w:color w:val="000000"/>
                <w:sz w:val="16"/>
                <w:szCs w:val="16"/>
              </w:rPr>
              <w:t>0,138</w:t>
            </w:r>
          </w:p>
        </w:tc>
      </w:tr>
    </w:tbl>
    <w:p w14:paraId="0D349851" w14:textId="77777777" w:rsidR="009F0B87" w:rsidRPr="00D92E20" w:rsidRDefault="009F0B87" w:rsidP="009F0B87">
      <w:pPr>
        <w:spacing w:after="0"/>
        <w:jc w:val="both"/>
        <w:rPr>
          <w:rFonts w:cs="Arial"/>
          <w:color w:val="000000"/>
          <w:sz w:val="16"/>
          <w:szCs w:val="16"/>
          <w:vertAlign w:val="superscript"/>
        </w:rPr>
      </w:pPr>
    </w:p>
    <w:p w14:paraId="35C4205C" w14:textId="77777777" w:rsidR="00FB50FB" w:rsidRPr="00D92E20" w:rsidRDefault="009F0B87" w:rsidP="009F0B87">
      <w:pPr>
        <w:spacing w:after="0"/>
        <w:rPr>
          <w:rFonts w:cs="Arial"/>
          <w:szCs w:val="20"/>
        </w:rPr>
      </w:pPr>
      <w:r w:rsidRPr="00D92E20">
        <w:rPr>
          <w:rFonts w:cs="Arial"/>
          <w:color w:val="000000"/>
          <w:sz w:val="16"/>
          <w:szCs w:val="16"/>
          <w:vertAlign w:val="superscript"/>
        </w:rPr>
        <w:t xml:space="preserve">1) </w:t>
      </w:r>
      <w:r w:rsidRPr="00D92E20">
        <w:rPr>
          <w:rFonts w:cs="Arial"/>
          <w:color w:val="000000"/>
          <w:sz w:val="16"/>
          <w:szCs w:val="16"/>
        </w:rPr>
        <w:t xml:space="preserve">Zavedení dávky otcovské poporodní péče, tzv. „otcovská“ – účinnost od 1. února 2018. </w:t>
      </w:r>
      <w:r w:rsidRPr="00D92E20">
        <w:rPr>
          <w:rFonts w:cs="Arial"/>
          <w:color w:val="000000"/>
          <w:sz w:val="16"/>
          <w:szCs w:val="16"/>
        </w:rPr>
        <w:br/>
      </w:r>
      <w:r w:rsidRPr="00D92E20">
        <w:rPr>
          <w:rFonts w:cs="Arial"/>
          <w:color w:val="000000"/>
          <w:sz w:val="16"/>
          <w:szCs w:val="16"/>
          <w:vertAlign w:val="superscript"/>
        </w:rPr>
        <w:t>2)</w:t>
      </w:r>
      <w:r w:rsidRPr="00D92E20">
        <w:rPr>
          <w:rFonts w:cs="Arial"/>
          <w:color w:val="000000"/>
          <w:sz w:val="16"/>
          <w:szCs w:val="16"/>
        </w:rPr>
        <w:t xml:space="preserve"> Zavedení dávky dlouhodobé ošetřovné – účinnost od 1. června 2018.</w:t>
      </w:r>
    </w:p>
    <w:p w14:paraId="401A4775" w14:textId="77777777" w:rsidR="00415731" w:rsidRPr="00D92E20" w:rsidRDefault="009F0B87" w:rsidP="00000A90">
      <w:pPr>
        <w:spacing w:after="120"/>
        <w:jc w:val="both"/>
      </w:pPr>
      <w:r w:rsidRPr="00D92E20">
        <w:rPr>
          <w:rFonts w:cs="Arial"/>
          <w:sz w:val="16"/>
          <w:szCs w:val="16"/>
        </w:rPr>
        <w:t>– pomlčka značí, že se jev nevyskytoval</w:t>
      </w:r>
    </w:p>
    <w:p w14:paraId="4B342BC5" w14:textId="77777777" w:rsidR="009F0B87" w:rsidRPr="00D92E20" w:rsidRDefault="009F0B87" w:rsidP="00000A90">
      <w:pPr>
        <w:spacing w:before="120" w:after="120"/>
        <w:rPr>
          <w:sz w:val="16"/>
        </w:rPr>
      </w:pPr>
      <w:r w:rsidRPr="00D92E20">
        <w:rPr>
          <w:sz w:val="16"/>
        </w:rPr>
        <w:t>Zdroj: ČSSZ</w:t>
      </w:r>
    </w:p>
    <w:p w14:paraId="2B7FFD5C" w14:textId="0AA073DA" w:rsidR="00415731" w:rsidRPr="00D92E20" w:rsidRDefault="003B04F2" w:rsidP="00000A90">
      <w:pPr>
        <w:spacing w:after="0"/>
        <w:jc w:val="both"/>
        <w:rPr>
          <w:b/>
        </w:rPr>
      </w:pPr>
      <w:r w:rsidRPr="00D92E20">
        <w:rPr>
          <w:b/>
        </w:rPr>
        <w:t xml:space="preserve">Graf 4.1: </w:t>
      </w:r>
      <w:r w:rsidR="008B7D64" w:rsidRPr="00D92E20">
        <w:rPr>
          <w:b/>
        </w:rPr>
        <w:t>Celkové v</w:t>
      </w:r>
      <w:r w:rsidRPr="00D92E20">
        <w:rPr>
          <w:b/>
        </w:rPr>
        <w:t xml:space="preserve">ýdaje na nemocenské a </w:t>
      </w:r>
      <w:r w:rsidR="008B7D64" w:rsidRPr="00D92E20">
        <w:rPr>
          <w:b/>
        </w:rPr>
        <w:t>v přepočtu na 1 pojištěnce</w:t>
      </w:r>
      <w:r w:rsidRPr="00D92E20">
        <w:rPr>
          <w:b/>
        </w:rPr>
        <w:t>, 2010–2020</w:t>
      </w:r>
    </w:p>
    <w:p w14:paraId="68276F43" w14:textId="770621E6" w:rsidR="0094191B" w:rsidRPr="00D92E20" w:rsidRDefault="001E57EE" w:rsidP="0094191B">
      <w:r w:rsidRPr="00D92E20">
        <w:rPr>
          <w:noProof/>
        </w:rPr>
        <w:drawing>
          <wp:inline distT="0" distB="0" distL="0" distR="0" wp14:anchorId="414F6A91" wp14:editId="5866F064">
            <wp:extent cx="6120130" cy="2916555"/>
            <wp:effectExtent l="0" t="0" r="13970" b="17145"/>
            <wp:docPr id="48" name="Graf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BE44A0F" w14:textId="77777777" w:rsidR="003B04F2" w:rsidRPr="00D92E20" w:rsidRDefault="003B04F2" w:rsidP="00000A90">
      <w:pPr>
        <w:spacing w:after="120"/>
        <w:jc w:val="both"/>
        <w:rPr>
          <w:sz w:val="16"/>
        </w:rPr>
      </w:pPr>
      <w:r w:rsidRPr="00D92E20">
        <w:rPr>
          <w:sz w:val="16"/>
        </w:rPr>
        <w:t>Zdroj: ČSSZ, ČSÚ</w:t>
      </w:r>
    </w:p>
    <w:p w14:paraId="3EBE763E" w14:textId="3CBEAE9F" w:rsidR="005A63A4" w:rsidRPr="00D92E20" w:rsidRDefault="00245A36" w:rsidP="00000A90">
      <w:pPr>
        <w:spacing w:before="120" w:after="120"/>
        <w:jc w:val="both"/>
        <w:rPr>
          <w:rFonts w:cs="Arial"/>
          <w:szCs w:val="16"/>
        </w:rPr>
      </w:pPr>
      <w:r w:rsidRPr="00D92E20">
        <w:rPr>
          <w:rFonts w:cs="Arial"/>
          <w:szCs w:val="16"/>
        </w:rPr>
        <w:lastRenderedPageBreak/>
        <w:t>Již od roku 200</w:t>
      </w:r>
      <w:r w:rsidR="00C24683" w:rsidRPr="00D92E20">
        <w:rPr>
          <w:rFonts w:cs="Arial"/>
          <w:szCs w:val="16"/>
        </w:rPr>
        <w:t>8</w:t>
      </w:r>
      <w:r w:rsidRPr="00D92E20">
        <w:rPr>
          <w:rFonts w:cs="Arial"/>
          <w:szCs w:val="16"/>
        </w:rPr>
        <w:t xml:space="preserve"> postupně klesal objem vyplacených dávek nemocenského až do roku 2012 (celkem o</w:t>
      </w:r>
      <w:r w:rsidR="0028392B" w:rsidRPr="00D92E20">
        <w:rPr>
          <w:rFonts w:cs="Arial"/>
          <w:szCs w:val="16"/>
        </w:rPr>
        <w:t> </w:t>
      </w:r>
      <w:r w:rsidR="00C24683" w:rsidRPr="00D92E20">
        <w:rPr>
          <w:rFonts w:cs="Arial"/>
          <w:szCs w:val="16"/>
        </w:rPr>
        <w:t>13,3</w:t>
      </w:r>
      <w:r w:rsidR="0028392B" w:rsidRPr="00D92E20">
        <w:rPr>
          <w:rFonts w:cs="Arial"/>
          <w:szCs w:val="16"/>
        </w:rPr>
        <w:t> </w:t>
      </w:r>
      <w:r w:rsidRPr="00D92E20">
        <w:rPr>
          <w:rFonts w:cs="Arial"/>
          <w:szCs w:val="16"/>
        </w:rPr>
        <w:t>mld. Kč), kdy dosáhl pouze 4</w:t>
      </w:r>
      <w:r w:rsidR="00C24683" w:rsidRPr="00D92E20">
        <w:rPr>
          <w:rFonts w:cs="Arial"/>
          <w:szCs w:val="16"/>
        </w:rPr>
        <w:t>6</w:t>
      </w:r>
      <w:r w:rsidRPr="00D92E20">
        <w:rPr>
          <w:rFonts w:cs="Arial"/>
          <w:szCs w:val="16"/>
        </w:rPr>
        <w:t xml:space="preserve"> % objemu nemocenského vyplaceného v roce 200</w:t>
      </w:r>
      <w:r w:rsidR="00C24683" w:rsidRPr="00D92E20">
        <w:rPr>
          <w:rFonts w:cs="Arial"/>
          <w:szCs w:val="16"/>
        </w:rPr>
        <w:t>8</w:t>
      </w:r>
      <w:r w:rsidRPr="00D92E20">
        <w:rPr>
          <w:rFonts w:cs="Arial"/>
          <w:szCs w:val="16"/>
        </w:rPr>
        <w:t>. V posledních třech letech dochází k nárůstu výdajů za nemocenské. O</w:t>
      </w:r>
      <w:r w:rsidR="00A9119B" w:rsidRPr="00D92E20">
        <w:rPr>
          <w:rFonts w:cs="Arial"/>
          <w:szCs w:val="16"/>
        </w:rPr>
        <w:t>proti</w:t>
      </w:r>
      <w:r w:rsidRPr="00D92E20">
        <w:rPr>
          <w:rFonts w:cs="Arial"/>
          <w:szCs w:val="16"/>
        </w:rPr>
        <w:t xml:space="preserve"> roku 2018 se zvýšily o 10 mld. Kč, tj. o 44 %.</w:t>
      </w:r>
    </w:p>
    <w:p w14:paraId="4C325D5A" w14:textId="77777777" w:rsidR="005A63A4" w:rsidRPr="00D92E20" w:rsidRDefault="005A63A4" w:rsidP="005A63A4">
      <w:pPr>
        <w:spacing w:before="120" w:after="120"/>
        <w:jc w:val="both"/>
      </w:pPr>
      <w:r w:rsidRPr="00D92E20">
        <w:t>Podrobnější informace k výdajům na nemocenské a dalším dávkám, které jsou poskytovány ze systému nemocenského pojištění, naleznete na internetových stránkách MPSV v analýze Informace o vyplacených dávkách v resortu MPSV ČR.</w:t>
      </w:r>
    </w:p>
    <w:p w14:paraId="07631271" w14:textId="77777777" w:rsidR="00D93ABC" w:rsidRPr="00D92E20" w:rsidRDefault="00D93ABC" w:rsidP="00000A90">
      <w:pPr>
        <w:pStyle w:val="Nadpis3"/>
        <w:numPr>
          <w:ilvl w:val="2"/>
          <w:numId w:val="5"/>
        </w:numPr>
        <w:spacing w:after="120"/>
        <w:ind w:left="709"/>
      </w:pPr>
      <w:bookmarkStart w:id="26" w:name="_Toc70950134"/>
      <w:r w:rsidRPr="00D92E20">
        <w:t>Vliv pandemie Covid-19 na dávky nemocenského pojištění</w:t>
      </w:r>
      <w:bookmarkEnd w:id="26"/>
    </w:p>
    <w:p w14:paraId="7EC73298" w14:textId="0D33E103" w:rsidR="004440FE" w:rsidRPr="00D92E20" w:rsidRDefault="00B212D5" w:rsidP="00000A90">
      <w:pPr>
        <w:pStyle w:val="Default"/>
        <w:spacing w:before="120" w:after="120" w:line="288" w:lineRule="auto"/>
        <w:jc w:val="both"/>
        <w:rPr>
          <w:rFonts w:eastAsia="Times New Roman" w:cs="Times New Roman"/>
          <w:color w:val="auto"/>
          <w:sz w:val="20"/>
          <w:lang w:eastAsia="cs-CZ"/>
        </w:rPr>
      </w:pPr>
      <w:r w:rsidRPr="00D92E20">
        <w:rPr>
          <w:rFonts w:eastAsia="Times New Roman" w:cs="Times New Roman"/>
          <w:color w:val="auto"/>
          <w:sz w:val="20"/>
          <w:lang w:eastAsia="cs-CZ"/>
        </w:rPr>
        <w:t xml:space="preserve">Obvykle platí, že nemocenské je skutečně peněžně nejvýznamnější dávkou nemocenského pojištění. </w:t>
      </w:r>
      <w:r w:rsidR="00016392" w:rsidRPr="00D92E20">
        <w:rPr>
          <w:rFonts w:eastAsia="Times New Roman" w:cs="Times New Roman"/>
          <w:color w:val="auto"/>
          <w:sz w:val="20"/>
          <w:lang w:eastAsia="cs-CZ"/>
        </w:rPr>
        <w:t>Vlivem</w:t>
      </w:r>
      <w:r w:rsidRPr="00D92E20">
        <w:rPr>
          <w:rFonts w:eastAsia="Times New Roman" w:cs="Times New Roman"/>
          <w:color w:val="auto"/>
          <w:sz w:val="20"/>
          <w:lang w:eastAsia="cs-CZ"/>
        </w:rPr>
        <w:t xml:space="preserve"> pandemie nemoci Covid-19 však došlo k tomu, že v červnu 2020 výdaje na ošetřovné (3 929 mil. Kč) předčily (zejména z důvodu zavřených škol či jiných zařízení) výdaje na nemocenské (3 383 mil. Kč). V červnu 2019 přitom byly vyplacené dávky ošetřovného v hodnotě 131,6 mil. Kč, tedy téměř 30krát nižší.</w:t>
      </w:r>
      <w:r w:rsidR="00AF2FBF" w:rsidRPr="00D92E20">
        <w:t xml:space="preserve"> </w:t>
      </w:r>
      <w:r w:rsidR="00B67A38" w:rsidRPr="00D92E20">
        <w:rPr>
          <w:rFonts w:eastAsia="Times New Roman" w:cs="Times New Roman"/>
          <w:color w:val="auto"/>
          <w:sz w:val="20"/>
          <w:lang w:eastAsia="cs-CZ"/>
        </w:rPr>
        <w:t>Navýšení nákladů bylo způsobeno jednak vyšším počtem případů, jednak zvýšením částky pro výpočet ošetřovného při epidemii uzákoněné na podzim roku 2020. Z dosud počítaných 60 % na 70 %</w:t>
      </w:r>
      <w:r w:rsidR="00B67A38" w:rsidRPr="00D92E20">
        <w:rPr>
          <w:rStyle w:val="Znakapoznpodarou"/>
          <w:rFonts w:eastAsia="Times New Roman" w:cs="Times New Roman"/>
          <w:color w:val="auto"/>
          <w:sz w:val="20"/>
          <w:lang w:eastAsia="cs-CZ"/>
        </w:rPr>
        <w:footnoteReference w:id="3"/>
      </w:r>
      <w:r w:rsidR="00B67A38" w:rsidRPr="00D92E20">
        <w:rPr>
          <w:rFonts w:eastAsia="Times New Roman" w:cs="Times New Roman"/>
          <w:color w:val="auto"/>
          <w:sz w:val="20"/>
          <w:lang w:eastAsia="cs-CZ"/>
        </w:rPr>
        <w:t xml:space="preserve"> redukovaného denního vyměřovacího základu. </w:t>
      </w:r>
      <w:r w:rsidR="00B71CB0" w:rsidRPr="00D92E20">
        <w:rPr>
          <w:rFonts w:eastAsia="Times New Roman" w:cs="Times New Roman"/>
          <w:color w:val="auto"/>
          <w:sz w:val="20"/>
          <w:lang w:eastAsia="cs-CZ"/>
        </w:rPr>
        <w:t>Zatímco dříve bylo možné čerpat ošetřovné maximálně 9 dnů, při uzavření školních a</w:t>
      </w:r>
      <w:r w:rsidR="00EA5FF4" w:rsidRPr="00D92E20">
        <w:rPr>
          <w:rFonts w:eastAsia="Times New Roman" w:cs="Times New Roman"/>
          <w:color w:val="auto"/>
          <w:sz w:val="20"/>
          <w:lang w:eastAsia="cs-CZ"/>
        </w:rPr>
        <w:t> </w:t>
      </w:r>
      <w:r w:rsidR="00B71CB0" w:rsidRPr="00D92E20">
        <w:rPr>
          <w:rFonts w:eastAsia="Times New Roman" w:cs="Times New Roman"/>
          <w:color w:val="auto"/>
          <w:sz w:val="20"/>
          <w:lang w:eastAsia="cs-CZ"/>
        </w:rPr>
        <w:t xml:space="preserve">dětských zařízení trvá podpůrčí doba po celou dobu trvání těchto mimořádných opatření. </w:t>
      </w:r>
      <w:r w:rsidR="00AF2FBF" w:rsidRPr="00D92E20">
        <w:rPr>
          <w:rFonts w:eastAsia="Times New Roman" w:cs="Times New Roman"/>
          <w:color w:val="auto"/>
          <w:sz w:val="20"/>
          <w:lang w:eastAsia="cs-CZ"/>
        </w:rPr>
        <w:t>Náklady na ošetřovné za celý rok 2020 představovaly 11 442 mil. Kč</w:t>
      </w:r>
      <w:r w:rsidR="004440FE" w:rsidRPr="00D92E20">
        <w:rPr>
          <w:rFonts w:eastAsia="Times New Roman" w:cs="Times New Roman"/>
          <w:color w:val="auto"/>
          <w:sz w:val="20"/>
          <w:lang w:eastAsia="cs-CZ"/>
        </w:rPr>
        <w:t>, o 10 mld. více než před rokem</w:t>
      </w:r>
      <w:r w:rsidR="00AF2FBF" w:rsidRPr="00D92E20">
        <w:rPr>
          <w:rFonts w:eastAsia="Times New Roman" w:cs="Times New Roman"/>
          <w:color w:val="auto"/>
          <w:sz w:val="20"/>
          <w:lang w:eastAsia="cs-CZ"/>
        </w:rPr>
        <w:t xml:space="preserve">. </w:t>
      </w:r>
    </w:p>
    <w:p w14:paraId="3AECDE3D" w14:textId="1F0CC577" w:rsidR="00B212D5" w:rsidRPr="00D92E20" w:rsidRDefault="00EA0F31" w:rsidP="00000A90">
      <w:pPr>
        <w:pStyle w:val="Default"/>
        <w:spacing w:before="120" w:after="120" w:line="288" w:lineRule="auto"/>
        <w:jc w:val="both"/>
        <w:rPr>
          <w:rFonts w:eastAsia="Times New Roman" w:cs="Times New Roman"/>
          <w:color w:val="auto"/>
          <w:sz w:val="20"/>
          <w:lang w:eastAsia="cs-CZ"/>
        </w:rPr>
      </w:pPr>
      <w:r w:rsidRPr="00D92E20">
        <w:rPr>
          <w:rFonts w:eastAsia="Times New Roman" w:cs="Times New Roman"/>
          <w:color w:val="auto"/>
          <w:sz w:val="20"/>
          <w:lang w:eastAsia="cs-CZ"/>
        </w:rPr>
        <w:t>Mezi lety 2012</w:t>
      </w:r>
      <w:r w:rsidR="00AF2FBF" w:rsidRPr="00D92E20">
        <w:rPr>
          <w:rFonts w:eastAsia="Times New Roman" w:cs="Times New Roman"/>
          <w:color w:val="auto"/>
          <w:sz w:val="20"/>
          <w:lang w:eastAsia="cs-CZ"/>
        </w:rPr>
        <w:t xml:space="preserve"> a 2019 výdaje na ošetřovné činily 4</w:t>
      </w:r>
      <w:r w:rsidRPr="00D92E20">
        <w:rPr>
          <w:rFonts w:eastAsia="Times New Roman" w:cs="Times New Roman"/>
          <w:color w:val="auto"/>
          <w:sz w:val="20"/>
          <w:lang w:eastAsia="cs-CZ"/>
        </w:rPr>
        <w:t>–5</w:t>
      </w:r>
      <w:r w:rsidR="00AF2FBF" w:rsidRPr="00D92E20">
        <w:rPr>
          <w:rFonts w:eastAsia="Times New Roman" w:cs="Times New Roman"/>
          <w:color w:val="auto"/>
          <w:sz w:val="20"/>
          <w:lang w:eastAsia="cs-CZ"/>
        </w:rPr>
        <w:t xml:space="preserve"> % z celkových </w:t>
      </w:r>
      <w:r w:rsidR="00C56C80" w:rsidRPr="00D92E20">
        <w:rPr>
          <w:rFonts w:eastAsia="Times New Roman" w:cs="Times New Roman"/>
          <w:color w:val="auto"/>
          <w:sz w:val="20"/>
          <w:lang w:eastAsia="cs-CZ"/>
        </w:rPr>
        <w:t xml:space="preserve">výdajů na </w:t>
      </w:r>
      <w:r w:rsidR="00AF2FBF" w:rsidRPr="00D92E20">
        <w:rPr>
          <w:rFonts w:eastAsia="Times New Roman" w:cs="Times New Roman"/>
          <w:color w:val="auto"/>
          <w:sz w:val="20"/>
          <w:lang w:eastAsia="cs-CZ"/>
        </w:rPr>
        <w:t>dávk</w:t>
      </w:r>
      <w:r w:rsidR="00C56C80" w:rsidRPr="00D92E20">
        <w:rPr>
          <w:rFonts w:eastAsia="Times New Roman" w:cs="Times New Roman"/>
          <w:color w:val="auto"/>
          <w:sz w:val="20"/>
          <w:lang w:eastAsia="cs-CZ"/>
        </w:rPr>
        <w:t>y</w:t>
      </w:r>
      <w:r w:rsidR="00AF2FBF" w:rsidRPr="00D92E20">
        <w:rPr>
          <w:rFonts w:eastAsia="Times New Roman" w:cs="Times New Roman"/>
          <w:color w:val="auto"/>
          <w:sz w:val="20"/>
          <w:lang w:eastAsia="cs-CZ"/>
        </w:rPr>
        <w:t xml:space="preserve"> nemocenské</w:t>
      </w:r>
      <w:r w:rsidR="00C56C80" w:rsidRPr="00D92E20">
        <w:rPr>
          <w:rFonts w:eastAsia="Times New Roman" w:cs="Times New Roman"/>
          <w:color w:val="auto"/>
          <w:sz w:val="20"/>
          <w:lang w:eastAsia="cs-CZ"/>
        </w:rPr>
        <w:t>ho</w:t>
      </w:r>
      <w:r w:rsidR="00AF2FBF" w:rsidRPr="00D92E20">
        <w:rPr>
          <w:rFonts w:eastAsia="Times New Roman" w:cs="Times New Roman"/>
          <w:color w:val="auto"/>
          <w:sz w:val="20"/>
          <w:lang w:eastAsia="cs-CZ"/>
        </w:rPr>
        <w:t xml:space="preserve"> pojištění, v roce 2020 to byla </w:t>
      </w:r>
      <w:r w:rsidR="004440FE" w:rsidRPr="00D92E20">
        <w:rPr>
          <w:rFonts w:eastAsia="Times New Roman" w:cs="Times New Roman"/>
          <w:color w:val="auto"/>
          <w:sz w:val="20"/>
          <w:lang w:eastAsia="cs-CZ"/>
        </w:rPr>
        <w:t xml:space="preserve">již </w:t>
      </w:r>
      <w:r w:rsidR="00AF2FBF" w:rsidRPr="00D92E20">
        <w:rPr>
          <w:rFonts w:eastAsia="Times New Roman" w:cs="Times New Roman"/>
          <w:color w:val="auto"/>
          <w:sz w:val="20"/>
          <w:lang w:eastAsia="cs-CZ"/>
        </w:rPr>
        <w:t xml:space="preserve">více než pětina. Ačkoliv výdaje na nemocenské také meziročně vzrostly, procentuálně zaujímaly ve vyplácených dávkách méně, tedy jejich podíl se snížil </w:t>
      </w:r>
      <w:r w:rsidR="004440FE" w:rsidRPr="00D92E20">
        <w:rPr>
          <w:rFonts w:eastAsia="Times New Roman" w:cs="Times New Roman"/>
          <w:color w:val="auto"/>
          <w:sz w:val="20"/>
          <w:lang w:eastAsia="cs-CZ"/>
        </w:rPr>
        <w:t xml:space="preserve">právě </w:t>
      </w:r>
      <w:r w:rsidR="00AF2FBF" w:rsidRPr="00D92E20">
        <w:rPr>
          <w:rFonts w:eastAsia="Times New Roman" w:cs="Times New Roman"/>
          <w:color w:val="auto"/>
          <w:sz w:val="20"/>
          <w:lang w:eastAsia="cs-CZ"/>
        </w:rPr>
        <w:t xml:space="preserve">na úkor ošetřovného. V roce 2019 směřovalo 69 % prostředků </w:t>
      </w:r>
      <w:r w:rsidR="00C56C80" w:rsidRPr="00D92E20">
        <w:rPr>
          <w:rFonts w:eastAsia="Times New Roman" w:cs="Times New Roman"/>
          <w:color w:val="auto"/>
          <w:sz w:val="20"/>
          <w:lang w:eastAsia="cs-CZ"/>
        </w:rPr>
        <w:t xml:space="preserve">výdajů na dávky </w:t>
      </w:r>
      <w:r w:rsidR="00AF2FBF" w:rsidRPr="00D92E20">
        <w:rPr>
          <w:rFonts w:eastAsia="Times New Roman" w:cs="Times New Roman"/>
          <w:color w:val="auto"/>
          <w:sz w:val="20"/>
          <w:lang w:eastAsia="cs-CZ"/>
        </w:rPr>
        <w:t xml:space="preserve">nemocenského pojištění do nemocenského, v roce 2020 to bylo 59 %. </w:t>
      </w:r>
    </w:p>
    <w:p w14:paraId="2C16AF17" w14:textId="002D8D7F" w:rsidR="00AF2FBF" w:rsidRPr="00D92E20" w:rsidRDefault="00AF2FBF" w:rsidP="00000A90">
      <w:pPr>
        <w:pStyle w:val="Default"/>
        <w:spacing w:before="120" w:after="120" w:line="288" w:lineRule="auto"/>
        <w:jc w:val="both"/>
        <w:rPr>
          <w:rFonts w:eastAsia="Times New Roman" w:cs="Times New Roman"/>
          <w:color w:val="auto"/>
          <w:sz w:val="20"/>
          <w:lang w:eastAsia="cs-CZ"/>
        </w:rPr>
      </w:pPr>
      <w:r w:rsidRPr="00D92E20">
        <w:rPr>
          <w:rFonts w:eastAsia="Times New Roman" w:cs="Times New Roman"/>
          <w:color w:val="auto"/>
          <w:sz w:val="20"/>
          <w:lang w:eastAsia="cs-CZ"/>
        </w:rPr>
        <w:t>Zatímco do března roku 2020 bylo vyplácení dávky nemocenské</w:t>
      </w:r>
      <w:r w:rsidR="00C56C80" w:rsidRPr="00D92E20">
        <w:rPr>
          <w:rFonts w:eastAsia="Times New Roman" w:cs="Times New Roman"/>
          <w:color w:val="auto"/>
          <w:sz w:val="20"/>
          <w:lang w:eastAsia="cs-CZ"/>
        </w:rPr>
        <w:t>ho</w:t>
      </w:r>
      <w:r w:rsidRPr="00D92E20">
        <w:rPr>
          <w:rFonts w:eastAsia="Times New Roman" w:cs="Times New Roman"/>
          <w:color w:val="auto"/>
          <w:sz w:val="20"/>
          <w:lang w:eastAsia="cs-CZ"/>
        </w:rPr>
        <w:t xml:space="preserve"> pro případ karantény</w:t>
      </w:r>
      <w:r w:rsidRPr="00D92E20">
        <w:rPr>
          <w:rStyle w:val="Znakapoznpodarou"/>
          <w:rFonts w:eastAsia="Times New Roman" w:cs="Times New Roman"/>
          <w:color w:val="auto"/>
          <w:sz w:val="20"/>
          <w:lang w:eastAsia="cs-CZ"/>
        </w:rPr>
        <w:footnoteReference w:id="4"/>
      </w:r>
      <w:r w:rsidRPr="00D92E20">
        <w:rPr>
          <w:rFonts w:eastAsia="Times New Roman" w:cs="Times New Roman"/>
          <w:color w:val="auto"/>
          <w:sz w:val="20"/>
          <w:lang w:eastAsia="cs-CZ"/>
        </w:rPr>
        <w:t xml:space="preserve"> spíše teoretickým nárokem, kvůli vyhlášení nouzového stavu 12. 3. 2020, se stalo realitou. V lednu a únoru nebyla vystavena žádná neschopenka z důvodu karantény, zato v březnu jich bylo vydáno 36 tis. Každá desátá neschopenka vydaná v tomto měsíci kompenzovala ztrátu příjmu z důvodu karantény. </w:t>
      </w:r>
      <w:r w:rsidR="004440FE" w:rsidRPr="00D92E20">
        <w:rPr>
          <w:rFonts w:eastAsia="Times New Roman" w:cs="Times New Roman"/>
          <w:color w:val="auto"/>
          <w:sz w:val="20"/>
          <w:lang w:eastAsia="cs-CZ"/>
        </w:rPr>
        <w:t xml:space="preserve">Během </w:t>
      </w:r>
      <w:r w:rsidR="00EA0F31" w:rsidRPr="00D92E20">
        <w:rPr>
          <w:rFonts w:eastAsia="Times New Roman" w:cs="Times New Roman"/>
          <w:color w:val="auto"/>
          <w:sz w:val="20"/>
          <w:lang w:eastAsia="cs-CZ"/>
        </w:rPr>
        <w:t>následujících</w:t>
      </w:r>
      <w:r w:rsidR="004440FE" w:rsidRPr="00D92E20">
        <w:rPr>
          <w:rFonts w:eastAsia="Times New Roman" w:cs="Times New Roman"/>
          <w:color w:val="auto"/>
          <w:sz w:val="20"/>
          <w:lang w:eastAsia="cs-CZ"/>
        </w:rPr>
        <w:t xml:space="preserve"> měsíců bylo neschopenek z důvodu karantény méně. Vrchol nastal v říjnu, kdy bylo vydáno 119 224 karanténních neschopenek a tvořily tak 28 % všech vydaných neschopností. </w:t>
      </w:r>
      <w:r w:rsidR="005A3E66" w:rsidRPr="00D92E20">
        <w:rPr>
          <w:rFonts w:eastAsia="Times New Roman" w:cs="Times New Roman"/>
          <w:color w:val="auto"/>
          <w:sz w:val="20"/>
          <w:lang w:eastAsia="cs-CZ"/>
        </w:rPr>
        <w:t xml:space="preserve">Ve 4. čtvrtletí představovaly dokonce čtvrtinu všech neschopenek. </w:t>
      </w:r>
      <w:r w:rsidR="003C6B69" w:rsidRPr="00D92E20">
        <w:rPr>
          <w:rFonts w:eastAsia="Times New Roman" w:cs="Times New Roman"/>
          <w:color w:val="auto"/>
          <w:sz w:val="20"/>
          <w:lang w:eastAsia="cs-CZ"/>
        </w:rPr>
        <w:t>V roce 2020</w:t>
      </w:r>
      <w:r w:rsidRPr="00D92E20">
        <w:rPr>
          <w:rFonts w:eastAsia="Times New Roman" w:cs="Times New Roman"/>
          <w:color w:val="auto"/>
          <w:sz w:val="20"/>
          <w:lang w:eastAsia="cs-CZ"/>
        </w:rPr>
        <w:t xml:space="preserve"> bylo vystaveno celkem </w:t>
      </w:r>
      <w:r w:rsidR="004440FE" w:rsidRPr="00D92E20">
        <w:rPr>
          <w:rFonts w:eastAsia="Times New Roman" w:cs="Times New Roman"/>
          <w:color w:val="auto"/>
          <w:sz w:val="20"/>
          <w:lang w:eastAsia="cs-CZ"/>
        </w:rPr>
        <w:t>344</w:t>
      </w:r>
      <w:r w:rsidRPr="00D92E20">
        <w:rPr>
          <w:rFonts w:eastAsia="Times New Roman" w:cs="Times New Roman"/>
          <w:color w:val="auto"/>
          <w:sz w:val="20"/>
          <w:lang w:eastAsia="cs-CZ"/>
        </w:rPr>
        <w:t xml:space="preserve"> tis. karanténních neschopenek. </w:t>
      </w:r>
      <w:r w:rsidR="004440FE" w:rsidRPr="00D92E20">
        <w:rPr>
          <w:rFonts w:eastAsia="Times New Roman" w:cs="Times New Roman"/>
          <w:color w:val="auto"/>
          <w:sz w:val="20"/>
          <w:lang w:eastAsia="cs-CZ"/>
        </w:rPr>
        <w:t xml:space="preserve">Na všech vydaných zneschopněních se </w:t>
      </w:r>
      <w:r w:rsidR="003C6B69" w:rsidRPr="00D92E20">
        <w:rPr>
          <w:rFonts w:eastAsia="Times New Roman" w:cs="Times New Roman"/>
          <w:color w:val="auto"/>
          <w:sz w:val="20"/>
          <w:lang w:eastAsia="cs-CZ"/>
        </w:rPr>
        <w:t xml:space="preserve">karantény </w:t>
      </w:r>
      <w:r w:rsidR="004440FE" w:rsidRPr="00D92E20">
        <w:rPr>
          <w:rFonts w:eastAsia="Times New Roman" w:cs="Times New Roman"/>
          <w:color w:val="auto"/>
          <w:sz w:val="20"/>
          <w:lang w:eastAsia="cs-CZ"/>
        </w:rPr>
        <w:t xml:space="preserve">podílely 13 %. </w:t>
      </w:r>
      <w:r w:rsidRPr="00D92E20">
        <w:rPr>
          <w:rFonts w:eastAsia="Times New Roman" w:cs="Times New Roman"/>
          <w:color w:val="auto"/>
          <w:sz w:val="20"/>
          <w:lang w:eastAsia="cs-CZ"/>
        </w:rPr>
        <w:t>Nutno doplnit, že tato čísla odráží pouze případy pojištěnců, kteří mají na dávku nemocenského nárok a také o ni zažádali. Nerovná se počtu nařízených karantén od krajských hygienických stanic (karanténa může být nařízena i dětem, studentům či seniorům). Vzhledem k širším možnostem práce z domova, mohly osoby v</w:t>
      </w:r>
      <w:r w:rsidR="00C02C40" w:rsidRPr="00D92E20">
        <w:rPr>
          <w:rFonts w:eastAsia="Times New Roman" w:cs="Times New Roman"/>
          <w:color w:val="auto"/>
          <w:sz w:val="20"/>
          <w:lang w:eastAsia="cs-CZ"/>
        </w:rPr>
        <w:t> </w:t>
      </w:r>
      <w:r w:rsidRPr="00D92E20">
        <w:rPr>
          <w:rFonts w:eastAsia="Times New Roman" w:cs="Times New Roman"/>
          <w:color w:val="auto"/>
          <w:sz w:val="20"/>
          <w:lang w:eastAsia="cs-CZ"/>
        </w:rPr>
        <w:t>nařízené karanténě (pokud to povaha jejich práce dovolovala) i nadále pracovat za plnou mzdu, aniž by porušovaly pravidla karantény.</w:t>
      </w:r>
    </w:p>
    <w:p w14:paraId="0A18822E" w14:textId="012FD704" w:rsidR="005A63A4" w:rsidRPr="00D92E20" w:rsidRDefault="005A63A4" w:rsidP="005A63A4">
      <w:pPr>
        <w:spacing w:before="120" w:after="120"/>
        <w:jc w:val="both"/>
      </w:pPr>
      <w:r w:rsidRPr="00D92E20">
        <w:t xml:space="preserve">V kapitole 4.2, která analyzovala nově hlášené případy dočasné pracovní neschopnosti vč. délky jejího trvání, byl obzvláště v některých ekonomických sekcích patrný vliv pandemie Covid-19, resp. vládních opatření proti jejímu šíření. Vzrostl počet případů pro nemoc, zvýšil se počet kalendářních dnů v pracovní neschopnosti, naopak průměrná délka trvání případu pracovní neschopnosti se snížila. V sekci Ubytování, stravování a pohostinství meziročně přibylo 11 případů v přepočtu na 100 pojištěnců oproti roku 2019. Tato ekonomická sekce byla (a stále je) jednou z nejpostiženějších v důsledku zavedených opatření proti šíření epidemie (uzavření restaurací, barů a hotelů). Faktem je, že </w:t>
      </w:r>
      <w:r w:rsidR="00C56C80" w:rsidRPr="00D92E20">
        <w:t>v tomto odvětví</w:t>
      </w:r>
      <w:r w:rsidRPr="00D92E20">
        <w:t xml:space="preserve"> pracuje hodně OSVČ, kterých, jak bylo již uveden</w:t>
      </w:r>
      <w:r w:rsidR="00C56C80" w:rsidRPr="00D92E20">
        <w:t>o dříve, je nemocensky pojištěných</w:t>
      </w:r>
      <w:r w:rsidRPr="00D92E20">
        <w:t xml:space="preserve"> zhruba šestina. Nicméně dle zjištění Státního úřadu inspekce práce mnohdy docházelo k tomu, že zaměstnavatelé v době nuceného omezení či uzavření svých provozoven posílali zaměstnance na nemocenskou. Na druhou stranu mohlo docházet i k případům, kdy na nemocenskou „odcházeli“ zaměstnanci (resp. brigádníci) v době, kdy teprve hrozilo uzavření provozoven. Průměrné trvání </w:t>
      </w:r>
      <w:r w:rsidRPr="00D92E20">
        <w:lastRenderedPageBreak/>
        <w:t>případu pracovní neschopnosti v tomto odvětví bylo v roce 2020 v průměru o 3 dny delší než v roce 2019. Vzrostl i počet případů pracovní neschopnosti v sekci Těžba a dobývání, a sice o 27 na 71 případů při přepočtu na 100 pojištěnců. Průměrná délka se však zkrátila o 9 dnů. Dá se předpokládat vliv spíše krátkodobějších neschopenek vystavených kvůli nemoci Covid-19, resp. s ním spojených karantén na Karvinsku.</w:t>
      </w:r>
    </w:p>
    <w:p w14:paraId="7D47D287" w14:textId="0F43196C" w:rsidR="00B212D5" w:rsidRPr="00D92E20" w:rsidRDefault="003C6B69" w:rsidP="00000A90">
      <w:pPr>
        <w:spacing w:after="0"/>
        <w:jc w:val="both"/>
        <w:rPr>
          <w:b/>
        </w:rPr>
      </w:pPr>
      <w:r w:rsidRPr="00D92E20">
        <w:rPr>
          <w:b/>
        </w:rPr>
        <w:t xml:space="preserve">Graf 4.2: Počet </w:t>
      </w:r>
      <w:r w:rsidR="004D0495" w:rsidRPr="00D92E20">
        <w:rPr>
          <w:b/>
        </w:rPr>
        <w:t>případů pracovní</w:t>
      </w:r>
      <w:r w:rsidRPr="00D92E20">
        <w:rPr>
          <w:b/>
        </w:rPr>
        <w:t xml:space="preserve"> neschopnost</w:t>
      </w:r>
      <w:r w:rsidR="004D0495" w:rsidRPr="00D92E20">
        <w:rPr>
          <w:b/>
        </w:rPr>
        <w:t>i</w:t>
      </w:r>
      <w:r w:rsidRPr="00D92E20">
        <w:rPr>
          <w:b/>
        </w:rPr>
        <w:t xml:space="preserve"> z důvodu karantény a jejich podíl na celkovém počtu vydaných neschopenek, březen</w:t>
      </w:r>
      <w:r w:rsidR="00EA0F31" w:rsidRPr="00D92E20">
        <w:rPr>
          <w:b/>
        </w:rPr>
        <w:t>–</w:t>
      </w:r>
      <w:r w:rsidRPr="00D92E20">
        <w:rPr>
          <w:b/>
        </w:rPr>
        <w:t>prosinec 2020</w:t>
      </w:r>
    </w:p>
    <w:p w14:paraId="476488B1" w14:textId="77777777" w:rsidR="003C6B69" w:rsidRPr="00D92E20" w:rsidRDefault="003C6B69" w:rsidP="003C6B69">
      <w:pPr>
        <w:jc w:val="both"/>
        <w:rPr>
          <w:b/>
        </w:rPr>
      </w:pPr>
      <w:r w:rsidRPr="00D92E20">
        <w:rPr>
          <w:noProof/>
        </w:rPr>
        <w:drawing>
          <wp:inline distT="0" distB="0" distL="0" distR="0" wp14:anchorId="39ACE7AC" wp14:editId="5C300E8B">
            <wp:extent cx="6057900" cy="2857500"/>
            <wp:effectExtent l="0" t="0" r="0" b="0"/>
            <wp:docPr id="40" name="Graf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6DCCDAE" w14:textId="77777777" w:rsidR="003C6B69" w:rsidRPr="00D92E20" w:rsidRDefault="003C6B69" w:rsidP="00000A90">
      <w:pPr>
        <w:spacing w:after="120"/>
        <w:jc w:val="both"/>
        <w:rPr>
          <w:sz w:val="16"/>
        </w:rPr>
      </w:pPr>
      <w:r w:rsidRPr="00D92E20">
        <w:rPr>
          <w:sz w:val="16"/>
        </w:rPr>
        <w:t>Zdroj: ČSSZ</w:t>
      </w:r>
    </w:p>
    <w:p w14:paraId="1026E10D" w14:textId="77777777" w:rsidR="003C6B69" w:rsidRPr="00D92E20" w:rsidRDefault="003C6B69" w:rsidP="00000A90">
      <w:pPr>
        <w:spacing w:before="120" w:after="120"/>
        <w:jc w:val="both"/>
        <w:rPr>
          <w:bCs/>
        </w:rPr>
      </w:pPr>
      <w:r w:rsidRPr="00D92E20">
        <w:rPr>
          <w:bCs/>
        </w:rPr>
        <w:t>Oproti roku 2019 ubylo pracovních i mimopracovních úrazů, což může souviset s vyhlášením nouzového stavu na jaře roku 2020, uzavřením některých podniků, omezení volného pohybu a větší mírou práce z domova.</w:t>
      </w:r>
    </w:p>
    <w:p w14:paraId="3E94734F" w14:textId="4ADB6E11" w:rsidR="003C6B69" w:rsidRPr="00D92E20" w:rsidRDefault="003C6B69" w:rsidP="00000A90">
      <w:pPr>
        <w:spacing w:after="0"/>
        <w:jc w:val="both"/>
        <w:rPr>
          <w:b/>
          <w:bCs/>
        </w:rPr>
      </w:pPr>
      <w:r w:rsidRPr="00D92E20">
        <w:rPr>
          <w:b/>
          <w:bCs/>
        </w:rPr>
        <w:t xml:space="preserve">Graf 4.3: Počet </w:t>
      </w:r>
      <w:r w:rsidR="004D0495" w:rsidRPr="00D92E20">
        <w:rPr>
          <w:b/>
          <w:bCs/>
        </w:rPr>
        <w:t xml:space="preserve">případů </w:t>
      </w:r>
      <w:r w:rsidR="004D0495" w:rsidRPr="00D92E20">
        <w:rPr>
          <w:b/>
        </w:rPr>
        <w:t>pracovní neschopnosti z důvodu karantény</w:t>
      </w:r>
      <w:r w:rsidRPr="00D92E20">
        <w:rPr>
          <w:b/>
          <w:bCs/>
        </w:rPr>
        <w:t>, březen–prosinec 2020</w:t>
      </w:r>
    </w:p>
    <w:p w14:paraId="60187164" w14:textId="77777777" w:rsidR="003C6B69" w:rsidRPr="00D92E20" w:rsidRDefault="003C6B69" w:rsidP="003C6B69">
      <w:pPr>
        <w:jc w:val="both"/>
        <w:rPr>
          <w:b/>
        </w:rPr>
      </w:pPr>
      <w:r w:rsidRPr="00D92E20">
        <w:rPr>
          <w:noProof/>
        </w:rPr>
        <w:drawing>
          <wp:inline distT="0" distB="0" distL="0" distR="0" wp14:anchorId="7A5EF5A4" wp14:editId="28029FA6">
            <wp:extent cx="6120130" cy="2804795"/>
            <wp:effectExtent l="0" t="0" r="13970" b="14605"/>
            <wp:docPr id="41" name="Graf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4C30569" w14:textId="77777777" w:rsidR="003C6B69" w:rsidRPr="00D92E20" w:rsidRDefault="003C6B69" w:rsidP="003C6B69">
      <w:pPr>
        <w:spacing w:after="120"/>
        <w:jc w:val="both"/>
        <w:rPr>
          <w:sz w:val="16"/>
        </w:rPr>
      </w:pPr>
      <w:r w:rsidRPr="00D92E20">
        <w:rPr>
          <w:sz w:val="16"/>
        </w:rPr>
        <w:t>Zdroj: ČSSZ</w:t>
      </w:r>
    </w:p>
    <w:p w14:paraId="68B35F30" w14:textId="77777777" w:rsidR="004907AB" w:rsidRPr="00D92E20" w:rsidRDefault="004907AB" w:rsidP="003C6B69">
      <w:pPr>
        <w:spacing w:after="120"/>
        <w:jc w:val="both"/>
        <w:rPr>
          <w:sz w:val="16"/>
        </w:rPr>
      </w:pPr>
    </w:p>
    <w:p w14:paraId="4457B0AB" w14:textId="77777777" w:rsidR="00000A90" w:rsidRPr="00D92E20" w:rsidRDefault="00000A90">
      <w:pPr>
        <w:spacing w:after="0" w:line="240" w:lineRule="auto"/>
        <w:rPr>
          <w:rFonts w:eastAsia="MS Gothic"/>
          <w:b/>
          <w:bCs/>
          <w:color w:val="BC091B"/>
          <w:sz w:val="24"/>
        </w:rPr>
      </w:pPr>
      <w:bookmarkStart w:id="27" w:name="_Toc54262806"/>
      <w:bookmarkStart w:id="28" w:name="_Toc70950135"/>
      <w:r w:rsidRPr="00D92E20">
        <w:br w:type="page"/>
      </w:r>
    </w:p>
    <w:p w14:paraId="7321701A" w14:textId="77777777" w:rsidR="004907AB" w:rsidRPr="00D92E20" w:rsidRDefault="004907AB" w:rsidP="00000A90">
      <w:pPr>
        <w:pStyle w:val="Nadpis3"/>
        <w:numPr>
          <w:ilvl w:val="1"/>
          <w:numId w:val="5"/>
        </w:numPr>
        <w:spacing w:after="120"/>
        <w:ind w:left="426" w:hanging="403"/>
      </w:pPr>
      <w:r w:rsidRPr="00D92E20">
        <w:lastRenderedPageBreak/>
        <w:t>Pracovní úrazy</w:t>
      </w:r>
      <w:bookmarkEnd w:id="27"/>
      <w:bookmarkEnd w:id="28"/>
    </w:p>
    <w:p w14:paraId="64D6896F" w14:textId="77777777" w:rsidR="004907AB" w:rsidRPr="00D92E20" w:rsidRDefault="004907AB" w:rsidP="00000A90">
      <w:pPr>
        <w:spacing w:after="120"/>
        <w:jc w:val="both"/>
      </w:pPr>
      <w:r w:rsidRPr="00D92E20">
        <w:t>V oblasti pracovní úrazovosti ukládá česká i evropská legislativa zaměstnavatelům řadu povinností související</w:t>
      </w:r>
      <w:r w:rsidR="00EA0F31" w:rsidRPr="00D92E20">
        <w:t>ch</w:t>
      </w:r>
      <w:r w:rsidRPr="00D92E20">
        <w:t xml:space="preserve"> s evidencí, hlášením a objasněním příčin a okolností vzniku každého pracovního úrazu. </w:t>
      </w:r>
    </w:p>
    <w:p w14:paraId="1563480F" w14:textId="77777777" w:rsidR="00F20CF3" w:rsidRPr="00D92E20" w:rsidRDefault="00F20CF3" w:rsidP="00000A90">
      <w:pPr>
        <w:pStyle w:val="Box1"/>
        <w:spacing w:before="120" w:after="120"/>
        <w:ind w:left="0"/>
        <w:contextualSpacing w:val="0"/>
        <w:jc w:val="both"/>
        <w:rPr>
          <w:i/>
        </w:rPr>
      </w:pPr>
      <w:r w:rsidRPr="00D92E20">
        <w:rPr>
          <w:b/>
          <w:i/>
        </w:rPr>
        <w:t xml:space="preserve">Pracovní úraz </w:t>
      </w:r>
      <w:r w:rsidRPr="00D92E20">
        <w:rPr>
          <w:i/>
        </w:rPr>
        <w:t>– pracovním úrazem se rozumí poškození zdraví nebo smrt zaměstnance, došlo-li k nim nezávisle na jeho vůli krátkodobým, náhlým a násilným působením zevních vlivů při plnění pracovních úkolů nebo v přímé souvislosti s ním (viz § 271k odst. 1 až 3 zákona č. 262/2006 Sb., zákoník práce, ve znění pozdějších předpisů).</w:t>
      </w:r>
    </w:p>
    <w:p w14:paraId="1CD02E09" w14:textId="77777777" w:rsidR="00F20CF3" w:rsidRPr="00D92E20" w:rsidRDefault="00F20CF3" w:rsidP="00000A90">
      <w:pPr>
        <w:pStyle w:val="Box1"/>
        <w:spacing w:before="120" w:after="120"/>
        <w:ind w:left="0"/>
        <w:contextualSpacing w:val="0"/>
        <w:jc w:val="both"/>
        <w:rPr>
          <w:b/>
          <w:i/>
        </w:rPr>
      </w:pPr>
      <w:r w:rsidRPr="00D92E20">
        <w:rPr>
          <w:b/>
          <w:i/>
        </w:rPr>
        <w:t>Smrtelný pracovní úraz</w:t>
      </w:r>
      <w:r w:rsidRPr="00D92E20">
        <w:rPr>
          <w:i/>
        </w:rPr>
        <w:t xml:space="preserve"> – je takové poškození zdraví, na jehož následky úrazem postižený zaměstnanec nejpozději do 1 roku zemřel.</w:t>
      </w:r>
    </w:p>
    <w:p w14:paraId="7982C6CA" w14:textId="77777777" w:rsidR="00F20CF3" w:rsidRPr="00D92E20" w:rsidRDefault="00F20CF3" w:rsidP="00000A90">
      <w:pPr>
        <w:pStyle w:val="Box1"/>
        <w:spacing w:before="120" w:after="120"/>
        <w:ind w:left="0"/>
        <w:contextualSpacing w:val="0"/>
        <w:jc w:val="both"/>
        <w:rPr>
          <w:b/>
          <w:i/>
        </w:rPr>
      </w:pPr>
      <w:r w:rsidRPr="00D92E20">
        <w:rPr>
          <w:b/>
          <w:i/>
        </w:rPr>
        <w:t>Závažný pracovní úraz</w:t>
      </w:r>
      <w:r w:rsidRPr="00D92E20">
        <w:rPr>
          <w:i/>
        </w:rPr>
        <w:t xml:space="preserve"> – je takové poškození zdraví, trvá-li hospitalizace úrazem postiženého zaměstnance déle než 5 dnů.</w:t>
      </w:r>
    </w:p>
    <w:p w14:paraId="29112414" w14:textId="77777777" w:rsidR="00F20CF3" w:rsidRPr="00D92E20" w:rsidRDefault="00F20CF3" w:rsidP="00000A90">
      <w:pPr>
        <w:pStyle w:val="Box1"/>
        <w:spacing w:before="120" w:after="120"/>
        <w:ind w:left="0"/>
        <w:contextualSpacing w:val="0"/>
        <w:jc w:val="both"/>
        <w:rPr>
          <w:i/>
        </w:rPr>
      </w:pPr>
      <w:r w:rsidRPr="00D92E20">
        <w:rPr>
          <w:b/>
          <w:i/>
        </w:rPr>
        <w:t xml:space="preserve">Pracovní úraz s pracovní neschopností delší než 3 dny </w:t>
      </w:r>
      <w:r w:rsidRPr="00D92E20">
        <w:rPr>
          <w:i/>
        </w:rPr>
        <w:t>– ukazatel zahrnuje případy pracovních úrazů, které měly za následek dočasnou pracovní neschopnost delší než tři kalendářní dny. Do těchto tří dnů se nezapočítává den, ve kterém k úrazu došlo.</w:t>
      </w:r>
    </w:p>
    <w:p w14:paraId="11A1CDF0" w14:textId="77777777" w:rsidR="00F20CF3" w:rsidRPr="00D92E20" w:rsidRDefault="00F20CF3" w:rsidP="00000A90">
      <w:pPr>
        <w:spacing w:before="120" w:after="120"/>
        <w:jc w:val="both"/>
      </w:pPr>
      <w:r w:rsidRPr="00D92E20">
        <w:t>Ohlášení pracovního úrazu místně příslušnému Oblastnímu inspektorátu práce (OIP) podléhá smrtelný pracovní úraz a pracovní úraz s hospitalizací delší než 5 dnů (tzv. závažný pracovní úraz) nebo lze-li vzhledem k povaze zranění takovou dobu hospitalizace předpokládat. Vyhotovit záznam o úrazu (vč. případného hlášení změn) a zaslat jej na místně příslušný OIP je zaměstnavatel povinen i u pracovního úrazu s pracovní neschopností delší než 3 dny. V závislosti na druhu a okolnostech vzniku pracovního úrazu se pracovní úraz ohlašuje a záznam o něm se zasílá ještě na další stanovené orgány a instituce. Evidenci všech úrazů, tedy i takových, kterými nebyla způsobena pracovní neschopnost nebo jimi byla způsobena pracovní neschopnost nepřesahující 3 kalendářní dny, je zaměstnavatel povinen vést v knize úrazů.</w:t>
      </w:r>
    </w:p>
    <w:p w14:paraId="07662C49" w14:textId="2CCF3D41" w:rsidR="00F20CF3" w:rsidRPr="00D92E20" w:rsidRDefault="00F20CF3" w:rsidP="00000A90">
      <w:pPr>
        <w:spacing w:before="120" w:after="120"/>
        <w:jc w:val="both"/>
        <w:rPr>
          <w:rFonts w:cs="Arial"/>
        </w:rPr>
      </w:pPr>
      <w:r w:rsidRPr="00D92E20">
        <w:rPr>
          <w:bCs/>
        </w:rPr>
        <w:t>Absolutní počet nově hlášených případů dočasné pracovní neschopnosti</w:t>
      </w:r>
      <w:r w:rsidRPr="00D92E20">
        <w:rPr>
          <w:rFonts w:cs="Arial"/>
        </w:rPr>
        <w:t xml:space="preserve"> pro pracovní úraz poklesl ze 44</w:t>
      </w:r>
      <w:r w:rsidR="00EA5FF4" w:rsidRPr="00D92E20">
        <w:rPr>
          <w:rFonts w:cs="Arial"/>
        </w:rPr>
        <w:t> </w:t>
      </w:r>
      <w:r w:rsidRPr="00D92E20">
        <w:rPr>
          <w:rFonts w:cs="Arial"/>
        </w:rPr>
        <w:t>552</w:t>
      </w:r>
      <w:r w:rsidR="00EA5FF4" w:rsidRPr="00D92E20">
        <w:rPr>
          <w:rFonts w:cs="Arial"/>
        </w:rPr>
        <w:t> </w:t>
      </w:r>
      <w:r w:rsidRPr="00D92E20">
        <w:rPr>
          <w:rFonts w:cs="Arial"/>
        </w:rPr>
        <w:t xml:space="preserve">případů v roce 2019 na 41 358 případů v roce 2020 (tj. o 8 %). V roce 2020 se tak událo nejméně pracovních úrazů za posledních 10 let. Z tohoto celkového počtu bylo 40 569 případů (98 %) </w:t>
      </w:r>
      <w:r w:rsidRPr="00D92E20">
        <w:rPr>
          <w:rFonts w:cs="Arial"/>
          <w:b/>
        </w:rPr>
        <w:t>pracovních úrazů s</w:t>
      </w:r>
      <w:r w:rsidR="00C02C40" w:rsidRPr="00D92E20">
        <w:rPr>
          <w:rFonts w:cs="Arial"/>
          <w:b/>
        </w:rPr>
        <w:t> </w:t>
      </w:r>
      <w:r w:rsidRPr="00D92E20">
        <w:rPr>
          <w:rFonts w:cs="Arial"/>
          <w:b/>
        </w:rPr>
        <w:t>pracovní neschopností delší než 3 kalendářní dny</w:t>
      </w:r>
      <w:r w:rsidRPr="00D92E20">
        <w:rPr>
          <w:rFonts w:cs="Arial"/>
        </w:rPr>
        <w:t xml:space="preserve"> (tedy těch, které podléhají povinnosti vyhotovit záznam o úrazu a zaslat jej OIP).</w:t>
      </w:r>
    </w:p>
    <w:p w14:paraId="75BD938E" w14:textId="0F9B492E" w:rsidR="00BF4256" w:rsidRPr="00D92E20" w:rsidRDefault="00BF4256" w:rsidP="00000A90">
      <w:pPr>
        <w:spacing w:after="0"/>
        <w:jc w:val="both"/>
        <w:rPr>
          <w:rFonts w:cs="Arial"/>
          <w:b/>
        </w:rPr>
      </w:pPr>
      <w:r w:rsidRPr="00D92E20">
        <w:rPr>
          <w:rFonts w:cs="Arial"/>
          <w:b/>
        </w:rPr>
        <w:t xml:space="preserve">Tab. 5.1: Pracovní úrazy podle </w:t>
      </w:r>
      <w:r w:rsidR="0032235A" w:rsidRPr="00D92E20">
        <w:rPr>
          <w:rFonts w:cs="Arial"/>
          <w:b/>
        </w:rPr>
        <w:t>závažnosti a pohlaví</w:t>
      </w:r>
      <w:r w:rsidRPr="00D92E20">
        <w:rPr>
          <w:rFonts w:cs="Arial"/>
          <w:b/>
        </w:rPr>
        <w:t>, 2010–2020</w:t>
      </w:r>
    </w:p>
    <w:tbl>
      <w:tblPr>
        <w:tblW w:w="9600" w:type="dxa"/>
        <w:tblCellMar>
          <w:left w:w="70" w:type="dxa"/>
          <w:right w:w="70" w:type="dxa"/>
        </w:tblCellMar>
        <w:tblLook w:val="04A0" w:firstRow="1" w:lastRow="0" w:firstColumn="1" w:lastColumn="0" w:noHBand="0" w:noVBand="1"/>
      </w:tblPr>
      <w:tblGrid>
        <w:gridCol w:w="960"/>
        <w:gridCol w:w="960"/>
        <w:gridCol w:w="960"/>
        <w:gridCol w:w="960"/>
        <w:gridCol w:w="960"/>
        <w:gridCol w:w="960"/>
        <w:gridCol w:w="960"/>
        <w:gridCol w:w="960"/>
        <w:gridCol w:w="960"/>
        <w:gridCol w:w="960"/>
      </w:tblGrid>
      <w:tr w:rsidR="00BF4256" w:rsidRPr="00D92E20" w14:paraId="2B6AF5B0" w14:textId="77777777" w:rsidTr="00BF4256">
        <w:trPr>
          <w:trHeight w:val="300"/>
        </w:trPr>
        <w:tc>
          <w:tcPr>
            <w:tcW w:w="960" w:type="dxa"/>
            <w:vMerge w:val="restart"/>
            <w:tcBorders>
              <w:top w:val="single" w:sz="4" w:space="0" w:color="auto"/>
              <w:left w:val="nil"/>
              <w:bottom w:val="single" w:sz="4" w:space="0" w:color="auto"/>
              <w:right w:val="single" w:sz="4" w:space="0" w:color="auto"/>
            </w:tcBorders>
            <w:shd w:val="clear" w:color="000000" w:fill="F5DADD"/>
            <w:vAlign w:val="center"/>
            <w:hideMark/>
          </w:tcPr>
          <w:p w14:paraId="04D2A0C8"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Rok</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1F6EC53E"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 xml:space="preserve">Počet pracovních úrazů s pracovní neschopností </w:t>
            </w:r>
          </w:p>
        </w:tc>
        <w:tc>
          <w:tcPr>
            <w:tcW w:w="2880" w:type="dxa"/>
            <w:gridSpan w:val="3"/>
            <w:vMerge w:val="restart"/>
            <w:tcBorders>
              <w:top w:val="single" w:sz="4" w:space="0" w:color="auto"/>
              <w:left w:val="single" w:sz="4" w:space="0" w:color="auto"/>
              <w:bottom w:val="single" w:sz="4" w:space="0" w:color="000000"/>
              <w:right w:val="single" w:sz="4" w:space="0" w:color="000000"/>
            </w:tcBorders>
            <w:shd w:val="clear" w:color="000000" w:fill="F5DADD"/>
            <w:vAlign w:val="center"/>
            <w:hideMark/>
          </w:tcPr>
          <w:p w14:paraId="779191EB"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Počet pracovních úrazů s pracovní neschopností delší než 3 dny</w:t>
            </w:r>
          </w:p>
        </w:tc>
        <w:tc>
          <w:tcPr>
            <w:tcW w:w="2880" w:type="dxa"/>
            <w:gridSpan w:val="3"/>
            <w:vMerge w:val="restart"/>
            <w:tcBorders>
              <w:top w:val="single" w:sz="4" w:space="0" w:color="auto"/>
              <w:left w:val="single" w:sz="4" w:space="0" w:color="auto"/>
              <w:bottom w:val="single" w:sz="4" w:space="0" w:color="000000"/>
              <w:right w:val="nil"/>
            </w:tcBorders>
            <w:shd w:val="clear" w:color="000000" w:fill="F5DADD"/>
            <w:vAlign w:val="center"/>
            <w:hideMark/>
          </w:tcPr>
          <w:p w14:paraId="2697DFA1"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Počet smrtelných pracovních úrazů</w:t>
            </w:r>
          </w:p>
        </w:tc>
      </w:tr>
      <w:tr w:rsidR="00BF4256" w:rsidRPr="00D92E20" w14:paraId="4BCB8350" w14:textId="77777777" w:rsidTr="00BF4256">
        <w:trPr>
          <w:trHeight w:val="300"/>
        </w:trPr>
        <w:tc>
          <w:tcPr>
            <w:tcW w:w="960" w:type="dxa"/>
            <w:vMerge/>
            <w:tcBorders>
              <w:top w:val="single" w:sz="4" w:space="0" w:color="auto"/>
              <w:left w:val="nil"/>
              <w:bottom w:val="single" w:sz="4" w:space="0" w:color="auto"/>
              <w:right w:val="single" w:sz="4" w:space="0" w:color="auto"/>
            </w:tcBorders>
            <w:vAlign w:val="center"/>
            <w:hideMark/>
          </w:tcPr>
          <w:p w14:paraId="41601E61" w14:textId="77777777" w:rsidR="00BF4256" w:rsidRPr="00D92E20" w:rsidRDefault="00BF4256" w:rsidP="00BF4256">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1F7A46FB" w14:textId="77777777" w:rsidR="00BF4256" w:rsidRPr="00D92E20" w:rsidRDefault="00BF4256" w:rsidP="00BF4256">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3101D98F" w14:textId="77777777" w:rsidR="00BF4256" w:rsidRPr="00D92E20" w:rsidRDefault="00BF4256" w:rsidP="00BF4256">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2F041CA4" w14:textId="77777777" w:rsidR="00BF4256" w:rsidRPr="00D92E20" w:rsidRDefault="00BF4256" w:rsidP="00BF4256">
            <w:pPr>
              <w:spacing w:after="0" w:line="240" w:lineRule="auto"/>
              <w:rPr>
                <w:rFonts w:cs="Arial"/>
                <w:color w:val="000000"/>
                <w:sz w:val="16"/>
                <w:szCs w:val="16"/>
              </w:rPr>
            </w:pPr>
          </w:p>
        </w:tc>
      </w:tr>
      <w:tr w:rsidR="00BF4256" w:rsidRPr="00D92E20" w14:paraId="116677AB" w14:textId="77777777" w:rsidTr="00BF4256">
        <w:trPr>
          <w:trHeight w:val="300"/>
        </w:trPr>
        <w:tc>
          <w:tcPr>
            <w:tcW w:w="960" w:type="dxa"/>
            <w:vMerge/>
            <w:tcBorders>
              <w:top w:val="single" w:sz="4" w:space="0" w:color="auto"/>
              <w:left w:val="nil"/>
              <w:bottom w:val="single" w:sz="4" w:space="0" w:color="auto"/>
              <w:right w:val="single" w:sz="4" w:space="0" w:color="auto"/>
            </w:tcBorders>
            <w:vAlign w:val="center"/>
            <w:hideMark/>
          </w:tcPr>
          <w:p w14:paraId="597975B1" w14:textId="77777777" w:rsidR="00BF4256" w:rsidRPr="00D92E20" w:rsidRDefault="00BF4256" w:rsidP="00BF4256">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23A4FB24" w14:textId="77777777" w:rsidR="00BF4256" w:rsidRPr="00D92E20" w:rsidRDefault="00BF4256" w:rsidP="00BF4256">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single" w:sz="4" w:space="0" w:color="000000"/>
            </w:tcBorders>
            <w:vAlign w:val="center"/>
            <w:hideMark/>
          </w:tcPr>
          <w:p w14:paraId="0B4366E1" w14:textId="77777777" w:rsidR="00BF4256" w:rsidRPr="00D92E20" w:rsidRDefault="00BF4256" w:rsidP="00BF4256">
            <w:pPr>
              <w:spacing w:after="0" w:line="240" w:lineRule="auto"/>
              <w:rPr>
                <w:rFonts w:cs="Arial"/>
                <w:color w:val="000000"/>
                <w:sz w:val="16"/>
                <w:szCs w:val="16"/>
              </w:rPr>
            </w:pPr>
          </w:p>
        </w:tc>
        <w:tc>
          <w:tcPr>
            <w:tcW w:w="2880" w:type="dxa"/>
            <w:gridSpan w:val="3"/>
            <w:vMerge/>
            <w:tcBorders>
              <w:top w:val="single" w:sz="4" w:space="0" w:color="auto"/>
              <w:left w:val="single" w:sz="4" w:space="0" w:color="auto"/>
              <w:bottom w:val="single" w:sz="4" w:space="0" w:color="000000"/>
              <w:right w:val="nil"/>
            </w:tcBorders>
            <w:vAlign w:val="center"/>
            <w:hideMark/>
          </w:tcPr>
          <w:p w14:paraId="33CE6E33" w14:textId="77777777" w:rsidR="00BF4256" w:rsidRPr="00D92E20" w:rsidRDefault="00BF4256" w:rsidP="00BF4256">
            <w:pPr>
              <w:spacing w:after="0" w:line="240" w:lineRule="auto"/>
              <w:rPr>
                <w:rFonts w:cs="Arial"/>
                <w:color w:val="000000"/>
                <w:sz w:val="16"/>
                <w:szCs w:val="16"/>
              </w:rPr>
            </w:pPr>
          </w:p>
        </w:tc>
      </w:tr>
      <w:tr w:rsidR="00BF4256" w:rsidRPr="00D92E20" w14:paraId="584EC2A5" w14:textId="77777777" w:rsidTr="008B7D64">
        <w:trPr>
          <w:trHeight w:val="300"/>
        </w:trPr>
        <w:tc>
          <w:tcPr>
            <w:tcW w:w="960" w:type="dxa"/>
            <w:vMerge/>
            <w:tcBorders>
              <w:top w:val="single" w:sz="4" w:space="0" w:color="auto"/>
              <w:left w:val="nil"/>
              <w:bottom w:val="single" w:sz="4" w:space="0" w:color="auto"/>
              <w:right w:val="single" w:sz="4" w:space="0" w:color="auto"/>
            </w:tcBorders>
            <w:vAlign w:val="center"/>
            <w:hideMark/>
          </w:tcPr>
          <w:p w14:paraId="23098622" w14:textId="77777777" w:rsidR="00BF4256" w:rsidRPr="00D92E20" w:rsidRDefault="00BF4256" w:rsidP="00BF4256">
            <w:pPr>
              <w:spacing w:after="0" w:line="240" w:lineRule="auto"/>
              <w:rPr>
                <w:rFonts w:cs="Arial"/>
                <w:color w:val="000000"/>
                <w:sz w:val="16"/>
                <w:szCs w:val="16"/>
              </w:rPr>
            </w:pP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F6B83DE" w14:textId="77777777" w:rsidR="00BF4256" w:rsidRPr="00D92E20" w:rsidRDefault="00BF4256"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AAEBA5C"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3C3025AD" w14:textId="77777777" w:rsidR="00BF4256" w:rsidRPr="00D92E20" w:rsidRDefault="00BF4256"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right w:val="single" w:sz="4" w:space="0" w:color="auto"/>
            </w:tcBorders>
            <w:shd w:val="clear" w:color="000000" w:fill="F5DADD"/>
            <w:vAlign w:val="center"/>
            <w:hideMark/>
          </w:tcPr>
          <w:p w14:paraId="1E2237EA"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podle pohlaví</w:t>
            </w:r>
          </w:p>
        </w:tc>
        <w:tc>
          <w:tcPr>
            <w:tcW w:w="960" w:type="dxa"/>
            <w:vMerge w:val="restart"/>
            <w:tcBorders>
              <w:top w:val="nil"/>
              <w:left w:val="single" w:sz="4" w:space="0" w:color="auto"/>
              <w:bottom w:val="single" w:sz="4" w:space="0" w:color="auto"/>
              <w:right w:val="single" w:sz="4" w:space="0" w:color="auto"/>
            </w:tcBorders>
            <w:shd w:val="clear" w:color="000000" w:fill="F5DADD"/>
            <w:vAlign w:val="center"/>
            <w:hideMark/>
          </w:tcPr>
          <w:p w14:paraId="21C7CC39" w14:textId="77777777" w:rsidR="00BF4256" w:rsidRPr="00D92E20" w:rsidRDefault="00BF4256" w:rsidP="00BF4256">
            <w:pPr>
              <w:spacing w:after="0" w:line="240" w:lineRule="auto"/>
              <w:jc w:val="center"/>
              <w:rPr>
                <w:rFonts w:cs="Arial"/>
                <w:b/>
                <w:color w:val="000000"/>
                <w:sz w:val="16"/>
                <w:szCs w:val="16"/>
              </w:rPr>
            </w:pPr>
            <w:r w:rsidRPr="00D92E20">
              <w:rPr>
                <w:rFonts w:cs="Arial"/>
                <w:b/>
                <w:color w:val="000000"/>
                <w:sz w:val="16"/>
                <w:szCs w:val="16"/>
              </w:rPr>
              <w:t>Celkem</w:t>
            </w:r>
          </w:p>
        </w:tc>
        <w:tc>
          <w:tcPr>
            <w:tcW w:w="1920" w:type="dxa"/>
            <w:gridSpan w:val="2"/>
            <w:tcBorders>
              <w:top w:val="single" w:sz="4" w:space="0" w:color="auto"/>
              <w:left w:val="nil"/>
              <w:bottom w:val="single" w:sz="4" w:space="0" w:color="auto"/>
            </w:tcBorders>
            <w:shd w:val="clear" w:color="000000" w:fill="F5DADD"/>
            <w:vAlign w:val="center"/>
            <w:hideMark/>
          </w:tcPr>
          <w:p w14:paraId="08F273BD"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podle pohlaví</w:t>
            </w:r>
          </w:p>
        </w:tc>
      </w:tr>
      <w:tr w:rsidR="00BF4256" w:rsidRPr="00D92E20" w14:paraId="7A706A10" w14:textId="77777777" w:rsidTr="00BF4256">
        <w:trPr>
          <w:trHeight w:val="300"/>
        </w:trPr>
        <w:tc>
          <w:tcPr>
            <w:tcW w:w="960" w:type="dxa"/>
            <w:vMerge/>
            <w:tcBorders>
              <w:top w:val="single" w:sz="4" w:space="0" w:color="auto"/>
              <w:left w:val="nil"/>
              <w:bottom w:val="single" w:sz="4" w:space="0" w:color="auto"/>
              <w:right w:val="single" w:sz="4" w:space="0" w:color="auto"/>
            </w:tcBorders>
            <w:vAlign w:val="center"/>
            <w:hideMark/>
          </w:tcPr>
          <w:p w14:paraId="608E1B7E" w14:textId="77777777" w:rsidR="00BF4256" w:rsidRPr="00D92E20" w:rsidRDefault="00BF4256" w:rsidP="00BF4256">
            <w:pPr>
              <w:spacing w:after="0" w:line="240" w:lineRule="auto"/>
              <w:rPr>
                <w:rFonts w:cs="Arial"/>
                <w:color w:val="000000"/>
                <w:sz w:val="16"/>
                <w:szCs w:val="16"/>
              </w:rPr>
            </w:pPr>
          </w:p>
        </w:tc>
        <w:tc>
          <w:tcPr>
            <w:tcW w:w="960" w:type="dxa"/>
            <w:vMerge/>
            <w:tcBorders>
              <w:top w:val="nil"/>
              <w:left w:val="single" w:sz="4" w:space="0" w:color="auto"/>
              <w:bottom w:val="single" w:sz="4" w:space="0" w:color="auto"/>
              <w:right w:val="single" w:sz="4" w:space="0" w:color="auto"/>
            </w:tcBorders>
            <w:vAlign w:val="center"/>
            <w:hideMark/>
          </w:tcPr>
          <w:p w14:paraId="46C18BA9" w14:textId="77777777" w:rsidR="00BF4256" w:rsidRPr="00D92E20" w:rsidRDefault="00BF4256" w:rsidP="00BF4256">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0A17B8E6"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4B1D159D"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35D2FB82" w14:textId="77777777" w:rsidR="00BF4256" w:rsidRPr="00D92E20" w:rsidRDefault="00BF4256" w:rsidP="00BF4256">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7A076B09"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single" w:sz="4" w:space="0" w:color="auto"/>
            </w:tcBorders>
            <w:shd w:val="clear" w:color="000000" w:fill="F5DADD"/>
            <w:vAlign w:val="center"/>
            <w:hideMark/>
          </w:tcPr>
          <w:p w14:paraId="09A23D0C"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ženy</w:t>
            </w:r>
          </w:p>
        </w:tc>
        <w:tc>
          <w:tcPr>
            <w:tcW w:w="960" w:type="dxa"/>
            <w:vMerge/>
            <w:tcBorders>
              <w:top w:val="nil"/>
              <w:left w:val="single" w:sz="4" w:space="0" w:color="auto"/>
              <w:bottom w:val="single" w:sz="4" w:space="0" w:color="auto"/>
              <w:right w:val="single" w:sz="4" w:space="0" w:color="auto"/>
            </w:tcBorders>
            <w:vAlign w:val="center"/>
            <w:hideMark/>
          </w:tcPr>
          <w:p w14:paraId="300CA3BE" w14:textId="77777777" w:rsidR="00BF4256" w:rsidRPr="00D92E20" w:rsidRDefault="00BF4256" w:rsidP="00BF4256">
            <w:pPr>
              <w:spacing w:after="0" w:line="240" w:lineRule="auto"/>
              <w:rPr>
                <w:rFonts w:cs="Arial"/>
                <w:color w:val="000000"/>
                <w:sz w:val="16"/>
                <w:szCs w:val="16"/>
              </w:rPr>
            </w:pPr>
          </w:p>
        </w:tc>
        <w:tc>
          <w:tcPr>
            <w:tcW w:w="960" w:type="dxa"/>
            <w:tcBorders>
              <w:top w:val="nil"/>
              <w:left w:val="nil"/>
              <w:bottom w:val="single" w:sz="4" w:space="0" w:color="auto"/>
              <w:right w:val="single" w:sz="4" w:space="0" w:color="auto"/>
            </w:tcBorders>
            <w:shd w:val="clear" w:color="000000" w:fill="F5DADD"/>
            <w:vAlign w:val="center"/>
            <w:hideMark/>
          </w:tcPr>
          <w:p w14:paraId="6FF27435"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muži</w:t>
            </w:r>
          </w:p>
        </w:tc>
        <w:tc>
          <w:tcPr>
            <w:tcW w:w="960" w:type="dxa"/>
            <w:tcBorders>
              <w:top w:val="nil"/>
              <w:left w:val="nil"/>
              <w:bottom w:val="single" w:sz="4" w:space="0" w:color="auto"/>
              <w:right w:val="nil"/>
            </w:tcBorders>
            <w:shd w:val="clear" w:color="000000" w:fill="F5DADD"/>
            <w:vAlign w:val="center"/>
            <w:hideMark/>
          </w:tcPr>
          <w:p w14:paraId="4360FA55"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ženy</w:t>
            </w:r>
          </w:p>
        </w:tc>
      </w:tr>
      <w:tr w:rsidR="00BF4256" w:rsidRPr="00D92E20" w14:paraId="39797E96"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45A1EA30"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2010</w:t>
            </w:r>
          </w:p>
        </w:tc>
        <w:tc>
          <w:tcPr>
            <w:tcW w:w="960" w:type="dxa"/>
            <w:tcBorders>
              <w:top w:val="nil"/>
              <w:left w:val="nil"/>
              <w:bottom w:val="nil"/>
              <w:right w:val="nil"/>
            </w:tcBorders>
            <w:shd w:val="clear" w:color="auto" w:fill="auto"/>
            <w:noWrap/>
            <w:vAlign w:val="center"/>
            <w:hideMark/>
          </w:tcPr>
          <w:p w14:paraId="6FA20F5F"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51 678</w:t>
            </w:r>
          </w:p>
        </w:tc>
        <w:tc>
          <w:tcPr>
            <w:tcW w:w="960" w:type="dxa"/>
            <w:tcBorders>
              <w:top w:val="nil"/>
              <w:left w:val="nil"/>
              <w:bottom w:val="nil"/>
              <w:right w:val="nil"/>
            </w:tcBorders>
            <w:shd w:val="clear" w:color="auto" w:fill="auto"/>
            <w:noWrap/>
            <w:vAlign w:val="center"/>
            <w:hideMark/>
          </w:tcPr>
          <w:p w14:paraId="3734AAD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36 701</w:t>
            </w:r>
          </w:p>
        </w:tc>
        <w:tc>
          <w:tcPr>
            <w:tcW w:w="960" w:type="dxa"/>
            <w:tcBorders>
              <w:top w:val="nil"/>
              <w:left w:val="nil"/>
              <w:bottom w:val="nil"/>
              <w:right w:val="single" w:sz="4" w:space="0" w:color="auto"/>
            </w:tcBorders>
            <w:shd w:val="clear" w:color="auto" w:fill="auto"/>
            <w:noWrap/>
            <w:vAlign w:val="center"/>
            <w:hideMark/>
          </w:tcPr>
          <w:p w14:paraId="7A8AF9B5"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14 977</w:t>
            </w:r>
          </w:p>
        </w:tc>
        <w:tc>
          <w:tcPr>
            <w:tcW w:w="960" w:type="dxa"/>
            <w:tcBorders>
              <w:top w:val="nil"/>
              <w:left w:val="nil"/>
              <w:bottom w:val="nil"/>
              <w:right w:val="nil"/>
            </w:tcBorders>
            <w:shd w:val="clear" w:color="auto" w:fill="auto"/>
            <w:noWrap/>
            <w:vAlign w:val="center"/>
            <w:hideMark/>
          </w:tcPr>
          <w:p w14:paraId="409A7B6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50 047</w:t>
            </w:r>
          </w:p>
        </w:tc>
        <w:tc>
          <w:tcPr>
            <w:tcW w:w="960" w:type="dxa"/>
            <w:tcBorders>
              <w:top w:val="nil"/>
              <w:left w:val="nil"/>
              <w:bottom w:val="nil"/>
              <w:right w:val="nil"/>
            </w:tcBorders>
            <w:shd w:val="clear" w:color="auto" w:fill="auto"/>
            <w:vAlign w:val="center"/>
            <w:hideMark/>
          </w:tcPr>
          <w:p w14:paraId="017D18EE"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35 460</w:t>
            </w:r>
          </w:p>
        </w:tc>
        <w:tc>
          <w:tcPr>
            <w:tcW w:w="960" w:type="dxa"/>
            <w:tcBorders>
              <w:top w:val="nil"/>
              <w:left w:val="nil"/>
              <w:bottom w:val="nil"/>
              <w:right w:val="single" w:sz="4" w:space="0" w:color="auto"/>
            </w:tcBorders>
            <w:shd w:val="clear" w:color="auto" w:fill="auto"/>
            <w:vAlign w:val="center"/>
            <w:hideMark/>
          </w:tcPr>
          <w:p w14:paraId="37321543"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14 587</w:t>
            </w:r>
          </w:p>
        </w:tc>
        <w:tc>
          <w:tcPr>
            <w:tcW w:w="960" w:type="dxa"/>
            <w:tcBorders>
              <w:top w:val="nil"/>
              <w:left w:val="nil"/>
              <w:bottom w:val="nil"/>
              <w:right w:val="nil"/>
            </w:tcBorders>
            <w:shd w:val="clear" w:color="auto" w:fill="auto"/>
            <w:vAlign w:val="center"/>
            <w:hideMark/>
          </w:tcPr>
          <w:p w14:paraId="17668B07"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121</w:t>
            </w:r>
          </w:p>
        </w:tc>
        <w:tc>
          <w:tcPr>
            <w:tcW w:w="960" w:type="dxa"/>
            <w:tcBorders>
              <w:top w:val="nil"/>
              <w:left w:val="nil"/>
              <w:bottom w:val="nil"/>
              <w:right w:val="nil"/>
            </w:tcBorders>
            <w:shd w:val="clear" w:color="auto" w:fill="auto"/>
            <w:vAlign w:val="center"/>
            <w:hideMark/>
          </w:tcPr>
          <w:p w14:paraId="53F048C2"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112</w:t>
            </w:r>
          </w:p>
        </w:tc>
        <w:tc>
          <w:tcPr>
            <w:tcW w:w="960" w:type="dxa"/>
            <w:tcBorders>
              <w:top w:val="nil"/>
              <w:left w:val="nil"/>
              <w:bottom w:val="nil"/>
              <w:right w:val="nil"/>
            </w:tcBorders>
            <w:shd w:val="clear" w:color="auto" w:fill="auto"/>
            <w:vAlign w:val="center"/>
            <w:hideMark/>
          </w:tcPr>
          <w:p w14:paraId="442423AD"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9</w:t>
            </w:r>
          </w:p>
        </w:tc>
      </w:tr>
      <w:tr w:rsidR="00BF4256" w:rsidRPr="00D92E20" w14:paraId="1945DD99"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04FA1910"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2011</w:t>
            </w:r>
          </w:p>
        </w:tc>
        <w:tc>
          <w:tcPr>
            <w:tcW w:w="960" w:type="dxa"/>
            <w:tcBorders>
              <w:top w:val="nil"/>
              <w:left w:val="nil"/>
              <w:bottom w:val="nil"/>
              <w:right w:val="nil"/>
            </w:tcBorders>
            <w:shd w:val="clear" w:color="auto" w:fill="auto"/>
            <w:noWrap/>
            <w:vAlign w:val="center"/>
            <w:hideMark/>
          </w:tcPr>
          <w:p w14:paraId="09A022C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47 111</w:t>
            </w:r>
          </w:p>
        </w:tc>
        <w:tc>
          <w:tcPr>
            <w:tcW w:w="960" w:type="dxa"/>
            <w:tcBorders>
              <w:top w:val="nil"/>
              <w:left w:val="nil"/>
              <w:bottom w:val="nil"/>
              <w:right w:val="nil"/>
            </w:tcBorders>
            <w:shd w:val="clear" w:color="auto" w:fill="auto"/>
            <w:noWrap/>
            <w:vAlign w:val="center"/>
            <w:hideMark/>
          </w:tcPr>
          <w:p w14:paraId="5F61F27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33 619</w:t>
            </w:r>
          </w:p>
        </w:tc>
        <w:tc>
          <w:tcPr>
            <w:tcW w:w="960" w:type="dxa"/>
            <w:tcBorders>
              <w:top w:val="nil"/>
              <w:left w:val="nil"/>
              <w:bottom w:val="nil"/>
              <w:right w:val="single" w:sz="4" w:space="0" w:color="auto"/>
            </w:tcBorders>
            <w:shd w:val="clear" w:color="auto" w:fill="auto"/>
            <w:noWrap/>
            <w:vAlign w:val="center"/>
            <w:hideMark/>
          </w:tcPr>
          <w:p w14:paraId="4B9FD3D0"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13 492</w:t>
            </w:r>
          </w:p>
        </w:tc>
        <w:tc>
          <w:tcPr>
            <w:tcW w:w="960" w:type="dxa"/>
            <w:tcBorders>
              <w:top w:val="nil"/>
              <w:left w:val="nil"/>
              <w:bottom w:val="nil"/>
              <w:right w:val="nil"/>
            </w:tcBorders>
            <w:shd w:val="clear" w:color="auto" w:fill="auto"/>
            <w:noWrap/>
            <w:vAlign w:val="center"/>
            <w:hideMark/>
          </w:tcPr>
          <w:p w14:paraId="4D8DB3D2"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45 482</w:t>
            </w:r>
          </w:p>
        </w:tc>
        <w:tc>
          <w:tcPr>
            <w:tcW w:w="960" w:type="dxa"/>
            <w:tcBorders>
              <w:top w:val="nil"/>
              <w:left w:val="nil"/>
              <w:bottom w:val="nil"/>
              <w:right w:val="nil"/>
            </w:tcBorders>
            <w:shd w:val="clear" w:color="auto" w:fill="auto"/>
            <w:vAlign w:val="center"/>
            <w:hideMark/>
          </w:tcPr>
          <w:p w14:paraId="50385049"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32 354</w:t>
            </w:r>
          </w:p>
        </w:tc>
        <w:tc>
          <w:tcPr>
            <w:tcW w:w="960" w:type="dxa"/>
            <w:tcBorders>
              <w:top w:val="nil"/>
              <w:left w:val="nil"/>
              <w:bottom w:val="nil"/>
              <w:right w:val="single" w:sz="4" w:space="0" w:color="auto"/>
            </w:tcBorders>
            <w:shd w:val="clear" w:color="auto" w:fill="auto"/>
            <w:vAlign w:val="center"/>
            <w:hideMark/>
          </w:tcPr>
          <w:p w14:paraId="1B6CE7EC"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13 128</w:t>
            </w:r>
          </w:p>
        </w:tc>
        <w:tc>
          <w:tcPr>
            <w:tcW w:w="960" w:type="dxa"/>
            <w:tcBorders>
              <w:top w:val="nil"/>
              <w:left w:val="nil"/>
              <w:bottom w:val="nil"/>
              <w:right w:val="nil"/>
            </w:tcBorders>
            <w:shd w:val="clear" w:color="auto" w:fill="auto"/>
            <w:vAlign w:val="center"/>
            <w:hideMark/>
          </w:tcPr>
          <w:p w14:paraId="3C0A15B0"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125</w:t>
            </w:r>
          </w:p>
        </w:tc>
        <w:tc>
          <w:tcPr>
            <w:tcW w:w="960" w:type="dxa"/>
            <w:tcBorders>
              <w:top w:val="nil"/>
              <w:left w:val="nil"/>
              <w:bottom w:val="nil"/>
              <w:right w:val="nil"/>
            </w:tcBorders>
            <w:shd w:val="clear" w:color="auto" w:fill="auto"/>
            <w:vAlign w:val="center"/>
            <w:hideMark/>
          </w:tcPr>
          <w:p w14:paraId="69EEC95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08AE141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8</w:t>
            </w:r>
          </w:p>
        </w:tc>
      </w:tr>
      <w:tr w:rsidR="00BF4256" w:rsidRPr="00D92E20" w14:paraId="600CB864"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2852FA3E"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2012</w:t>
            </w:r>
          </w:p>
        </w:tc>
        <w:tc>
          <w:tcPr>
            <w:tcW w:w="960" w:type="dxa"/>
            <w:tcBorders>
              <w:top w:val="nil"/>
              <w:left w:val="nil"/>
              <w:bottom w:val="nil"/>
              <w:right w:val="nil"/>
            </w:tcBorders>
            <w:shd w:val="clear" w:color="auto" w:fill="auto"/>
            <w:noWrap/>
            <w:vAlign w:val="center"/>
            <w:hideMark/>
          </w:tcPr>
          <w:p w14:paraId="1256F73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44 108</w:t>
            </w:r>
          </w:p>
        </w:tc>
        <w:tc>
          <w:tcPr>
            <w:tcW w:w="960" w:type="dxa"/>
            <w:tcBorders>
              <w:top w:val="nil"/>
              <w:left w:val="nil"/>
              <w:bottom w:val="nil"/>
              <w:right w:val="nil"/>
            </w:tcBorders>
            <w:shd w:val="clear" w:color="auto" w:fill="auto"/>
            <w:noWrap/>
            <w:vAlign w:val="center"/>
            <w:hideMark/>
          </w:tcPr>
          <w:p w14:paraId="2D55BE09"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31 455</w:t>
            </w:r>
          </w:p>
        </w:tc>
        <w:tc>
          <w:tcPr>
            <w:tcW w:w="960" w:type="dxa"/>
            <w:tcBorders>
              <w:top w:val="nil"/>
              <w:left w:val="nil"/>
              <w:bottom w:val="nil"/>
              <w:right w:val="single" w:sz="4" w:space="0" w:color="auto"/>
            </w:tcBorders>
            <w:shd w:val="clear" w:color="auto" w:fill="auto"/>
            <w:noWrap/>
            <w:vAlign w:val="center"/>
            <w:hideMark/>
          </w:tcPr>
          <w:p w14:paraId="4D6831B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12 653</w:t>
            </w:r>
          </w:p>
        </w:tc>
        <w:tc>
          <w:tcPr>
            <w:tcW w:w="960" w:type="dxa"/>
            <w:tcBorders>
              <w:top w:val="nil"/>
              <w:left w:val="nil"/>
              <w:bottom w:val="nil"/>
              <w:right w:val="nil"/>
            </w:tcBorders>
            <w:shd w:val="clear" w:color="auto" w:fill="auto"/>
            <w:noWrap/>
            <w:vAlign w:val="center"/>
            <w:hideMark/>
          </w:tcPr>
          <w:p w14:paraId="314725A6"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43 543</w:t>
            </w:r>
          </w:p>
        </w:tc>
        <w:tc>
          <w:tcPr>
            <w:tcW w:w="960" w:type="dxa"/>
            <w:tcBorders>
              <w:top w:val="nil"/>
              <w:left w:val="nil"/>
              <w:bottom w:val="nil"/>
              <w:right w:val="nil"/>
            </w:tcBorders>
            <w:shd w:val="clear" w:color="auto" w:fill="auto"/>
            <w:vAlign w:val="center"/>
            <w:hideMark/>
          </w:tcPr>
          <w:p w14:paraId="117C1CB0"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31 019</w:t>
            </w:r>
          </w:p>
        </w:tc>
        <w:tc>
          <w:tcPr>
            <w:tcW w:w="960" w:type="dxa"/>
            <w:tcBorders>
              <w:top w:val="nil"/>
              <w:left w:val="nil"/>
              <w:bottom w:val="nil"/>
              <w:right w:val="single" w:sz="4" w:space="0" w:color="auto"/>
            </w:tcBorders>
            <w:shd w:val="clear" w:color="auto" w:fill="auto"/>
            <w:vAlign w:val="center"/>
            <w:hideMark/>
          </w:tcPr>
          <w:p w14:paraId="61653512"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12 524</w:t>
            </w:r>
          </w:p>
        </w:tc>
        <w:tc>
          <w:tcPr>
            <w:tcW w:w="960" w:type="dxa"/>
            <w:tcBorders>
              <w:top w:val="nil"/>
              <w:left w:val="nil"/>
              <w:bottom w:val="nil"/>
              <w:right w:val="nil"/>
            </w:tcBorders>
            <w:shd w:val="clear" w:color="auto" w:fill="auto"/>
            <w:vAlign w:val="center"/>
            <w:hideMark/>
          </w:tcPr>
          <w:p w14:paraId="02B1E90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7E45842F"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111</w:t>
            </w:r>
          </w:p>
        </w:tc>
        <w:tc>
          <w:tcPr>
            <w:tcW w:w="960" w:type="dxa"/>
            <w:tcBorders>
              <w:top w:val="nil"/>
              <w:left w:val="nil"/>
              <w:bottom w:val="nil"/>
              <w:right w:val="nil"/>
            </w:tcBorders>
            <w:shd w:val="clear" w:color="auto" w:fill="auto"/>
            <w:vAlign w:val="center"/>
            <w:hideMark/>
          </w:tcPr>
          <w:p w14:paraId="4BED0CB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2</w:t>
            </w:r>
          </w:p>
        </w:tc>
      </w:tr>
      <w:tr w:rsidR="00BF4256" w:rsidRPr="00D92E20" w14:paraId="0D480EB2"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630AC937"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2013</w:t>
            </w:r>
          </w:p>
        </w:tc>
        <w:tc>
          <w:tcPr>
            <w:tcW w:w="960" w:type="dxa"/>
            <w:tcBorders>
              <w:top w:val="nil"/>
              <w:left w:val="nil"/>
              <w:bottom w:val="nil"/>
              <w:right w:val="nil"/>
            </w:tcBorders>
            <w:shd w:val="clear" w:color="auto" w:fill="auto"/>
            <w:noWrap/>
            <w:vAlign w:val="center"/>
            <w:hideMark/>
          </w:tcPr>
          <w:p w14:paraId="2FD62A9C"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42 927</w:t>
            </w:r>
          </w:p>
        </w:tc>
        <w:tc>
          <w:tcPr>
            <w:tcW w:w="960" w:type="dxa"/>
            <w:tcBorders>
              <w:top w:val="nil"/>
              <w:left w:val="nil"/>
              <w:bottom w:val="nil"/>
              <w:right w:val="nil"/>
            </w:tcBorders>
            <w:shd w:val="clear" w:color="auto" w:fill="auto"/>
            <w:noWrap/>
            <w:vAlign w:val="center"/>
            <w:hideMark/>
          </w:tcPr>
          <w:p w14:paraId="462D5E2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30 418</w:t>
            </w:r>
          </w:p>
        </w:tc>
        <w:tc>
          <w:tcPr>
            <w:tcW w:w="960" w:type="dxa"/>
            <w:tcBorders>
              <w:top w:val="nil"/>
              <w:left w:val="nil"/>
              <w:bottom w:val="nil"/>
              <w:right w:val="single" w:sz="4" w:space="0" w:color="auto"/>
            </w:tcBorders>
            <w:shd w:val="clear" w:color="auto" w:fill="auto"/>
            <w:noWrap/>
            <w:vAlign w:val="center"/>
            <w:hideMark/>
          </w:tcPr>
          <w:p w14:paraId="558253A3"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12 509</w:t>
            </w:r>
          </w:p>
        </w:tc>
        <w:tc>
          <w:tcPr>
            <w:tcW w:w="960" w:type="dxa"/>
            <w:tcBorders>
              <w:top w:val="nil"/>
              <w:left w:val="nil"/>
              <w:bottom w:val="nil"/>
              <w:right w:val="nil"/>
            </w:tcBorders>
            <w:shd w:val="clear" w:color="auto" w:fill="auto"/>
            <w:noWrap/>
            <w:vAlign w:val="center"/>
            <w:hideMark/>
          </w:tcPr>
          <w:p w14:paraId="03CF8104"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42 355</w:t>
            </w:r>
          </w:p>
        </w:tc>
        <w:tc>
          <w:tcPr>
            <w:tcW w:w="960" w:type="dxa"/>
            <w:tcBorders>
              <w:top w:val="nil"/>
              <w:left w:val="nil"/>
              <w:bottom w:val="nil"/>
              <w:right w:val="nil"/>
            </w:tcBorders>
            <w:shd w:val="clear" w:color="auto" w:fill="auto"/>
            <w:vAlign w:val="center"/>
            <w:hideMark/>
          </w:tcPr>
          <w:p w14:paraId="4A95200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29 955</w:t>
            </w:r>
          </w:p>
        </w:tc>
        <w:tc>
          <w:tcPr>
            <w:tcW w:w="960" w:type="dxa"/>
            <w:tcBorders>
              <w:top w:val="nil"/>
              <w:left w:val="nil"/>
              <w:bottom w:val="nil"/>
              <w:right w:val="single" w:sz="4" w:space="0" w:color="auto"/>
            </w:tcBorders>
            <w:shd w:val="clear" w:color="auto" w:fill="auto"/>
            <w:vAlign w:val="center"/>
            <w:hideMark/>
          </w:tcPr>
          <w:p w14:paraId="55FAF234"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12 400</w:t>
            </w:r>
          </w:p>
        </w:tc>
        <w:tc>
          <w:tcPr>
            <w:tcW w:w="960" w:type="dxa"/>
            <w:tcBorders>
              <w:top w:val="nil"/>
              <w:left w:val="nil"/>
              <w:bottom w:val="nil"/>
              <w:right w:val="nil"/>
            </w:tcBorders>
            <w:shd w:val="clear" w:color="auto" w:fill="auto"/>
            <w:vAlign w:val="center"/>
            <w:hideMark/>
          </w:tcPr>
          <w:p w14:paraId="172A952D"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113</w:t>
            </w:r>
          </w:p>
        </w:tc>
        <w:tc>
          <w:tcPr>
            <w:tcW w:w="960" w:type="dxa"/>
            <w:tcBorders>
              <w:top w:val="nil"/>
              <w:left w:val="nil"/>
              <w:bottom w:val="nil"/>
              <w:right w:val="nil"/>
            </w:tcBorders>
            <w:shd w:val="clear" w:color="auto" w:fill="auto"/>
            <w:vAlign w:val="center"/>
            <w:hideMark/>
          </w:tcPr>
          <w:p w14:paraId="57A9A27B"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106</w:t>
            </w:r>
          </w:p>
        </w:tc>
        <w:tc>
          <w:tcPr>
            <w:tcW w:w="960" w:type="dxa"/>
            <w:tcBorders>
              <w:top w:val="nil"/>
              <w:left w:val="nil"/>
              <w:bottom w:val="nil"/>
              <w:right w:val="nil"/>
            </w:tcBorders>
            <w:shd w:val="clear" w:color="auto" w:fill="auto"/>
            <w:vAlign w:val="center"/>
            <w:hideMark/>
          </w:tcPr>
          <w:p w14:paraId="21CB3F4C"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7</w:t>
            </w:r>
          </w:p>
        </w:tc>
      </w:tr>
      <w:tr w:rsidR="00BF4256" w:rsidRPr="00D92E20" w14:paraId="2C1F54C8"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20686C1A"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2014</w:t>
            </w:r>
          </w:p>
        </w:tc>
        <w:tc>
          <w:tcPr>
            <w:tcW w:w="960" w:type="dxa"/>
            <w:tcBorders>
              <w:top w:val="nil"/>
              <w:left w:val="nil"/>
              <w:bottom w:val="nil"/>
              <w:right w:val="nil"/>
            </w:tcBorders>
            <w:shd w:val="clear" w:color="auto" w:fill="auto"/>
            <w:vAlign w:val="center"/>
            <w:hideMark/>
          </w:tcPr>
          <w:p w14:paraId="6107E614"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45 058</w:t>
            </w:r>
          </w:p>
        </w:tc>
        <w:tc>
          <w:tcPr>
            <w:tcW w:w="960" w:type="dxa"/>
            <w:tcBorders>
              <w:top w:val="nil"/>
              <w:left w:val="nil"/>
              <w:bottom w:val="nil"/>
              <w:right w:val="nil"/>
            </w:tcBorders>
            <w:shd w:val="clear" w:color="auto" w:fill="auto"/>
            <w:noWrap/>
            <w:vAlign w:val="center"/>
            <w:hideMark/>
          </w:tcPr>
          <w:p w14:paraId="071275CB"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31 737</w:t>
            </w:r>
          </w:p>
        </w:tc>
        <w:tc>
          <w:tcPr>
            <w:tcW w:w="960" w:type="dxa"/>
            <w:tcBorders>
              <w:top w:val="nil"/>
              <w:left w:val="nil"/>
              <w:bottom w:val="nil"/>
              <w:right w:val="single" w:sz="4" w:space="0" w:color="auto"/>
            </w:tcBorders>
            <w:shd w:val="clear" w:color="auto" w:fill="auto"/>
            <w:noWrap/>
            <w:vAlign w:val="center"/>
            <w:hideMark/>
          </w:tcPr>
          <w:p w14:paraId="6A3DAF2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13 321</w:t>
            </w:r>
          </w:p>
        </w:tc>
        <w:tc>
          <w:tcPr>
            <w:tcW w:w="960" w:type="dxa"/>
            <w:tcBorders>
              <w:top w:val="nil"/>
              <w:left w:val="nil"/>
              <w:bottom w:val="nil"/>
              <w:right w:val="nil"/>
            </w:tcBorders>
            <w:shd w:val="clear" w:color="auto" w:fill="auto"/>
            <w:noWrap/>
            <w:vAlign w:val="center"/>
            <w:hideMark/>
          </w:tcPr>
          <w:p w14:paraId="5B7482A4"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44 301</w:t>
            </w:r>
          </w:p>
        </w:tc>
        <w:tc>
          <w:tcPr>
            <w:tcW w:w="960" w:type="dxa"/>
            <w:tcBorders>
              <w:top w:val="nil"/>
              <w:left w:val="nil"/>
              <w:bottom w:val="nil"/>
              <w:right w:val="nil"/>
            </w:tcBorders>
            <w:shd w:val="clear" w:color="auto" w:fill="auto"/>
            <w:vAlign w:val="center"/>
            <w:hideMark/>
          </w:tcPr>
          <w:p w14:paraId="1FC4BEDF"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31 188</w:t>
            </w:r>
          </w:p>
        </w:tc>
        <w:tc>
          <w:tcPr>
            <w:tcW w:w="960" w:type="dxa"/>
            <w:tcBorders>
              <w:top w:val="nil"/>
              <w:left w:val="nil"/>
              <w:bottom w:val="nil"/>
              <w:right w:val="single" w:sz="4" w:space="0" w:color="auto"/>
            </w:tcBorders>
            <w:shd w:val="clear" w:color="auto" w:fill="auto"/>
            <w:vAlign w:val="center"/>
            <w:hideMark/>
          </w:tcPr>
          <w:p w14:paraId="59DB3D10"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13 113</w:t>
            </w:r>
          </w:p>
        </w:tc>
        <w:tc>
          <w:tcPr>
            <w:tcW w:w="960" w:type="dxa"/>
            <w:tcBorders>
              <w:top w:val="nil"/>
              <w:left w:val="nil"/>
              <w:bottom w:val="nil"/>
              <w:right w:val="nil"/>
            </w:tcBorders>
            <w:shd w:val="clear" w:color="auto" w:fill="auto"/>
            <w:vAlign w:val="center"/>
            <w:hideMark/>
          </w:tcPr>
          <w:p w14:paraId="4AC276A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214F282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115</w:t>
            </w:r>
          </w:p>
        </w:tc>
        <w:tc>
          <w:tcPr>
            <w:tcW w:w="960" w:type="dxa"/>
            <w:tcBorders>
              <w:top w:val="nil"/>
              <w:left w:val="nil"/>
              <w:bottom w:val="nil"/>
              <w:right w:val="nil"/>
            </w:tcBorders>
            <w:shd w:val="clear" w:color="auto" w:fill="auto"/>
            <w:vAlign w:val="center"/>
            <w:hideMark/>
          </w:tcPr>
          <w:p w14:paraId="74C45C8C"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2</w:t>
            </w:r>
          </w:p>
        </w:tc>
      </w:tr>
      <w:tr w:rsidR="00BF4256" w:rsidRPr="00D92E20" w14:paraId="6B5EC041"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4904421D"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2015</w:t>
            </w:r>
          </w:p>
        </w:tc>
        <w:tc>
          <w:tcPr>
            <w:tcW w:w="960" w:type="dxa"/>
            <w:tcBorders>
              <w:top w:val="nil"/>
              <w:left w:val="nil"/>
              <w:bottom w:val="nil"/>
              <w:right w:val="nil"/>
            </w:tcBorders>
            <w:shd w:val="clear" w:color="auto" w:fill="auto"/>
            <w:noWrap/>
            <w:vAlign w:val="center"/>
            <w:hideMark/>
          </w:tcPr>
          <w:p w14:paraId="43693AFC"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46 331</w:t>
            </w:r>
          </w:p>
        </w:tc>
        <w:tc>
          <w:tcPr>
            <w:tcW w:w="960" w:type="dxa"/>
            <w:tcBorders>
              <w:top w:val="nil"/>
              <w:left w:val="nil"/>
              <w:bottom w:val="nil"/>
              <w:right w:val="nil"/>
            </w:tcBorders>
            <w:shd w:val="clear" w:color="auto" w:fill="auto"/>
            <w:noWrap/>
            <w:vAlign w:val="center"/>
            <w:hideMark/>
          </w:tcPr>
          <w:p w14:paraId="3708B754"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32 117</w:t>
            </w:r>
          </w:p>
        </w:tc>
        <w:tc>
          <w:tcPr>
            <w:tcW w:w="960" w:type="dxa"/>
            <w:tcBorders>
              <w:top w:val="nil"/>
              <w:left w:val="nil"/>
              <w:bottom w:val="nil"/>
              <w:right w:val="single" w:sz="4" w:space="0" w:color="auto"/>
            </w:tcBorders>
            <w:shd w:val="clear" w:color="auto" w:fill="auto"/>
            <w:noWrap/>
            <w:vAlign w:val="center"/>
            <w:hideMark/>
          </w:tcPr>
          <w:p w14:paraId="646DECED"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14 214</w:t>
            </w:r>
          </w:p>
        </w:tc>
        <w:tc>
          <w:tcPr>
            <w:tcW w:w="960" w:type="dxa"/>
            <w:tcBorders>
              <w:top w:val="nil"/>
              <w:left w:val="nil"/>
              <w:bottom w:val="nil"/>
              <w:right w:val="nil"/>
            </w:tcBorders>
            <w:shd w:val="clear" w:color="auto" w:fill="auto"/>
            <w:noWrap/>
            <w:vAlign w:val="center"/>
            <w:hideMark/>
          </w:tcPr>
          <w:p w14:paraId="68273103"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45 621</w:t>
            </w:r>
          </w:p>
        </w:tc>
        <w:tc>
          <w:tcPr>
            <w:tcW w:w="960" w:type="dxa"/>
            <w:tcBorders>
              <w:top w:val="nil"/>
              <w:left w:val="nil"/>
              <w:bottom w:val="nil"/>
              <w:right w:val="nil"/>
            </w:tcBorders>
            <w:shd w:val="clear" w:color="auto" w:fill="auto"/>
            <w:vAlign w:val="center"/>
            <w:hideMark/>
          </w:tcPr>
          <w:p w14:paraId="42903607"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31 605</w:t>
            </w:r>
          </w:p>
        </w:tc>
        <w:tc>
          <w:tcPr>
            <w:tcW w:w="960" w:type="dxa"/>
            <w:tcBorders>
              <w:top w:val="nil"/>
              <w:left w:val="nil"/>
              <w:bottom w:val="nil"/>
              <w:right w:val="single" w:sz="4" w:space="0" w:color="auto"/>
            </w:tcBorders>
            <w:shd w:val="clear" w:color="auto" w:fill="auto"/>
            <w:vAlign w:val="center"/>
            <w:hideMark/>
          </w:tcPr>
          <w:p w14:paraId="317580A3"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14 016</w:t>
            </w:r>
          </w:p>
        </w:tc>
        <w:tc>
          <w:tcPr>
            <w:tcW w:w="960" w:type="dxa"/>
            <w:tcBorders>
              <w:top w:val="nil"/>
              <w:left w:val="nil"/>
              <w:bottom w:val="nil"/>
              <w:right w:val="nil"/>
            </w:tcBorders>
            <w:shd w:val="clear" w:color="auto" w:fill="auto"/>
            <w:vAlign w:val="center"/>
            <w:hideMark/>
          </w:tcPr>
          <w:p w14:paraId="03D4BBBE"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131</w:t>
            </w:r>
          </w:p>
        </w:tc>
        <w:tc>
          <w:tcPr>
            <w:tcW w:w="960" w:type="dxa"/>
            <w:tcBorders>
              <w:top w:val="nil"/>
              <w:left w:val="nil"/>
              <w:bottom w:val="nil"/>
              <w:right w:val="nil"/>
            </w:tcBorders>
            <w:shd w:val="clear" w:color="auto" w:fill="auto"/>
            <w:vAlign w:val="center"/>
            <w:hideMark/>
          </w:tcPr>
          <w:p w14:paraId="1333294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120</w:t>
            </w:r>
          </w:p>
        </w:tc>
        <w:tc>
          <w:tcPr>
            <w:tcW w:w="960" w:type="dxa"/>
            <w:tcBorders>
              <w:top w:val="nil"/>
              <w:left w:val="nil"/>
              <w:bottom w:val="nil"/>
              <w:right w:val="nil"/>
            </w:tcBorders>
            <w:shd w:val="clear" w:color="auto" w:fill="auto"/>
            <w:vAlign w:val="center"/>
            <w:hideMark/>
          </w:tcPr>
          <w:p w14:paraId="2CC3B76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w:t>
            </w:r>
          </w:p>
        </w:tc>
      </w:tr>
      <w:tr w:rsidR="00BF4256" w:rsidRPr="00D92E20" w14:paraId="1081A5DD"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2D026A69"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2016</w:t>
            </w:r>
          </w:p>
        </w:tc>
        <w:tc>
          <w:tcPr>
            <w:tcW w:w="960" w:type="dxa"/>
            <w:tcBorders>
              <w:top w:val="nil"/>
              <w:left w:val="nil"/>
              <w:bottom w:val="nil"/>
              <w:right w:val="nil"/>
            </w:tcBorders>
            <w:shd w:val="clear" w:color="auto" w:fill="auto"/>
            <w:noWrap/>
            <w:vAlign w:val="center"/>
            <w:hideMark/>
          </w:tcPr>
          <w:p w14:paraId="50B90E1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47 379</w:t>
            </w:r>
          </w:p>
        </w:tc>
        <w:tc>
          <w:tcPr>
            <w:tcW w:w="960" w:type="dxa"/>
            <w:tcBorders>
              <w:top w:val="nil"/>
              <w:left w:val="nil"/>
              <w:bottom w:val="nil"/>
              <w:right w:val="nil"/>
            </w:tcBorders>
            <w:shd w:val="clear" w:color="auto" w:fill="auto"/>
            <w:noWrap/>
            <w:vAlign w:val="center"/>
            <w:hideMark/>
          </w:tcPr>
          <w:p w14:paraId="665E814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32 592</w:t>
            </w:r>
          </w:p>
        </w:tc>
        <w:tc>
          <w:tcPr>
            <w:tcW w:w="960" w:type="dxa"/>
            <w:tcBorders>
              <w:top w:val="nil"/>
              <w:left w:val="nil"/>
              <w:bottom w:val="nil"/>
              <w:right w:val="single" w:sz="4" w:space="0" w:color="auto"/>
            </w:tcBorders>
            <w:shd w:val="clear" w:color="auto" w:fill="auto"/>
            <w:noWrap/>
            <w:vAlign w:val="center"/>
            <w:hideMark/>
          </w:tcPr>
          <w:p w14:paraId="5292D42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14 787</w:t>
            </w:r>
          </w:p>
        </w:tc>
        <w:tc>
          <w:tcPr>
            <w:tcW w:w="960" w:type="dxa"/>
            <w:tcBorders>
              <w:top w:val="nil"/>
              <w:left w:val="nil"/>
              <w:bottom w:val="nil"/>
              <w:right w:val="nil"/>
            </w:tcBorders>
            <w:shd w:val="clear" w:color="auto" w:fill="auto"/>
            <w:noWrap/>
            <w:vAlign w:val="center"/>
            <w:hideMark/>
          </w:tcPr>
          <w:p w14:paraId="65E238C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46 713</w:t>
            </w:r>
          </w:p>
        </w:tc>
        <w:tc>
          <w:tcPr>
            <w:tcW w:w="960" w:type="dxa"/>
            <w:tcBorders>
              <w:top w:val="nil"/>
              <w:left w:val="nil"/>
              <w:bottom w:val="nil"/>
              <w:right w:val="nil"/>
            </w:tcBorders>
            <w:shd w:val="clear" w:color="auto" w:fill="auto"/>
            <w:vAlign w:val="center"/>
            <w:hideMark/>
          </w:tcPr>
          <w:p w14:paraId="32A83AB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32 102</w:t>
            </w:r>
          </w:p>
        </w:tc>
        <w:tc>
          <w:tcPr>
            <w:tcW w:w="960" w:type="dxa"/>
            <w:tcBorders>
              <w:top w:val="nil"/>
              <w:left w:val="nil"/>
              <w:bottom w:val="nil"/>
              <w:right w:val="single" w:sz="4" w:space="0" w:color="auto"/>
            </w:tcBorders>
            <w:shd w:val="clear" w:color="auto" w:fill="auto"/>
            <w:vAlign w:val="center"/>
            <w:hideMark/>
          </w:tcPr>
          <w:p w14:paraId="7AE1B9A6"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14 611</w:t>
            </w:r>
          </w:p>
        </w:tc>
        <w:tc>
          <w:tcPr>
            <w:tcW w:w="960" w:type="dxa"/>
            <w:tcBorders>
              <w:top w:val="nil"/>
              <w:left w:val="nil"/>
              <w:bottom w:val="nil"/>
              <w:right w:val="nil"/>
            </w:tcBorders>
            <w:shd w:val="clear" w:color="auto" w:fill="auto"/>
            <w:vAlign w:val="center"/>
            <w:hideMark/>
          </w:tcPr>
          <w:p w14:paraId="409C0B7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104</w:t>
            </w:r>
          </w:p>
        </w:tc>
        <w:tc>
          <w:tcPr>
            <w:tcW w:w="960" w:type="dxa"/>
            <w:tcBorders>
              <w:top w:val="nil"/>
              <w:left w:val="nil"/>
              <w:bottom w:val="nil"/>
              <w:right w:val="nil"/>
            </w:tcBorders>
            <w:shd w:val="clear" w:color="auto" w:fill="auto"/>
            <w:vAlign w:val="center"/>
            <w:hideMark/>
          </w:tcPr>
          <w:p w14:paraId="3D70BF4E"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101</w:t>
            </w:r>
          </w:p>
        </w:tc>
        <w:tc>
          <w:tcPr>
            <w:tcW w:w="960" w:type="dxa"/>
            <w:tcBorders>
              <w:top w:val="nil"/>
              <w:left w:val="nil"/>
              <w:bottom w:val="nil"/>
              <w:right w:val="nil"/>
            </w:tcBorders>
            <w:shd w:val="clear" w:color="auto" w:fill="auto"/>
            <w:vAlign w:val="center"/>
            <w:hideMark/>
          </w:tcPr>
          <w:p w14:paraId="2967DC7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w:t>
            </w:r>
          </w:p>
        </w:tc>
      </w:tr>
      <w:tr w:rsidR="00BF4256" w:rsidRPr="00D92E20" w14:paraId="1D44D0AB"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58C4C096"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2017</w:t>
            </w:r>
          </w:p>
        </w:tc>
        <w:tc>
          <w:tcPr>
            <w:tcW w:w="960" w:type="dxa"/>
            <w:tcBorders>
              <w:top w:val="nil"/>
              <w:left w:val="nil"/>
              <w:bottom w:val="nil"/>
              <w:right w:val="nil"/>
            </w:tcBorders>
            <w:shd w:val="clear" w:color="auto" w:fill="auto"/>
            <w:vAlign w:val="center"/>
            <w:hideMark/>
          </w:tcPr>
          <w:p w14:paraId="0F1D2844"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47 491</w:t>
            </w:r>
          </w:p>
        </w:tc>
        <w:tc>
          <w:tcPr>
            <w:tcW w:w="960" w:type="dxa"/>
            <w:tcBorders>
              <w:top w:val="nil"/>
              <w:left w:val="nil"/>
              <w:bottom w:val="nil"/>
              <w:right w:val="nil"/>
            </w:tcBorders>
            <w:shd w:val="clear" w:color="auto" w:fill="auto"/>
            <w:noWrap/>
            <w:vAlign w:val="center"/>
            <w:hideMark/>
          </w:tcPr>
          <w:p w14:paraId="6C9E7026"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32 575</w:t>
            </w:r>
          </w:p>
        </w:tc>
        <w:tc>
          <w:tcPr>
            <w:tcW w:w="960" w:type="dxa"/>
            <w:tcBorders>
              <w:top w:val="nil"/>
              <w:left w:val="nil"/>
              <w:bottom w:val="nil"/>
              <w:right w:val="single" w:sz="4" w:space="0" w:color="auto"/>
            </w:tcBorders>
            <w:shd w:val="clear" w:color="auto" w:fill="auto"/>
            <w:noWrap/>
            <w:vAlign w:val="center"/>
            <w:hideMark/>
          </w:tcPr>
          <w:p w14:paraId="15414B8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14 916</w:t>
            </w:r>
          </w:p>
        </w:tc>
        <w:tc>
          <w:tcPr>
            <w:tcW w:w="960" w:type="dxa"/>
            <w:tcBorders>
              <w:top w:val="nil"/>
              <w:left w:val="nil"/>
              <w:bottom w:val="nil"/>
              <w:right w:val="nil"/>
            </w:tcBorders>
            <w:shd w:val="clear" w:color="auto" w:fill="auto"/>
            <w:noWrap/>
            <w:vAlign w:val="center"/>
            <w:hideMark/>
          </w:tcPr>
          <w:p w14:paraId="04FB5F46"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46 870</w:t>
            </w:r>
          </w:p>
        </w:tc>
        <w:tc>
          <w:tcPr>
            <w:tcW w:w="960" w:type="dxa"/>
            <w:tcBorders>
              <w:top w:val="nil"/>
              <w:left w:val="nil"/>
              <w:bottom w:val="nil"/>
              <w:right w:val="nil"/>
            </w:tcBorders>
            <w:shd w:val="clear" w:color="auto" w:fill="auto"/>
            <w:vAlign w:val="center"/>
            <w:hideMark/>
          </w:tcPr>
          <w:p w14:paraId="3A82C31E"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32 120</w:t>
            </w:r>
          </w:p>
        </w:tc>
        <w:tc>
          <w:tcPr>
            <w:tcW w:w="960" w:type="dxa"/>
            <w:tcBorders>
              <w:top w:val="nil"/>
              <w:left w:val="nil"/>
              <w:bottom w:val="nil"/>
              <w:right w:val="single" w:sz="4" w:space="0" w:color="auto"/>
            </w:tcBorders>
            <w:shd w:val="clear" w:color="auto" w:fill="auto"/>
            <w:vAlign w:val="center"/>
            <w:hideMark/>
          </w:tcPr>
          <w:p w14:paraId="458422B3"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14 750</w:t>
            </w:r>
          </w:p>
        </w:tc>
        <w:tc>
          <w:tcPr>
            <w:tcW w:w="960" w:type="dxa"/>
            <w:tcBorders>
              <w:top w:val="nil"/>
              <w:left w:val="nil"/>
              <w:bottom w:val="nil"/>
              <w:right w:val="nil"/>
            </w:tcBorders>
            <w:shd w:val="clear" w:color="auto" w:fill="auto"/>
            <w:vAlign w:val="center"/>
            <w:hideMark/>
          </w:tcPr>
          <w:p w14:paraId="79340DD5"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95</w:t>
            </w:r>
          </w:p>
        </w:tc>
        <w:tc>
          <w:tcPr>
            <w:tcW w:w="960" w:type="dxa"/>
            <w:tcBorders>
              <w:top w:val="nil"/>
              <w:left w:val="nil"/>
              <w:bottom w:val="nil"/>
              <w:right w:val="nil"/>
            </w:tcBorders>
            <w:shd w:val="clear" w:color="auto" w:fill="auto"/>
            <w:vAlign w:val="center"/>
            <w:hideMark/>
          </w:tcPr>
          <w:p w14:paraId="5D03984B"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91</w:t>
            </w:r>
          </w:p>
        </w:tc>
        <w:tc>
          <w:tcPr>
            <w:tcW w:w="960" w:type="dxa"/>
            <w:tcBorders>
              <w:top w:val="nil"/>
              <w:left w:val="nil"/>
              <w:bottom w:val="nil"/>
              <w:right w:val="nil"/>
            </w:tcBorders>
            <w:shd w:val="clear" w:color="auto" w:fill="auto"/>
            <w:vAlign w:val="center"/>
            <w:hideMark/>
          </w:tcPr>
          <w:p w14:paraId="6DF64F15"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w:t>
            </w:r>
          </w:p>
        </w:tc>
      </w:tr>
      <w:tr w:rsidR="00BF4256" w:rsidRPr="00D92E20" w14:paraId="1FDC472A"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7405E34B"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2018</w:t>
            </w:r>
          </w:p>
        </w:tc>
        <w:tc>
          <w:tcPr>
            <w:tcW w:w="960" w:type="dxa"/>
            <w:tcBorders>
              <w:top w:val="nil"/>
              <w:left w:val="nil"/>
              <w:bottom w:val="nil"/>
              <w:right w:val="nil"/>
            </w:tcBorders>
            <w:shd w:val="clear" w:color="auto" w:fill="auto"/>
            <w:noWrap/>
            <w:vAlign w:val="center"/>
            <w:hideMark/>
          </w:tcPr>
          <w:p w14:paraId="20EDB6C6"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46 223</w:t>
            </w:r>
          </w:p>
        </w:tc>
        <w:tc>
          <w:tcPr>
            <w:tcW w:w="960" w:type="dxa"/>
            <w:tcBorders>
              <w:top w:val="nil"/>
              <w:left w:val="nil"/>
              <w:bottom w:val="nil"/>
              <w:right w:val="nil"/>
            </w:tcBorders>
            <w:shd w:val="clear" w:color="auto" w:fill="auto"/>
            <w:vAlign w:val="center"/>
            <w:hideMark/>
          </w:tcPr>
          <w:p w14:paraId="5A898D97"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31 340</w:t>
            </w:r>
          </w:p>
        </w:tc>
        <w:tc>
          <w:tcPr>
            <w:tcW w:w="960" w:type="dxa"/>
            <w:tcBorders>
              <w:top w:val="nil"/>
              <w:left w:val="nil"/>
              <w:bottom w:val="nil"/>
              <w:right w:val="single" w:sz="4" w:space="0" w:color="auto"/>
            </w:tcBorders>
            <w:shd w:val="clear" w:color="auto" w:fill="auto"/>
            <w:vAlign w:val="center"/>
            <w:hideMark/>
          </w:tcPr>
          <w:p w14:paraId="6A09B484"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14 883</w:t>
            </w:r>
          </w:p>
        </w:tc>
        <w:tc>
          <w:tcPr>
            <w:tcW w:w="960" w:type="dxa"/>
            <w:tcBorders>
              <w:top w:val="nil"/>
              <w:left w:val="nil"/>
              <w:bottom w:val="nil"/>
              <w:right w:val="nil"/>
            </w:tcBorders>
            <w:shd w:val="clear" w:color="auto" w:fill="auto"/>
            <w:noWrap/>
            <w:vAlign w:val="center"/>
            <w:hideMark/>
          </w:tcPr>
          <w:p w14:paraId="115F23EB"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45 666</w:t>
            </w:r>
          </w:p>
        </w:tc>
        <w:tc>
          <w:tcPr>
            <w:tcW w:w="960" w:type="dxa"/>
            <w:tcBorders>
              <w:top w:val="nil"/>
              <w:left w:val="nil"/>
              <w:bottom w:val="nil"/>
              <w:right w:val="nil"/>
            </w:tcBorders>
            <w:shd w:val="clear" w:color="auto" w:fill="auto"/>
            <w:vAlign w:val="center"/>
            <w:hideMark/>
          </w:tcPr>
          <w:p w14:paraId="09F19A6F"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30 947</w:t>
            </w:r>
          </w:p>
        </w:tc>
        <w:tc>
          <w:tcPr>
            <w:tcW w:w="960" w:type="dxa"/>
            <w:tcBorders>
              <w:top w:val="nil"/>
              <w:left w:val="nil"/>
              <w:bottom w:val="nil"/>
              <w:right w:val="single" w:sz="4" w:space="0" w:color="auto"/>
            </w:tcBorders>
            <w:shd w:val="clear" w:color="auto" w:fill="auto"/>
            <w:vAlign w:val="center"/>
            <w:hideMark/>
          </w:tcPr>
          <w:p w14:paraId="14BE404F"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14 719</w:t>
            </w:r>
          </w:p>
        </w:tc>
        <w:tc>
          <w:tcPr>
            <w:tcW w:w="960" w:type="dxa"/>
            <w:tcBorders>
              <w:top w:val="nil"/>
              <w:left w:val="nil"/>
              <w:bottom w:val="nil"/>
              <w:right w:val="nil"/>
            </w:tcBorders>
            <w:shd w:val="clear" w:color="auto" w:fill="auto"/>
            <w:vAlign w:val="center"/>
            <w:hideMark/>
          </w:tcPr>
          <w:p w14:paraId="61B5E213"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123</w:t>
            </w:r>
          </w:p>
        </w:tc>
        <w:tc>
          <w:tcPr>
            <w:tcW w:w="960" w:type="dxa"/>
            <w:tcBorders>
              <w:top w:val="nil"/>
              <w:left w:val="nil"/>
              <w:bottom w:val="nil"/>
              <w:right w:val="nil"/>
            </w:tcBorders>
            <w:shd w:val="clear" w:color="auto" w:fill="auto"/>
            <w:vAlign w:val="center"/>
            <w:hideMark/>
          </w:tcPr>
          <w:p w14:paraId="19AEE8C4"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117</w:t>
            </w:r>
          </w:p>
        </w:tc>
        <w:tc>
          <w:tcPr>
            <w:tcW w:w="960" w:type="dxa"/>
            <w:tcBorders>
              <w:top w:val="nil"/>
              <w:left w:val="nil"/>
              <w:bottom w:val="nil"/>
              <w:right w:val="nil"/>
            </w:tcBorders>
            <w:shd w:val="clear" w:color="auto" w:fill="auto"/>
            <w:vAlign w:val="center"/>
            <w:hideMark/>
          </w:tcPr>
          <w:p w14:paraId="66247653"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6</w:t>
            </w:r>
          </w:p>
        </w:tc>
      </w:tr>
      <w:tr w:rsidR="00BF4256" w:rsidRPr="00D92E20" w14:paraId="197278DD" w14:textId="77777777" w:rsidTr="00BF4256">
        <w:trPr>
          <w:trHeight w:val="300"/>
        </w:trPr>
        <w:tc>
          <w:tcPr>
            <w:tcW w:w="960" w:type="dxa"/>
            <w:tcBorders>
              <w:top w:val="nil"/>
              <w:left w:val="nil"/>
              <w:bottom w:val="nil"/>
              <w:right w:val="single" w:sz="4" w:space="0" w:color="auto"/>
            </w:tcBorders>
            <w:shd w:val="clear" w:color="auto" w:fill="auto"/>
            <w:vAlign w:val="center"/>
            <w:hideMark/>
          </w:tcPr>
          <w:p w14:paraId="60A2D725"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2019</w:t>
            </w:r>
          </w:p>
        </w:tc>
        <w:tc>
          <w:tcPr>
            <w:tcW w:w="960" w:type="dxa"/>
            <w:tcBorders>
              <w:top w:val="nil"/>
              <w:left w:val="nil"/>
              <w:bottom w:val="nil"/>
              <w:right w:val="nil"/>
            </w:tcBorders>
            <w:shd w:val="clear" w:color="auto" w:fill="auto"/>
            <w:noWrap/>
            <w:vAlign w:val="center"/>
            <w:hideMark/>
          </w:tcPr>
          <w:p w14:paraId="62248BD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44 552</w:t>
            </w:r>
          </w:p>
        </w:tc>
        <w:tc>
          <w:tcPr>
            <w:tcW w:w="960" w:type="dxa"/>
            <w:tcBorders>
              <w:top w:val="nil"/>
              <w:left w:val="nil"/>
              <w:bottom w:val="nil"/>
              <w:right w:val="nil"/>
            </w:tcBorders>
            <w:shd w:val="clear" w:color="auto" w:fill="auto"/>
            <w:vAlign w:val="center"/>
            <w:hideMark/>
          </w:tcPr>
          <w:p w14:paraId="2F14C7EA"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30 068</w:t>
            </w:r>
          </w:p>
        </w:tc>
        <w:tc>
          <w:tcPr>
            <w:tcW w:w="960" w:type="dxa"/>
            <w:tcBorders>
              <w:top w:val="nil"/>
              <w:left w:val="nil"/>
              <w:bottom w:val="nil"/>
              <w:right w:val="single" w:sz="4" w:space="0" w:color="auto"/>
            </w:tcBorders>
            <w:shd w:val="clear" w:color="auto" w:fill="auto"/>
            <w:vAlign w:val="center"/>
            <w:hideMark/>
          </w:tcPr>
          <w:p w14:paraId="4B462091"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14 484</w:t>
            </w:r>
          </w:p>
        </w:tc>
        <w:tc>
          <w:tcPr>
            <w:tcW w:w="960" w:type="dxa"/>
            <w:tcBorders>
              <w:top w:val="nil"/>
              <w:left w:val="nil"/>
              <w:bottom w:val="nil"/>
              <w:right w:val="nil"/>
            </w:tcBorders>
            <w:shd w:val="clear" w:color="auto" w:fill="auto"/>
            <w:noWrap/>
            <w:vAlign w:val="center"/>
            <w:hideMark/>
          </w:tcPr>
          <w:p w14:paraId="5C5C3C3B"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43 959</w:t>
            </w:r>
          </w:p>
        </w:tc>
        <w:tc>
          <w:tcPr>
            <w:tcW w:w="960" w:type="dxa"/>
            <w:tcBorders>
              <w:top w:val="nil"/>
              <w:left w:val="nil"/>
              <w:bottom w:val="nil"/>
              <w:right w:val="nil"/>
            </w:tcBorders>
            <w:shd w:val="clear" w:color="auto" w:fill="auto"/>
            <w:vAlign w:val="center"/>
            <w:hideMark/>
          </w:tcPr>
          <w:p w14:paraId="597F904E"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29 663</w:t>
            </w:r>
          </w:p>
        </w:tc>
        <w:tc>
          <w:tcPr>
            <w:tcW w:w="960" w:type="dxa"/>
            <w:tcBorders>
              <w:top w:val="nil"/>
              <w:left w:val="nil"/>
              <w:bottom w:val="nil"/>
              <w:right w:val="single" w:sz="4" w:space="0" w:color="auto"/>
            </w:tcBorders>
            <w:shd w:val="clear" w:color="auto" w:fill="auto"/>
            <w:vAlign w:val="center"/>
            <w:hideMark/>
          </w:tcPr>
          <w:p w14:paraId="0DCFD742"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14 296</w:t>
            </w:r>
          </w:p>
        </w:tc>
        <w:tc>
          <w:tcPr>
            <w:tcW w:w="960" w:type="dxa"/>
            <w:tcBorders>
              <w:top w:val="nil"/>
              <w:left w:val="nil"/>
              <w:bottom w:val="nil"/>
              <w:right w:val="nil"/>
            </w:tcBorders>
            <w:shd w:val="clear" w:color="auto" w:fill="auto"/>
            <w:vAlign w:val="center"/>
            <w:hideMark/>
          </w:tcPr>
          <w:p w14:paraId="7981A70F"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92</w:t>
            </w:r>
          </w:p>
        </w:tc>
        <w:tc>
          <w:tcPr>
            <w:tcW w:w="960" w:type="dxa"/>
            <w:tcBorders>
              <w:top w:val="nil"/>
              <w:left w:val="nil"/>
              <w:bottom w:val="nil"/>
              <w:right w:val="nil"/>
            </w:tcBorders>
            <w:shd w:val="clear" w:color="auto" w:fill="auto"/>
            <w:vAlign w:val="center"/>
            <w:hideMark/>
          </w:tcPr>
          <w:p w14:paraId="7DF2F177"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87</w:t>
            </w:r>
          </w:p>
        </w:tc>
        <w:tc>
          <w:tcPr>
            <w:tcW w:w="960" w:type="dxa"/>
            <w:tcBorders>
              <w:top w:val="nil"/>
              <w:left w:val="nil"/>
              <w:bottom w:val="nil"/>
              <w:right w:val="nil"/>
            </w:tcBorders>
            <w:shd w:val="clear" w:color="auto" w:fill="auto"/>
            <w:vAlign w:val="center"/>
            <w:hideMark/>
          </w:tcPr>
          <w:p w14:paraId="6C266EB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5</w:t>
            </w:r>
          </w:p>
        </w:tc>
      </w:tr>
      <w:tr w:rsidR="00BF4256" w:rsidRPr="00D92E20" w14:paraId="633C828F" w14:textId="77777777" w:rsidTr="00FB3501">
        <w:trPr>
          <w:trHeight w:val="300"/>
        </w:trPr>
        <w:tc>
          <w:tcPr>
            <w:tcW w:w="960" w:type="dxa"/>
            <w:tcBorders>
              <w:top w:val="nil"/>
              <w:left w:val="nil"/>
              <w:bottom w:val="nil"/>
              <w:right w:val="single" w:sz="4" w:space="0" w:color="auto"/>
            </w:tcBorders>
            <w:shd w:val="clear" w:color="auto" w:fill="auto"/>
            <w:vAlign w:val="center"/>
            <w:hideMark/>
          </w:tcPr>
          <w:p w14:paraId="57937F0A" w14:textId="77777777" w:rsidR="00BF4256" w:rsidRPr="00D92E20" w:rsidRDefault="00BF4256" w:rsidP="00BF4256">
            <w:pPr>
              <w:spacing w:after="0" w:line="240" w:lineRule="auto"/>
              <w:jc w:val="center"/>
              <w:rPr>
                <w:rFonts w:cs="Arial"/>
                <w:color w:val="000000"/>
                <w:sz w:val="16"/>
                <w:szCs w:val="16"/>
              </w:rPr>
            </w:pPr>
            <w:r w:rsidRPr="00D92E20">
              <w:rPr>
                <w:rFonts w:cs="Arial"/>
                <w:color w:val="000000"/>
                <w:sz w:val="16"/>
                <w:szCs w:val="16"/>
              </w:rPr>
              <w:t>2020</w:t>
            </w:r>
          </w:p>
        </w:tc>
        <w:tc>
          <w:tcPr>
            <w:tcW w:w="960" w:type="dxa"/>
            <w:tcBorders>
              <w:top w:val="nil"/>
              <w:left w:val="nil"/>
              <w:bottom w:val="nil"/>
              <w:right w:val="nil"/>
            </w:tcBorders>
            <w:shd w:val="clear" w:color="auto" w:fill="auto"/>
            <w:noWrap/>
            <w:vAlign w:val="center"/>
            <w:hideMark/>
          </w:tcPr>
          <w:p w14:paraId="507D8AC8"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41 358</w:t>
            </w:r>
          </w:p>
        </w:tc>
        <w:tc>
          <w:tcPr>
            <w:tcW w:w="960" w:type="dxa"/>
            <w:tcBorders>
              <w:top w:val="nil"/>
              <w:left w:val="nil"/>
              <w:bottom w:val="nil"/>
              <w:right w:val="nil"/>
            </w:tcBorders>
            <w:shd w:val="clear" w:color="auto" w:fill="auto"/>
            <w:vAlign w:val="center"/>
            <w:hideMark/>
          </w:tcPr>
          <w:p w14:paraId="7B4206ED"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28 681</w:t>
            </w:r>
          </w:p>
        </w:tc>
        <w:tc>
          <w:tcPr>
            <w:tcW w:w="960" w:type="dxa"/>
            <w:tcBorders>
              <w:top w:val="nil"/>
              <w:left w:val="nil"/>
              <w:bottom w:val="nil"/>
              <w:right w:val="single" w:sz="4" w:space="0" w:color="auto"/>
            </w:tcBorders>
            <w:shd w:val="clear" w:color="auto" w:fill="auto"/>
            <w:vAlign w:val="center"/>
            <w:hideMark/>
          </w:tcPr>
          <w:p w14:paraId="2F109DFF"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12 677</w:t>
            </w:r>
          </w:p>
        </w:tc>
        <w:tc>
          <w:tcPr>
            <w:tcW w:w="960" w:type="dxa"/>
            <w:tcBorders>
              <w:top w:val="nil"/>
              <w:left w:val="nil"/>
              <w:bottom w:val="nil"/>
              <w:right w:val="nil"/>
            </w:tcBorders>
            <w:shd w:val="clear" w:color="auto" w:fill="auto"/>
            <w:noWrap/>
            <w:vAlign w:val="center"/>
            <w:hideMark/>
          </w:tcPr>
          <w:p w14:paraId="2B8A08B2"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40 569</w:t>
            </w:r>
          </w:p>
        </w:tc>
        <w:tc>
          <w:tcPr>
            <w:tcW w:w="960" w:type="dxa"/>
            <w:tcBorders>
              <w:top w:val="nil"/>
              <w:left w:val="nil"/>
              <w:bottom w:val="nil"/>
              <w:right w:val="nil"/>
            </w:tcBorders>
            <w:shd w:val="clear" w:color="auto" w:fill="auto"/>
            <w:vAlign w:val="center"/>
            <w:hideMark/>
          </w:tcPr>
          <w:p w14:paraId="697C4BF5"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28 104</w:t>
            </w:r>
          </w:p>
        </w:tc>
        <w:tc>
          <w:tcPr>
            <w:tcW w:w="960" w:type="dxa"/>
            <w:tcBorders>
              <w:top w:val="nil"/>
              <w:left w:val="nil"/>
              <w:bottom w:val="nil"/>
              <w:right w:val="single" w:sz="4" w:space="0" w:color="auto"/>
            </w:tcBorders>
            <w:shd w:val="clear" w:color="auto" w:fill="auto"/>
            <w:vAlign w:val="center"/>
            <w:hideMark/>
          </w:tcPr>
          <w:p w14:paraId="607AF827" w14:textId="77777777" w:rsidR="00BF4256" w:rsidRPr="00D92E20" w:rsidRDefault="00BF4256" w:rsidP="00BF4256">
            <w:pPr>
              <w:spacing w:after="0" w:line="240" w:lineRule="auto"/>
              <w:jc w:val="right"/>
              <w:rPr>
                <w:rFonts w:cs="Arial"/>
                <w:color w:val="000000"/>
                <w:sz w:val="16"/>
                <w:szCs w:val="16"/>
              </w:rPr>
            </w:pPr>
            <w:r w:rsidRPr="00D92E20">
              <w:rPr>
                <w:rFonts w:cs="Arial"/>
                <w:color w:val="000000"/>
                <w:sz w:val="16"/>
                <w:szCs w:val="16"/>
              </w:rPr>
              <w:t>12 465</w:t>
            </w:r>
          </w:p>
        </w:tc>
        <w:tc>
          <w:tcPr>
            <w:tcW w:w="960" w:type="dxa"/>
            <w:tcBorders>
              <w:top w:val="nil"/>
              <w:left w:val="nil"/>
              <w:bottom w:val="nil"/>
              <w:right w:val="nil"/>
            </w:tcBorders>
            <w:shd w:val="clear" w:color="auto" w:fill="auto"/>
            <w:vAlign w:val="center"/>
            <w:hideMark/>
          </w:tcPr>
          <w:p w14:paraId="688EDD90" w14:textId="77777777" w:rsidR="00BF4256" w:rsidRPr="00D92E20" w:rsidRDefault="00FB3501" w:rsidP="00BF4256">
            <w:pPr>
              <w:spacing w:after="0" w:line="240" w:lineRule="auto"/>
              <w:jc w:val="right"/>
              <w:rPr>
                <w:rFonts w:cs="Arial"/>
                <w:color w:val="000000"/>
                <w:sz w:val="16"/>
                <w:szCs w:val="16"/>
              </w:rPr>
            </w:pPr>
            <w:r w:rsidRPr="00D92E20">
              <w:rPr>
                <w:rFonts w:cs="Arial"/>
                <w:color w:val="000000"/>
                <w:sz w:val="16"/>
                <w:szCs w:val="16"/>
              </w:rPr>
              <w:t>108</w:t>
            </w:r>
          </w:p>
        </w:tc>
        <w:tc>
          <w:tcPr>
            <w:tcW w:w="960" w:type="dxa"/>
            <w:tcBorders>
              <w:top w:val="nil"/>
              <w:left w:val="nil"/>
              <w:bottom w:val="nil"/>
              <w:right w:val="nil"/>
            </w:tcBorders>
            <w:shd w:val="clear" w:color="auto" w:fill="auto"/>
            <w:vAlign w:val="center"/>
            <w:hideMark/>
          </w:tcPr>
          <w:p w14:paraId="4BD6BEA5" w14:textId="77777777" w:rsidR="00BF4256" w:rsidRPr="00D92E20" w:rsidRDefault="00FB3501" w:rsidP="00BF4256">
            <w:pPr>
              <w:spacing w:after="0" w:line="240" w:lineRule="auto"/>
              <w:jc w:val="right"/>
              <w:rPr>
                <w:rFonts w:cs="Arial"/>
                <w:color w:val="000000"/>
                <w:sz w:val="16"/>
                <w:szCs w:val="16"/>
              </w:rPr>
            </w:pPr>
            <w:r w:rsidRPr="00D92E20">
              <w:rPr>
                <w:rFonts w:cs="Arial"/>
                <w:color w:val="000000"/>
                <w:sz w:val="16"/>
                <w:szCs w:val="16"/>
              </w:rPr>
              <w:t>105</w:t>
            </w:r>
          </w:p>
        </w:tc>
        <w:tc>
          <w:tcPr>
            <w:tcW w:w="960" w:type="dxa"/>
            <w:tcBorders>
              <w:top w:val="nil"/>
              <w:left w:val="nil"/>
              <w:bottom w:val="nil"/>
              <w:right w:val="nil"/>
            </w:tcBorders>
            <w:shd w:val="clear" w:color="auto" w:fill="auto"/>
            <w:vAlign w:val="center"/>
            <w:hideMark/>
          </w:tcPr>
          <w:p w14:paraId="085C97E9" w14:textId="77777777" w:rsidR="00BF4256" w:rsidRPr="00D92E20" w:rsidRDefault="00FB3501" w:rsidP="00FB3501">
            <w:pPr>
              <w:spacing w:after="0" w:line="240" w:lineRule="auto"/>
              <w:jc w:val="right"/>
              <w:rPr>
                <w:rFonts w:cs="Arial"/>
                <w:color w:val="000000"/>
                <w:sz w:val="16"/>
                <w:szCs w:val="16"/>
              </w:rPr>
            </w:pPr>
            <w:r w:rsidRPr="00D92E20">
              <w:rPr>
                <w:rFonts w:cs="Arial"/>
                <w:color w:val="000000"/>
                <w:sz w:val="16"/>
                <w:szCs w:val="16"/>
              </w:rPr>
              <w:t>3</w:t>
            </w:r>
          </w:p>
        </w:tc>
      </w:tr>
    </w:tbl>
    <w:p w14:paraId="23699BA4" w14:textId="77777777" w:rsidR="00BF4256" w:rsidRPr="00D92E20" w:rsidRDefault="00BF4256" w:rsidP="00000A90">
      <w:pPr>
        <w:spacing w:before="120" w:after="120"/>
        <w:jc w:val="both"/>
        <w:rPr>
          <w:sz w:val="16"/>
        </w:rPr>
      </w:pPr>
      <w:r w:rsidRPr="00D92E20">
        <w:rPr>
          <w:sz w:val="16"/>
        </w:rPr>
        <w:t>Zdroj: ČSÚ, SÚIP</w:t>
      </w:r>
    </w:p>
    <w:p w14:paraId="2584A770" w14:textId="4DDE4745" w:rsidR="00F20CF3" w:rsidRPr="00D92E20" w:rsidRDefault="00F20CF3" w:rsidP="00000A90">
      <w:pPr>
        <w:spacing w:before="120" w:after="120"/>
        <w:jc w:val="both"/>
        <w:rPr>
          <w:rFonts w:cs="Arial"/>
        </w:rPr>
      </w:pPr>
      <w:r w:rsidRPr="00D92E20">
        <w:rPr>
          <w:rFonts w:cs="Arial"/>
        </w:rPr>
        <w:lastRenderedPageBreak/>
        <w:t xml:space="preserve">V pracovní úrazovosti je dlouhodobě patrný rozdíl mezi </w:t>
      </w:r>
      <w:r w:rsidRPr="00D92E20">
        <w:rPr>
          <w:rFonts w:cs="Arial"/>
          <w:b/>
        </w:rPr>
        <w:t>pohlavími</w:t>
      </w:r>
      <w:r w:rsidRPr="00D92E20">
        <w:rPr>
          <w:rFonts w:cs="Arial"/>
        </w:rPr>
        <w:t xml:space="preserve">, muži zde výrazně dominují. Z celkového počtu pracovních úrazů připadaly v roce 2020 na muže více než dvě třetiny (69 %), což je </w:t>
      </w:r>
      <w:r w:rsidRPr="00D92E20">
        <w:rPr>
          <w:rFonts w:cs="Arial"/>
          <w:b/>
        </w:rPr>
        <w:t>dáno</w:t>
      </w:r>
      <w:r w:rsidRPr="00D92E20">
        <w:rPr>
          <w:rFonts w:cs="Arial"/>
        </w:rPr>
        <w:t xml:space="preserve"> především</w:t>
      </w:r>
      <w:r w:rsidRPr="00D92E20">
        <w:rPr>
          <w:rFonts w:cs="Arial"/>
          <w:b/>
        </w:rPr>
        <w:t> odlišnou strukturou zaměstnanosti žen a mužů</w:t>
      </w:r>
      <w:r w:rsidRPr="00D92E20">
        <w:rPr>
          <w:rFonts w:cs="Arial"/>
        </w:rPr>
        <w:t xml:space="preserve">. V odvětvích rizikovějších na pracovní úrazy jako je např. </w:t>
      </w:r>
      <w:r w:rsidRPr="00D92E20">
        <w:t>T</w:t>
      </w:r>
      <w:r w:rsidRPr="00D92E20">
        <w:rPr>
          <w:rFonts w:cs="Arial"/>
        </w:rPr>
        <w:t>ěžba a dobývání, Zpracovatelský průmysl, S</w:t>
      </w:r>
      <w:r w:rsidRPr="00D92E20">
        <w:t>tavebnictví, Doprava a skladování mezi zaměstnanci převládají muži.</w:t>
      </w:r>
      <w:r w:rsidR="00BF4256" w:rsidRPr="00D92E20">
        <w:t xml:space="preserve"> Ještě výraznější rozdíl hodnot mezi pohlavími lze vidět u smrtelných pracovních úrazů. V roce 2020 se muži podíleli na smrtelných úrazech </w:t>
      </w:r>
      <w:r w:rsidR="00FB3501" w:rsidRPr="00D92E20">
        <w:t>97</w:t>
      </w:r>
      <w:r w:rsidR="00BF4256" w:rsidRPr="00D92E20">
        <w:t xml:space="preserve"> %. Oproti předchozímu roku došlo k </w:t>
      </w:r>
      <w:r w:rsidR="00FB3501" w:rsidRPr="00D92E20">
        <w:t>ná</w:t>
      </w:r>
      <w:r w:rsidR="00BF4256" w:rsidRPr="00D92E20">
        <w:t xml:space="preserve">růstu smrtelných pracovních úrazů z 92 na </w:t>
      </w:r>
      <w:r w:rsidR="00FB3501" w:rsidRPr="00D92E20">
        <w:t>108</w:t>
      </w:r>
      <w:r w:rsidR="00BF4256" w:rsidRPr="00D92E20">
        <w:t xml:space="preserve">, tj. o </w:t>
      </w:r>
      <w:r w:rsidR="00FB3501" w:rsidRPr="00D92E20">
        <w:t>17</w:t>
      </w:r>
      <w:r w:rsidR="00BF4256" w:rsidRPr="00D92E20">
        <w:t xml:space="preserve"> %. Muži zaznamenali </w:t>
      </w:r>
      <w:r w:rsidR="00FB3501" w:rsidRPr="00D92E20">
        <w:t>105</w:t>
      </w:r>
      <w:r w:rsidR="00BF4256" w:rsidRPr="00D92E20">
        <w:t xml:space="preserve"> smrtelných pracovních úrazů, což je meziročně o </w:t>
      </w:r>
      <w:r w:rsidR="00FB3501" w:rsidRPr="00D92E20">
        <w:t>18 v</w:t>
      </w:r>
      <w:r w:rsidR="00BF4256" w:rsidRPr="00D92E20">
        <w:t>íce.</w:t>
      </w:r>
    </w:p>
    <w:p w14:paraId="6D184AC0" w14:textId="77777777" w:rsidR="00F20CF3" w:rsidRPr="00D92E20" w:rsidRDefault="00F20CF3" w:rsidP="00000A90">
      <w:pPr>
        <w:spacing w:before="120" w:after="120"/>
        <w:jc w:val="both"/>
        <w:rPr>
          <w:rFonts w:cs="Arial"/>
        </w:rPr>
      </w:pPr>
      <w:r w:rsidRPr="00D92E20">
        <w:rPr>
          <w:rFonts w:cs="Arial"/>
        </w:rPr>
        <w:t>Nadále se v této kapitole budeme věnovat pracovním úrazům s pracovní neschopností delší než 3 kalendářní dny.</w:t>
      </w:r>
    </w:p>
    <w:p w14:paraId="57F8AA80" w14:textId="77777777" w:rsidR="00BF4256" w:rsidRPr="00D92E20" w:rsidRDefault="00BF4256" w:rsidP="00000A90">
      <w:pPr>
        <w:spacing w:before="120" w:after="120"/>
        <w:jc w:val="both"/>
        <w:rPr>
          <w:rFonts w:cs="Arial"/>
          <w:b/>
        </w:rPr>
      </w:pPr>
      <w:r w:rsidRPr="00D92E20">
        <w:t>Za posledních deset let</w:t>
      </w:r>
      <w:r w:rsidR="00F20CF3" w:rsidRPr="00D92E20">
        <w:t xml:space="preserve"> došlo k celkovému poklesu počtu pracovních úrazů s DPN delší než 3 dny </w:t>
      </w:r>
      <w:r w:rsidRPr="00D92E20">
        <w:t xml:space="preserve">téměř </w:t>
      </w:r>
      <w:r w:rsidR="00F20CF3" w:rsidRPr="00D92E20">
        <w:t>o </w:t>
      </w:r>
      <w:r w:rsidRPr="00D92E20">
        <w:t>pětinu</w:t>
      </w:r>
      <w:r w:rsidR="00F20CF3" w:rsidRPr="00D92E20">
        <w:t>, přičemž výraznější byl pokles u mužů (o 2</w:t>
      </w:r>
      <w:r w:rsidRPr="00D92E20">
        <w:t>1</w:t>
      </w:r>
      <w:r w:rsidR="00F20CF3" w:rsidRPr="00D92E20">
        <w:t xml:space="preserve"> %) než u žen (o </w:t>
      </w:r>
      <w:r w:rsidRPr="00D92E20">
        <w:t>15</w:t>
      </w:r>
      <w:r w:rsidR="00F20CF3" w:rsidRPr="00D92E20">
        <w:t xml:space="preserve"> %). Počet pracovních úrazů se ve sledovaném období nesnižoval proporcionálně, pokles byl přerušen v</w:t>
      </w:r>
      <w:r w:rsidRPr="00D92E20">
        <w:t> roce 2013 a mezi lety 2014 a 2017 se počet zvyšoval</w:t>
      </w:r>
      <w:r w:rsidR="00F20CF3" w:rsidRPr="00D92E20">
        <w:t xml:space="preserve">. </w:t>
      </w:r>
      <w:r w:rsidRPr="00D92E20">
        <w:t>Současný pokles trvá již od roku 2018.</w:t>
      </w:r>
      <w:r w:rsidR="00F20CF3" w:rsidRPr="00D92E20">
        <w:t xml:space="preserve"> Podobný trend má i relativní ukazatel počtu pracovních úrazů s DPN delší než 3 dny na 100 000 nemocensky pojištěných osob (viz graf 5.1).</w:t>
      </w:r>
    </w:p>
    <w:p w14:paraId="79B1C8FD" w14:textId="77777777" w:rsidR="00BF4256" w:rsidRPr="00D92E20" w:rsidRDefault="00BF4256" w:rsidP="00000A90">
      <w:pPr>
        <w:spacing w:after="0"/>
        <w:jc w:val="both"/>
        <w:rPr>
          <w:rFonts w:cs="Arial"/>
          <w:b/>
        </w:rPr>
      </w:pPr>
      <w:r w:rsidRPr="00D92E20">
        <w:rPr>
          <w:rFonts w:cs="Arial"/>
          <w:b/>
        </w:rPr>
        <w:t>Graf 5.1: Pracovní úrazy s pracovní neschopností delší než 3 dny na 100 tis. pojištěnců podle pohlaví, 2010–2020</w:t>
      </w:r>
    </w:p>
    <w:p w14:paraId="34787F9B" w14:textId="77777777" w:rsidR="00F20CF3" w:rsidRPr="00D92E20" w:rsidRDefault="00BF4256" w:rsidP="00F20CF3">
      <w:pPr>
        <w:jc w:val="both"/>
        <w:rPr>
          <w:rFonts w:cs="Arial"/>
          <w:b/>
        </w:rPr>
      </w:pPr>
      <w:r w:rsidRPr="00D92E20">
        <w:rPr>
          <w:noProof/>
        </w:rPr>
        <w:drawing>
          <wp:inline distT="0" distB="0" distL="0" distR="0" wp14:anchorId="07B35B94" wp14:editId="06CD000E">
            <wp:extent cx="6115050" cy="2743200"/>
            <wp:effectExtent l="0" t="0" r="0" b="0"/>
            <wp:docPr id="42" name="Graf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F20CF3" w:rsidRPr="00D92E20">
        <w:rPr>
          <w:rFonts w:cs="Arial"/>
          <w:b/>
        </w:rPr>
        <w:t xml:space="preserve"> </w:t>
      </w:r>
    </w:p>
    <w:p w14:paraId="0DC43427" w14:textId="77777777" w:rsidR="00BF4256" w:rsidRPr="00D92E20" w:rsidRDefault="00BF4256" w:rsidP="00BF4256">
      <w:pPr>
        <w:spacing w:after="120"/>
        <w:jc w:val="both"/>
        <w:rPr>
          <w:sz w:val="16"/>
        </w:rPr>
      </w:pPr>
      <w:r w:rsidRPr="00D92E20">
        <w:rPr>
          <w:sz w:val="16"/>
        </w:rPr>
        <w:t>Zdroj: ČSÚ</w:t>
      </w:r>
    </w:p>
    <w:p w14:paraId="3B1183A6" w14:textId="77777777" w:rsidR="006F40AA" w:rsidRPr="00D92E20" w:rsidRDefault="006F40AA" w:rsidP="00000A90">
      <w:pPr>
        <w:spacing w:before="120" w:after="120"/>
        <w:jc w:val="both"/>
        <w:rPr>
          <w:rFonts w:cs="Arial"/>
          <w:bCs/>
          <w:color w:val="000000"/>
          <w:szCs w:val="20"/>
        </w:rPr>
      </w:pPr>
      <w:r w:rsidRPr="00D92E20">
        <w:rPr>
          <w:rFonts w:cs="Arial"/>
          <w:bCs/>
          <w:color w:val="000000"/>
          <w:szCs w:val="20"/>
        </w:rPr>
        <w:t xml:space="preserve">V absolutním vyjádření </w:t>
      </w:r>
      <w:r w:rsidRPr="00D92E20">
        <w:rPr>
          <w:rFonts w:cs="Arial"/>
          <w:b/>
          <w:bCs/>
          <w:color w:val="000000"/>
          <w:szCs w:val="20"/>
        </w:rPr>
        <w:t>nejvíce pracovních úrazů</w:t>
      </w:r>
      <w:r w:rsidRPr="00D92E20">
        <w:rPr>
          <w:rFonts w:cs="Arial"/>
          <w:bCs/>
          <w:color w:val="000000"/>
          <w:szCs w:val="20"/>
        </w:rPr>
        <w:t xml:space="preserve"> s DPN delší než 3 dny se v roce 2020 událo </w:t>
      </w:r>
      <w:r w:rsidRPr="00D92E20">
        <w:rPr>
          <w:rFonts w:cs="Arial"/>
          <w:b/>
          <w:bCs/>
          <w:color w:val="000000"/>
          <w:szCs w:val="20"/>
        </w:rPr>
        <w:t>ve Zpracovatelském průmyslu</w:t>
      </w:r>
      <w:r w:rsidRPr="00D92E20">
        <w:rPr>
          <w:rFonts w:cs="Arial"/>
          <w:bCs/>
          <w:color w:val="000000"/>
          <w:szCs w:val="20"/>
        </w:rPr>
        <w:t xml:space="preserve"> (16 409 případů), následují odvětví Velkoobchod a maloobchod, opravy a</w:t>
      </w:r>
      <w:r w:rsidR="00C02C40" w:rsidRPr="00D92E20">
        <w:rPr>
          <w:rFonts w:cs="Arial"/>
          <w:bCs/>
          <w:color w:val="000000"/>
          <w:szCs w:val="20"/>
        </w:rPr>
        <w:t> </w:t>
      </w:r>
      <w:r w:rsidRPr="00D92E20">
        <w:rPr>
          <w:rFonts w:cs="Arial"/>
          <w:bCs/>
          <w:color w:val="000000"/>
          <w:szCs w:val="20"/>
        </w:rPr>
        <w:t xml:space="preserve">údržba motorových vozidel (4 848) a Doprava a skladování (4 146). Pokud však zohledníme zaměstnanost v jednotlivých odvětvích a pomineme míru zastoupení jednotlivých sekcí, je vhodné použít </w:t>
      </w:r>
      <w:r w:rsidRPr="00D92E20">
        <w:rPr>
          <w:rFonts w:cs="Arial"/>
          <w:b/>
          <w:bCs/>
          <w:color w:val="000000"/>
          <w:szCs w:val="20"/>
        </w:rPr>
        <w:t>relativní ukazatel</w:t>
      </w:r>
      <w:r w:rsidRPr="00D92E20">
        <w:rPr>
          <w:rFonts w:cs="Arial"/>
          <w:bCs/>
          <w:color w:val="000000"/>
          <w:szCs w:val="20"/>
        </w:rPr>
        <w:t xml:space="preserve"> vztažený na 100 tis. pojištěnců. </w:t>
      </w:r>
      <w:r w:rsidRPr="00D92E20">
        <w:rPr>
          <w:rFonts w:cs="Arial"/>
          <w:b/>
          <w:bCs/>
          <w:color w:val="000000"/>
          <w:szCs w:val="20"/>
        </w:rPr>
        <w:t>Nejrizikovějším</w:t>
      </w:r>
      <w:r w:rsidRPr="00D92E20">
        <w:rPr>
          <w:rFonts w:cs="Arial"/>
          <w:bCs/>
          <w:color w:val="000000"/>
          <w:szCs w:val="20"/>
        </w:rPr>
        <w:t xml:space="preserve"> odvětvím je pak </w:t>
      </w:r>
      <w:r w:rsidRPr="00D92E20">
        <w:rPr>
          <w:rFonts w:cs="Arial"/>
          <w:b/>
          <w:bCs/>
          <w:color w:val="000000"/>
          <w:szCs w:val="20"/>
        </w:rPr>
        <w:t>Zemědělství, lesnictví, rybářství</w:t>
      </w:r>
      <w:r w:rsidRPr="00D92E20">
        <w:rPr>
          <w:rFonts w:cs="Arial"/>
          <w:bCs/>
          <w:color w:val="000000"/>
          <w:szCs w:val="20"/>
        </w:rPr>
        <w:t xml:space="preserve"> (2 259 pracovních úrazů na 100 tis. pojištěnců), dále odvětví Zásobování vodou, činnosti související s odpady a sanacemi (1 806), Těžba a dobývání (1 675), Doprava a skladování (1 399) a teprve poté následuje Zpracovatelský průmysl (1 370). Průměrně na 100 tis. nemocensky pojištěných připadalo 865 pracovních úrazů s pracovní neschopností delší než 3 dny. Nejméně rizikovými se jeví odvětví Peněžnictví a pojišťovnictví a Informační a komunikační činnosti shodně se 78 pracovními úrazy, které si vyžádaly 3denní a delší pracovní neschopnost v přepočtu na 100 tis. pojištěnců.</w:t>
      </w:r>
    </w:p>
    <w:p w14:paraId="29F45C16" w14:textId="77777777" w:rsidR="00F20CF3" w:rsidRPr="00D92E20" w:rsidRDefault="00F20CF3" w:rsidP="00F20CF3">
      <w:pPr>
        <w:jc w:val="both"/>
      </w:pPr>
    </w:p>
    <w:p w14:paraId="1E7D773C" w14:textId="77777777" w:rsidR="00000A90" w:rsidRPr="00D92E20" w:rsidRDefault="00000A90">
      <w:pPr>
        <w:spacing w:after="0" w:line="240" w:lineRule="auto"/>
        <w:rPr>
          <w:b/>
        </w:rPr>
      </w:pPr>
      <w:r w:rsidRPr="00D92E20">
        <w:rPr>
          <w:b/>
        </w:rPr>
        <w:br w:type="page"/>
      </w:r>
    </w:p>
    <w:p w14:paraId="4E53F7F6" w14:textId="77777777" w:rsidR="006F40AA" w:rsidRPr="00D92E20" w:rsidRDefault="006F40AA" w:rsidP="00000A90">
      <w:pPr>
        <w:spacing w:after="0"/>
        <w:jc w:val="both"/>
        <w:rPr>
          <w:b/>
        </w:rPr>
      </w:pPr>
      <w:r w:rsidRPr="00D92E20">
        <w:rPr>
          <w:b/>
        </w:rPr>
        <w:lastRenderedPageBreak/>
        <w:t>Graf 5.2: Pracovní úrazy s pracovní neschopností delší než 3 dny na 100 tis. pojištěnců podle odvětví (sekce CZ-NACE), 2020</w:t>
      </w:r>
    </w:p>
    <w:p w14:paraId="065C76EE" w14:textId="77777777" w:rsidR="006F40AA" w:rsidRPr="00D92E20" w:rsidRDefault="006F40AA" w:rsidP="00F20CF3">
      <w:pPr>
        <w:jc w:val="both"/>
        <w:rPr>
          <w:b/>
        </w:rPr>
      </w:pPr>
      <w:r w:rsidRPr="00D92E20">
        <w:rPr>
          <w:noProof/>
        </w:rPr>
        <w:drawing>
          <wp:inline distT="0" distB="0" distL="0" distR="0" wp14:anchorId="0187D0E9" wp14:editId="4CC08399">
            <wp:extent cx="6120130" cy="4160520"/>
            <wp:effectExtent l="0" t="0" r="13970" b="11430"/>
            <wp:docPr id="43" name="Graf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44B44C8" w14:textId="77777777" w:rsidR="006F40AA" w:rsidRPr="00D92E20" w:rsidRDefault="006F40AA" w:rsidP="006F40AA">
      <w:pPr>
        <w:spacing w:after="120"/>
        <w:jc w:val="both"/>
        <w:rPr>
          <w:sz w:val="16"/>
        </w:rPr>
      </w:pPr>
      <w:r w:rsidRPr="00D92E20">
        <w:rPr>
          <w:sz w:val="16"/>
        </w:rPr>
        <w:t>Zdroj: ČSÚ</w:t>
      </w:r>
    </w:p>
    <w:p w14:paraId="769A6899" w14:textId="20ED9F7B" w:rsidR="006F40AA" w:rsidRPr="00D92E20" w:rsidRDefault="006F40AA" w:rsidP="00000A90">
      <w:pPr>
        <w:spacing w:before="120" w:after="120"/>
        <w:jc w:val="both"/>
      </w:pPr>
      <w:r w:rsidRPr="00D92E20">
        <w:t xml:space="preserve">Z hlediska </w:t>
      </w:r>
      <w:r w:rsidRPr="00D92E20">
        <w:rPr>
          <w:b/>
        </w:rPr>
        <w:t>územního členění</w:t>
      </w:r>
      <w:r w:rsidRPr="00D92E20">
        <w:t xml:space="preserve"> bylo v roce 2020 nejvíce případů pracovních úrazů s pracovní neschopností delší než 3 kalendářní dny na 100 tis. nemocensky pojištěných osob hlášeno v kraji Vysočina (</w:t>
      </w:r>
      <w:r w:rsidR="00EB5555" w:rsidRPr="00D92E20">
        <w:t>1 321</w:t>
      </w:r>
      <w:r w:rsidRPr="00D92E20">
        <w:t xml:space="preserve">), </w:t>
      </w:r>
      <w:r w:rsidR="00EB5555" w:rsidRPr="00D92E20">
        <w:t>Jihočeském (1 255) a Plzeňském kraji (1 221)</w:t>
      </w:r>
      <w:r w:rsidRPr="00D92E20">
        <w:t xml:space="preserve">. Nejméně neschopností pak bylo hlášeno v Hlavním městě Praze, a sice </w:t>
      </w:r>
      <w:r w:rsidR="00EB5555" w:rsidRPr="00D92E20">
        <w:t>507 případů, což je 2,6</w:t>
      </w:r>
      <w:r w:rsidRPr="00D92E20">
        <w:t xml:space="preserve">krát méně než na Vysočině. Klíčovým faktorem ovlivňujícím tuto skutečnost je </w:t>
      </w:r>
      <w:r w:rsidRPr="00D92E20">
        <w:rPr>
          <w:b/>
        </w:rPr>
        <w:t>odvětvová struktura</w:t>
      </w:r>
      <w:r w:rsidRPr="00D92E20">
        <w:t xml:space="preserve"> v jednotlivých krajích. Zatímco v Praze je vysoký podíl zaměstnaných pracujících ve službách, nejen na Vysočině, ale i ve zbylých krajích je tento podíl výrazně nižší. Pod </w:t>
      </w:r>
      <w:r w:rsidR="00EB5555" w:rsidRPr="00D92E20">
        <w:t>hranicí republikového průměru (865</w:t>
      </w:r>
      <w:r w:rsidRPr="00D92E20">
        <w:t xml:space="preserve"> úrazů na 100 tis. nemocensky pojištěných osob) se nachází kraje s největšími českými městy. Kromě již zmiňované Prahy také Jihomoravský kraj (</w:t>
      </w:r>
      <w:r w:rsidR="00EB5555" w:rsidRPr="00D92E20">
        <w:t>809</w:t>
      </w:r>
      <w:r w:rsidRPr="00D92E20">
        <w:t xml:space="preserve"> úrazů). Na Vysočině a v Jihočeském kraji je z celé republiky nejvyšší podíl pojištěnců v sekci Zemědělství, lesnictví, rybářství, které je z hlediska úrazovosti </w:t>
      </w:r>
      <w:r w:rsidR="00052498" w:rsidRPr="00D92E20">
        <w:t xml:space="preserve">dle statistik </w:t>
      </w:r>
      <w:r w:rsidRPr="00D92E20">
        <w:t>nejrizikovější. Na Vysočině představoval podíl pojištěnců v tomto odvětví 6 %, v Jihočeském kraji necelých 5 %. Celorepublikový průměr přitom činil 2 %.</w:t>
      </w:r>
    </w:p>
    <w:p w14:paraId="1CAB9B69" w14:textId="1876AAE6" w:rsidR="006F40AA" w:rsidRPr="00D92E20" w:rsidRDefault="006F40AA" w:rsidP="00000A90">
      <w:pPr>
        <w:spacing w:before="120" w:after="120"/>
        <w:jc w:val="both"/>
      </w:pPr>
      <w:r w:rsidRPr="00D92E20">
        <w:t>Rozdíly výskytu pracovních úrazů podle územního členění jsou tedy do značné míry ovlivněny strukturou zaměstnanosti, charakterem převažující ekonomické činnosti a mírou nezaměstnanosti v daném regionu. Je nutné připomenout i metodiku zpracování dat, kdy kraj</w:t>
      </w:r>
      <w:r w:rsidR="00EB5555" w:rsidRPr="00D92E20">
        <w:t>ská příslušnost</w:t>
      </w:r>
      <w:r w:rsidRPr="00D92E20">
        <w:t xml:space="preserve"> vychází z údaje o sídle útvaru, který vede evidenci mezd zaměstnavateli osoby v pracovní neschopnosti.</w:t>
      </w:r>
    </w:p>
    <w:p w14:paraId="7E75DF49" w14:textId="77777777" w:rsidR="00000A90" w:rsidRPr="00D92E20" w:rsidRDefault="00000A90">
      <w:pPr>
        <w:spacing w:after="0" w:line="240" w:lineRule="auto"/>
        <w:rPr>
          <w:b/>
        </w:rPr>
      </w:pPr>
      <w:r w:rsidRPr="00D92E20">
        <w:rPr>
          <w:b/>
        </w:rPr>
        <w:br w:type="page"/>
      </w:r>
    </w:p>
    <w:p w14:paraId="0B03F30D" w14:textId="77777777" w:rsidR="00EB5555" w:rsidRPr="00D92E20" w:rsidRDefault="00EB5555" w:rsidP="00000A90">
      <w:pPr>
        <w:spacing w:after="0"/>
        <w:jc w:val="both"/>
        <w:rPr>
          <w:b/>
          <w:spacing w:val="-5"/>
        </w:rPr>
      </w:pPr>
      <w:r w:rsidRPr="00D92E20">
        <w:rPr>
          <w:b/>
          <w:spacing w:val="-5"/>
        </w:rPr>
        <w:lastRenderedPageBreak/>
        <w:t>Graf 5.3: Pracovní úrazy s pracovní neschopností delší než 3 dny na 100 tis. pojištěnců podle krajů ČR, 2020</w:t>
      </w:r>
    </w:p>
    <w:p w14:paraId="318FF332" w14:textId="77777777" w:rsidR="00EB5555" w:rsidRPr="00D92E20" w:rsidRDefault="00EB5555" w:rsidP="006F40AA">
      <w:pPr>
        <w:jc w:val="both"/>
        <w:rPr>
          <w:b/>
        </w:rPr>
      </w:pPr>
      <w:r w:rsidRPr="00D92E20">
        <w:rPr>
          <w:noProof/>
        </w:rPr>
        <w:drawing>
          <wp:inline distT="0" distB="0" distL="0" distR="0" wp14:anchorId="36DE7799" wp14:editId="336B3571">
            <wp:extent cx="6115050" cy="3448050"/>
            <wp:effectExtent l="0" t="0" r="0" b="0"/>
            <wp:docPr id="45" name="Graf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A7184DA" w14:textId="77777777" w:rsidR="000B3C40" w:rsidRPr="00D92E20" w:rsidRDefault="000B3C40" w:rsidP="000B3C40">
      <w:pPr>
        <w:spacing w:after="120"/>
        <w:jc w:val="both"/>
        <w:rPr>
          <w:sz w:val="16"/>
        </w:rPr>
      </w:pPr>
      <w:r w:rsidRPr="00D92E20">
        <w:rPr>
          <w:sz w:val="16"/>
        </w:rPr>
        <w:t>Zdroj: ČSÚ</w:t>
      </w:r>
    </w:p>
    <w:p w14:paraId="7002882B" w14:textId="77777777" w:rsidR="006F40AA" w:rsidRPr="00D92E20" w:rsidRDefault="006F40AA" w:rsidP="00000A90">
      <w:pPr>
        <w:spacing w:after="120"/>
        <w:jc w:val="both"/>
      </w:pPr>
      <w:r w:rsidRPr="00D92E20">
        <w:t xml:space="preserve">Z pohledu </w:t>
      </w:r>
      <w:r w:rsidRPr="00D92E20">
        <w:rPr>
          <w:b/>
        </w:rPr>
        <w:t>velikosti podniku</w:t>
      </w:r>
      <w:r w:rsidRPr="00D92E20">
        <w:t xml:space="preserve"> se v </w:t>
      </w:r>
      <w:r w:rsidR="00EB5555" w:rsidRPr="00D92E20">
        <w:t>roce</w:t>
      </w:r>
      <w:r w:rsidRPr="00D92E20">
        <w:t xml:space="preserve"> 2020 nejvíce pracovních úrazů s pracovní neschopností delší než 3 dny událo v podnicích majících 100–249 zaměstnanců (</w:t>
      </w:r>
      <w:r w:rsidR="00543CC2" w:rsidRPr="00D92E20">
        <w:t>1 211</w:t>
      </w:r>
      <w:r w:rsidRPr="00D92E20">
        <w:t xml:space="preserve"> případů v přepočtu na 100 tis. pojištěnců). Dále </w:t>
      </w:r>
      <w:r w:rsidR="00B67A38" w:rsidRPr="00D92E20">
        <w:t>následovali</w:t>
      </w:r>
      <w:r w:rsidRPr="00D92E20">
        <w:t xml:space="preserve"> zaměstnavatelé s 250–499 zaměstnanci, kteří vykázali </w:t>
      </w:r>
      <w:r w:rsidR="00543CC2" w:rsidRPr="00D92E20">
        <w:t>1 120</w:t>
      </w:r>
      <w:r w:rsidRPr="00D92E20">
        <w:t xml:space="preserve"> pracovních úrazů. Pro srovnání OSVČ zaznamenaly </w:t>
      </w:r>
      <w:r w:rsidR="00543CC2" w:rsidRPr="00D92E20">
        <w:t>247</w:t>
      </w:r>
      <w:r w:rsidRPr="00D92E20">
        <w:t xml:space="preserve"> případů.</w:t>
      </w:r>
    </w:p>
    <w:p w14:paraId="2C2EC5E5" w14:textId="77777777" w:rsidR="003C6B69" w:rsidRPr="00D92E20" w:rsidRDefault="000B3C40" w:rsidP="00033735">
      <w:pPr>
        <w:pStyle w:val="Nadpis3"/>
        <w:numPr>
          <w:ilvl w:val="1"/>
          <w:numId w:val="5"/>
        </w:numPr>
        <w:spacing w:after="120"/>
        <w:ind w:left="426" w:hanging="403"/>
      </w:pPr>
      <w:bookmarkStart w:id="29" w:name="_Toc70950136"/>
      <w:r w:rsidRPr="00D92E20">
        <w:t>Evropská statistika pracovních úrazů (ESAW)</w:t>
      </w:r>
      <w:bookmarkEnd w:id="29"/>
    </w:p>
    <w:p w14:paraId="196AA7CD" w14:textId="77777777" w:rsidR="000B3C40" w:rsidRPr="00D92E20" w:rsidRDefault="000B3C40" w:rsidP="00033735">
      <w:pPr>
        <w:spacing w:after="120"/>
        <w:jc w:val="both"/>
      </w:pPr>
      <w:r w:rsidRPr="00D92E20">
        <w:rPr>
          <w:rFonts w:cs="Arial"/>
          <w:szCs w:val="20"/>
        </w:rPr>
        <w:t xml:space="preserve">Evropská statistika pracovních úrazů – systém </w:t>
      </w:r>
      <w:r w:rsidRPr="00D92E20">
        <w:rPr>
          <w:rFonts w:cs="Arial"/>
          <w:b/>
          <w:szCs w:val="20"/>
        </w:rPr>
        <w:t>ESAW</w:t>
      </w:r>
      <w:r w:rsidRPr="00D92E20">
        <w:rPr>
          <w:rFonts w:cs="Arial"/>
          <w:szCs w:val="20"/>
        </w:rPr>
        <w:t xml:space="preserve"> (European Statistics on Accidents at Work) – umožňuje sledovat pracovní úrazovost na základě jednotné metodiky, kterou připravil Eurostat. Hlavním cílem je </w:t>
      </w:r>
      <w:r w:rsidRPr="00D92E20">
        <w:rPr>
          <w:rFonts w:cs="Arial"/>
          <w:b/>
          <w:szCs w:val="20"/>
        </w:rPr>
        <w:t>snížit</w:t>
      </w:r>
      <w:r w:rsidRPr="00D92E20">
        <w:rPr>
          <w:rFonts w:cs="Arial"/>
          <w:szCs w:val="20"/>
        </w:rPr>
        <w:t xml:space="preserve"> jak </w:t>
      </w:r>
      <w:r w:rsidRPr="00D92E20">
        <w:rPr>
          <w:rFonts w:cs="Arial"/>
          <w:b/>
          <w:szCs w:val="20"/>
        </w:rPr>
        <w:t>výskyt pracovních úrazů</w:t>
      </w:r>
      <w:r w:rsidRPr="00D92E20">
        <w:rPr>
          <w:rFonts w:cs="Arial"/>
          <w:szCs w:val="20"/>
        </w:rPr>
        <w:t xml:space="preserve">, tak dopady s nimi spojené (sociální problémy, ekonomické ztráty). Projekt ESAW na evropské úrovni svými výsledky významnou měrou </w:t>
      </w:r>
      <w:r w:rsidR="00EA2DCF" w:rsidRPr="00D92E20">
        <w:rPr>
          <w:rFonts w:cs="Arial"/>
          <w:szCs w:val="20"/>
        </w:rPr>
        <w:t xml:space="preserve">přispívá </w:t>
      </w:r>
      <w:r w:rsidRPr="00D92E20">
        <w:rPr>
          <w:rFonts w:cs="Arial"/>
          <w:szCs w:val="20"/>
        </w:rPr>
        <w:t xml:space="preserve">k hlavnímu cíli statistiky pracovních úrazů, tj. </w:t>
      </w:r>
      <w:r w:rsidRPr="00D92E20">
        <w:rPr>
          <w:rFonts w:cs="Arial"/>
          <w:b/>
          <w:szCs w:val="20"/>
        </w:rPr>
        <w:t>vytvoření</w:t>
      </w:r>
      <w:r w:rsidRPr="00D92E20">
        <w:rPr>
          <w:rFonts w:cs="Arial"/>
          <w:szCs w:val="20"/>
        </w:rPr>
        <w:t xml:space="preserve"> dostatečného </w:t>
      </w:r>
      <w:r w:rsidRPr="00D92E20">
        <w:rPr>
          <w:rFonts w:cs="Arial"/>
          <w:b/>
          <w:szCs w:val="20"/>
        </w:rPr>
        <w:t>objemu údajů</w:t>
      </w:r>
      <w:r w:rsidRPr="00D92E20">
        <w:rPr>
          <w:rFonts w:cs="Arial"/>
          <w:szCs w:val="20"/>
        </w:rPr>
        <w:t xml:space="preserve"> o pracovní úrazovosti, na jejichž základě je zvyšována bezpečnost a ochrana zdraví při práci prostřednictvím účinných opatření, která umožňují aktivním způsobem předcházet pracovním úrazům, a tak snižovat jejich počet</w:t>
      </w:r>
      <w:r w:rsidRPr="00D92E20">
        <w:t>.</w:t>
      </w:r>
    </w:p>
    <w:p w14:paraId="2BB4337F" w14:textId="77777777" w:rsidR="000B3C40" w:rsidRPr="00D92E20" w:rsidRDefault="000B3C40" w:rsidP="000B3C40">
      <w:pPr>
        <w:spacing w:after="120"/>
        <w:jc w:val="both"/>
        <w:rPr>
          <w:rFonts w:cs="Arial"/>
          <w:szCs w:val="20"/>
        </w:rPr>
      </w:pPr>
      <w:r w:rsidRPr="00D92E20">
        <w:rPr>
          <w:rFonts w:cs="Arial"/>
          <w:szCs w:val="20"/>
        </w:rPr>
        <w:t xml:space="preserve">Rámcová směrnice 89/391/EHS týkající se opatření pro zlepšení bezpečnosti a ochrany zdraví zaměstnanců při práci zavedla povinnost pro zaměstnavatele vést seznam pracovních úrazů, které měly za následek pracovní neschopnost delší než 3 pracovní dny a vypracovávat v souladu s vnitrostátními právními předpisy nebo zvyklostmi zprávy o pracovních úrazech, které utrpěli jeho zaměstnanci. Na tomto základě byl v roce 1990 zahájen projekt evropské statistiky pracovních úrazů s cílem harmonizovat údaje o všech pracovních úrazech, které měly za následek více než třídenní pracovní neschopnost. Nařízení Evropského parlamentu a Rady (ES) č. 1338/2008 ze dne 16. prosince 2008 o statistice Společenství v oblasti veřejného zdraví a bezpečnosti a ochrany zdraví při práci stanoví povinnost poskytovat statistiky pracovních úrazů Komisi (Eurostatu). </w:t>
      </w:r>
    </w:p>
    <w:p w14:paraId="3B2868AD" w14:textId="77777777" w:rsidR="000B3C40" w:rsidRPr="00D92E20" w:rsidRDefault="000B3C40" w:rsidP="000B3C40">
      <w:pPr>
        <w:spacing w:after="120"/>
        <w:jc w:val="both"/>
        <w:rPr>
          <w:rFonts w:cs="Arial"/>
          <w:szCs w:val="20"/>
        </w:rPr>
      </w:pPr>
      <w:r w:rsidRPr="00D92E20">
        <w:rPr>
          <w:rFonts w:cs="Arial"/>
          <w:szCs w:val="20"/>
        </w:rPr>
        <w:t>V České republice byl rozhodnutím Ministerstva práce a sociálních věcí zpracováním Zprávy o pracovní úrazovosti v České republice a správou databáze statistických údajů o pracovních úrazech ve formátu ESAW k zaslání do Eurostatu</w:t>
      </w:r>
      <w:r w:rsidR="0035096A" w:rsidRPr="00D92E20">
        <w:rPr>
          <w:rFonts w:cs="Arial"/>
          <w:szCs w:val="20"/>
        </w:rPr>
        <w:t xml:space="preserve"> pověřen </w:t>
      </w:r>
      <w:r w:rsidR="0035096A" w:rsidRPr="00D92E20">
        <w:rPr>
          <w:rFonts w:cs="Arial"/>
          <w:b/>
          <w:szCs w:val="20"/>
        </w:rPr>
        <w:t>Státní úřad inspekce práce</w:t>
      </w:r>
      <w:r w:rsidRPr="00D92E20">
        <w:rPr>
          <w:rFonts w:cs="Arial"/>
          <w:szCs w:val="20"/>
        </w:rPr>
        <w:t xml:space="preserve">. Státní úřad inspekce práce (SÚIP) </w:t>
      </w:r>
      <w:r w:rsidR="0035096A" w:rsidRPr="00D92E20">
        <w:rPr>
          <w:rFonts w:cs="Arial"/>
          <w:szCs w:val="20"/>
        </w:rPr>
        <w:t xml:space="preserve">v této oblasti </w:t>
      </w:r>
      <w:r w:rsidRPr="00D92E20">
        <w:rPr>
          <w:rFonts w:cs="Arial"/>
          <w:szCs w:val="20"/>
        </w:rPr>
        <w:t>úzce spolupracuje s Českým báňským úřadem (ČBÚ) a ČSÚ.</w:t>
      </w:r>
    </w:p>
    <w:p w14:paraId="6C18195B" w14:textId="77777777" w:rsidR="00B71CB0" w:rsidRPr="00D92E20" w:rsidRDefault="000B3C40" w:rsidP="000B3C40">
      <w:pPr>
        <w:spacing w:after="120"/>
        <w:jc w:val="both"/>
        <w:rPr>
          <w:rFonts w:cs="Arial"/>
          <w:szCs w:val="20"/>
        </w:rPr>
      </w:pPr>
      <w:r w:rsidRPr="00D92E20">
        <w:rPr>
          <w:rFonts w:cs="Arial"/>
          <w:b/>
          <w:szCs w:val="20"/>
        </w:rPr>
        <w:lastRenderedPageBreak/>
        <w:t>Statistiky</w:t>
      </w:r>
      <w:r w:rsidRPr="00D92E20">
        <w:rPr>
          <w:rFonts w:cs="Arial"/>
          <w:szCs w:val="20"/>
        </w:rPr>
        <w:t xml:space="preserve"> se Eurostatu poskytují </w:t>
      </w:r>
      <w:r w:rsidRPr="00D92E20">
        <w:rPr>
          <w:rFonts w:cs="Arial"/>
          <w:b/>
          <w:szCs w:val="20"/>
        </w:rPr>
        <w:t>každoročně</w:t>
      </w:r>
      <w:r w:rsidRPr="00D92E20">
        <w:rPr>
          <w:rFonts w:cs="Arial"/>
          <w:szCs w:val="20"/>
        </w:rPr>
        <w:t xml:space="preserve"> a předkládají se nejpozději 18 měsíců po skončení referenčního roku. Eurostat zveřejňuje na svých stránkách výsledky zpracování dat za členské země EU, a to podle závažnosti pracovního úrazu</w:t>
      </w:r>
      <w:r w:rsidR="00840277" w:rsidRPr="00D92E20">
        <w:rPr>
          <w:rFonts w:cs="Arial"/>
          <w:szCs w:val="20"/>
        </w:rPr>
        <w:t>,</w:t>
      </w:r>
      <w:r w:rsidRPr="00D92E20">
        <w:rPr>
          <w:rFonts w:cs="Arial"/>
          <w:szCs w:val="20"/>
        </w:rPr>
        <w:t xml:space="preserve"> samostatně za smrtelné pracovní úrazy a za ostatní pracovní úrazy, které mají za následek pracovní neschopnost delší než 3 pracovní dny. K dispozici jsou dva základní ukazatele </w:t>
      </w:r>
      <w:r w:rsidRPr="00D92E20">
        <w:rPr>
          <w:rFonts w:cs="Arial"/>
          <w:szCs w:val="20"/>
        </w:rPr>
        <w:br/>
        <w:t>– absolutní ukazatel počtu pracovních úrazů a relativní ukazatel standardizovaná míra výskytu. Data jsou tříděna podle pohlaví, věku, zaměstnání pojištěnce, ekonomické činnosti zaměstnavatele a dalších kritérií</w:t>
      </w:r>
      <w:r w:rsidRPr="00D92E20">
        <w:rPr>
          <w:rStyle w:val="Znakapoznpodarou"/>
          <w:rFonts w:cs="Arial"/>
          <w:szCs w:val="20"/>
        </w:rPr>
        <w:footnoteReference w:id="5"/>
      </w:r>
      <w:r w:rsidRPr="00D92E20">
        <w:rPr>
          <w:rFonts w:cs="Arial"/>
          <w:szCs w:val="20"/>
        </w:rPr>
        <w:t>.</w:t>
      </w:r>
    </w:p>
    <w:p w14:paraId="3C7836B9" w14:textId="504904C0" w:rsidR="00B71CB0" w:rsidRPr="00D92E20" w:rsidRDefault="00B71CB0" w:rsidP="00B71CB0">
      <w:pPr>
        <w:spacing w:after="120"/>
        <w:jc w:val="both"/>
      </w:pPr>
      <w:r w:rsidRPr="00D92E20">
        <w:t xml:space="preserve">Pro mezinárodní srovnání za členské státy EU byl v této publikaci použit relativní ukazatel – </w:t>
      </w:r>
      <w:r w:rsidRPr="00D92E20">
        <w:rPr>
          <w:b/>
        </w:rPr>
        <w:t>standardizovaná míra výskytu pracovních úrazů</w:t>
      </w:r>
      <w:r w:rsidRPr="00D92E20">
        <w:t xml:space="preserve"> na 100 tis. zaměstnaných osob, který je pro srovnání zemí různé velikosti vhodnějším ukazatelem než ukazatel absolutní. Navíc ošetřuje problém rozdílné odvětvové struktury v jednotlivých zemích. Pro zachycení vývoje mí</w:t>
      </w:r>
      <w:r w:rsidR="0038272E" w:rsidRPr="00D92E20">
        <w:t>ry úrazovosti v </w:t>
      </w:r>
      <w:r w:rsidRPr="00D92E20">
        <w:t>členských zemích EU byly využity údaje za roky 2010–2018.</w:t>
      </w:r>
    </w:p>
    <w:p w14:paraId="6AD81E89" w14:textId="77777777" w:rsidR="00B71CB0" w:rsidRPr="00D92E20" w:rsidRDefault="00B71CB0" w:rsidP="00B71CB0">
      <w:pPr>
        <w:spacing w:after="120"/>
        <w:jc w:val="both"/>
      </w:pPr>
      <w:r w:rsidRPr="00D92E20">
        <w:t>Je však nutné upozornit na skutečnost, že vnitrostátní legislativa nebo zvyklosti v oblasti pracovní úrazovosti se mohou v jednotlivých zemích poměrně značně lišit, a tak i data předávaná do Eurostatu, přes veškerou snahu statistiků o harmonizaci a standardizaci, nemusí být zcela srovnatelná.</w:t>
      </w:r>
    </w:p>
    <w:p w14:paraId="197BE39A" w14:textId="77777777" w:rsidR="000B3C40" w:rsidRPr="00D92E20" w:rsidRDefault="000B3C40" w:rsidP="000B3C40">
      <w:pPr>
        <w:pStyle w:val="Box1"/>
        <w:spacing w:before="120" w:after="120"/>
        <w:ind w:left="0"/>
        <w:jc w:val="both"/>
        <w:rPr>
          <w:i/>
        </w:rPr>
      </w:pPr>
      <w:r w:rsidRPr="00D92E20">
        <w:rPr>
          <w:b/>
          <w:i/>
        </w:rPr>
        <w:t xml:space="preserve">Míra výskytu (četnost) </w:t>
      </w:r>
      <w:r w:rsidRPr="00D92E20">
        <w:rPr>
          <w:i/>
        </w:rPr>
        <w:t xml:space="preserve">– ukazatel vyjadřuje počet pracovních úrazů na 100 000 zaměstnaných osob. Samostatné míry výskytu se počítají u smrtelných pracovních úrazů a pracovních úrazů, které mají za následek pracovní neschopnost delší než 3 pracovní dny. </w:t>
      </w:r>
    </w:p>
    <w:p w14:paraId="40D757AC" w14:textId="77777777" w:rsidR="000B3C40" w:rsidRPr="00D92E20" w:rsidRDefault="000B3C40" w:rsidP="000B3C40">
      <w:pPr>
        <w:pStyle w:val="Box1"/>
        <w:ind w:left="0"/>
        <w:jc w:val="both"/>
        <w:rPr>
          <w:i/>
          <w:u w:val="single"/>
        </w:rPr>
      </w:pPr>
      <w:r w:rsidRPr="00D92E20">
        <w:rPr>
          <w:i/>
          <w:u w:val="single"/>
        </w:rPr>
        <w:t>Způsob výpočtu:</w:t>
      </w:r>
    </w:p>
    <w:p w14:paraId="204B3B53" w14:textId="77777777" w:rsidR="000B3C40" w:rsidRPr="00D92E20" w:rsidRDefault="000B3C40" w:rsidP="00033735">
      <w:pPr>
        <w:pStyle w:val="Box1"/>
        <w:spacing w:before="120" w:after="120"/>
        <w:ind w:left="0"/>
        <w:contextualSpacing w:val="0"/>
        <w:jc w:val="both"/>
        <w:rPr>
          <w:i/>
          <w:sz w:val="16"/>
          <w:szCs w:val="16"/>
        </w:rPr>
      </w:pPr>
      <w:r w:rsidRPr="00D92E20">
        <w:rPr>
          <w:i/>
        </w:rPr>
        <w:t>Míra výskytu = počet úrazů (smrtelných nebo ostatních) / počet zaměstnaných osob ve sledované populaci x 100 000.</w:t>
      </w:r>
    </w:p>
    <w:p w14:paraId="012FB0D4" w14:textId="77777777" w:rsidR="000B3C40" w:rsidRPr="00D92E20" w:rsidRDefault="000B3C40" w:rsidP="00033735">
      <w:pPr>
        <w:pStyle w:val="Box1"/>
        <w:spacing w:before="120" w:after="120"/>
        <w:ind w:left="0"/>
        <w:contextualSpacing w:val="0"/>
        <w:jc w:val="both"/>
        <w:rPr>
          <w:i/>
        </w:rPr>
      </w:pPr>
      <w:r w:rsidRPr="00D92E20">
        <w:rPr>
          <w:b/>
          <w:i/>
        </w:rPr>
        <w:t>Standardizovaná míra výskytu</w:t>
      </w:r>
      <w:r w:rsidRPr="00D92E20">
        <w:rPr>
          <w:i/>
        </w:rPr>
        <w:t xml:space="preserve"> – standardizovaný počet pracovních úrazů na 100 000 zaměstnaných osob spočívající v použití stejné (standardizované) váhy v každém odvětví v každé zemi, jako je celková v rámci EU („standardizovaná“ míra úrazovosti). Použití standardizovaného ukazatele řeší problém častějšího výskytu pracovních úrazů v některých zaměstnáních v závislosti na vyšším podílu vysoce rizikových odvětví v průmyslové struktuře země.</w:t>
      </w:r>
      <w:r w:rsidR="00C93050" w:rsidRPr="00D92E20">
        <w:rPr>
          <w:i/>
        </w:rPr>
        <w:t xml:space="preserve"> Sta</w:t>
      </w:r>
      <w:r w:rsidR="0006277C" w:rsidRPr="00D92E20">
        <w:rPr>
          <w:i/>
        </w:rPr>
        <w:t>ndardizovaná míra pokrývá následující sekce klasifikace NACE: A, C–N, tj.</w:t>
      </w:r>
      <w:r w:rsidR="00C02C40" w:rsidRPr="00D92E20">
        <w:rPr>
          <w:i/>
        </w:rPr>
        <w:t> </w:t>
      </w:r>
      <w:r w:rsidR="0006277C" w:rsidRPr="00D92E20">
        <w:rPr>
          <w:i/>
        </w:rPr>
        <w:t>bez sekcí B (Těžba a dobývání) a O–U (zahrnující některé služby).</w:t>
      </w:r>
    </w:p>
    <w:p w14:paraId="1E7E2DF7" w14:textId="33B3C8A7" w:rsidR="000B3C40" w:rsidRPr="00D92E20" w:rsidRDefault="000B3C40" w:rsidP="000B3C40">
      <w:pPr>
        <w:spacing w:after="120"/>
        <w:jc w:val="both"/>
      </w:pPr>
      <w:r w:rsidRPr="00D92E20">
        <w:t xml:space="preserve">Co se týče </w:t>
      </w:r>
      <w:r w:rsidRPr="00D92E20">
        <w:rPr>
          <w:b/>
        </w:rPr>
        <w:t>pracovních úrazů</w:t>
      </w:r>
      <w:r w:rsidRPr="00D92E20">
        <w:t xml:space="preserve">, které si vyžádaly </w:t>
      </w:r>
      <w:r w:rsidRPr="00D92E20">
        <w:rPr>
          <w:b/>
        </w:rPr>
        <w:t>pracovní neschopnost delší než 3 pracovní dny</w:t>
      </w:r>
      <w:r w:rsidRPr="00D92E20">
        <w:t xml:space="preserve">, se </w:t>
      </w:r>
      <w:r w:rsidRPr="00D92E20">
        <w:rPr>
          <w:b/>
        </w:rPr>
        <w:t>Česká republika</w:t>
      </w:r>
      <w:r w:rsidRPr="00D92E20">
        <w:t xml:space="preserve"> s hodnotou </w:t>
      </w:r>
      <w:r w:rsidR="00561055" w:rsidRPr="00D92E20">
        <w:t>949</w:t>
      </w:r>
      <w:r w:rsidRPr="00D92E20">
        <w:t xml:space="preserve"> pracovních úrazů na 100 tis. zaměstnaných osob v roce 201</w:t>
      </w:r>
      <w:r w:rsidR="00561055" w:rsidRPr="00D92E20">
        <w:t>8</w:t>
      </w:r>
      <w:r w:rsidRPr="00D92E20">
        <w:t xml:space="preserve"> řadila na </w:t>
      </w:r>
      <w:r w:rsidRPr="00D92E20">
        <w:rPr>
          <w:b/>
        </w:rPr>
        <w:t>1</w:t>
      </w:r>
      <w:r w:rsidR="00561055" w:rsidRPr="00D92E20">
        <w:rPr>
          <w:b/>
        </w:rPr>
        <w:t>5</w:t>
      </w:r>
      <w:r w:rsidRPr="00D92E20">
        <w:rPr>
          <w:b/>
        </w:rPr>
        <w:t xml:space="preserve">. místo </w:t>
      </w:r>
      <w:r w:rsidRPr="00D92E20">
        <w:t xml:space="preserve">v rámci </w:t>
      </w:r>
      <w:r w:rsidRPr="00D92E20">
        <w:rPr>
          <w:b/>
        </w:rPr>
        <w:t>EU28</w:t>
      </w:r>
      <w:r w:rsidRPr="00D92E20">
        <w:t>. Nejvyšší míra pracovní úrazovosti je podle Eurostatu dlouhodobě v</w:t>
      </w:r>
      <w:r w:rsidR="00561055" w:rsidRPr="00D92E20">
        <w:t>e</w:t>
      </w:r>
      <w:r w:rsidRPr="00D92E20">
        <w:t> Francii</w:t>
      </w:r>
      <w:r w:rsidR="00561055" w:rsidRPr="00D92E20">
        <w:t>,</w:t>
      </w:r>
      <w:r w:rsidRPr="00D92E20">
        <w:t xml:space="preserve"> </w:t>
      </w:r>
      <w:r w:rsidR="00561055" w:rsidRPr="00D92E20">
        <w:t xml:space="preserve">Portugalsku </w:t>
      </w:r>
      <w:r w:rsidRPr="00D92E20">
        <w:t>a ve Španělsku. V roce 201</w:t>
      </w:r>
      <w:r w:rsidR="00561055" w:rsidRPr="00D92E20">
        <w:t>8</w:t>
      </w:r>
      <w:r w:rsidRPr="00D92E20">
        <w:t xml:space="preserve"> činila </w:t>
      </w:r>
      <w:r w:rsidR="00561055" w:rsidRPr="00D92E20">
        <w:t>více</w:t>
      </w:r>
      <w:r w:rsidRPr="00D92E20">
        <w:t xml:space="preserve"> než 3,</w:t>
      </w:r>
      <w:r w:rsidR="00561055" w:rsidRPr="00D92E20">
        <w:t>2</w:t>
      </w:r>
      <w:r w:rsidRPr="00D92E20">
        <w:t xml:space="preserve"> tis. pracovních úrazů na 100 tis. zaměstnaných osob. </w:t>
      </w:r>
      <w:r w:rsidR="00561055" w:rsidRPr="00D92E20">
        <w:t>S odstupem následovalo Lucembursko s mírou výskytu 2,3 tis. pracovních úrazů na 100 tis. zaměstnaných osob. Dvěma tisícům se blížilo Německo.</w:t>
      </w:r>
      <w:r w:rsidRPr="00D92E20">
        <w:t xml:space="preserve"> Nejnižší míra pracovní úrazovosti (pod hranicí 500 pracovních úrazů) byla v roce 201</w:t>
      </w:r>
      <w:r w:rsidR="00561055" w:rsidRPr="00D92E20">
        <w:t>8</w:t>
      </w:r>
      <w:r w:rsidRPr="00D92E20">
        <w:t xml:space="preserve"> vyk</w:t>
      </w:r>
      <w:r w:rsidR="0038272E" w:rsidRPr="00D92E20">
        <w:t>ázána</w:t>
      </w:r>
      <w:r w:rsidRPr="00D92E20">
        <w:t xml:space="preserve"> v Bulharsku, Rumunsku, Řecku, Lotyšsku a Litvě. V Bulharsku bylo na 100 000 zaměstnaných hlášeno pouze 7</w:t>
      </w:r>
      <w:r w:rsidR="00561055" w:rsidRPr="00D92E20">
        <w:t>8</w:t>
      </w:r>
      <w:r w:rsidRPr="00D92E20">
        <w:t xml:space="preserve"> pracovních úrazů s pracovní neschopností více než 3 dny, v Rumunsku 9</w:t>
      </w:r>
      <w:r w:rsidR="00561055" w:rsidRPr="00D92E20">
        <w:t>3</w:t>
      </w:r>
      <w:r w:rsidRPr="00D92E20">
        <w:t>.</w:t>
      </w:r>
    </w:p>
    <w:p w14:paraId="69B610FE" w14:textId="76B912D1" w:rsidR="00033735" w:rsidRPr="00D92E20" w:rsidRDefault="00033735" w:rsidP="00033735">
      <w:pPr>
        <w:spacing w:after="120"/>
        <w:jc w:val="both"/>
      </w:pPr>
      <w:r w:rsidRPr="00D92E20">
        <w:t>Podle informací Eurostatu je v zemích s nejvyšší mírou výskytu pracovních úrazů (Francie, Portugalsko a Španělsko) zaveden systém hlášení úrazů na základě pojištění. Osoba postižená úrazem obdrží při nahlášení úrazu významnou peněžní kompenzaci od pojišťovny. V zemích východní Evropy pracovní úrazovost nejčastěji spadá do systému sociálního zabezpečení. Z těchto zemí jediné Slovinsko vykázalo více než 1 000 pracovních úrazů s pracovní neschopností delší než 3 dny na 100 000 zaměstnaných osob. Nejnižší míra v Rumunsku a Bulharsku patrně do značné míry odráží vysoký podíl nenahlášených pracovních úrazů.</w:t>
      </w:r>
    </w:p>
    <w:p w14:paraId="08B6C192" w14:textId="77777777" w:rsidR="00033735" w:rsidRPr="00D92E20" w:rsidRDefault="00033735">
      <w:pPr>
        <w:spacing w:after="0" w:line="240" w:lineRule="auto"/>
        <w:rPr>
          <w:b/>
        </w:rPr>
      </w:pPr>
      <w:r w:rsidRPr="00D92E20">
        <w:rPr>
          <w:b/>
        </w:rPr>
        <w:br w:type="page"/>
      </w:r>
    </w:p>
    <w:p w14:paraId="662CBF60" w14:textId="77777777" w:rsidR="000B3C40" w:rsidRPr="00D92E20" w:rsidRDefault="00561055" w:rsidP="00033735">
      <w:pPr>
        <w:spacing w:after="0"/>
        <w:jc w:val="both"/>
        <w:rPr>
          <w:b/>
        </w:rPr>
      </w:pPr>
      <w:r w:rsidRPr="00D92E20">
        <w:rPr>
          <w:b/>
        </w:rPr>
        <w:lastRenderedPageBreak/>
        <w:t>Graf 6.1: Pracovní úrazy s pracovní neschopností delší než 3 pracovní dny v zemích EU (standardizovaná míra výskytu na 100 tis. zaměstnaných osob), 2018</w:t>
      </w:r>
    </w:p>
    <w:p w14:paraId="5DB6AEB3" w14:textId="77777777" w:rsidR="00561055" w:rsidRPr="00D92E20" w:rsidRDefault="00561055" w:rsidP="00561055">
      <w:pPr>
        <w:jc w:val="both"/>
        <w:rPr>
          <w:b/>
        </w:rPr>
      </w:pPr>
      <w:r w:rsidRPr="00D92E20">
        <w:rPr>
          <w:noProof/>
        </w:rPr>
        <w:drawing>
          <wp:inline distT="0" distB="0" distL="0" distR="0" wp14:anchorId="5FA8D7E0" wp14:editId="6B6E8829">
            <wp:extent cx="6115050" cy="5076825"/>
            <wp:effectExtent l="0" t="0" r="0" b="9525"/>
            <wp:docPr id="46" name="Graf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458E74A" w14:textId="77777777" w:rsidR="00561055" w:rsidRPr="00D92E20" w:rsidRDefault="00561055" w:rsidP="00561055">
      <w:pPr>
        <w:spacing w:after="120"/>
        <w:jc w:val="both"/>
        <w:rPr>
          <w:sz w:val="16"/>
        </w:rPr>
      </w:pPr>
      <w:r w:rsidRPr="00D92E20">
        <w:rPr>
          <w:sz w:val="16"/>
        </w:rPr>
        <w:t>Zdroj: Eurostat (ESAW)</w:t>
      </w:r>
    </w:p>
    <w:p w14:paraId="21ADC8B1" w14:textId="77777777" w:rsidR="00033735" w:rsidRPr="00D92E20" w:rsidRDefault="00561055" w:rsidP="00561055">
      <w:pPr>
        <w:spacing w:after="120"/>
        <w:jc w:val="both"/>
      </w:pPr>
      <w:r w:rsidRPr="00D92E20">
        <w:t xml:space="preserve">Vývoj pracovní úrazovosti </w:t>
      </w:r>
      <w:r w:rsidR="0035096A" w:rsidRPr="00D92E20">
        <w:t xml:space="preserve">je </w:t>
      </w:r>
      <w:r w:rsidRPr="00D92E20">
        <w:t>v posledních letech v jednotlivých zemích EU odlišný (viz tab. 6.1). Pomineme-li Řecko</w:t>
      </w:r>
      <w:r w:rsidR="00347261" w:rsidRPr="00D92E20">
        <w:t xml:space="preserve"> a Nizozemsko</w:t>
      </w:r>
      <w:r w:rsidRPr="00D92E20">
        <w:t xml:space="preserve">, kde došlo k přerušení v časové řadě, největší pokles (o </w:t>
      </w:r>
      <w:r w:rsidR="00347261" w:rsidRPr="00D92E20">
        <w:t>36</w:t>
      </w:r>
      <w:r w:rsidRPr="00D92E20">
        <w:t xml:space="preserve"> %) zaznamenala Malta. Zatímco v roce 2013 připadalo na 100 000 zaměstnaných osob 1 888 pracovních úrazů obnášejících pracovní neschopnost delší než 3 dny, v roce 201</w:t>
      </w:r>
      <w:r w:rsidR="00347261" w:rsidRPr="00D92E20">
        <w:t>8</w:t>
      </w:r>
      <w:r w:rsidRPr="00D92E20">
        <w:t xml:space="preserve"> hodnota poklesla o více než </w:t>
      </w:r>
      <w:r w:rsidR="00347261" w:rsidRPr="00D92E20">
        <w:t xml:space="preserve">680 </w:t>
      </w:r>
      <w:r w:rsidRPr="00D92E20">
        <w:t xml:space="preserve">případů na </w:t>
      </w:r>
      <w:r w:rsidR="00347261" w:rsidRPr="00D92E20">
        <w:t>1 202</w:t>
      </w:r>
      <w:r w:rsidRPr="00D92E20">
        <w:t xml:space="preserve"> úrazů. Naopak největší nárůst za uvedené období byl patrný v Litvě (</w:t>
      </w:r>
      <w:r w:rsidR="00347261" w:rsidRPr="00D92E20">
        <w:t xml:space="preserve">rovněž </w:t>
      </w:r>
      <w:r w:rsidRPr="00D92E20">
        <w:t xml:space="preserve">o </w:t>
      </w:r>
      <w:r w:rsidR="00347261" w:rsidRPr="00D92E20">
        <w:t>36</w:t>
      </w:r>
      <w:r w:rsidRPr="00D92E20">
        <w:t xml:space="preserve"> %) z 260 případů na 3</w:t>
      </w:r>
      <w:r w:rsidR="00347261" w:rsidRPr="00D92E20">
        <w:t>54</w:t>
      </w:r>
      <w:r w:rsidRPr="00D92E20">
        <w:t xml:space="preserve"> pracovních úrazů. V České republice se za 5leté období situace příliš nezměnila, oproti roku 2013 bylo v roce 201</w:t>
      </w:r>
      <w:r w:rsidR="00347261" w:rsidRPr="00D92E20">
        <w:t>8</w:t>
      </w:r>
      <w:r w:rsidRPr="00D92E20">
        <w:t xml:space="preserve"> o</w:t>
      </w:r>
      <w:r w:rsidR="00724D4A" w:rsidRPr="00D92E20">
        <w:t> </w:t>
      </w:r>
      <w:r w:rsidR="00347261" w:rsidRPr="00D92E20">
        <w:t>52</w:t>
      </w:r>
      <w:r w:rsidR="00724D4A" w:rsidRPr="00D92E20">
        <w:t> </w:t>
      </w:r>
      <w:r w:rsidRPr="00D92E20">
        <w:t xml:space="preserve">pracovních úrazů (vyžadujících neschopenku delší než 3 dny) </w:t>
      </w:r>
      <w:r w:rsidR="00347261" w:rsidRPr="00D92E20">
        <w:t>více</w:t>
      </w:r>
      <w:r w:rsidRPr="00D92E20">
        <w:t xml:space="preserve">, tj. </w:t>
      </w:r>
      <w:r w:rsidR="00347261" w:rsidRPr="00D92E20">
        <w:t>nárůst</w:t>
      </w:r>
      <w:r w:rsidRPr="00D92E20">
        <w:t xml:space="preserve"> o </w:t>
      </w:r>
      <w:r w:rsidR="00347261" w:rsidRPr="00D92E20">
        <w:t>necelých 6</w:t>
      </w:r>
      <w:r w:rsidRPr="00D92E20">
        <w:t xml:space="preserve"> %.</w:t>
      </w:r>
    </w:p>
    <w:p w14:paraId="22F8FABB" w14:textId="77777777" w:rsidR="00033735" w:rsidRPr="00D92E20" w:rsidRDefault="00033735">
      <w:pPr>
        <w:spacing w:after="0" w:line="240" w:lineRule="auto"/>
      </w:pPr>
      <w:r w:rsidRPr="00D92E20">
        <w:br w:type="page"/>
      </w:r>
    </w:p>
    <w:p w14:paraId="44B795E6" w14:textId="77777777" w:rsidR="00561055" w:rsidRPr="00D92E20" w:rsidRDefault="00413923" w:rsidP="00033735">
      <w:pPr>
        <w:spacing w:after="0"/>
        <w:jc w:val="both"/>
        <w:rPr>
          <w:b/>
        </w:rPr>
      </w:pPr>
      <w:r w:rsidRPr="00D92E20">
        <w:rPr>
          <w:b/>
        </w:rPr>
        <w:lastRenderedPageBreak/>
        <w:t>Tab. 6.1: Pracovní úrazy s pracovní neschopností delší než 3 pracovní dny v zemích EU (standardizovaná míra výskytu na 100 tis. zaměstnaných osob), 2010–2018</w:t>
      </w:r>
    </w:p>
    <w:tbl>
      <w:tblPr>
        <w:tblW w:w="9580" w:type="dxa"/>
        <w:tblCellMar>
          <w:left w:w="70" w:type="dxa"/>
          <w:right w:w="70" w:type="dxa"/>
        </w:tblCellMar>
        <w:tblLook w:val="04A0" w:firstRow="1" w:lastRow="0" w:firstColumn="1" w:lastColumn="0" w:noHBand="0" w:noVBand="1"/>
      </w:tblPr>
      <w:tblGrid>
        <w:gridCol w:w="1417"/>
        <w:gridCol w:w="907"/>
        <w:gridCol w:w="907"/>
        <w:gridCol w:w="907"/>
        <w:gridCol w:w="907"/>
        <w:gridCol w:w="907"/>
        <w:gridCol w:w="907"/>
        <w:gridCol w:w="907"/>
        <w:gridCol w:w="907"/>
        <w:gridCol w:w="907"/>
      </w:tblGrid>
      <w:tr w:rsidR="00413923" w:rsidRPr="00D92E20" w14:paraId="22D1ACF2" w14:textId="77777777" w:rsidTr="00413923">
        <w:trPr>
          <w:trHeight w:val="300"/>
        </w:trPr>
        <w:tc>
          <w:tcPr>
            <w:tcW w:w="1417" w:type="dxa"/>
            <w:tcBorders>
              <w:top w:val="single" w:sz="4" w:space="0" w:color="000000"/>
              <w:left w:val="nil"/>
              <w:bottom w:val="single" w:sz="4" w:space="0" w:color="000000"/>
              <w:right w:val="single" w:sz="4" w:space="0" w:color="000000"/>
            </w:tcBorders>
            <w:shd w:val="clear" w:color="000000" w:fill="F5DADD"/>
            <w:noWrap/>
            <w:vAlign w:val="center"/>
            <w:hideMark/>
          </w:tcPr>
          <w:p w14:paraId="51FE7AB6" w14:textId="77777777" w:rsidR="00413923" w:rsidRPr="00D92E20" w:rsidRDefault="00413923" w:rsidP="00413923">
            <w:pPr>
              <w:spacing w:after="0" w:line="240" w:lineRule="auto"/>
              <w:rPr>
                <w:rFonts w:cs="Arial"/>
                <w:sz w:val="16"/>
                <w:szCs w:val="16"/>
              </w:rPr>
            </w:pPr>
            <w:r w:rsidRPr="00D92E20">
              <w:rPr>
                <w:rFonts w:cs="Arial"/>
                <w:sz w:val="16"/>
                <w:szCs w:val="16"/>
              </w:rPr>
              <w:t>Členské státy EU</w:t>
            </w:r>
          </w:p>
        </w:tc>
        <w:tc>
          <w:tcPr>
            <w:tcW w:w="907" w:type="dxa"/>
            <w:tcBorders>
              <w:top w:val="single" w:sz="4" w:space="0" w:color="000000"/>
              <w:left w:val="nil"/>
              <w:bottom w:val="single" w:sz="4" w:space="0" w:color="auto"/>
              <w:right w:val="nil"/>
            </w:tcBorders>
            <w:shd w:val="clear" w:color="000000" w:fill="F5DADD"/>
            <w:noWrap/>
            <w:vAlign w:val="center"/>
            <w:hideMark/>
          </w:tcPr>
          <w:p w14:paraId="2AB67002"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2010</w:t>
            </w:r>
          </w:p>
        </w:tc>
        <w:tc>
          <w:tcPr>
            <w:tcW w:w="907" w:type="dxa"/>
            <w:tcBorders>
              <w:top w:val="single" w:sz="4" w:space="0" w:color="000000"/>
              <w:left w:val="nil"/>
              <w:bottom w:val="single" w:sz="4" w:space="0" w:color="auto"/>
              <w:right w:val="nil"/>
            </w:tcBorders>
            <w:shd w:val="clear" w:color="000000" w:fill="F5DADD"/>
            <w:noWrap/>
            <w:vAlign w:val="center"/>
            <w:hideMark/>
          </w:tcPr>
          <w:p w14:paraId="33F3D90A"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2011</w:t>
            </w:r>
          </w:p>
        </w:tc>
        <w:tc>
          <w:tcPr>
            <w:tcW w:w="907" w:type="dxa"/>
            <w:tcBorders>
              <w:top w:val="single" w:sz="4" w:space="0" w:color="000000"/>
              <w:left w:val="nil"/>
              <w:bottom w:val="single" w:sz="4" w:space="0" w:color="auto"/>
              <w:right w:val="nil"/>
            </w:tcBorders>
            <w:shd w:val="clear" w:color="000000" w:fill="F5DADD"/>
            <w:noWrap/>
            <w:vAlign w:val="center"/>
            <w:hideMark/>
          </w:tcPr>
          <w:p w14:paraId="2CDA2615"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2012</w:t>
            </w:r>
          </w:p>
        </w:tc>
        <w:tc>
          <w:tcPr>
            <w:tcW w:w="907" w:type="dxa"/>
            <w:tcBorders>
              <w:top w:val="single" w:sz="4" w:space="0" w:color="000000"/>
              <w:left w:val="nil"/>
              <w:bottom w:val="single" w:sz="4" w:space="0" w:color="auto"/>
              <w:right w:val="nil"/>
            </w:tcBorders>
            <w:shd w:val="clear" w:color="000000" w:fill="F5DADD"/>
            <w:noWrap/>
            <w:vAlign w:val="center"/>
            <w:hideMark/>
          </w:tcPr>
          <w:p w14:paraId="47F3B81D"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2013</w:t>
            </w:r>
          </w:p>
        </w:tc>
        <w:tc>
          <w:tcPr>
            <w:tcW w:w="907" w:type="dxa"/>
            <w:tcBorders>
              <w:top w:val="single" w:sz="4" w:space="0" w:color="000000"/>
              <w:left w:val="nil"/>
              <w:bottom w:val="single" w:sz="4" w:space="0" w:color="auto"/>
              <w:right w:val="nil"/>
            </w:tcBorders>
            <w:shd w:val="clear" w:color="000000" w:fill="F5DADD"/>
            <w:noWrap/>
            <w:vAlign w:val="center"/>
            <w:hideMark/>
          </w:tcPr>
          <w:p w14:paraId="6BEB0B1F"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2014</w:t>
            </w:r>
          </w:p>
        </w:tc>
        <w:tc>
          <w:tcPr>
            <w:tcW w:w="907" w:type="dxa"/>
            <w:tcBorders>
              <w:top w:val="single" w:sz="4" w:space="0" w:color="000000"/>
              <w:left w:val="nil"/>
              <w:bottom w:val="single" w:sz="4" w:space="0" w:color="auto"/>
              <w:right w:val="nil"/>
            </w:tcBorders>
            <w:shd w:val="clear" w:color="000000" w:fill="F5DADD"/>
            <w:noWrap/>
            <w:vAlign w:val="center"/>
            <w:hideMark/>
          </w:tcPr>
          <w:p w14:paraId="33169541"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2015</w:t>
            </w:r>
          </w:p>
        </w:tc>
        <w:tc>
          <w:tcPr>
            <w:tcW w:w="907" w:type="dxa"/>
            <w:tcBorders>
              <w:top w:val="single" w:sz="4" w:space="0" w:color="000000"/>
              <w:left w:val="nil"/>
              <w:bottom w:val="single" w:sz="4" w:space="0" w:color="auto"/>
              <w:right w:val="nil"/>
            </w:tcBorders>
            <w:shd w:val="clear" w:color="000000" w:fill="F5DADD"/>
            <w:noWrap/>
            <w:vAlign w:val="center"/>
            <w:hideMark/>
          </w:tcPr>
          <w:p w14:paraId="0468B529"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2016</w:t>
            </w:r>
          </w:p>
        </w:tc>
        <w:tc>
          <w:tcPr>
            <w:tcW w:w="907" w:type="dxa"/>
            <w:tcBorders>
              <w:top w:val="single" w:sz="4" w:space="0" w:color="000000"/>
              <w:left w:val="nil"/>
              <w:bottom w:val="single" w:sz="4" w:space="0" w:color="auto"/>
              <w:right w:val="nil"/>
            </w:tcBorders>
            <w:shd w:val="clear" w:color="000000" w:fill="F5DADD"/>
            <w:noWrap/>
            <w:vAlign w:val="center"/>
            <w:hideMark/>
          </w:tcPr>
          <w:p w14:paraId="3FFA9181"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2017</w:t>
            </w:r>
          </w:p>
        </w:tc>
        <w:tc>
          <w:tcPr>
            <w:tcW w:w="907" w:type="dxa"/>
            <w:tcBorders>
              <w:top w:val="single" w:sz="4" w:space="0" w:color="000000"/>
              <w:left w:val="nil"/>
              <w:bottom w:val="single" w:sz="4" w:space="0" w:color="auto"/>
              <w:right w:val="nil"/>
            </w:tcBorders>
            <w:shd w:val="clear" w:color="000000" w:fill="F5DADD"/>
            <w:noWrap/>
            <w:vAlign w:val="center"/>
            <w:hideMark/>
          </w:tcPr>
          <w:p w14:paraId="0AACD0C4" w14:textId="77777777" w:rsidR="00413923" w:rsidRPr="00D92E20" w:rsidRDefault="00413923" w:rsidP="00413923">
            <w:pPr>
              <w:spacing w:after="0" w:line="240" w:lineRule="auto"/>
              <w:jc w:val="center"/>
              <w:rPr>
                <w:rFonts w:cs="Arial"/>
                <w:sz w:val="16"/>
                <w:szCs w:val="16"/>
              </w:rPr>
            </w:pPr>
            <w:r w:rsidRPr="00D92E20">
              <w:rPr>
                <w:rFonts w:cs="Arial"/>
                <w:sz w:val="16"/>
                <w:szCs w:val="16"/>
              </w:rPr>
              <w:t>2018</w:t>
            </w:r>
          </w:p>
        </w:tc>
      </w:tr>
      <w:tr w:rsidR="00413923" w:rsidRPr="00D92E20" w14:paraId="6F3D0846" w14:textId="77777777" w:rsidTr="00413923">
        <w:trPr>
          <w:trHeight w:val="300"/>
        </w:trPr>
        <w:tc>
          <w:tcPr>
            <w:tcW w:w="1417" w:type="dxa"/>
            <w:tcBorders>
              <w:top w:val="nil"/>
              <w:left w:val="nil"/>
              <w:bottom w:val="nil"/>
              <w:right w:val="nil"/>
            </w:tcBorders>
            <w:shd w:val="clear" w:color="auto" w:fill="auto"/>
            <w:noWrap/>
            <w:vAlign w:val="center"/>
            <w:hideMark/>
          </w:tcPr>
          <w:p w14:paraId="60E48D2A" w14:textId="77777777" w:rsidR="00413923" w:rsidRPr="00D92E20" w:rsidRDefault="00413923" w:rsidP="00413923">
            <w:pPr>
              <w:spacing w:after="0" w:line="240" w:lineRule="auto"/>
              <w:rPr>
                <w:rFonts w:cs="Arial"/>
                <w:b/>
                <w:bCs/>
                <w:sz w:val="16"/>
                <w:szCs w:val="16"/>
              </w:rPr>
            </w:pPr>
            <w:r w:rsidRPr="00D92E20">
              <w:rPr>
                <w:rFonts w:cs="Arial"/>
                <w:b/>
                <w:bCs/>
                <w:sz w:val="16"/>
                <w:szCs w:val="16"/>
              </w:rPr>
              <w:t>EU28</w:t>
            </w:r>
          </w:p>
        </w:tc>
        <w:tc>
          <w:tcPr>
            <w:tcW w:w="907" w:type="dxa"/>
            <w:tcBorders>
              <w:top w:val="nil"/>
              <w:left w:val="single" w:sz="4" w:space="0" w:color="000000"/>
              <w:bottom w:val="nil"/>
              <w:right w:val="nil"/>
            </w:tcBorders>
            <w:shd w:val="clear" w:color="auto" w:fill="auto"/>
            <w:noWrap/>
            <w:vAlign w:val="center"/>
            <w:hideMark/>
          </w:tcPr>
          <w:p w14:paraId="3B086883"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1 898,4</w:t>
            </w:r>
          </w:p>
        </w:tc>
        <w:tc>
          <w:tcPr>
            <w:tcW w:w="907" w:type="dxa"/>
            <w:tcBorders>
              <w:top w:val="nil"/>
              <w:left w:val="nil"/>
              <w:bottom w:val="nil"/>
              <w:right w:val="nil"/>
            </w:tcBorders>
            <w:shd w:val="clear" w:color="auto" w:fill="auto"/>
            <w:noWrap/>
            <w:vAlign w:val="center"/>
            <w:hideMark/>
          </w:tcPr>
          <w:p w14:paraId="4C9E44C7"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1 872,6</w:t>
            </w:r>
          </w:p>
        </w:tc>
        <w:tc>
          <w:tcPr>
            <w:tcW w:w="907" w:type="dxa"/>
            <w:tcBorders>
              <w:top w:val="nil"/>
              <w:left w:val="nil"/>
              <w:bottom w:val="nil"/>
              <w:right w:val="nil"/>
            </w:tcBorders>
            <w:shd w:val="clear" w:color="auto" w:fill="auto"/>
            <w:noWrap/>
            <w:vAlign w:val="center"/>
            <w:hideMark/>
          </w:tcPr>
          <w:p w14:paraId="6EC1624D"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1 717,2</w:t>
            </w:r>
          </w:p>
        </w:tc>
        <w:tc>
          <w:tcPr>
            <w:tcW w:w="907" w:type="dxa"/>
            <w:tcBorders>
              <w:top w:val="nil"/>
              <w:left w:val="nil"/>
              <w:bottom w:val="nil"/>
              <w:right w:val="nil"/>
            </w:tcBorders>
            <w:shd w:val="clear" w:color="auto" w:fill="auto"/>
            <w:noWrap/>
            <w:vAlign w:val="center"/>
            <w:hideMark/>
          </w:tcPr>
          <w:p w14:paraId="0BE52647"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1 700,8</w:t>
            </w:r>
          </w:p>
        </w:tc>
        <w:tc>
          <w:tcPr>
            <w:tcW w:w="907" w:type="dxa"/>
            <w:tcBorders>
              <w:top w:val="nil"/>
              <w:left w:val="nil"/>
              <w:bottom w:val="nil"/>
              <w:right w:val="nil"/>
            </w:tcBorders>
            <w:shd w:val="clear" w:color="auto" w:fill="auto"/>
            <w:noWrap/>
            <w:vAlign w:val="center"/>
            <w:hideMark/>
          </w:tcPr>
          <w:p w14:paraId="70FA2078"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1 661,6</w:t>
            </w:r>
          </w:p>
        </w:tc>
        <w:tc>
          <w:tcPr>
            <w:tcW w:w="907" w:type="dxa"/>
            <w:tcBorders>
              <w:top w:val="nil"/>
              <w:left w:val="nil"/>
              <w:bottom w:val="nil"/>
              <w:right w:val="nil"/>
            </w:tcBorders>
            <w:shd w:val="clear" w:color="auto" w:fill="auto"/>
            <w:noWrap/>
            <w:vAlign w:val="center"/>
            <w:hideMark/>
          </w:tcPr>
          <w:p w14:paraId="46BCA204"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1 643,1</w:t>
            </w:r>
          </w:p>
        </w:tc>
        <w:tc>
          <w:tcPr>
            <w:tcW w:w="907" w:type="dxa"/>
            <w:tcBorders>
              <w:top w:val="nil"/>
              <w:left w:val="nil"/>
              <w:bottom w:val="nil"/>
              <w:right w:val="nil"/>
            </w:tcBorders>
            <w:shd w:val="clear" w:color="auto" w:fill="auto"/>
            <w:noWrap/>
            <w:vAlign w:val="center"/>
            <w:hideMark/>
          </w:tcPr>
          <w:p w14:paraId="4DA04832"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1 646,9</w:t>
            </w:r>
          </w:p>
        </w:tc>
        <w:tc>
          <w:tcPr>
            <w:tcW w:w="907" w:type="dxa"/>
            <w:tcBorders>
              <w:top w:val="nil"/>
              <w:left w:val="nil"/>
              <w:bottom w:val="nil"/>
              <w:right w:val="nil"/>
            </w:tcBorders>
            <w:shd w:val="clear" w:color="auto" w:fill="auto"/>
            <w:noWrap/>
            <w:vAlign w:val="center"/>
            <w:hideMark/>
          </w:tcPr>
          <w:p w14:paraId="18FE90B7"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1 666,3</w:t>
            </w:r>
          </w:p>
        </w:tc>
        <w:tc>
          <w:tcPr>
            <w:tcW w:w="907" w:type="dxa"/>
            <w:tcBorders>
              <w:top w:val="nil"/>
              <w:left w:val="nil"/>
              <w:bottom w:val="nil"/>
              <w:right w:val="nil"/>
            </w:tcBorders>
            <w:shd w:val="clear" w:color="auto" w:fill="auto"/>
            <w:noWrap/>
            <w:vAlign w:val="center"/>
            <w:hideMark/>
          </w:tcPr>
          <w:p w14:paraId="79027B31"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1 639,9</w:t>
            </w:r>
          </w:p>
        </w:tc>
      </w:tr>
      <w:tr w:rsidR="00413923" w:rsidRPr="00D92E20" w14:paraId="644723BB" w14:textId="77777777" w:rsidTr="00413923">
        <w:trPr>
          <w:trHeight w:val="300"/>
        </w:trPr>
        <w:tc>
          <w:tcPr>
            <w:tcW w:w="1417" w:type="dxa"/>
            <w:tcBorders>
              <w:top w:val="nil"/>
              <w:left w:val="nil"/>
              <w:bottom w:val="nil"/>
              <w:right w:val="nil"/>
            </w:tcBorders>
            <w:shd w:val="clear" w:color="auto" w:fill="auto"/>
            <w:noWrap/>
            <w:vAlign w:val="center"/>
            <w:hideMark/>
          </w:tcPr>
          <w:p w14:paraId="137360D7"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Belgie</w:t>
            </w:r>
          </w:p>
        </w:tc>
        <w:tc>
          <w:tcPr>
            <w:tcW w:w="907" w:type="dxa"/>
            <w:tcBorders>
              <w:top w:val="nil"/>
              <w:left w:val="single" w:sz="4" w:space="0" w:color="000000"/>
              <w:bottom w:val="nil"/>
              <w:right w:val="nil"/>
            </w:tcBorders>
            <w:shd w:val="clear" w:color="auto" w:fill="auto"/>
            <w:noWrap/>
            <w:vAlign w:val="center"/>
            <w:hideMark/>
          </w:tcPr>
          <w:p w14:paraId="4C56D1E0" w14:textId="77777777" w:rsidR="00413923" w:rsidRPr="00D92E20" w:rsidRDefault="00413923" w:rsidP="00413923">
            <w:pPr>
              <w:spacing w:after="0" w:line="240" w:lineRule="auto"/>
              <w:jc w:val="right"/>
              <w:rPr>
                <w:rFonts w:cs="Arial"/>
                <w:sz w:val="16"/>
                <w:szCs w:val="16"/>
              </w:rPr>
            </w:pPr>
            <w:r w:rsidRPr="00D92E20">
              <w:rPr>
                <w:rFonts w:cs="Arial"/>
                <w:sz w:val="16"/>
                <w:szCs w:val="16"/>
              </w:rPr>
              <w:t>2 071,4</w:t>
            </w:r>
          </w:p>
        </w:tc>
        <w:tc>
          <w:tcPr>
            <w:tcW w:w="907" w:type="dxa"/>
            <w:tcBorders>
              <w:top w:val="nil"/>
              <w:left w:val="nil"/>
              <w:bottom w:val="nil"/>
              <w:right w:val="nil"/>
            </w:tcBorders>
            <w:shd w:val="clear" w:color="auto" w:fill="auto"/>
            <w:noWrap/>
            <w:vAlign w:val="center"/>
            <w:hideMark/>
          </w:tcPr>
          <w:p w14:paraId="39BE59F0" w14:textId="77777777" w:rsidR="00413923" w:rsidRPr="00D92E20" w:rsidRDefault="00413923" w:rsidP="00413923">
            <w:pPr>
              <w:spacing w:after="0" w:line="240" w:lineRule="auto"/>
              <w:jc w:val="right"/>
              <w:rPr>
                <w:rFonts w:cs="Arial"/>
                <w:sz w:val="16"/>
                <w:szCs w:val="16"/>
              </w:rPr>
            </w:pPr>
            <w:r w:rsidRPr="00D92E20">
              <w:rPr>
                <w:rFonts w:cs="Arial"/>
                <w:sz w:val="16"/>
                <w:szCs w:val="16"/>
              </w:rPr>
              <w:t>2 523,4</w:t>
            </w:r>
          </w:p>
        </w:tc>
        <w:tc>
          <w:tcPr>
            <w:tcW w:w="907" w:type="dxa"/>
            <w:tcBorders>
              <w:top w:val="nil"/>
              <w:left w:val="nil"/>
              <w:bottom w:val="nil"/>
              <w:right w:val="nil"/>
            </w:tcBorders>
            <w:shd w:val="clear" w:color="auto" w:fill="auto"/>
            <w:noWrap/>
            <w:vAlign w:val="center"/>
            <w:hideMark/>
          </w:tcPr>
          <w:p w14:paraId="568D24AD" w14:textId="77777777" w:rsidR="00413923" w:rsidRPr="00D92E20" w:rsidRDefault="00413923" w:rsidP="00413923">
            <w:pPr>
              <w:spacing w:after="0" w:line="240" w:lineRule="auto"/>
              <w:jc w:val="right"/>
              <w:rPr>
                <w:rFonts w:cs="Arial"/>
                <w:sz w:val="16"/>
                <w:szCs w:val="16"/>
              </w:rPr>
            </w:pPr>
            <w:r w:rsidRPr="00D92E20">
              <w:rPr>
                <w:rFonts w:cs="Arial"/>
                <w:sz w:val="16"/>
                <w:szCs w:val="16"/>
              </w:rPr>
              <w:t>2 197,3</w:t>
            </w:r>
          </w:p>
        </w:tc>
        <w:tc>
          <w:tcPr>
            <w:tcW w:w="907" w:type="dxa"/>
            <w:tcBorders>
              <w:top w:val="nil"/>
              <w:left w:val="nil"/>
              <w:bottom w:val="nil"/>
              <w:right w:val="nil"/>
            </w:tcBorders>
            <w:shd w:val="clear" w:color="auto" w:fill="auto"/>
            <w:noWrap/>
            <w:vAlign w:val="center"/>
            <w:hideMark/>
          </w:tcPr>
          <w:p w14:paraId="7FC4EE8A" w14:textId="77777777" w:rsidR="00413923" w:rsidRPr="00D92E20" w:rsidRDefault="00413923" w:rsidP="00413923">
            <w:pPr>
              <w:spacing w:after="0" w:line="240" w:lineRule="auto"/>
              <w:jc w:val="right"/>
              <w:rPr>
                <w:rFonts w:cs="Arial"/>
                <w:sz w:val="16"/>
                <w:szCs w:val="16"/>
              </w:rPr>
            </w:pPr>
            <w:r w:rsidRPr="00D92E20">
              <w:rPr>
                <w:rFonts w:cs="Arial"/>
                <w:sz w:val="16"/>
                <w:szCs w:val="16"/>
              </w:rPr>
              <w:t>2 147,3</w:t>
            </w:r>
          </w:p>
        </w:tc>
        <w:tc>
          <w:tcPr>
            <w:tcW w:w="907" w:type="dxa"/>
            <w:tcBorders>
              <w:top w:val="nil"/>
              <w:left w:val="nil"/>
              <w:bottom w:val="nil"/>
              <w:right w:val="nil"/>
            </w:tcBorders>
            <w:shd w:val="clear" w:color="000000" w:fill="D9D9D9"/>
            <w:noWrap/>
            <w:vAlign w:val="center"/>
            <w:hideMark/>
          </w:tcPr>
          <w:p w14:paraId="41002157" w14:textId="77777777" w:rsidR="00413923" w:rsidRPr="00D92E20" w:rsidRDefault="00413923" w:rsidP="00413923">
            <w:pPr>
              <w:spacing w:after="0" w:line="240" w:lineRule="auto"/>
              <w:jc w:val="right"/>
              <w:rPr>
                <w:rFonts w:cs="Arial"/>
                <w:sz w:val="16"/>
                <w:szCs w:val="16"/>
              </w:rPr>
            </w:pPr>
            <w:r w:rsidRPr="00D92E20">
              <w:rPr>
                <w:rFonts w:cs="Arial"/>
                <w:sz w:val="16"/>
                <w:szCs w:val="16"/>
              </w:rPr>
              <w:t>1 724,4</w:t>
            </w:r>
          </w:p>
        </w:tc>
        <w:tc>
          <w:tcPr>
            <w:tcW w:w="907" w:type="dxa"/>
            <w:tcBorders>
              <w:top w:val="nil"/>
              <w:left w:val="nil"/>
              <w:bottom w:val="nil"/>
              <w:right w:val="nil"/>
            </w:tcBorders>
            <w:shd w:val="clear" w:color="auto" w:fill="auto"/>
            <w:noWrap/>
            <w:vAlign w:val="center"/>
            <w:hideMark/>
          </w:tcPr>
          <w:p w14:paraId="3D0BCE2A" w14:textId="77777777" w:rsidR="00413923" w:rsidRPr="00D92E20" w:rsidRDefault="00413923" w:rsidP="00413923">
            <w:pPr>
              <w:spacing w:after="0" w:line="240" w:lineRule="auto"/>
              <w:jc w:val="right"/>
              <w:rPr>
                <w:rFonts w:cs="Arial"/>
                <w:sz w:val="16"/>
                <w:szCs w:val="16"/>
              </w:rPr>
            </w:pPr>
            <w:r w:rsidRPr="00D92E20">
              <w:rPr>
                <w:rFonts w:cs="Arial"/>
                <w:sz w:val="16"/>
                <w:szCs w:val="16"/>
              </w:rPr>
              <w:t>1 518,6</w:t>
            </w:r>
          </w:p>
        </w:tc>
        <w:tc>
          <w:tcPr>
            <w:tcW w:w="907" w:type="dxa"/>
            <w:tcBorders>
              <w:top w:val="nil"/>
              <w:left w:val="nil"/>
              <w:bottom w:val="nil"/>
              <w:right w:val="nil"/>
            </w:tcBorders>
            <w:shd w:val="clear" w:color="auto" w:fill="auto"/>
            <w:noWrap/>
            <w:vAlign w:val="center"/>
            <w:hideMark/>
          </w:tcPr>
          <w:p w14:paraId="08F0E6A5" w14:textId="77777777" w:rsidR="00413923" w:rsidRPr="00D92E20" w:rsidRDefault="00413923" w:rsidP="00413923">
            <w:pPr>
              <w:spacing w:after="0" w:line="240" w:lineRule="auto"/>
              <w:jc w:val="right"/>
              <w:rPr>
                <w:rFonts w:cs="Arial"/>
                <w:sz w:val="16"/>
                <w:szCs w:val="16"/>
              </w:rPr>
            </w:pPr>
            <w:r w:rsidRPr="00D92E20">
              <w:rPr>
                <w:rFonts w:cs="Arial"/>
                <w:sz w:val="16"/>
                <w:szCs w:val="16"/>
              </w:rPr>
              <w:t>1 972,2</w:t>
            </w:r>
          </w:p>
        </w:tc>
        <w:tc>
          <w:tcPr>
            <w:tcW w:w="907" w:type="dxa"/>
            <w:tcBorders>
              <w:top w:val="nil"/>
              <w:left w:val="nil"/>
              <w:bottom w:val="nil"/>
              <w:right w:val="nil"/>
            </w:tcBorders>
            <w:shd w:val="clear" w:color="auto" w:fill="auto"/>
            <w:noWrap/>
            <w:vAlign w:val="center"/>
            <w:hideMark/>
          </w:tcPr>
          <w:p w14:paraId="1CCD0310" w14:textId="77777777" w:rsidR="00413923" w:rsidRPr="00D92E20" w:rsidRDefault="00413923" w:rsidP="00413923">
            <w:pPr>
              <w:spacing w:after="0" w:line="240" w:lineRule="auto"/>
              <w:jc w:val="right"/>
              <w:rPr>
                <w:rFonts w:cs="Arial"/>
                <w:sz w:val="16"/>
                <w:szCs w:val="16"/>
              </w:rPr>
            </w:pPr>
            <w:r w:rsidRPr="00D92E20">
              <w:rPr>
                <w:rFonts w:cs="Arial"/>
                <w:sz w:val="16"/>
                <w:szCs w:val="16"/>
              </w:rPr>
              <w:t>1 946,3</w:t>
            </w:r>
          </w:p>
        </w:tc>
        <w:tc>
          <w:tcPr>
            <w:tcW w:w="907" w:type="dxa"/>
            <w:tcBorders>
              <w:top w:val="nil"/>
              <w:left w:val="nil"/>
              <w:bottom w:val="nil"/>
              <w:right w:val="nil"/>
            </w:tcBorders>
            <w:shd w:val="clear" w:color="auto" w:fill="auto"/>
            <w:noWrap/>
            <w:vAlign w:val="center"/>
            <w:hideMark/>
          </w:tcPr>
          <w:p w14:paraId="7FFB3C59" w14:textId="77777777" w:rsidR="00413923" w:rsidRPr="00D92E20" w:rsidRDefault="00413923" w:rsidP="00413923">
            <w:pPr>
              <w:spacing w:after="0" w:line="240" w:lineRule="auto"/>
              <w:jc w:val="right"/>
              <w:rPr>
                <w:rFonts w:cs="Arial"/>
                <w:sz w:val="16"/>
                <w:szCs w:val="16"/>
              </w:rPr>
            </w:pPr>
            <w:r w:rsidRPr="00D92E20">
              <w:rPr>
                <w:rFonts w:cs="Arial"/>
                <w:sz w:val="16"/>
                <w:szCs w:val="16"/>
              </w:rPr>
              <w:t>1 866,3</w:t>
            </w:r>
          </w:p>
        </w:tc>
      </w:tr>
      <w:tr w:rsidR="00413923" w:rsidRPr="00D92E20" w14:paraId="1AD1D0EC" w14:textId="77777777" w:rsidTr="00413923">
        <w:trPr>
          <w:trHeight w:val="300"/>
        </w:trPr>
        <w:tc>
          <w:tcPr>
            <w:tcW w:w="1417" w:type="dxa"/>
            <w:tcBorders>
              <w:top w:val="nil"/>
              <w:left w:val="nil"/>
              <w:bottom w:val="nil"/>
              <w:right w:val="nil"/>
            </w:tcBorders>
            <w:shd w:val="clear" w:color="auto" w:fill="auto"/>
            <w:noWrap/>
            <w:vAlign w:val="center"/>
            <w:hideMark/>
          </w:tcPr>
          <w:p w14:paraId="1832B173"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Bulharsko</w:t>
            </w:r>
          </w:p>
        </w:tc>
        <w:tc>
          <w:tcPr>
            <w:tcW w:w="907" w:type="dxa"/>
            <w:tcBorders>
              <w:top w:val="nil"/>
              <w:left w:val="single" w:sz="4" w:space="0" w:color="000000"/>
              <w:bottom w:val="nil"/>
              <w:right w:val="nil"/>
            </w:tcBorders>
            <w:shd w:val="clear" w:color="auto" w:fill="auto"/>
            <w:noWrap/>
            <w:vAlign w:val="center"/>
            <w:hideMark/>
          </w:tcPr>
          <w:p w14:paraId="6BCE4D8F" w14:textId="77777777" w:rsidR="00413923" w:rsidRPr="00D92E20" w:rsidRDefault="00413923" w:rsidP="00413923">
            <w:pPr>
              <w:spacing w:after="0" w:line="240" w:lineRule="auto"/>
              <w:jc w:val="right"/>
              <w:rPr>
                <w:rFonts w:cs="Arial"/>
                <w:sz w:val="16"/>
                <w:szCs w:val="16"/>
              </w:rPr>
            </w:pPr>
            <w:r w:rsidRPr="00D92E20">
              <w:rPr>
                <w:rFonts w:cs="Arial"/>
                <w:sz w:val="16"/>
                <w:szCs w:val="16"/>
              </w:rPr>
              <w:t>85,2</w:t>
            </w:r>
          </w:p>
        </w:tc>
        <w:tc>
          <w:tcPr>
            <w:tcW w:w="907" w:type="dxa"/>
            <w:tcBorders>
              <w:top w:val="nil"/>
              <w:left w:val="nil"/>
              <w:bottom w:val="nil"/>
              <w:right w:val="nil"/>
            </w:tcBorders>
            <w:shd w:val="clear" w:color="auto" w:fill="auto"/>
            <w:noWrap/>
            <w:vAlign w:val="center"/>
            <w:hideMark/>
          </w:tcPr>
          <w:p w14:paraId="64825D69" w14:textId="77777777" w:rsidR="00413923" w:rsidRPr="00D92E20" w:rsidRDefault="00413923" w:rsidP="00413923">
            <w:pPr>
              <w:spacing w:after="0" w:line="240" w:lineRule="auto"/>
              <w:jc w:val="right"/>
              <w:rPr>
                <w:rFonts w:cs="Arial"/>
                <w:sz w:val="16"/>
                <w:szCs w:val="16"/>
              </w:rPr>
            </w:pPr>
            <w:r w:rsidRPr="00D92E20">
              <w:rPr>
                <w:rFonts w:cs="Arial"/>
                <w:sz w:val="16"/>
                <w:szCs w:val="16"/>
              </w:rPr>
              <w:t>84,6</w:t>
            </w:r>
          </w:p>
        </w:tc>
        <w:tc>
          <w:tcPr>
            <w:tcW w:w="907" w:type="dxa"/>
            <w:tcBorders>
              <w:top w:val="nil"/>
              <w:left w:val="nil"/>
              <w:bottom w:val="nil"/>
              <w:right w:val="nil"/>
            </w:tcBorders>
            <w:shd w:val="clear" w:color="auto" w:fill="auto"/>
            <w:noWrap/>
            <w:vAlign w:val="center"/>
            <w:hideMark/>
          </w:tcPr>
          <w:p w14:paraId="784665B9" w14:textId="77777777" w:rsidR="00413923" w:rsidRPr="00D92E20" w:rsidRDefault="00413923" w:rsidP="00413923">
            <w:pPr>
              <w:spacing w:after="0" w:line="240" w:lineRule="auto"/>
              <w:jc w:val="right"/>
              <w:rPr>
                <w:rFonts w:cs="Arial"/>
                <w:sz w:val="16"/>
                <w:szCs w:val="16"/>
              </w:rPr>
            </w:pPr>
            <w:r w:rsidRPr="00D92E20">
              <w:rPr>
                <w:rFonts w:cs="Arial"/>
                <w:sz w:val="16"/>
                <w:szCs w:val="16"/>
              </w:rPr>
              <w:t>84,9</w:t>
            </w:r>
          </w:p>
        </w:tc>
        <w:tc>
          <w:tcPr>
            <w:tcW w:w="907" w:type="dxa"/>
            <w:tcBorders>
              <w:top w:val="nil"/>
              <w:left w:val="nil"/>
              <w:bottom w:val="nil"/>
              <w:right w:val="nil"/>
            </w:tcBorders>
            <w:shd w:val="clear" w:color="auto" w:fill="auto"/>
            <w:noWrap/>
            <w:vAlign w:val="center"/>
            <w:hideMark/>
          </w:tcPr>
          <w:p w14:paraId="3FB96F94" w14:textId="77777777" w:rsidR="00413923" w:rsidRPr="00D92E20" w:rsidRDefault="00413923" w:rsidP="00413923">
            <w:pPr>
              <w:spacing w:after="0" w:line="240" w:lineRule="auto"/>
              <w:jc w:val="right"/>
              <w:rPr>
                <w:rFonts w:cs="Arial"/>
                <w:sz w:val="16"/>
                <w:szCs w:val="16"/>
              </w:rPr>
            </w:pPr>
            <w:r w:rsidRPr="00D92E20">
              <w:rPr>
                <w:rFonts w:cs="Arial"/>
                <w:sz w:val="16"/>
                <w:szCs w:val="16"/>
              </w:rPr>
              <w:t>79,7</w:t>
            </w:r>
          </w:p>
        </w:tc>
        <w:tc>
          <w:tcPr>
            <w:tcW w:w="907" w:type="dxa"/>
            <w:tcBorders>
              <w:top w:val="nil"/>
              <w:left w:val="nil"/>
              <w:bottom w:val="nil"/>
              <w:right w:val="nil"/>
            </w:tcBorders>
            <w:shd w:val="clear" w:color="auto" w:fill="auto"/>
            <w:noWrap/>
            <w:vAlign w:val="center"/>
            <w:hideMark/>
          </w:tcPr>
          <w:p w14:paraId="47FA66E5" w14:textId="77777777" w:rsidR="00413923" w:rsidRPr="00D92E20" w:rsidRDefault="00413923" w:rsidP="00413923">
            <w:pPr>
              <w:spacing w:after="0" w:line="240" w:lineRule="auto"/>
              <w:jc w:val="right"/>
              <w:rPr>
                <w:rFonts w:cs="Arial"/>
                <w:sz w:val="16"/>
                <w:szCs w:val="16"/>
              </w:rPr>
            </w:pPr>
            <w:r w:rsidRPr="00D92E20">
              <w:rPr>
                <w:rFonts w:cs="Arial"/>
                <w:sz w:val="16"/>
                <w:szCs w:val="16"/>
              </w:rPr>
              <w:t>82,5</w:t>
            </w:r>
          </w:p>
        </w:tc>
        <w:tc>
          <w:tcPr>
            <w:tcW w:w="907" w:type="dxa"/>
            <w:tcBorders>
              <w:top w:val="nil"/>
              <w:left w:val="nil"/>
              <w:bottom w:val="nil"/>
              <w:right w:val="nil"/>
            </w:tcBorders>
            <w:shd w:val="clear" w:color="auto" w:fill="auto"/>
            <w:noWrap/>
            <w:vAlign w:val="center"/>
            <w:hideMark/>
          </w:tcPr>
          <w:p w14:paraId="6C4A28C5" w14:textId="77777777" w:rsidR="00413923" w:rsidRPr="00D92E20" w:rsidRDefault="00413923" w:rsidP="00413923">
            <w:pPr>
              <w:spacing w:after="0" w:line="240" w:lineRule="auto"/>
              <w:jc w:val="right"/>
              <w:rPr>
                <w:rFonts w:cs="Arial"/>
                <w:sz w:val="16"/>
                <w:szCs w:val="16"/>
              </w:rPr>
            </w:pPr>
            <w:r w:rsidRPr="00D92E20">
              <w:rPr>
                <w:rFonts w:cs="Arial"/>
                <w:sz w:val="16"/>
                <w:szCs w:val="16"/>
              </w:rPr>
              <w:t>82,8</w:t>
            </w:r>
          </w:p>
        </w:tc>
        <w:tc>
          <w:tcPr>
            <w:tcW w:w="907" w:type="dxa"/>
            <w:tcBorders>
              <w:top w:val="nil"/>
              <w:left w:val="nil"/>
              <w:bottom w:val="nil"/>
              <w:right w:val="nil"/>
            </w:tcBorders>
            <w:shd w:val="clear" w:color="auto" w:fill="auto"/>
            <w:noWrap/>
            <w:vAlign w:val="center"/>
            <w:hideMark/>
          </w:tcPr>
          <w:p w14:paraId="740AF5A4" w14:textId="77777777" w:rsidR="00413923" w:rsidRPr="00D92E20" w:rsidRDefault="00413923" w:rsidP="00413923">
            <w:pPr>
              <w:spacing w:after="0" w:line="240" w:lineRule="auto"/>
              <w:jc w:val="right"/>
              <w:rPr>
                <w:rFonts w:cs="Arial"/>
                <w:sz w:val="16"/>
                <w:szCs w:val="16"/>
              </w:rPr>
            </w:pPr>
            <w:r w:rsidRPr="00D92E20">
              <w:rPr>
                <w:rFonts w:cs="Arial"/>
                <w:sz w:val="16"/>
                <w:szCs w:val="16"/>
              </w:rPr>
              <w:t>76,0</w:t>
            </w:r>
          </w:p>
        </w:tc>
        <w:tc>
          <w:tcPr>
            <w:tcW w:w="907" w:type="dxa"/>
            <w:tcBorders>
              <w:top w:val="nil"/>
              <w:left w:val="nil"/>
              <w:bottom w:val="nil"/>
              <w:right w:val="nil"/>
            </w:tcBorders>
            <w:shd w:val="clear" w:color="auto" w:fill="auto"/>
            <w:noWrap/>
            <w:vAlign w:val="center"/>
            <w:hideMark/>
          </w:tcPr>
          <w:p w14:paraId="637E79F4" w14:textId="77777777" w:rsidR="00413923" w:rsidRPr="00D92E20" w:rsidRDefault="00413923" w:rsidP="00413923">
            <w:pPr>
              <w:spacing w:after="0" w:line="240" w:lineRule="auto"/>
              <w:jc w:val="right"/>
              <w:rPr>
                <w:rFonts w:cs="Arial"/>
                <w:sz w:val="16"/>
                <w:szCs w:val="16"/>
              </w:rPr>
            </w:pPr>
            <w:r w:rsidRPr="00D92E20">
              <w:rPr>
                <w:rFonts w:cs="Arial"/>
                <w:sz w:val="16"/>
                <w:szCs w:val="16"/>
              </w:rPr>
              <w:t>79,0</w:t>
            </w:r>
          </w:p>
        </w:tc>
        <w:tc>
          <w:tcPr>
            <w:tcW w:w="907" w:type="dxa"/>
            <w:tcBorders>
              <w:top w:val="nil"/>
              <w:left w:val="nil"/>
              <w:bottom w:val="nil"/>
              <w:right w:val="nil"/>
            </w:tcBorders>
            <w:shd w:val="clear" w:color="auto" w:fill="auto"/>
            <w:noWrap/>
            <w:vAlign w:val="center"/>
            <w:hideMark/>
          </w:tcPr>
          <w:p w14:paraId="06197CB5" w14:textId="77777777" w:rsidR="00413923" w:rsidRPr="00D92E20" w:rsidRDefault="00413923" w:rsidP="00413923">
            <w:pPr>
              <w:spacing w:after="0" w:line="240" w:lineRule="auto"/>
              <w:jc w:val="right"/>
              <w:rPr>
                <w:rFonts w:cs="Arial"/>
                <w:sz w:val="16"/>
                <w:szCs w:val="16"/>
              </w:rPr>
            </w:pPr>
            <w:r w:rsidRPr="00D92E20">
              <w:rPr>
                <w:rFonts w:cs="Arial"/>
                <w:sz w:val="16"/>
                <w:szCs w:val="16"/>
              </w:rPr>
              <w:t>77,7</w:t>
            </w:r>
          </w:p>
        </w:tc>
      </w:tr>
      <w:tr w:rsidR="00413923" w:rsidRPr="00D92E20" w14:paraId="6770E1F7" w14:textId="77777777" w:rsidTr="00413923">
        <w:trPr>
          <w:trHeight w:val="300"/>
        </w:trPr>
        <w:tc>
          <w:tcPr>
            <w:tcW w:w="1417" w:type="dxa"/>
            <w:tcBorders>
              <w:top w:val="nil"/>
              <w:left w:val="nil"/>
              <w:bottom w:val="nil"/>
              <w:right w:val="nil"/>
            </w:tcBorders>
            <w:shd w:val="clear" w:color="auto" w:fill="auto"/>
            <w:noWrap/>
            <w:vAlign w:val="center"/>
            <w:hideMark/>
          </w:tcPr>
          <w:p w14:paraId="7E48A4CE" w14:textId="77777777" w:rsidR="00413923" w:rsidRPr="00D92E20" w:rsidRDefault="00413923" w:rsidP="00413923">
            <w:pPr>
              <w:spacing w:after="0" w:line="240" w:lineRule="auto"/>
              <w:ind w:firstLineChars="100" w:firstLine="160"/>
              <w:rPr>
                <w:rFonts w:cs="Arial"/>
                <w:b/>
                <w:bCs/>
                <w:sz w:val="16"/>
                <w:szCs w:val="16"/>
              </w:rPr>
            </w:pPr>
            <w:r w:rsidRPr="00D92E20">
              <w:rPr>
                <w:rFonts w:cs="Arial"/>
                <w:b/>
                <w:bCs/>
                <w:sz w:val="16"/>
                <w:szCs w:val="16"/>
              </w:rPr>
              <w:t>Česko</w:t>
            </w:r>
          </w:p>
        </w:tc>
        <w:tc>
          <w:tcPr>
            <w:tcW w:w="907" w:type="dxa"/>
            <w:tcBorders>
              <w:top w:val="nil"/>
              <w:left w:val="single" w:sz="4" w:space="0" w:color="000000"/>
              <w:bottom w:val="nil"/>
              <w:right w:val="nil"/>
            </w:tcBorders>
            <w:shd w:val="clear" w:color="auto" w:fill="auto"/>
            <w:noWrap/>
            <w:vAlign w:val="center"/>
            <w:hideMark/>
          </w:tcPr>
          <w:p w14:paraId="43E76015"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1 300,9</w:t>
            </w:r>
          </w:p>
        </w:tc>
        <w:tc>
          <w:tcPr>
            <w:tcW w:w="907" w:type="dxa"/>
            <w:tcBorders>
              <w:top w:val="nil"/>
              <w:left w:val="nil"/>
              <w:bottom w:val="nil"/>
              <w:right w:val="nil"/>
            </w:tcBorders>
            <w:shd w:val="clear" w:color="auto" w:fill="auto"/>
            <w:noWrap/>
            <w:vAlign w:val="center"/>
            <w:hideMark/>
          </w:tcPr>
          <w:p w14:paraId="1E5DD92D"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971,4</w:t>
            </w:r>
          </w:p>
        </w:tc>
        <w:tc>
          <w:tcPr>
            <w:tcW w:w="907" w:type="dxa"/>
            <w:tcBorders>
              <w:top w:val="nil"/>
              <w:left w:val="nil"/>
              <w:bottom w:val="nil"/>
              <w:right w:val="nil"/>
            </w:tcBorders>
            <w:shd w:val="clear" w:color="auto" w:fill="auto"/>
            <w:noWrap/>
            <w:vAlign w:val="center"/>
            <w:hideMark/>
          </w:tcPr>
          <w:p w14:paraId="11615B22"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941,4</w:t>
            </w:r>
          </w:p>
        </w:tc>
        <w:tc>
          <w:tcPr>
            <w:tcW w:w="907" w:type="dxa"/>
            <w:tcBorders>
              <w:top w:val="nil"/>
              <w:left w:val="nil"/>
              <w:bottom w:val="nil"/>
              <w:right w:val="nil"/>
            </w:tcBorders>
            <w:shd w:val="clear" w:color="auto" w:fill="auto"/>
            <w:noWrap/>
            <w:vAlign w:val="center"/>
            <w:hideMark/>
          </w:tcPr>
          <w:p w14:paraId="5EF1DB46"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896,1</w:t>
            </w:r>
          </w:p>
        </w:tc>
        <w:tc>
          <w:tcPr>
            <w:tcW w:w="907" w:type="dxa"/>
            <w:tcBorders>
              <w:top w:val="nil"/>
              <w:left w:val="nil"/>
              <w:bottom w:val="nil"/>
              <w:right w:val="nil"/>
            </w:tcBorders>
            <w:shd w:val="clear" w:color="auto" w:fill="auto"/>
            <w:noWrap/>
            <w:vAlign w:val="center"/>
            <w:hideMark/>
          </w:tcPr>
          <w:p w14:paraId="7F7607E8"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907,0</w:t>
            </w:r>
          </w:p>
        </w:tc>
        <w:tc>
          <w:tcPr>
            <w:tcW w:w="907" w:type="dxa"/>
            <w:tcBorders>
              <w:top w:val="nil"/>
              <w:left w:val="nil"/>
              <w:bottom w:val="nil"/>
              <w:right w:val="nil"/>
            </w:tcBorders>
            <w:shd w:val="clear" w:color="auto" w:fill="auto"/>
            <w:noWrap/>
            <w:vAlign w:val="center"/>
            <w:hideMark/>
          </w:tcPr>
          <w:p w14:paraId="6E1A5CAB"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953,3</w:t>
            </w:r>
          </w:p>
        </w:tc>
        <w:tc>
          <w:tcPr>
            <w:tcW w:w="907" w:type="dxa"/>
            <w:tcBorders>
              <w:top w:val="nil"/>
              <w:left w:val="nil"/>
              <w:bottom w:val="nil"/>
              <w:right w:val="nil"/>
            </w:tcBorders>
            <w:shd w:val="clear" w:color="auto" w:fill="auto"/>
            <w:noWrap/>
            <w:vAlign w:val="center"/>
            <w:hideMark/>
          </w:tcPr>
          <w:p w14:paraId="04620309"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917,1</w:t>
            </w:r>
          </w:p>
        </w:tc>
        <w:tc>
          <w:tcPr>
            <w:tcW w:w="907" w:type="dxa"/>
            <w:tcBorders>
              <w:top w:val="nil"/>
              <w:left w:val="nil"/>
              <w:bottom w:val="nil"/>
              <w:right w:val="nil"/>
            </w:tcBorders>
            <w:shd w:val="clear" w:color="auto" w:fill="auto"/>
            <w:noWrap/>
            <w:vAlign w:val="center"/>
            <w:hideMark/>
          </w:tcPr>
          <w:p w14:paraId="3F1B2DF0"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884,2</w:t>
            </w:r>
          </w:p>
        </w:tc>
        <w:tc>
          <w:tcPr>
            <w:tcW w:w="907" w:type="dxa"/>
            <w:tcBorders>
              <w:top w:val="nil"/>
              <w:left w:val="nil"/>
              <w:bottom w:val="nil"/>
              <w:right w:val="nil"/>
            </w:tcBorders>
            <w:shd w:val="clear" w:color="auto" w:fill="auto"/>
            <w:noWrap/>
            <w:vAlign w:val="center"/>
            <w:hideMark/>
          </w:tcPr>
          <w:p w14:paraId="10BE1679" w14:textId="77777777" w:rsidR="00413923" w:rsidRPr="00D92E20" w:rsidRDefault="00413923" w:rsidP="00413923">
            <w:pPr>
              <w:spacing w:after="0" w:line="240" w:lineRule="auto"/>
              <w:jc w:val="right"/>
              <w:rPr>
                <w:rFonts w:cs="Arial"/>
                <w:b/>
                <w:bCs/>
                <w:sz w:val="16"/>
                <w:szCs w:val="16"/>
              </w:rPr>
            </w:pPr>
            <w:r w:rsidRPr="00D92E20">
              <w:rPr>
                <w:rFonts w:cs="Arial"/>
                <w:b/>
                <w:bCs/>
                <w:sz w:val="16"/>
                <w:szCs w:val="16"/>
              </w:rPr>
              <w:t>948,7</w:t>
            </w:r>
          </w:p>
        </w:tc>
      </w:tr>
      <w:tr w:rsidR="00413923" w:rsidRPr="00D92E20" w14:paraId="70E0350C" w14:textId="77777777" w:rsidTr="00413923">
        <w:trPr>
          <w:trHeight w:val="300"/>
        </w:trPr>
        <w:tc>
          <w:tcPr>
            <w:tcW w:w="1417" w:type="dxa"/>
            <w:tcBorders>
              <w:top w:val="nil"/>
              <w:left w:val="nil"/>
              <w:bottom w:val="nil"/>
              <w:right w:val="nil"/>
            </w:tcBorders>
            <w:shd w:val="clear" w:color="auto" w:fill="auto"/>
            <w:noWrap/>
            <w:vAlign w:val="center"/>
            <w:hideMark/>
          </w:tcPr>
          <w:p w14:paraId="7099C1E7"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Dánsko</w:t>
            </w:r>
          </w:p>
        </w:tc>
        <w:tc>
          <w:tcPr>
            <w:tcW w:w="907" w:type="dxa"/>
            <w:tcBorders>
              <w:top w:val="nil"/>
              <w:left w:val="single" w:sz="4" w:space="0" w:color="000000"/>
              <w:bottom w:val="nil"/>
              <w:right w:val="nil"/>
            </w:tcBorders>
            <w:shd w:val="clear" w:color="auto" w:fill="auto"/>
            <w:noWrap/>
            <w:vAlign w:val="center"/>
            <w:hideMark/>
          </w:tcPr>
          <w:p w14:paraId="55B0C0D0" w14:textId="77777777" w:rsidR="00413923" w:rsidRPr="00D92E20" w:rsidRDefault="00413923" w:rsidP="00413923">
            <w:pPr>
              <w:spacing w:after="0" w:line="240" w:lineRule="auto"/>
              <w:jc w:val="right"/>
              <w:rPr>
                <w:rFonts w:cs="Arial"/>
                <w:sz w:val="16"/>
                <w:szCs w:val="16"/>
              </w:rPr>
            </w:pPr>
            <w:r w:rsidRPr="00D92E20">
              <w:rPr>
                <w:rFonts w:cs="Arial"/>
                <w:sz w:val="16"/>
                <w:szCs w:val="16"/>
              </w:rPr>
              <w:t>2 349,0</w:t>
            </w:r>
          </w:p>
        </w:tc>
        <w:tc>
          <w:tcPr>
            <w:tcW w:w="907" w:type="dxa"/>
            <w:tcBorders>
              <w:top w:val="nil"/>
              <w:left w:val="nil"/>
              <w:bottom w:val="nil"/>
              <w:right w:val="nil"/>
            </w:tcBorders>
            <w:shd w:val="clear" w:color="auto" w:fill="auto"/>
            <w:noWrap/>
            <w:vAlign w:val="center"/>
            <w:hideMark/>
          </w:tcPr>
          <w:p w14:paraId="78E1DC2D" w14:textId="77777777" w:rsidR="00413923" w:rsidRPr="00D92E20" w:rsidRDefault="00413923" w:rsidP="00413923">
            <w:pPr>
              <w:spacing w:after="0" w:line="240" w:lineRule="auto"/>
              <w:jc w:val="right"/>
              <w:rPr>
                <w:rFonts w:cs="Arial"/>
                <w:sz w:val="16"/>
                <w:szCs w:val="16"/>
              </w:rPr>
            </w:pPr>
            <w:r w:rsidRPr="00D92E20">
              <w:rPr>
                <w:rFonts w:cs="Arial"/>
                <w:sz w:val="16"/>
                <w:szCs w:val="16"/>
              </w:rPr>
              <w:t>2 239,4</w:t>
            </w:r>
          </w:p>
        </w:tc>
        <w:tc>
          <w:tcPr>
            <w:tcW w:w="907" w:type="dxa"/>
            <w:tcBorders>
              <w:top w:val="nil"/>
              <w:left w:val="nil"/>
              <w:bottom w:val="nil"/>
              <w:right w:val="nil"/>
            </w:tcBorders>
            <w:shd w:val="clear" w:color="auto" w:fill="auto"/>
            <w:noWrap/>
            <w:vAlign w:val="center"/>
            <w:hideMark/>
          </w:tcPr>
          <w:p w14:paraId="0BC8AAC7" w14:textId="77777777" w:rsidR="00413923" w:rsidRPr="00D92E20" w:rsidRDefault="00413923" w:rsidP="00413923">
            <w:pPr>
              <w:spacing w:after="0" w:line="240" w:lineRule="auto"/>
              <w:jc w:val="right"/>
              <w:rPr>
                <w:rFonts w:cs="Arial"/>
                <w:sz w:val="16"/>
                <w:szCs w:val="16"/>
              </w:rPr>
            </w:pPr>
            <w:r w:rsidRPr="00D92E20">
              <w:rPr>
                <w:rFonts w:cs="Arial"/>
                <w:sz w:val="16"/>
                <w:szCs w:val="16"/>
              </w:rPr>
              <w:t>2 177,9</w:t>
            </w:r>
          </w:p>
        </w:tc>
        <w:tc>
          <w:tcPr>
            <w:tcW w:w="907" w:type="dxa"/>
            <w:tcBorders>
              <w:top w:val="nil"/>
              <w:left w:val="nil"/>
              <w:bottom w:val="nil"/>
              <w:right w:val="nil"/>
            </w:tcBorders>
            <w:shd w:val="clear" w:color="auto" w:fill="auto"/>
            <w:noWrap/>
            <w:vAlign w:val="center"/>
            <w:hideMark/>
          </w:tcPr>
          <w:p w14:paraId="2C4C54A8" w14:textId="77777777" w:rsidR="00413923" w:rsidRPr="00D92E20" w:rsidRDefault="00413923" w:rsidP="00413923">
            <w:pPr>
              <w:spacing w:after="0" w:line="240" w:lineRule="auto"/>
              <w:jc w:val="right"/>
              <w:rPr>
                <w:rFonts w:cs="Arial"/>
                <w:sz w:val="16"/>
                <w:szCs w:val="16"/>
              </w:rPr>
            </w:pPr>
            <w:r w:rsidRPr="00D92E20">
              <w:rPr>
                <w:rFonts w:cs="Arial"/>
                <w:sz w:val="16"/>
                <w:szCs w:val="16"/>
              </w:rPr>
              <w:t>2 094,2</w:t>
            </w:r>
          </w:p>
        </w:tc>
        <w:tc>
          <w:tcPr>
            <w:tcW w:w="907" w:type="dxa"/>
            <w:tcBorders>
              <w:top w:val="nil"/>
              <w:left w:val="nil"/>
              <w:bottom w:val="nil"/>
              <w:right w:val="nil"/>
            </w:tcBorders>
            <w:shd w:val="clear" w:color="auto" w:fill="auto"/>
            <w:noWrap/>
            <w:vAlign w:val="center"/>
            <w:hideMark/>
          </w:tcPr>
          <w:p w14:paraId="07588BFF" w14:textId="77777777" w:rsidR="00413923" w:rsidRPr="00D92E20" w:rsidRDefault="00413923" w:rsidP="00413923">
            <w:pPr>
              <w:spacing w:after="0" w:line="240" w:lineRule="auto"/>
              <w:jc w:val="right"/>
              <w:rPr>
                <w:rFonts w:cs="Arial"/>
                <w:sz w:val="16"/>
                <w:szCs w:val="16"/>
              </w:rPr>
            </w:pPr>
            <w:r w:rsidRPr="00D92E20">
              <w:rPr>
                <w:rFonts w:cs="Arial"/>
                <w:sz w:val="16"/>
                <w:szCs w:val="16"/>
              </w:rPr>
              <w:t>1 983,1</w:t>
            </w:r>
          </w:p>
        </w:tc>
        <w:tc>
          <w:tcPr>
            <w:tcW w:w="907" w:type="dxa"/>
            <w:tcBorders>
              <w:top w:val="nil"/>
              <w:left w:val="nil"/>
              <w:bottom w:val="nil"/>
              <w:right w:val="nil"/>
            </w:tcBorders>
            <w:shd w:val="clear" w:color="auto" w:fill="auto"/>
            <w:noWrap/>
            <w:vAlign w:val="center"/>
            <w:hideMark/>
          </w:tcPr>
          <w:p w14:paraId="6AFF7CBE" w14:textId="77777777" w:rsidR="00413923" w:rsidRPr="00D92E20" w:rsidRDefault="00413923" w:rsidP="00413923">
            <w:pPr>
              <w:spacing w:after="0" w:line="240" w:lineRule="auto"/>
              <w:jc w:val="right"/>
              <w:rPr>
                <w:rFonts w:cs="Arial"/>
                <w:sz w:val="16"/>
                <w:szCs w:val="16"/>
              </w:rPr>
            </w:pPr>
            <w:r w:rsidRPr="00D92E20">
              <w:rPr>
                <w:rFonts w:cs="Arial"/>
                <w:sz w:val="16"/>
                <w:szCs w:val="16"/>
              </w:rPr>
              <w:t>1 787,8</w:t>
            </w:r>
          </w:p>
        </w:tc>
        <w:tc>
          <w:tcPr>
            <w:tcW w:w="907" w:type="dxa"/>
            <w:tcBorders>
              <w:top w:val="nil"/>
              <w:left w:val="nil"/>
              <w:bottom w:val="nil"/>
              <w:right w:val="nil"/>
            </w:tcBorders>
            <w:shd w:val="clear" w:color="auto" w:fill="auto"/>
            <w:noWrap/>
            <w:vAlign w:val="center"/>
            <w:hideMark/>
          </w:tcPr>
          <w:p w14:paraId="66616D52" w14:textId="77777777" w:rsidR="00413923" w:rsidRPr="00D92E20" w:rsidRDefault="00413923" w:rsidP="00413923">
            <w:pPr>
              <w:spacing w:after="0" w:line="240" w:lineRule="auto"/>
              <w:jc w:val="right"/>
              <w:rPr>
                <w:rFonts w:cs="Arial"/>
                <w:sz w:val="16"/>
                <w:szCs w:val="16"/>
              </w:rPr>
            </w:pPr>
            <w:r w:rsidRPr="00D92E20">
              <w:rPr>
                <w:rFonts w:cs="Arial"/>
                <w:sz w:val="16"/>
                <w:szCs w:val="16"/>
              </w:rPr>
              <w:t>1 813,0</w:t>
            </w:r>
          </w:p>
        </w:tc>
        <w:tc>
          <w:tcPr>
            <w:tcW w:w="907" w:type="dxa"/>
            <w:tcBorders>
              <w:top w:val="nil"/>
              <w:left w:val="nil"/>
              <w:bottom w:val="nil"/>
              <w:right w:val="nil"/>
            </w:tcBorders>
            <w:shd w:val="clear" w:color="auto" w:fill="auto"/>
            <w:noWrap/>
            <w:vAlign w:val="center"/>
            <w:hideMark/>
          </w:tcPr>
          <w:p w14:paraId="42ABDCFF" w14:textId="77777777" w:rsidR="00413923" w:rsidRPr="00D92E20" w:rsidRDefault="00413923" w:rsidP="00413923">
            <w:pPr>
              <w:spacing w:after="0" w:line="240" w:lineRule="auto"/>
              <w:jc w:val="right"/>
              <w:rPr>
                <w:rFonts w:cs="Arial"/>
                <w:sz w:val="16"/>
                <w:szCs w:val="16"/>
              </w:rPr>
            </w:pPr>
            <w:r w:rsidRPr="00D92E20">
              <w:rPr>
                <w:rFonts w:cs="Arial"/>
                <w:sz w:val="16"/>
                <w:szCs w:val="16"/>
              </w:rPr>
              <w:t>1 614,4</w:t>
            </w:r>
          </w:p>
        </w:tc>
        <w:tc>
          <w:tcPr>
            <w:tcW w:w="907" w:type="dxa"/>
            <w:tcBorders>
              <w:top w:val="nil"/>
              <w:left w:val="nil"/>
              <w:bottom w:val="nil"/>
              <w:right w:val="nil"/>
            </w:tcBorders>
            <w:shd w:val="clear" w:color="auto" w:fill="auto"/>
            <w:noWrap/>
            <w:vAlign w:val="center"/>
            <w:hideMark/>
          </w:tcPr>
          <w:p w14:paraId="564A064A" w14:textId="77777777" w:rsidR="00413923" w:rsidRPr="00D92E20" w:rsidRDefault="00413923" w:rsidP="00413923">
            <w:pPr>
              <w:spacing w:after="0" w:line="240" w:lineRule="auto"/>
              <w:jc w:val="right"/>
              <w:rPr>
                <w:rFonts w:cs="Arial"/>
                <w:sz w:val="16"/>
                <w:szCs w:val="16"/>
              </w:rPr>
            </w:pPr>
            <w:r w:rsidRPr="00D92E20">
              <w:rPr>
                <w:rFonts w:cs="Arial"/>
                <w:sz w:val="16"/>
                <w:szCs w:val="16"/>
              </w:rPr>
              <w:t>1 770,0</w:t>
            </w:r>
          </w:p>
        </w:tc>
      </w:tr>
      <w:tr w:rsidR="00413923" w:rsidRPr="00D92E20" w14:paraId="1B2F67BC" w14:textId="77777777" w:rsidTr="00413923">
        <w:trPr>
          <w:trHeight w:val="300"/>
        </w:trPr>
        <w:tc>
          <w:tcPr>
            <w:tcW w:w="1417" w:type="dxa"/>
            <w:tcBorders>
              <w:top w:val="nil"/>
              <w:left w:val="nil"/>
              <w:bottom w:val="nil"/>
              <w:right w:val="nil"/>
            </w:tcBorders>
            <w:shd w:val="clear" w:color="auto" w:fill="auto"/>
            <w:noWrap/>
            <w:vAlign w:val="center"/>
            <w:hideMark/>
          </w:tcPr>
          <w:p w14:paraId="64600A56"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Estonsko</w:t>
            </w:r>
          </w:p>
        </w:tc>
        <w:tc>
          <w:tcPr>
            <w:tcW w:w="907" w:type="dxa"/>
            <w:tcBorders>
              <w:top w:val="nil"/>
              <w:left w:val="single" w:sz="4" w:space="0" w:color="000000"/>
              <w:bottom w:val="nil"/>
              <w:right w:val="nil"/>
            </w:tcBorders>
            <w:shd w:val="clear" w:color="auto" w:fill="auto"/>
            <w:noWrap/>
            <w:vAlign w:val="center"/>
            <w:hideMark/>
          </w:tcPr>
          <w:p w14:paraId="5379848B" w14:textId="77777777" w:rsidR="00413923" w:rsidRPr="00D92E20" w:rsidRDefault="00413923" w:rsidP="00413923">
            <w:pPr>
              <w:spacing w:after="0" w:line="240" w:lineRule="auto"/>
              <w:jc w:val="right"/>
              <w:rPr>
                <w:rFonts w:cs="Arial"/>
                <w:sz w:val="16"/>
                <w:szCs w:val="16"/>
              </w:rPr>
            </w:pPr>
            <w:r w:rsidRPr="00D92E20">
              <w:rPr>
                <w:rFonts w:cs="Arial"/>
                <w:sz w:val="16"/>
                <w:szCs w:val="16"/>
              </w:rPr>
              <w:t>1 236,2</w:t>
            </w:r>
          </w:p>
        </w:tc>
        <w:tc>
          <w:tcPr>
            <w:tcW w:w="907" w:type="dxa"/>
            <w:tcBorders>
              <w:top w:val="nil"/>
              <w:left w:val="nil"/>
              <w:bottom w:val="nil"/>
              <w:right w:val="nil"/>
            </w:tcBorders>
            <w:shd w:val="clear" w:color="auto" w:fill="auto"/>
            <w:noWrap/>
            <w:vAlign w:val="center"/>
            <w:hideMark/>
          </w:tcPr>
          <w:p w14:paraId="77DEB9A2" w14:textId="77777777" w:rsidR="00413923" w:rsidRPr="00D92E20" w:rsidRDefault="00413923" w:rsidP="00413923">
            <w:pPr>
              <w:spacing w:after="0" w:line="240" w:lineRule="auto"/>
              <w:jc w:val="right"/>
              <w:rPr>
                <w:rFonts w:cs="Arial"/>
                <w:sz w:val="16"/>
                <w:szCs w:val="16"/>
              </w:rPr>
            </w:pPr>
            <w:r w:rsidRPr="00D92E20">
              <w:rPr>
                <w:rFonts w:cs="Arial"/>
                <w:sz w:val="16"/>
                <w:szCs w:val="16"/>
              </w:rPr>
              <w:t>1 076,2</w:t>
            </w:r>
          </w:p>
        </w:tc>
        <w:tc>
          <w:tcPr>
            <w:tcW w:w="907" w:type="dxa"/>
            <w:tcBorders>
              <w:top w:val="nil"/>
              <w:left w:val="nil"/>
              <w:bottom w:val="nil"/>
              <w:right w:val="nil"/>
            </w:tcBorders>
            <w:shd w:val="clear" w:color="auto" w:fill="auto"/>
            <w:noWrap/>
            <w:vAlign w:val="center"/>
            <w:hideMark/>
          </w:tcPr>
          <w:p w14:paraId="368486B2" w14:textId="77777777" w:rsidR="00413923" w:rsidRPr="00D92E20" w:rsidRDefault="00413923" w:rsidP="00413923">
            <w:pPr>
              <w:spacing w:after="0" w:line="240" w:lineRule="auto"/>
              <w:jc w:val="right"/>
              <w:rPr>
                <w:rFonts w:cs="Arial"/>
                <w:sz w:val="16"/>
                <w:szCs w:val="16"/>
              </w:rPr>
            </w:pPr>
            <w:r w:rsidRPr="00D92E20">
              <w:rPr>
                <w:rFonts w:cs="Arial"/>
                <w:sz w:val="16"/>
                <w:szCs w:val="16"/>
              </w:rPr>
              <w:t>1 005,5</w:t>
            </w:r>
          </w:p>
        </w:tc>
        <w:tc>
          <w:tcPr>
            <w:tcW w:w="907" w:type="dxa"/>
            <w:tcBorders>
              <w:top w:val="nil"/>
              <w:left w:val="nil"/>
              <w:bottom w:val="nil"/>
              <w:right w:val="nil"/>
            </w:tcBorders>
            <w:shd w:val="clear" w:color="auto" w:fill="auto"/>
            <w:noWrap/>
            <w:vAlign w:val="center"/>
            <w:hideMark/>
          </w:tcPr>
          <w:p w14:paraId="15302479" w14:textId="77777777" w:rsidR="00413923" w:rsidRPr="00D92E20" w:rsidRDefault="00413923" w:rsidP="00413923">
            <w:pPr>
              <w:spacing w:after="0" w:line="240" w:lineRule="auto"/>
              <w:jc w:val="right"/>
              <w:rPr>
                <w:rFonts w:cs="Arial"/>
                <w:sz w:val="16"/>
                <w:szCs w:val="16"/>
              </w:rPr>
            </w:pPr>
            <w:r w:rsidRPr="00D92E20">
              <w:rPr>
                <w:rFonts w:cs="Arial"/>
                <w:sz w:val="16"/>
                <w:szCs w:val="16"/>
              </w:rPr>
              <w:t>1 095,4</w:t>
            </w:r>
          </w:p>
        </w:tc>
        <w:tc>
          <w:tcPr>
            <w:tcW w:w="907" w:type="dxa"/>
            <w:tcBorders>
              <w:top w:val="nil"/>
              <w:left w:val="nil"/>
              <w:bottom w:val="nil"/>
              <w:right w:val="nil"/>
            </w:tcBorders>
            <w:shd w:val="clear" w:color="auto" w:fill="auto"/>
            <w:noWrap/>
            <w:vAlign w:val="center"/>
            <w:hideMark/>
          </w:tcPr>
          <w:p w14:paraId="72F3E635" w14:textId="77777777" w:rsidR="00413923" w:rsidRPr="00D92E20" w:rsidRDefault="00413923" w:rsidP="00413923">
            <w:pPr>
              <w:spacing w:after="0" w:line="240" w:lineRule="auto"/>
              <w:jc w:val="right"/>
              <w:rPr>
                <w:rFonts w:cs="Arial"/>
                <w:sz w:val="16"/>
                <w:szCs w:val="16"/>
              </w:rPr>
            </w:pPr>
            <w:r w:rsidRPr="00D92E20">
              <w:rPr>
                <w:rFonts w:cs="Arial"/>
                <w:sz w:val="16"/>
                <w:szCs w:val="16"/>
              </w:rPr>
              <w:t>1 137,9</w:t>
            </w:r>
          </w:p>
        </w:tc>
        <w:tc>
          <w:tcPr>
            <w:tcW w:w="907" w:type="dxa"/>
            <w:tcBorders>
              <w:top w:val="nil"/>
              <w:left w:val="nil"/>
              <w:bottom w:val="nil"/>
              <w:right w:val="nil"/>
            </w:tcBorders>
            <w:shd w:val="clear" w:color="auto" w:fill="auto"/>
            <w:noWrap/>
            <w:vAlign w:val="center"/>
            <w:hideMark/>
          </w:tcPr>
          <w:p w14:paraId="11D37E8F" w14:textId="77777777" w:rsidR="00413923" w:rsidRPr="00D92E20" w:rsidRDefault="00413923" w:rsidP="00413923">
            <w:pPr>
              <w:spacing w:after="0" w:line="240" w:lineRule="auto"/>
              <w:jc w:val="right"/>
              <w:rPr>
                <w:rFonts w:cs="Arial"/>
                <w:sz w:val="16"/>
                <w:szCs w:val="16"/>
              </w:rPr>
            </w:pPr>
            <w:r w:rsidRPr="00D92E20">
              <w:rPr>
                <w:rFonts w:cs="Arial"/>
                <w:sz w:val="16"/>
                <w:szCs w:val="16"/>
              </w:rPr>
              <w:t>1 204,4</w:t>
            </w:r>
          </w:p>
        </w:tc>
        <w:tc>
          <w:tcPr>
            <w:tcW w:w="907" w:type="dxa"/>
            <w:tcBorders>
              <w:top w:val="nil"/>
              <w:left w:val="nil"/>
              <w:bottom w:val="nil"/>
              <w:right w:val="nil"/>
            </w:tcBorders>
            <w:shd w:val="clear" w:color="auto" w:fill="auto"/>
            <w:noWrap/>
            <w:vAlign w:val="center"/>
            <w:hideMark/>
          </w:tcPr>
          <w:p w14:paraId="79AAFECD" w14:textId="77777777" w:rsidR="00413923" w:rsidRPr="00D92E20" w:rsidRDefault="00413923" w:rsidP="00413923">
            <w:pPr>
              <w:spacing w:after="0" w:line="240" w:lineRule="auto"/>
              <w:jc w:val="right"/>
              <w:rPr>
                <w:rFonts w:cs="Arial"/>
                <w:sz w:val="16"/>
                <w:szCs w:val="16"/>
              </w:rPr>
            </w:pPr>
            <w:r w:rsidRPr="00D92E20">
              <w:rPr>
                <w:rFonts w:cs="Arial"/>
                <w:sz w:val="16"/>
                <w:szCs w:val="16"/>
              </w:rPr>
              <w:t>1 210,4</w:t>
            </w:r>
          </w:p>
        </w:tc>
        <w:tc>
          <w:tcPr>
            <w:tcW w:w="907" w:type="dxa"/>
            <w:tcBorders>
              <w:top w:val="nil"/>
              <w:left w:val="nil"/>
              <w:bottom w:val="nil"/>
              <w:right w:val="nil"/>
            </w:tcBorders>
            <w:shd w:val="clear" w:color="auto" w:fill="auto"/>
            <w:noWrap/>
            <w:vAlign w:val="center"/>
            <w:hideMark/>
          </w:tcPr>
          <w:p w14:paraId="2FFDE9EC" w14:textId="77777777" w:rsidR="00413923" w:rsidRPr="00D92E20" w:rsidRDefault="00413923" w:rsidP="00413923">
            <w:pPr>
              <w:spacing w:after="0" w:line="240" w:lineRule="auto"/>
              <w:jc w:val="right"/>
              <w:rPr>
                <w:rFonts w:cs="Arial"/>
                <w:sz w:val="16"/>
                <w:szCs w:val="16"/>
              </w:rPr>
            </w:pPr>
            <w:r w:rsidRPr="00D92E20">
              <w:rPr>
                <w:rFonts w:cs="Arial"/>
                <w:sz w:val="16"/>
                <w:szCs w:val="16"/>
              </w:rPr>
              <w:t>1 050,6</w:t>
            </w:r>
          </w:p>
        </w:tc>
        <w:tc>
          <w:tcPr>
            <w:tcW w:w="907" w:type="dxa"/>
            <w:tcBorders>
              <w:top w:val="nil"/>
              <w:left w:val="nil"/>
              <w:bottom w:val="nil"/>
              <w:right w:val="nil"/>
            </w:tcBorders>
            <w:shd w:val="clear" w:color="auto" w:fill="auto"/>
            <w:noWrap/>
            <w:vAlign w:val="center"/>
            <w:hideMark/>
          </w:tcPr>
          <w:p w14:paraId="3B03C87E" w14:textId="77777777" w:rsidR="00413923" w:rsidRPr="00D92E20" w:rsidRDefault="00413923" w:rsidP="00413923">
            <w:pPr>
              <w:spacing w:after="0" w:line="240" w:lineRule="auto"/>
              <w:jc w:val="right"/>
              <w:rPr>
                <w:rFonts w:cs="Arial"/>
                <w:sz w:val="16"/>
                <w:szCs w:val="16"/>
              </w:rPr>
            </w:pPr>
            <w:r w:rsidRPr="00D92E20">
              <w:rPr>
                <w:rFonts w:cs="Arial"/>
                <w:sz w:val="16"/>
                <w:szCs w:val="16"/>
              </w:rPr>
              <w:t>1 033,1</w:t>
            </w:r>
          </w:p>
        </w:tc>
      </w:tr>
      <w:tr w:rsidR="00413923" w:rsidRPr="00D92E20" w14:paraId="4043487E" w14:textId="77777777" w:rsidTr="00413923">
        <w:trPr>
          <w:trHeight w:val="300"/>
        </w:trPr>
        <w:tc>
          <w:tcPr>
            <w:tcW w:w="1417" w:type="dxa"/>
            <w:tcBorders>
              <w:top w:val="nil"/>
              <w:left w:val="nil"/>
              <w:bottom w:val="nil"/>
              <w:right w:val="nil"/>
            </w:tcBorders>
            <w:shd w:val="clear" w:color="auto" w:fill="auto"/>
            <w:noWrap/>
            <w:vAlign w:val="center"/>
            <w:hideMark/>
          </w:tcPr>
          <w:p w14:paraId="04AB6899"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Finsko</w:t>
            </w:r>
          </w:p>
        </w:tc>
        <w:tc>
          <w:tcPr>
            <w:tcW w:w="907" w:type="dxa"/>
            <w:tcBorders>
              <w:top w:val="nil"/>
              <w:left w:val="single" w:sz="4" w:space="0" w:color="000000"/>
              <w:bottom w:val="nil"/>
              <w:right w:val="nil"/>
            </w:tcBorders>
            <w:shd w:val="clear" w:color="auto" w:fill="auto"/>
            <w:noWrap/>
            <w:vAlign w:val="center"/>
            <w:hideMark/>
          </w:tcPr>
          <w:p w14:paraId="3ED86C21" w14:textId="77777777" w:rsidR="00413923" w:rsidRPr="00D92E20" w:rsidRDefault="00413923" w:rsidP="00413923">
            <w:pPr>
              <w:spacing w:after="0" w:line="240" w:lineRule="auto"/>
              <w:jc w:val="right"/>
              <w:rPr>
                <w:rFonts w:cs="Arial"/>
                <w:sz w:val="16"/>
                <w:szCs w:val="16"/>
              </w:rPr>
            </w:pPr>
            <w:r w:rsidRPr="00D92E20">
              <w:rPr>
                <w:rFonts w:cs="Arial"/>
                <w:sz w:val="16"/>
                <w:szCs w:val="16"/>
              </w:rPr>
              <w:t>2 143,9</w:t>
            </w:r>
          </w:p>
        </w:tc>
        <w:tc>
          <w:tcPr>
            <w:tcW w:w="907" w:type="dxa"/>
            <w:tcBorders>
              <w:top w:val="nil"/>
              <w:left w:val="nil"/>
              <w:bottom w:val="nil"/>
              <w:right w:val="nil"/>
            </w:tcBorders>
            <w:shd w:val="clear" w:color="auto" w:fill="auto"/>
            <w:noWrap/>
            <w:vAlign w:val="center"/>
            <w:hideMark/>
          </w:tcPr>
          <w:p w14:paraId="0FB910D2" w14:textId="77777777" w:rsidR="00413923" w:rsidRPr="00D92E20" w:rsidRDefault="00413923" w:rsidP="00413923">
            <w:pPr>
              <w:spacing w:after="0" w:line="240" w:lineRule="auto"/>
              <w:jc w:val="right"/>
              <w:rPr>
                <w:rFonts w:cs="Arial"/>
                <w:sz w:val="16"/>
                <w:szCs w:val="16"/>
              </w:rPr>
            </w:pPr>
            <w:r w:rsidRPr="00D92E20">
              <w:rPr>
                <w:rFonts w:cs="Arial"/>
                <w:sz w:val="16"/>
                <w:szCs w:val="16"/>
              </w:rPr>
              <w:t>2 481,0</w:t>
            </w:r>
          </w:p>
        </w:tc>
        <w:tc>
          <w:tcPr>
            <w:tcW w:w="907" w:type="dxa"/>
            <w:tcBorders>
              <w:top w:val="nil"/>
              <w:left w:val="nil"/>
              <w:bottom w:val="nil"/>
              <w:right w:val="nil"/>
            </w:tcBorders>
            <w:shd w:val="clear" w:color="auto" w:fill="auto"/>
            <w:noWrap/>
            <w:vAlign w:val="center"/>
            <w:hideMark/>
          </w:tcPr>
          <w:p w14:paraId="49C7122B" w14:textId="77777777" w:rsidR="00413923" w:rsidRPr="00D92E20" w:rsidRDefault="00413923" w:rsidP="00413923">
            <w:pPr>
              <w:spacing w:after="0" w:line="240" w:lineRule="auto"/>
              <w:jc w:val="right"/>
              <w:rPr>
                <w:rFonts w:cs="Arial"/>
                <w:sz w:val="16"/>
                <w:szCs w:val="16"/>
              </w:rPr>
            </w:pPr>
            <w:r w:rsidRPr="00D92E20">
              <w:rPr>
                <w:rFonts w:cs="Arial"/>
                <w:sz w:val="16"/>
                <w:szCs w:val="16"/>
              </w:rPr>
              <w:t>2 166,1</w:t>
            </w:r>
          </w:p>
        </w:tc>
        <w:tc>
          <w:tcPr>
            <w:tcW w:w="907" w:type="dxa"/>
            <w:tcBorders>
              <w:top w:val="nil"/>
              <w:left w:val="nil"/>
              <w:bottom w:val="nil"/>
              <w:right w:val="nil"/>
            </w:tcBorders>
            <w:shd w:val="clear" w:color="auto" w:fill="auto"/>
            <w:noWrap/>
            <w:vAlign w:val="center"/>
            <w:hideMark/>
          </w:tcPr>
          <w:p w14:paraId="7510D934" w14:textId="77777777" w:rsidR="00413923" w:rsidRPr="00D92E20" w:rsidRDefault="00413923" w:rsidP="00413923">
            <w:pPr>
              <w:spacing w:after="0" w:line="240" w:lineRule="auto"/>
              <w:jc w:val="right"/>
              <w:rPr>
                <w:rFonts w:cs="Arial"/>
                <w:sz w:val="16"/>
                <w:szCs w:val="16"/>
              </w:rPr>
            </w:pPr>
            <w:r w:rsidRPr="00D92E20">
              <w:rPr>
                <w:rFonts w:cs="Arial"/>
                <w:sz w:val="16"/>
                <w:szCs w:val="16"/>
              </w:rPr>
              <w:t>2 229,8</w:t>
            </w:r>
          </w:p>
        </w:tc>
        <w:tc>
          <w:tcPr>
            <w:tcW w:w="907" w:type="dxa"/>
            <w:tcBorders>
              <w:top w:val="nil"/>
              <w:left w:val="nil"/>
              <w:bottom w:val="nil"/>
              <w:right w:val="nil"/>
            </w:tcBorders>
            <w:shd w:val="clear" w:color="auto" w:fill="auto"/>
            <w:noWrap/>
            <w:vAlign w:val="center"/>
            <w:hideMark/>
          </w:tcPr>
          <w:p w14:paraId="22699B13" w14:textId="77777777" w:rsidR="00413923" w:rsidRPr="00D92E20" w:rsidRDefault="00413923" w:rsidP="00413923">
            <w:pPr>
              <w:spacing w:after="0" w:line="240" w:lineRule="auto"/>
              <w:jc w:val="right"/>
              <w:rPr>
                <w:rFonts w:cs="Arial"/>
                <w:sz w:val="16"/>
                <w:szCs w:val="16"/>
              </w:rPr>
            </w:pPr>
            <w:r w:rsidRPr="00D92E20">
              <w:rPr>
                <w:rFonts w:cs="Arial"/>
                <w:sz w:val="16"/>
                <w:szCs w:val="16"/>
              </w:rPr>
              <w:t>2 083,2</w:t>
            </w:r>
          </w:p>
        </w:tc>
        <w:tc>
          <w:tcPr>
            <w:tcW w:w="907" w:type="dxa"/>
            <w:tcBorders>
              <w:top w:val="nil"/>
              <w:left w:val="nil"/>
              <w:bottom w:val="nil"/>
              <w:right w:val="nil"/>
            </w:tcBorders>
            <w:shd w:val="clear" w:color="auto" w:fill="auto"/>
            <w:noWrap/>
            <w:vAlign w:val="center"/>
            <w:hideMark/>
          </w:tcPr>
          <w:p w14:paraId="486EF30E" w14:textId="77777777" w:rsidR="00413923" w:rsidRPr="00D92E20" w:rsidRDefault="00413923" w:rsidP="00413923">
            <w:pPr>
              <w:spacing w:after="0" w:line="240" w:lineRule="auto"/>
              <w:jc w:val="right"/>
              <w:rPr>
                <w:rFonts w:cs="Arial"/>
                <w:sz w:val="16"/>
                <w:szCs w:val="16"/>
              </w:rPr>
            </w:pPr>
            <w:r w:rsidRPr="00D92E20">
              <w:rPr>
                <w:rFonts w:cs="Arial"/>
                <w:sz w:val="16"/>
                <w:szCs w:val="16"/>
              </w:rPr>
              <w:t>1 963,9</w:t>
            </w:r>
          </w:p>
        </w:tc>
        <w:tc>
          <w:tcPr>
            <w:tcW w:w="907" w:type="dxa"/>
            <w:tcBorders>
              <w:top w:val="nil"/>
              <w:left w:val="nil"/>
              <w:bottom w:val="nil"/>
              <w:right w:val="nil"/>
            </w:tcBorders>
            <w:shd w:val="clear" w:color="auto" w:fill="auto"/>
            <w:noWrap/>
            <w:vAlign w:val="center"/>
            <w:hideMark/>
          </w:tcPr>
          <w:p w14:paraId="636F410B" w14:textId="77777777" w:rsidR="00413923" w:rsidRPr="00D92E20" w:rsidRDefault="00413923" w:rsidP="00413923">
            <w:pPr>
              <w:spacing w:after="0" w:line="240" w:lineRule="auto"/>
              <w:jc w:val="right"/>
              <w:rPr>
                <w:rFonts w:cs="Arial"/>
                <w:sz w:val="16"/>
                <w:szCs w:val="16"/>
              </w:rPr>
            </w:pPr>
            <w:r w:rsidRPr="00D92E20">
              <w:rPr>
                <w:rFonts w:cs="Arial"/>
                <w:sz w:val="16"/>
                <w:szCs w:val="16"/>
              </w:rPr>
              <w:t>1 860,2</w:t>
            </w:r>
          </w:p>
        </w:tc>
        <w:tc>
          <w:tcPr>
            <w:tcW w:w="907" w:type="dxa"/>
            <w:tcBorders>
              <w:top w:val="nil"/>
              <w:left w:val="nil"/>
              <w:bottom w:val="nil"/>
              <w:right w:val="nil"/>
            </w:tcBorders>
            <w:shd w:val="clear" w:color="auto" w:fill="auto"/>
            <w:noWrap/>
            <w:vAlign w:val="center"/>
            <w:hideMark/>
          </w:tcPr>
          <w:p w14:paraId="3E1F1E7C" w14:textId="77777777" w:rsidR="00413923" w:rsidRPr="00D92E20" w:rsidRDefault="00413923" w:rsidP="00413923">
            <w:pPr>
              <w:spacing w:after="0" w:line="240" w:lineRule="auto"/>
              <w:jc w:val="right"/>
              <w:rPr>
                <w:rFonts w:cs="Arial"/>
                <w:sz w:val="16"/>
                <w:szCs w:val="16"/>
              </w:rPr>
            </w:pPr>
            <w:r w:rsidRPr="00D92E20">
              <w:rPr>
                <w:rFonts w:cs="Arial"/>
                <w:sz w:val="16"/>
                <w:szCs w:val="16"/>
              </w:rPr>
              <w:t>1 906,2</w:t>
            </w:r>
          </w:p>
        </w:tc>
        <w:tc>
          <w:tcPr>
            <w:tcW w:w="907" w:type="dxa"/>
            <w:tcBorders>
              <w:top w:val="nil"/>
              <w:left w:val="nil"/>
              <w:bottom w:val="nil"/>
              <w:right w:val="nil"/>
            </w:tcBorders>
            <w:shd w:val="clear" w:color="auto" w:fill="auto"/>
            <w:noWrap/>
            <w:vAlign w:val="center"/>
            <w:hideMark/>
          </w:tcPr>
          <w:p w14:paraId="4AE14C92" w14:textId="77777777" w:rsidR="00413923" w:rsidRPr="00D92E20" w:rsidRDefault="00413923" w:rsidP="00413923">
            <w:pPr>
              <w:spacing w:after="0" w:line="240" w:lineRule="auto"/>
              <w:jc w:val="right"/>
              <w:rPr>
                <w:rFonts w:cs="Arial"/>
                <w:sz w:val="16"/>
                <w:szCs w:val="16"/>
              </w:rPr>
            </w:pPr>
            <w:r w:rsidRPr="00D92E20">
              <w:rPr>
                <w:rFonts w:cs="Arial"/>
                <w:sz w:val="16"/>
                <w:szCs w:val="16"/>
              </w:rPr>
              <w:t>1 892,1</w:t>
            </w:r>
          </w:p>
        </w:tc>
      </w:tr>
      <w:tr w:rsidR="00413923" w:rsidRPr="00D92E20" w14:paraId="13DCEDC1" w14:textId="77777777" w:rsidTr="00413923">
        <w:trPr>
          <w:trHeight w:val="300"/>
        </w:trPr>
        <w:tc>
          <w:tcPr>
            <w:tcW w:w="1417" w:type="dxa"/>
            <w:tcBorders>
              <w:top w:val="nil"/>
              <w:left w:val="nil"/>
              <w:bottom w:val="nil"/>
              <w:right w:val="nil"/>
            </w:tcBorders>
            <w:shd w:val="clear" w:color="auto" w:fill="auto"/>
            <w:noWrap/>
            <w:vAlign w:val="center"/>
            <w:hideMark/>
          </w:tcPr>
          <w:p w14:paraId="7040E03D"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Francie</w:t>
            </w:r>
          </w:p>
        </w:tc>
        <w:tc>
          <w:tcPr>
            <w:tcW w:w="907" w:type="dxa"/>
            <w:tcBorders>
              <w:top w:val="nil"/>
              <w:left w:val="single" w:sz="4" w:space="0" w:color="000000"/>
              <w:bottom w:val="nil"/>
              <w:right w:val="nil"/>
            </w:tcBorders>
            <w:shd w:val="clear" w:color="auto" w:fill="auto"/>
            <w:noWrap/>
            <w:vAlign w:val="center"/>
            <w:hideMark/>
          </w:tcPr>
          <w:p w14:paraId="03E77588" w14:textId="77777777" w:rsidR="00413923" w:rsidRPr="00D92E20" w:rsidRDefault="00413923" w:rsidP="00413923">
            <w:pPr>
              <w:spacing w:after="0" w:line="240" w:lineRule="auto"/>
              <w:jc w:val="right"/>
              <w:rPr>
                <w:rFonts w:cs="Arial"/>
                <w:sz w:val="16"/>
                <w:szCs w:val="16"/>
              </w:rPr>
            </w:pPr>
            <w:r w:rsidRPr="00D92E20">
              <w:rPr>
                <w:rFonts w:cs="Arial"/>
                <w:sz w:val="16"/>
                <w:szCs w:val="16"/>
              </w:rPr>
              <w:t>3 278,7</w:t>
            </w:r>
          </w:p>
        </w:tc>
        <w:tc>
          <w:tcPr>
            <w:tcW w:w="907" w:type="dxa"/>
            <w:tcBorders>
              <w:top w:val="nil"/>
              <w:left w:val="nil"/>
              <w:bottom w:val="nil"/>
              <w:right w:val="nil"/>
            </w:tcBorders>
            <w:shd w:val="clear" w:color="auto" w:fill="auto"/>
            <w:noWrap/>
            <w:vAlign w:val="center"/>
            <w:hideMark/>
          </w:tcPr>
          <w:p w14:paraId="61948F23" w14:textId="77777777" w:rsidR="00413923" w:rsidRPr="00D92E20" w:rsidRDefault="00413923" w:rsidP="00413923">
            <w:pPr>
              <w:spacing w:after="0" w:line="240" w:lineRule="auto"/>
              <w:jc w:val="right"/>
              <w:rPr>
                <w:rFonts w:cs="Arial"/>
                <w:sz w:val="16"/>
                <w:szCs w:val="16"/>
              </w:rPr>
            </w:pPr>
            <w:r w:rsidRPr="00D92E20">
              <w:rPr>
                <w:rFonts w:cs="Arial"/>
                <w:sz w:val="16"/>
                <w:szCs w:val="16"/>
              </w:rPr>
              <w:t>4 579,0</w:t>
            </w:r>
          </w:p>
        </w:tc>
        <w:tc>
          <w:tcPr>
            <w:tcW w:w="907" w:type="dxa"/>
            <w:tcBorders>
              <w:top w:val="nil"/>
              <w:left w:val="nil"/>
              <w:bottom w:val="nil"/>
              <w:right w:val="nil"/>
            </w:tcBorders>
            <w:shd w:val="clear" w:color="auto" w:fill="auto"/>
            <w:noWrap/>
            <w:vAlign w:val="center"/>
            <w:hideMark/>
          </w:tcPr>
          <w:p w14:paraId="1B441C6A" w14:textId="77777777" w:rsidR="00413923" w:rsidRPr="00D92E20" w:rsidRDefault="00413923" w:rsidP="00413923">
            <w:pPr>
              <w:spacing w:after="0" w:line="240" w:lineRule="auto"/>
              <w:jc w:val="right"/>
              <w:rPr>
                <w:rFonts w:cs="Arial"/>
                <w:sz w:val="16"/>
                <w:szCs w:val="16"/>
              </w:rPr>
            </w:pPr>
            <w:r w:rsidRPr="00D92E20">
              <w:rPr>
                <w:rFonts w:cs="Arial"/>
                <w:sz w:val="16"/>
                <w:szCs w:val="16"/>
              </w:rPr>
              <w:t>3 047,9</w:t>
            </w:r>
          </w:p>
        </w:tc>
        <w:tc>
          <w:tcPr>
            <w:tcW w:w="907" w:type="dxa"/>
            <w:tcBorders>
              <w:top w:val="nil"/>
              <w:left w:val="nil"/>
              <w:bottom w:val="nil"/>
              <w:right w:val="nil"/>
            </w:tcBorders>
            <w:shd w:val="clear" w:color="auto" w:fill="auto"/>
            <w:noWrap/>
            <w:vAlign w:val="center"/>
            <w:hideMark/>
          </w:tcPr>
          <w:p w14:paraId="1F02DB29" w14:textId="77777777" w:rsidR="00413923" w:rsidRPr="00D92E20" w:rsidRDefault="00413923" w:rsidP="00413923">
            <w:pPr>
              <w:spacing w:after="0" w:line="240" w:lineRule="auto"/>
              <w:jc w:val="right"/>
              <w:rPr>
                <w:rFonts w:cs="Arial"/>
                <w:sz w:val="16"/>
                <w:szCs w:val="16"/>
              </w:rPr>
            </w:pPr>
            <w:r w:rsidRPr="00D92E20">
              <w:rPr>
                <w:rFonts w:cs="Arial"/>
                <w:sz w:val="16"/>
                <w:szCs w:val="16"/>
              </w:rPr>
              <w:t>3 163,5</w:t>
            </w:r>
          </w:p>
        </w:tc>
        <w:tc>
          <w:tcPr>
            <w:tcW w:w="907" w:type="dxa"/>
            <w:tcBorders>
              <w:top w:val="nil"/>
              <w:left w:val="nil"/>
              <w:bottom w:val="nil"/>
              <w:right w:val="nil"/>
            </w:tcBorders>
            <w:shd w:val="clear" w:color="000000" w:fill="D9D9D9"/>
            <w:noWrap/>
            <w:vAlign w:val="center"/>
            <w:hideMark/>
          </w:tcPr>
          <w:p w14:paraId="4B9E86C4" w14:textId="77777777" w:rsidR="00413923" w:rsidRPr="00D92E20" w:rsidRDefault="00413923" w:rsidP="00413923">
            <w:pPr>
              <w:spacing w:after="0" w:line="240" w:lineRule="auto"/>
              <w:jc w:val="right"/>
              <w:rPr>
                <w:rFonts w:cs="Arial"/>
                <w:sz w:val="16"/>
                <w:szCs w:val="16"/>
              </w:rPr>
            </w:pPr>
            <w:r w:rsidRPr="00D92E20">
              <w:rPr>
                <w:rFonts w:cs="Arial"/>
                <w:sz w:val="16"/>
                <w:szCs w:val="16"/>
              </w:rPr>
              <w:t>3 385,7</w:t>
            </w:r>
          </w:p>
        </w:tc>
        <w:tc>
          <w:tcPr>
            <w:tcW w:w="907" w:type="dxa"/>
            <w:tcBorders>
              <w:top w:val="nil"/>
              <w:left w:val="nil"/>
              <w:bottom w:val="nil"/>
              <w:right w:val="nil"/>
            </w:tcBorders>
            <w:shd w:val="clear" w:color="auto" w:fill="auto"/>
            <w:noWrap/>
            <w:vAlign w:val="center"/>
            <w:hideMark/>
          </w:tcPr>
          <w:p w14:paraId="1BA4E300" w14:textId="77777777" w:rsidR="00413923" w:rsidRPr="00D92E20" w:rsidRDefault="00413923" w:rsidP="00413923">
            <w:pPr>
              <w:spacing w:after="0" w:line="240" w:lineRule="auto"/>
              <w:jc w:val="right"/>
              <w:rPr>
                <w:rFonts w:cs="Arial"/>
                <w:sz w:val="16"/>
                <w:szCs w:val="16"/>
              </w:rPr>
            </w:pPr>
            <w:r w:rsidRPr="00D92E20">
              <w:rPr>
                <w:rFonts w:cs="Arial"/>
                <w:sz w:val="16"/>
                <w:szCs w:val="16"/>
              </w:rPr>
              <w:t>3 490,1</w:t>
            </w:r>
          </w:p>
        </w:tc>
        <w:tc>
          <w:tcPr>
            <w:tcW w:w="907" w:type="dxa"/>
            <w:tcBorders>
              <w:top w:val="nil"/>
              <w:left w:val="nil"/>
              <w:bottom w:val="nil"/>
              <w:right w:val="nil"/>
            </w:tcBorders>
            <w:shd w:val="clear" w:color="auto" w:fill="auto"/>
            <w:noWrap/>
            <w:vAlign w:val="center"/>
            <w:hideMark/>
          </w:tcPr>
          <w:p w14:paraId="1FA529A7" w14:textId="77777777" w:rsidR="00413923" w:rsidRPr="00D92E20" w:rsidRDefault="00413923" w:rsidP="00413923">
            <w:pPr>
              <w:spacing w:after="0" w:line="240" w:lineRule="auto"/>
              <w:jc w:val="right"/>
              <w:rPr>
                <w:rFonts w:cs="Arial"/>
                <w:sz w:val="16"/>
                <w:szCs w:val="16"/>
              </w:rPr>
            </w:pPr>
            <w:r w:rsidRPr="00D92E20">
              <w:rPr>
                <w:rFonts w:cs="Arial"/>
                <w:sz w:val="16"/>
                <w:szCs w:val="16"/>
              </w:rPr>
              <w:t>3 409,2</w:t>
            </w:r>
          </w:p>
        </w:tc>
        <w:tc>
          <w:tcPr>
            <w:tcW w:w="907" w:type="dxa"/>
            <w:tcBorders>
              <w:top w:val="nil"/>
              <w:left w:val="nil"/>
              <w:bottom w:val="nil"/>
              <w:right w:val="nil"/>
            </w:tcBorders>
            <w:shd w:val="clear" w:color="000000" w:fill="D9D9D9"/>
            <w:noWrap/>
            <w:vAlign w:val="center"/>
            <w:hideMark/>
          </w:tcPr>
          <w:p w14:paraId="1E3BBD6B" w14:textId="77777777" w:rsidR="00413923" w:rsidRPr="00D92E20" w:rsidRDefault="00413923" w:rsidP="00413923">
            <w:pPr>
              <w:spacing w:after="0" w:line="240" w:lineRule="auto"/>
              <w:jc w:val="right"/>
              <w:rPr>
                <w:rFonts w:cs="Arial"/>
                <w:sz w:val="16"/>
                <w:szCs w:val="16"/>
              </w:rPr>
            </w:pPr>
            <w:r w:rsidRPr="00D92E20">
              <w:rPr>
                <w:rFonts w:cs="Arial"/>
                <w:sz w:val="16"/>
                <w:szCs w:val="16"/>
              </w:rPr>
              <w:t>3 307,1</w:t>
            </w:r>
          </w:p>
        </w:tc>
        <w:tc>
          <w:tcPr>
            <w:tcW w:w="907" w:type="dxa"/>
            <w:tcBorders>
              <w:top w:val="nil"/>
              <w:left w:val="nil"/>
              <w:bottom w:val="nil"/>
              <w:right w:val="nil"/>
            </w:tcBorders>
            <w:shd w:val="clear" w:color="auto" w:fill="auto"/>
            <w:noWrap/>
            <w:vAlign w:val="center"/>
            <w:hideMark/>
          </w:tcPr>
          <w:p w14:paraId="74DE6BDD" w14:textId="77777777" w:rsidR="00413923" w:rsidRPr="00D92E20" w:rsidRDefault="00413923" w:rsidP="00413923">
            <w:pPr>
              <w:spacing w:after="0" w:line="240" w:lineRule="auto"/>
              <w:jc w:val="right"/>
              <w:rPr>
                <w:rFonts w:cs="Arial"/>
                <w:sz w:val="16"/>
                <w:szCs w:val="16"/>
              </w:rPr>
            </w:pPr>
            <w:r w:rsidRPr="00D92E20">
              <w:rPr>
                <w:rFonts w:cs="Arial"/>
                <w:sz w:val="16"/>
                <w:szCs w:val="16"/>
              </w:rPr>
              <w:t>3 421,2</w:t>
            </w:r>
          </w:p>
        </w:tc>
      </w:tr>
      <w:tr w:rsidR="00413923" w:rsidRPr="00D92E20" w14:paraId="462654B4" w14:textId="77777777" w:rsidTr="00413923">
        <w:trPr>
          <w:trHeight w:val="300"/>
        </w:trPr>
        <w:tc>
          <w:tcPr>
            <w:tcW w:w="1417" w:type="dxa"/>
            <w:tcBorders>
              <w:top w:val="nil"/>
              <w:left w:val="nil"/>
              <w:bottom w:val="nil"/>
              <w:right w:val="nil"/>
            </w:tcBorders>
            <w:shd w:val="clear" w:color="auto" w:fill="auto"/>
            <w:noWrap/>
            <w:vAlign w:val="center"/>
            <w:hideMark/>
          </w:tcPr>
          <w:p w14:paraId="1D99D151"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Chorvatsko</w:t>
            </w:r>
          </w:p>
        </w:tc>
        <w:tc>
          <w:tcPr>
            <w:tcW w:w="907" w:type="dxa"/>
            <w:tcBorders>
              <w:top w:val="nil"/>
              <w:left w:val="single" w:sz="4" w:space="0" w:color="000000"/>
              <w:bottom w:val="nil"/>
              <w:right w:val="nil"/>
            </w:tcBorders>
            <w:shd w:val="clear" w:color="auto" w:fill="auto"/>
            <w:noWrap/>
            <w:vAlign w:val="center"/>
            <w:hideMark/>
          </w:tcPr>
          <w:p w14:paraId="30FFDFDA" w14:textId="77777777" w:rsidR="00413923" w:rsidRPr="00D92E20" w:rsidRDefault="00413923" w:rsidP="00413923">
            <w:pPr>
              <w:spacing w:after="0" w:line="240" w:lineRule="auto"/>
              <w:jc w:val="right"/>
              <w:rPr>
                <w:rFonts w:cs="Arial"/>
                <w:sz w:val="16"/>
                <w:szCs w:val="16"/>
              </w:rPr>
            </w:pPr>
            <w:r w:rsidRPr="00D92E20">
              <w:rPr>
                <w:rFonts w:cs="Arial"/>
                <w:sz w:val="16"/>
                <w:szCs w:val="16"/>
              </w:rPr>
              <w:t>853,1</w:t>
            </w:r>
          </w:p>
        </w:tc>
        <w:tc>
          <w:tcPr>
            <w:tcW w:w="907" w:type="dxa"/>
            <w:tcBorders>
              <w:top w:val="nil"/>
              <w:left w:val="nil"/>
              <w:bottom w:val="nil"/>
              <w:right w:val="nil"/>
            </w:tcBorders>
            <w:shd w:val="clear" w:color="auto" w:fill="auto"/>
            <w:noWrap/>
            <w:vAlign w:val="center"/>
            <w:hideMark/>
          </w:tcPr>
          <w:p w14:paraId="633B7659" w14:textId="77777777" w:rsidR="00413923" w:rsidRPr="00D92E20" w:rsidRDefault="00413923" w:rsidP="00413923">
            <w:pPr>
              <w:spacing w:after="0" w:line="240" w:lineRule="auto"/>
              <w:jc w:val="right"/>
              <w:rPr>
                <w:rFonts w:cs="Arial"/>
                <w:sz w:val="16"/>
                <w:szCs w:val="16"/>
              </w:rPr>
            </w:pPr>
            <w:r w:rsidRPr="00D92E20">
              <w:rPr>
                <w:rFonts w:cs="Arial"/>
                <w:sz w:val="16"/>
                <w:szCs w:val="16"/>
              </w:rPr>
              <w:t>1 012,4</w:t>
            </w:r>
          </w:p>
        </w:tc>
        <w:tc>
          <w:tcPr>
            <w:tcW w:w="907" w:type="dxa"/>
            <w:tcBorders>
              <w:top w:val="nil"/>
              <w:left w:val="nil"/>
              <w:bottom w:val="nil"/>
              <w:right w:val="nil"/>
            </w:tcBorders>
            <w:shd w:val="clear" w:color="auto" w:fill="auto"/>
            <w:noWrap/>
            <w:vAlign w:val="center"/>
            <w:hideMark/>
          </w:tcPr>
          <w:p w14:paraId="7B383176" w14:textId="77777777" w:rsidR="00413923" w:rsidRPr="00D92E20" w:rsidRDefault="00413923" w:rsidP="00413923">
            <w:pPr>
              <w:spacing w:after="0" w:line="240" w:lineRule="auto"/>
              <w:jc w:val="right"/>
              <w:rPr>
                <w:rFonts w:cs="Arial"/>
                <w:sz w:val="16"/>
                <w:szCs w:val="16"/>
              </w:rPr>
            </w:pPr>
            <w:r w:rsidRPr="00D92E20">
              <w:rPr>
                <w:rFonts w:cs="Arial"/>
                <w:sz w:val="16"/>
                <w:szCs w:val="16"/>
              </w:rPr>
              <w:t>835,9</w:t>
            </w:r>
          </w:p>
        </w:tc>
        <w:tc>
          <w:tcPr>
            <w:tcW w:w="907" w:type="dxa"/>
            <w:tcBorders>
              <w:top w:val="nil"/>
              <w:left w:val="nil"/>
              <w:bottom w:val="nil"/>
              <w:right w:val="nil"/>
            </w:tcBorders>
            <w:shd w:val="clear" w:color="auto" w:fill="auto"/>
            <w:noWrap/>
            <w:vAlign w:val="center"/>
            <w:hideMark/>
          </w:tcPr>
          <w:p w14:paraId="35CE62BF" w14:textId="77777777" w:rsidR="00413923" w:rsidRPr="00D92E20" w:rsidRDefault="00413923" w:rsidP="00413923">
            <w:pPr>
              <w:spacing w:after="0" w:line="240" w:lineRule="auto"/>
              <w:jc w:val="right"/>
              <w:rPr>
                <w:rFonts w:cs="Arial"/>
                <w:sz w:val="16"/>
                <w:szCs w:val="16"/>
              </w:rPr>
            </w:pPr>
            <w:r w:rsidRPr="00D92E20">
              <w:rPr>
                <w:rFonts w:cs="Arial"/>
                <w:sz w:val="16"/>
                <w:szCs w:val="16"/>
              </w:rPr>
              <w:t>867,9</w:t>
            </w:r>
          </w:p>
        </w:tc>
        <w:tc>
          <w:tcPr>
            <w:tcW w:w="907" w:type="dxa"/>
            <w:tcBorders>
              <w:top w:val="nil"/>
              <w:left w:val="nil"/>
              <w:bottom w:val="nil"/>
              <w:right w:val="nil"/>
            </w:tcBorders>
            <w:shd w:val="clear" w:color="auto" w:fill="auto"/>
            <w:noWrap/>
            <w:vAlign w:val="center"/>
            <w:hideMark/>
          </w:tcPr>
          <w:p w14:paraId="49AEFBFF" w14:textId="77777777" w:rsidR="00413923" w:rsidRPr="00D92E20" w:rsidRDefault="00413923" w:rsidP="00413923">
            <w:pPr>
              <w:spacing w:after="0" w:line="240" w:lineRule="auto"/>
              <w:jc w:val="right"/>
              <w:rPr>
                <w:rFonts w:cs="Arial"/>
                <w:sz w:val="16"/>
                <w:szCs w:val="16"/>
              </w:rPr>
            </w:pPr>
            <w:r w:rsidRPr="00D92E20">
              <w:rPr>
                <w:rFonts w:cs="Arial"/>
                <w:sz w:val="16"/>
                <w:szCs w:val="16"/>
              </w:rPr>
              <w:t>906,5</w:t>
            </w:r>
          </w:p>
        </w:tc>
        <w:tc>
          <w:tcPr>
            <w:tcW w:w="907" w:type="dxa"/>
            <w:tcBorders>
              <w:top w:val="nil"/>
              <w:left w:val="nil"/>
              <w:bottom w:val="nil"/>
              <w:right w:val="nil"/>
            </w:tcBorders>
            <w:shd w:val="clear" w:color="auto" w:fill="auto"/>
            <w:noWrap/>
            <w:vAlign w:val="center"/>
            <w:hideMark/>
          </w:tcPr>
          <w:p w14:paraId="590651D5" w14:textId="77777777" w:rsidR="00413923" w:rsidRPr="00D92E20" w:rsidRDefault="00413923" w:rsidP="00413923">
            <w:pPr>
              <w:spacing w:after="0" w:line="240" w:lineRule="auto"/>
              <w:jc w:val="right"/>
              <w:rPr>
                <w:rFonts w:cs="Arial"/>
                <w:sz w:val="16"/>
                <w:szCs w:val="16"/>
              </w:rPr>
            </w:pPr>
            <w:r w:rsidRPr="00D92E20">
              <w:rPr>
                <w:rFonts w:cs="Arial"/>
                <w:sz w:val="16"/>
                <w:szCs w:val="16"/>
              </w:rPr>
              <w:t>989,0</w:t>
            </w:r>
          </w:p>
        </w:tc>
        <w:tc>
          <w:tcPr>
            <w:tcW w:w="907" w:type="dxa"/>
            <w:tcBorders>
              <w:top w:val="nil"/>
              <w:left w:val="nil"/>
              <w:bottom w:val="nil"/>
              <w:right w:val="nil"/>
            </w:tcBorders>
            <w:shd w:val="clear" w:color="auto" w:fill="auto"/>
            <w:noWrap/>
            <w:vAlign w:val="center"/>
            <w:hideMark/>
          </w:tcPr>
          <w:p w14:paraId="627E3D4E" w14:textId="77777777" w:rsidR="00413923" w:rsidRPr="00D92E20" w:rsidRDefault="00413923" w:rsidP="00413923">
            <w:pPr>
              <w:spacing w:after="0" w:line="240" w:lineRule="auto"/>
              <w:jc w:val="right"/>
              <w:rPr>
                <w:rFonts w:cs="Arial"/>
                <w:sz w:val="16"/>
                <w:szCs w:val="16"/>
              </w:rPr>
            </w:pPr>
            <w:r w:rsidRPr="00D92E20">
              <w:rPr>
                <w:rFonts w:cs="Arial"/>
                <w:sz w:val="16"/>
                <w:szCs w:val="16"/>
              </w:rPr>
              <w:t>984,3</w:t>
            </w:r>
          </w:p>
        </w:tc>
        <w:tc>
          <w:tcPr>
            <w:tcW w:w="907" w:type="dxa"/>
            <w:tcBorders>
              <w:top w:val="nil"/>
              <w:left w:val="nil"/>
              <w:bottom w:val="nil"/>
              <w:right w:val="nil"/>
            </w:tcBorders>
            <w:shd w:val="clear" w:color="auto" w:fill="auto"/>
            <w:noWrap/>
            <w:vAlign w:val="center"/>
            <w:hideMark/>
          </w:tcPr>
          <w:p w14:paraId="2002CCE1" w14:textId="77777777" w:rsidR="00413923" w:rsidRPr="00D92E20" w:rsidRDefault="00413923" w:rsidP="00413923">
            <w:pPr>
              <w:spacing w:after="0" w:line="240" w:lineRule="auto"/>
              <w:jc w:val="right"/>
              <w:rPr>
                <w:rFonts w:cs="Arial"/>
                <w:sz w:val="16"/>
                <w:szCs w:val="16"/>
              </w:rPr>
            </w:pPr>
            <w:r w:rsidRPr="00D92E20">
              <w:rPr>
                <w:rFonts w:cs="Arial"/>
                <w:sz w:val="16"/>
                <w:szCs w:val="16"/>
              </w:rPr>
              <w:t>1 044,2</w:t>
            </w:r>
          </w:p>
        </w:tc>
        <w:tc>
          <w:tcPr>
            <w:tcW w:w="907" w:type="dxa"/>
            <w:tcBorders>
              <w:top w:val="nil"/>
              <w:left w:val="nil"/>
              <w:bottom w:val="nil"/>
              <w:right w:val="nil"/>
            </w:tcBorders>
            <w:shd w:val="clear" w:color="auto" w:fill="auto"/>
            <w:noWrap/>
            <w:vAlign w:val="center"/>
            <w:hideMark/>
          </w:tcPr>
          <w:p w14:paraId="267A8AAA" w14:textId="77777777" w:rsidR="00413923" w:rsidRPr="00D92E20" w:rsidRDefault="00413923" w:rsidP="00413923">
            <w:pPr>
              <w:spacing w:after="0" w:line="240" w:lineRule="auto"/>
              <w:jc w:val="right"/>
              <w:rPr>
                <w:rFonts w:cs="Arial"/>
                <w:sz w:val="16"/>
                <w:szCs w:val="16"/>
              </w:rPr>
            </w:pPr>
            <w:r w:rsidRPr="00D92E20">
              <w:rPr>
                <w:rFonts w:cs="Arial"/>
                <w:sz w:val="16"/>
                <w:szCs w:val="16"/>
              </w:rPr>
              <w:t>868,2</w:t>
            </w:r>
          </w:p>
        </w:tc>
      </w:tr>
      <w:tr w:rsidR="00413923" w:rsidRPr="00D92E20" w14:paraId="5BE8181B" w14:textId="77777777" w:rsidTr="00413923">
        <w:trPr>
          <w:trHeight w:val="300"/>
        </w:trPr>
        <w:tc>
          <w:tcPr>
            <w:tcW w:w="1417" w:type="dxa"/>
            <w:tcBorders>
              <w:top w:val="nil"/>
              <w:left w:val="nil"/>
              <w:bottom w:val="nil"/>
              <w:right w:val="nil"/>
            </w:tcBorders>
            <w:shd w:val="clear" w:color="auto" w:fill="auto"/>
            <w:noWrap/>
            <w:vAlign w:val="center"/>
            <w:hideMark/>
          </w:tcPr>
          <w:p w14:paraId="478C5907"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Irsko</w:t>
            </w:r>
          </w:p>
        </w:tc>
        <w:tc>
          <w:tcPr>
            <w:tcW w:w="907" w:type="dxa"/>
            <w:tcBorders>
              <w:top w:val="nil"/>
              <w:left w:val="single" w:sz="4" w:space="0" w:color="000000"/>
              <w:bottom w:val="nil"/>
              <w:right w:val="nil"/>
            </w:tcBorders>
            <w:shd w:val="clear" w:color="auto" w:fill="auto"/>
            <w:noWrap/>
            <w:vAlign w:val="center"/>
            <w:hideMark/>
          </w:tcPr>
          <w:p w14:paraId="6E404100" w14:textId="77777777" w:rsidR="00413923" w:rsidRPr="00D92E20" w:rsidRDefault="00413923" w:rsidP="00413923">
            <w:pPr>
              <w:spacing w:after="0" w:line="240" w:lineRule="auto"/>
              <w:jc w:val="right"/>
              <w:rPr>
                <w:rFonts w:cs="Arial"/>
                <w:sz w:val="16"/>
                <w:szCs w:val="16"/>
              </w:rPr>
            </w:pPr>
            <w:r w:rsidRPr="00D92E20">
              <w:rPr>
                <w:rFonts w:cs="Arial"/>
                <w:sz w:val="16"/>
                <w:szCs w:val="16"/>
              </w:rPr>
              <w:t>948,0</w:t>
            </w:r>
          </w:p>
        </w:tc>
        <w:tc>
          <w:tcPr>
            <w:tcW w:w="907" w:type="dxa"/>
            <w:tcBorders>
              <w:top w:val="nil"/>
              <w:left w:val="nil"/>
              <w:bottom w:val="nil"/>
              <w:right w:val="nil"/>
            </w:tcBorders>
            <w:shd w:val="clear" w:color="auto" w:fill="auto"/>
            <w:noWrap/>
            <w:vAlign w:val="center"/>
            <w:hideMark/>
          </w:tcPr>
          <w:p w14:paraId="320A8693" w14:textId="77777777" w:rsidR="00413923" w:rsidRPr="00D92E20" w:rsidRDefault="00413923" w:rsidP="00413923">
            <w:pPr>
              <w:spacing w:after="0" w:line="240" w:lineRule="auto"/>
              <w:jc w:val="right"/>
              <w:rPr>
                <w:rFonts w:cs="Arial"/>
                <w:sz w:val="16"/>
                <w:szCs w:val="16"/>
              </w:rPr>
            </w:pPr>
            <w:r w:rsidRPr="00D92E20">
              <w:rPr>
                <w:rFonts w:cs="Arial"/>
                <w:sz w:val="16"/>
                <w:szCs w:val="16"/>
              </w:rPr>
              <w:t>955,0</w:t>
            </w:r>
          </w:p>
        </w:tc>
        <w:tc>
          <w:tcPr>
            <w:tcW w:w="907" w:type="dxa"/>
            <w:tcBorders>
              <w:top w:val="nil"/>
              <w:left w:val="nil"/>
              <w:bottom w:val="nil"/>
              <w:right w:val="nil"/>
            </w:tcBorders>
            <w:shd w:val="clear" w:color="auto" w:fill="auto"/>
            <w:noWrap/>
            <w:vAlign w:val="center"/>
            <w:hideMark/>
          </w:tcPr>
          <w:p w14:paraId="58D98CB1" w14:textId="77777777" w:rsidR="00413923" w:rsidRPr="00D92E20" w:rsidRDefault="00413923" w:rsidP="00413923">
            <w:pPr>
              <w:spacing w:after="0" w:line="240" w:lineRule="auto"/>
              <w:jc w:val="right"/>
              <w:rPr>
                <w:rFonts w:cs="Arial"/>
                <w:sz w:val="16"/>
                <w:szCs w:val="16"/>
              </w:rPr>
            </w:pPr>
            <w:r w:rsidRPr="00D92E20">
              <w:rPr>
                <w:rFonts w:cs="Arial"/>
                <w:sz w:val="16"/>
                <w:szCs w:val="16"/>
              </w:rPr>
              <w:t>809,6</w:t>
            </w:r>
          </w:p>
        </w:tc>
        <w:tc>
          <w:tcPr>
            <w:tcW w:w="907" w:type="dxa"/>
            <w:tcBorders>
              <w:top w:val="nil"/>
              <w:left w:val="nil"/>
              <w:bottom w:val="nil"/>
              <w:right w:val="nil"/>
            </w:tcBorders>
            <w:shd w:val="clear" w:color="auto" w:fill="auto"/>
            <w:noWrap/>
            <w:vAlign w:val="center"/>
            <w:hideMark/>
          </w:tcPr>
          <w:p w14:paraId="2CF75398" w14:textId="77777777" w:rsidR="00413923" w:rsidRPr="00D92E20" w:rsidRDefault="00413923" w:rsidP="00413923">
            <w:pPr>
              <w:spacing w:after="0" w:line="240" w:lineRule="auto"/>
              <w:jc w:val="right"/>
              <w:rPr>
                <w:rFonts w:cs="Arial"/>
                <w:sz w:val="16"/>
                <w:szCs w:val="16"/>
              </w:rPr>
            </w:pPr>
            <w:r w:rsidRPr="00D92E20">
              <w:rPr>
                <w:rFonts w:cs="Arial"/>
                <w:sz w:val="16"/>
                <w:szCs w:val="16"/>
              </w:rPr>
              <w:t>1 036,1</w:t>
            </w:r>
          </w:p>
        </w:tc>
        <w:tc>
          <w:tcPr>
            <w:tcW w:w="907" w:type="dxa"/>
            <w:tcBorders>
              <w:top w:val="nil"/>
              <w:left w:val="nil"/>
              <w:bottom w:val="nil"/>
              <w:right w:val="nil"/>
            </w:tcBorders>
            <w:shd w:val="clear" w:color="auto" w:fill="auto"/>
            <w:noWrap/>
            <w:vAlign w:val="center"/>
            <w:hideMark/>
          </w:tcPr>
          <w:p w14:paraId="274EBA46" w14:textId="77777777" w:rsidR="00413923" w:rsidRPr="00D92E20" w:rsidRDefault="00413923" w:rsidP="00413923">
            <w:pPr>
              <w:spacing w:after="0" w:line="240" w:lineRule="auto"/>
              <w:jc w:val="right"/>
              <w:rPr>
                <w:rFonts w:cs="Arial"/>
                <w:sz w:val="16"/>
                <w:szCs w:val="16"/>
              </w:rPr>
            </w:pPr>
            <w:r w:rsidRPr="00D92E20">
              <w:rPr>
                <w:rFonts w:cs="Arial"/>
                <w:sz w:val="16"/>
                <w:szCs w:val="16"/>
              </w:rPr>
              <w:t>1 072,0</w:t>
            </w:r>
          </w:p>
        </w:tc>
        <w:tc>
          <w:tcPr>
            <w:tcW w:w="907" w:type="dxa"/>
            <w:tcBorders>
              <w:top w:val="nil"/>
              <w:left w:val="nil"/>
              <w:bottom w:val="nil"/>
              <w:right w:val="nil"/>
            </w:tcBorders>
            <w:shd w:val="clear" w:color="auto" w:fill="auto"/>
            <w:noWrap/>
            <w:vAlign w:val="center"/>
            <w:hideMark/>
          </w:tcPr>
          <w:p w14:paraId="124CD0EC" w14:textId="77777777" w:rsidR="00413923" w:rsidRPr="00D92E20" w:rsidRDefault="00413923" w:rsidP="00413923">
            <w:pPr>
              <w:spacing w:after="0" w:line="240" w:lineRule="auto"/>
              <w:jc w:val="right"/>
              <w:rPr>
                <w:rFonts w:cs="Arial"/>
                <w:sz w:val="16"/>
                <w:szCs w:val="16"/>
              </w:rPr>
            </w:pPr>
            <w:r w:rsidRPr="00D92E20">
              <w:rPr>
                <w:rFonts w:cs="Arial"/>
                <w:sz w:val="16"/>
                <w:szCs w:val="16"/>
              </w:rPr>
              <w:t>924,0</w:t>
            </w:r>
          </w:p>
        </w:tc>
        <w:tc>
          <w:tcPr>
            <w:tcW w:w="907" w:type="dxa"/>
            <w:tcBorders>
              <w:top w:val="nil"/>
              <w:left w:val="nil"/>
              <w:bottom w:val="nil"/>
              <w:right w:val="nil"/>
            </w:tcBorders>
            <w:shd w:val="clear" w:color="auto" w:fill="auto"/>
            <w:noWrap/>
            <w:vAlign w:val="center"/>
            <w:hideMark/>
          </w:tcPr>
          <w:p w14:paraId="27F797C5" w14:textId="77777777" w:rsidR="00413923" w:rsidRPr="00D92E20" w:rsidRDefault="00413923" w:rsidP="00413923">
            <w:pPr>
              <w:spacing w:after="0" w:line="240" w:lineRule="auto"/>
              <w:jc w:val="right"/>
              <w:rPr>
                <w:rFonts w:cs="Arial"/>
                <w:sz w:val="16"/>
                <w:szCs w:val="16"/>
              </w:rPr>
            </w:pPr>
            <w:r w:rsidRPr="00D92E20">
              <w:rPr>
                <w:rFonts w:cs="Arial"/>
                <w:sz w:val="16"/>
                <w:szCs w:val="16"/>
              </w:rPr>
              <w:t>768,9</w:t>
            </w:r>
          </w:p>
        </w:tc>
        <w:tc>
          <w:tcPr>
            <w:tcW w:w="907" w:type="dxa"/>
            <w:tcBorders>
              <w:top w:val="nil"/>
              <w:left w:val="nil"/>
              <w:bottom w:val="nil"/>
              <w:right w:val="nil"/>
            </w:tcBorders>
            <w:shd w:val="clear" w:color="auto" w:fill="auto"/>
            <w:noWrap/>
            <w:vAlign w:val="center"/>
            <w:hideMark/>
          </w:tcPr>
          <w:p w14:paraId="60863695" w14:textId="77777777" w:rsidR="00413923" w:rsidRPr="00D92E20" w:rsidRDefault="00413923" w:rsidP="00413923">
            <w:pPr>
              <w:spacing w:after="0" w:line="240" w:lineRule="auto"/>
              <w:jc w:val="right"/>
              <w:rPr>
                <w:rFonts w:cs="Arial"/>
                <w:sz w:val="16"/>
                <w:szCs w:val="16"/>
              </w:rPr>
            </w:pPr>
            <w:r w:rsidRPr="00D92E20">
              <w:rPr>
                <w:rFonts w:cs="Arial"/>
                <w:sz w:val="16"/>
                <w:szCs w:val="16"/>
              </w:rPr>
              <w:t>1 115,9</w:t>
            </w:r>
          </w:p>
        </w:tc>
        <w:tc>
          <w:tcPr>
            <w:tcW w:w="907" w:type="dxa"/>
            <w:tcBorders>
              <w:top w:val="nil"/>
              <w:left w:val="nil"/>
              <w:bottom w:val="nil"/>
              <w:right w:val="nil"/>
            </w:tcBorders>
            <w:shd w:val="clear" w:color="auto" w:fill="auto"/>
            <w:noWrap/>
            <w:vAlign w:val="center"/>
            <w:hideMark/>
          </w:tcPr>
          <w:p w14:paraId="17E8E00D" w14:textId="77777777" w:rsidR="00413923" w:rsidRPr="00D92E20" w:rsidRDefault="00413923" w:rsidP="00413923">
            <w:pPr>
              <w:spacing w:after="0" w:line="240" w:lineRule="auto"/>
              <w:jc w:val="right"/>
              <w:rPr>
                <w:rFonts w:cs="Arial"/>
                <w:sz w:val="16"/>
                <w:szCs w:val="16"/>
              </w:rPr>
            </w:pPr>
            <w:r w:rsidRPr="00D92E20">
              <w:rPr>
                <w:rFonts w:cs="Arial"/>
                <w:sz w:val="16"/>
                <w:szCs w:val="16"/>
              </w:rPr>
              <w:t>789,5</w:t>
            </w:r>
          </w:p>
        </w:tc>
      </w:tr>
      <w:tr w:rsidR="00413923" w:rsidRPr="00D92E20" w14:paraId="4DDCCD0F" w14:textId="77777777" w:rsidTr="00413923">
        <w:trPr>
          <w:trHeight w:val="300"/>
        </w:trPr>
        <w:tc>
          <w:tcPr>
            <w:tcW w:w="1417" w:type="dxa"/>
            <w:tcBorders>
              <w:top w:val="nil"/>
              <w:left w:val="nil"/>
              <w:bottom w:val="nil"/>
              <w:right w:val="nil"/>
            </w:tcBorders>
            <w:shd w:val="clear" w:color="auto" w:fill="auto"/>
            <w:noWrap/>
            <w:vAlign w:val="center"/>
            <w:hideMark/>
          </w:tcPr>
          <w:p w14:paraId="71F1A54A"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Itálie</w:t>
            </w:r>
          </w:p>
        </w:tc>
        <w:tc>
          <w:tcPr>
            <w:tcW w:w="907" w:type="dxa"/>
            <w:tcBorders>
              <w:top w:val="nil"/>
              <w:left w:val="single" w:sz="4" w:space="0" w:color="000000"/>
              <w:bottom w:val="nil"/>
              <w:right w:val="nil"/>
            </w:tcBorders>
            <w:shd w:val="clear" w:color="auto" w:fill="auto"/>
            <w:noWrap/>
            <w:vAlign w:val="center"/>
            <w:hideMark/>
          </w:tcPr>
          <w:p w14:paraId="5E5EEDC9" w14:textId="77777777" w:rsidR="00413923" w:rsidRPr="00D92E20" w:rsidRDefault="00413923" w:rsidP="00413923">
            <w:pPr>
              <w:spacing w:after="0" w:line="240" w:lineRule="auto"/>
              <w:jc w:val="right"/>
              <w:rPr>
                <w:rFonts w:cs="Arial"/>
                <w:sz w:val="16"/>
                <w:szCs w:val="16"/>
              </w:rPr>
            </w:pPr>
            <w:r w:rsidRPr="00D92E20">
              <w:rPr>
                <w:rFonts w:cs="Arial"/>
                <w:sz w:val="16"/>
                <w:szCs w:val="16"/>
              </w:rPr>
              <w:t>2 228,9</w:t>
            </w:r>
          </w:p>
        </w:tc>
        <w:tc>
          <w:tcPr>
            <w:tcW w:w="907" w:type="dxa"/>
            <w:tcBorders>
              <w:top w:val="nil"/>
              <w:left w:val="nil"/>
              <w:bottom w:val="nil"/>
              <w:right w:val="nil"/>
            </w:tcBorders>
            <w:shd w:val="clear" w:color="auto" w:fill="auto"/>
            <w:noWrap/>
            <w:vAlign w:val="center"/>
            <w:hideMark/>
          </w:tcPr>
          <w:p w14:paraId="7AD5130E" w14:textId="77777777" w:rsidR="00413923" w:rsidRPr="00D92E20" w:rsidRDefault="00413923" w:rsidP="00413923">
            <w:pPr>
              <w:spacing w:after="0" w:line="240" w:lineRule="auto"/>
              <w:jc w:val="right"/>
              <w:rPr>
                <w:rFonts w:cs="Arial"/>
                <w:sz w:val="16"/>
                <w:szCs w:val="16"/>
              </w:rPr>
            </w:pPr>
            <w:r w:rsidRPr="00D92E20">
              <w:rPr>
                <w:rFonts w:cs="Arial"/>
                <w:sz w:val="16"/>
                <w:szCs w:val="16"/>
              </w:rPr>
              <w:t>2 004,7</w:t>
            </w:r>
          </w:p>
        </w:tc>
        <w:tc>
          <w:tcPr>
            <w:tcW w:w="907" w:type="dxa"/>
            <w:tcBorders>
              <w:top w:val="nil"/>
              <w:left w:val="nil"/>
              <w:bottom w:val="nil"/>
              <w:right w:val="nil"/>
            </w:tcBorders>
            <w:shd w:val="clear" w:color="auto" w:fill="auto"/>
            <w:noWrap/>
            <w:vAlign w:val="center"/>
            <w:hideMark/>
          </w:tcPr>
          <w:p w14:paraId="5B48F486" w14:textId="77777777" w:rsidR="00413923" w:rsidRPr="00D92E20" w:rsidRDefault="00413923" w:rsidP="00413923">
            <w:pPr>
              <w:spacing w:after="0" w:line="240" w:lineRule="auto"/>
              <w:jc w:val="right"/>
              <w:rPr>
                <w:rFonts w:cs="Arial"/>
                <w:sz w:val="16"/>
                <w:szCs w:val="16"/>
              </w:rPr>
            </w:pPr>
            <w:r w:rsidRPr="00D92E20">
              <w:rPr>
                <w:rFonts w:cs="Arial"/>
                <w:sz w:val="16"/>
                <w:szCs w:val="16"/>
              </w:rPr>
              <w:t>1 682,6</w:t>
            </w:r>
          </w:p>
        </w:tc>
        <w:tc>
          <w:tcPr>
            <w:tcW w:w="907" w:type="dxa"/>
            <w:tcBorders>
              <w:top w:val="nil"/>
              <w:left w:val="nil"/>
              <w:bottom w:val="nil"/>
              <w:right w:val="nil"/>
            </w:tcBorders>
            <w:shd w:val="clear" w:color="auto" w:fill="auto"/>
            <w:noWrap/>
            <w:vAlign w:val="center"/>
            <w:hideMark/>
          </w:tcPr>
          <w:p w14:paraId="18D99D03" w14:textId="77777777" w:rsidR="00413923" w:rsidRPr="00D92E20" w:rsidRDefault="00413923" w:rsidP="00413923">
            <w:pPr>
              <w:spacing w:after="0" w:line="240" w:lineRule="auto"/>
              <w:jc w:val="right"/>
              <w:rPr>
                <w:rFonts w:cs="Arial"/>
                <w:sz w:val="16"/>
                <w:szCs w:val="16"/>
              </w:rPr>
            </w:pPr>
            <w:r w:rsidRPr="00D92E20">
              <w:rPr>
                <w:rFonts w:cs="Arial"/>
                <w:sz w:val="16"/>
                <w:szCs w:val="16"/>
              </w:rPr>
              <w:t>1 711,8</w:t>
            </w:r>
          </w:p>
        </w:tc>
        <w:tc>
          <w:tcPr>
            <w:tcW w:w="907" w:type="dxa"/>
            <w:tcBorders>
              <w:top w:val="nil"/>
              <w:left w:val="nil"/>
              <w:bottom w:val="nil"/>
              <w:right w:val="nil"/>
            </w:tcBorders>
            <w:shd w:val="clear" w:color="auto" w:fill="auto"/>
            <w:noWrap/>
            <w:vAlign w:val="center"/>
            <w:hideMark/>
          </w:tcPr>
          <w:p w14:paraId="6F6937E1" w14:textId="77777777" w:rsidR="00413923" w:rsidRPr="00D92E20" w:rsidRDefault="00413923" w:rsidP="00413923">
            <w:pPr>
              <w:spacing w:after="0" w:line="240" w:lineRule="auto"/>
              <w:jc w:val="right"/>
              <w:rPr>
                <w:rFonts w:cs="Arial"/>
                <w:sz w:val="16"/>
                <w:szCs w:val="16"/>
              </w:rPr>
            </w:pPr>
            <w:r w:rsidRPr="00D92E20">
              <w:rPr>
                <w:rFonts w:cs="Arial"/>
                <w:sz w:val="16"/>
                <w:szCs w:val="16"/>
              </w:rPr>
              <w:t>1 619,2</w:t>
            </w:r>
          </w:p>
        </w:tc>
        <w:tc>
          <w:tcPr>
            <w:tcW w:w="907" w:type="dxa"/>
            <w:tcBorders>
              <w:top w:val="nil"/>
              <w:left w:val="nil"/>
              <w:bottom w:val="nil"/>
              <w:right w:val="nil"/>
            </w:tcBorders>
            <w:shd w:val="clear" w:color="auto" w:fill="auto"/>
            <w:noWrap/>
            <w:vAlign w:val="center"/>
            <w:hideMark/>
          </w:tcPr>
          <w:p w14:paraId="3291B0FE" w14:textId="77777777" w:rsidR="00413923" w:rsidRPr="00D92E20" w:rsidRDefault="00413923" w:rsidP="00413923">
            <w:pPr>
              <w:spacing w:after="0" w:line="240" w:lineRule="auto"/>
              <w:jc w:val="right"/>
              <w:rPr>
                <w:rFonts w:cs="Arial"/>
                <w:sz w:val="16"/>
                <w:szCs w:val="16"/>
              </w:rPr>
            </w:pPr>
            <w:r w:rsidRPr="00D92E20">
              <w:rPr>
                <w:rFonts w:cs="Arial"/>
                <w:sz w:val="16"/>
                <w:szCs w:val="16"/>
              </w:rPr>
              <w:t>1 515,7</w:t>
            </w:r>
          </w:p>
        </w:tc>
        <w:tc>
          <w:tcPr>
            <w:tcW w:w="907" w:type="dxa"/>
            <w:tcBorders>
              <w:top w:val="nil"/>
              <w:left w:val="nil"/>
              <w:bottom w:val="nil"/>
              <w:right w:val="nil"/>
            </w:tcBorders>
            <w:shd w:val="clear" w:color="auto" w:fill="auto"/>
            <w:noWrap/>
            <w:vAlign w:val="center"/>
            <w:hideMark/>
          </w:tcPr>
          <w:p w14:paraId="1A3FDCAA" w14:textId="77777777" w:rsidR="00413923" w:rsidRPr="00D92E20" w:rsidRDefault="00413923" w:rsidP="00413923">
            <w:pPr>
              <w:spacing w:after="0" w:line="240" w:lineRule="auto"/>
              <w:jc w:val="right"/>
              <w:rPr>
                <w:rFonts w:cs="Arial"/>
                <w:sz w:val="16"/>
                <w:szCs w:val="16"/>
              </w:rPr>
            </w:pPr>
            <w:r w:rsidRPr="00D92E20">
              <w:rPr>
                <w:rFonts w:cs="Arial"/>
                <w:sz w:val="16"/>
                <w:szCs w:val="16"/>
              </w:rPr>
              <w:t>1 477,1</w:t>
            </w:r>
          </w:p>
        </w:tc>
        <w:tc>
          <w:tcPr>
            <w:tcW w:w="907" w:type="dxa"/>
            <w:tcBorders>
              <w:top w:val="nil"/>
              <w:left w:val="nil"/>
              <w:bottom w:val="nil"/>
              <w:right w:val="nil"/>
            </w:tcBorders>
            <w:shd w:val="clear" w:color="auto" w:fill="auto"/>
            <w:noWrap/>
            <w:vAlign w:val="center"/>
            <w:hideMark/>
          </w:tcPr>
          <w:p w14:paraId="1F0117D0" w14:textId="77777777" w:rsidR="00413923" w:rsidRPr="00D92E20" w:rsidRDefault="00413923" w:rsidP="00413923">
            <w:pPr>
              <w:spacing w:after="0" w:line="240" w:lineRule="auto"/>
              <w:jc w:val="right"/>
              <w:rPr>
                <w:rFonts w:cs="Arial"/>
                <w:sz w:val="16"/>
                <w:szCs w:val="16"/>
              </w:rPr>
            </w:pPr>
            <w:r w:rsidRPr="00D92E20">
              <w:rPr>
                <w:rFonts w:cs="Arial"/>
                <w:sz w:val="16"/>
                <w:szCs w:val="16"/>
              </w:rPr>
              <w:t>1 456,0</w:t>
            </w:r>
          </w:p>
        </w:tc>
        <w:tc>
          <w:tcPr>
            <w:tcW w:w="907" w:type="dxa"/>
            <w:tcBorders>
              <w:top w:val="nil"/>
              <w:left w:val="nil"/>
              <w:bottom w:val="nil"/>
              <w:right w:val="nil"/>
            </w:tcBorders>
            <w:shd w:val="clear" w:color="auto" w:fill="auto"/>
            <w:noWrap/>
            <w:vAlign w:val="center"/>
            <w:hideMark/>
          </w:tcPr>
          <w:p w14:paraId="07FB46EE" w14:textId="77777777" w:rsidR="00413923" w:rsidRPr="00D92E20" w:rsidRDefault="00413923" w:rsidP="00413923">
            <w:pPr>
              <w:spacing w:after="0" w:line="240" w:lineRule="auto"/>
              <w:jc w:val="right"/>
              <w:rPr>
                <w:rFonts w:cs="Arial"/>
                <w:sz w:val="16"/>
                <w:szCs w:val="16"/>
              </w:rPr>
            </w:pPr>
            <w:r w:rsidRPr="00D92E20">
              <w:rPr>
                <w:rFonts w:cs="Arial"/>
                <w:sz w:val="16"/>
                <w:szCs w:val="16"/>
              </w:rPr>
              <w:t>1 382,9</w:t>
            </w:r>
          </w:p>
        </w:tc>
      </w:tr>
      <w:tr w:rsidR="00413923" w:rsidRPr="00D92E20" w14:paraId="34A3A0CC" w14:textId="77777777" w:rsidTr="00413923">
        <w:trPr>
          <w:trHeight w:val="300"/>
        </w:trPr>
        <w:tc>
          <w:tcPr>
            <w:tcW w:w="1417" w:type="dxa"/>
            <w:tcBorders>
              <w:top w:val="nil"/>
              <w:left w:val="nil"/>
              <w:bottom w:val="nil"/>
              <w:right w:val="nil"/>
            </w:tcBorders>
            <w:shd w:val="clear" w:color="auto" w:fill="auto"/>
            <w:noWrap/>
            <w:vAlign w:val="center"/>
            <w:hideMark/>
          </w:tcPr>
          <w:p w14:paraId="2AB3A5EC"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Kypr</w:t>
            </w:r>
          </w:p>
        </w:tc>
        <w:tc>
          <w:tcPr>
            <w:tcW w:w="907" w:type="dxa"/>
            <w:tcBorders>
              <w:top w:val="nil"/>
              <w:left w:val="single" w:sz="4" w:space="0" w:color="000000"/>
              <w:bottom w:val="nil"/>
              <w:right w:val="nil"/>
            </w:tcBorders>
            <w:shd w:val="clear" w:color="auto" w:fill="auto"/>
            <w:noWrap/>
            <w:vAlign w:val="center"/>
            <w:hideMark/>
          </w:tcPr>
          <w:p w14:paraId="48F110AC" w14:textId="77777777" w:rsidR="00413923" w:rsidRPr="00D92E20" w:rsidRDefault="00413923" w:rsidP="00413923">
            <w:pPr>
              <w:spacing w:after="0" w:line="240" w:lineRule="auto"/>
              <w:jc w:val="right"/>
              <w:rPr>
                <w:rFonts w:cs="Arial"/>
                <w:sz w:val="16"/>
                <w:szCs w:val="16"/>
              </w:rPr>
            </w:pPr>
            <w:r w:rsidRPr="00D92E20">
              <w:rPr>
                <w:rFonts w:cs="Arial"/>
                <w:sz w:val="16"/>
                <w:szCs w:val="16"/>
              </w:rPr>
              <w:t>757,5</w:t>
            </w:r>
          </w:p>
        </w:tc>
        <w:tc>
          <w:tcPr>
            <w:tcW w:w="907" w:type="dxa"/>
            <w:tcBorders>
              <w:top w:val="nil"/>
              <w:left w:val="nil"/>
              <w:bottom w:val="nil"/>
              <w:right w:val="nil"/>
            </w:tcBorders>
            <w:shd w:val="clear" w:color="auto" w:fill="auto"/>
            <w:noWrap/>
            <w:vAlign w:val="center"/>
            <w:hideMark/>
          </w:tcPr>
          <w:p w14:paraId="63196A54" w14:textId="77777777" w:rsidR="00413923" w:rsidRPr="00D92E20" w:rsidRDefault="00413923" w:rsidP="00413923">
            <w:pPr>
              <w:spacing w:after="0" w:line="240" w:lineRule="auto"/>
              <w:jc w:val="right"/>
              <w:rPr>
                <w:rFonts w:cs="Arial"/>
                <w:sz w:val="16"/>
                <w:szCs w:val="16"/>
              </w:rPr>
            </w:pPr>
            <w:r w:rsidRPr="00D92E20">
              <w:rPr>
                <w:rFonts w:cs="Arial"/>
                <w:sz w:val="16"/>
                <w:szCs w:val="16"/>
              </w:rPr>
              <w:t>858,6</w:t>
            </w:r>
          </w:p>
        </w:tc>
        <w:tc>
          <w:tcPr>
            <w:tcW w:w="907" w:type="dxa"/>
            <w:tcBorders>
              <w:top w:val="nil"/>
              <w:left w:val="nil"/>
              <w:bottom w:val="nil"/>
              <w:right w:val="nil"/>
            </w:tcBorders>
            <w:shd w:val="clear" w:color="auto" w:fill="auto"/>
            <w:noWrap/>
            <w:vAlign w:val="center"/>
            <w:hideMark/>
          </w:tcPr>
          <w:p w14:paraId="6110FC2B" w14:textId="77777777" w:rsidR="00413923" w:rsidRPr="00D92E20" w:rsidRDefault="00413923" w:rsidP="00413923">
            <w:pPr>
              <w:spacing w:after="0" w:line="240" w:lineRule="auto"/>
              <w:jc w:val="right"/>
              <w:rPr>
                <w:rFonts w:cs="Arial"/>
                <w:sz w:val="16"/>
                <w:szCs w:val="16"/>
              </w:rPr>
            </w:pPr>
            <w:r w:rsidRPr="00D92E20">
              <w:rPr>
                <w:rFonts w:cs="Arial"/>
                <w:sz w:val="16"/>
                <w:szCs w:val="16"/>
              </w:rPr>
              <w:t>754,8</w:t>
            </w:r>
          </w:p>
        </w:tc>
        <w:tc>
          <w:tcPr>
            <w:tcW w:w="907" w:type="dxa"/>
            <w:tcBorders>
              <w:top w:val="nil"/>
              <w:left w:val="nil"/>
              <w:bottom w:val="nil"/>
              <w:right w:val="nil"/>
            </w:tcBorders>
            <w:shd w:val="clear" w:color="auto" w:fill="auto"/>
            <w:noWrap/>
            <w:vAlign w:val="center"/>
            <w:hideMark/>
          </w:tcPr>
          <w:p w14:paraId="63A6EDC9" w14:textId="77777777" w:rsidR="00413923" w:rsidRPr="00D92E20" w:rsidRDefault="00413923" w:rsidP="00413923">
            <w:pPr>
              <w:spacing w:after="0" w:line="240" w:lineRule="auto"/>
              <w:jc w:val="right"/>
              <w:rPr>
                <w:rFonts w:cs="Arial"/>
                <w:sz w:val="16"/>
                <w:szCs w:val="16"/>
              </w:rPr>
            </w:pPr>
            <w:r w:rsidRPr="00D92E20">
              <w:rPr>
                <w:rFonts w:cs="Arial"/>
                <w:sz w:val="16"/>
                <w:szCs w:val="16"/>
              </w:rPr>
              <w:t>571,5</w:t>
            </w:r>
          </w:p>
        </w:tc>
        <w:tc>
          <w:tcPr>
            <w:tcW w:w="907" w:type="dxa"/>
            <w:tcBorders>
              <w:top w:val="nil"/>
              <w:left w:val="nil"/>
              <w:bottom w:val="nil"/>
              <w:right w:val="nil"/>
            </w:tcBorders>
            <w:shd w:val="clear" w:color="auto" w:fill="auto"/>
            <w:noWrap/>
            <w:vAlign w:val="center"/>
            <w:hideMark/>
          </w:tcPr>
          <w:p w14:paraId="15FD3501" w14:textId="77777777" w:rsidR="00413923" w:rsidRPr="00D92E20" w:rsidRDefault="00413923" w:rsidP="00413923">
            <w:pPr>
              <w:spacing w:after="0" w:line="240" w:lineRule="auto"/>
              <w:jc w:val="right"/>
              <w:rPr>
                <w:rFonts w:cs="Arial"/>
                <w:sz w:val="16"/>
                <w:szCs w:val="16"/>
              </w:rPr>
            </w:pPr>
            <w:r w:rsidRPr="00D92E20">
              <w:rPr>
                <w:rFonts w:cs="Arial"/>
                <w:sz w:val="16"/>
                <w:szCs w:val="16"/>
              </w:rPr>
              <w:t>870,7</w:t>
            </w:r>
          </w:p>
        </w:tc>
        <w:tc>
          <w:tcPr>
            <w:tcW w:w="907" w:type="dxa"/>
            <w:tcBorders>
              <w:top w:val="nil"/>
              <w:left w:val="nil"/>
              <w:bottom w:val="nil"/>
              <w:right w:val="nil"/>
            </w:tcBorders>
            <w:shd w:val="clear" w:color="auto" w:fill="auto"/>
            <w:noWrap/>
            <w:vAlign w:val="center"/>
            <w:hideMark/>
          </w:tcPr>
          <w:p w14:paraId="2DE719F1" w14:textId="77777777" w:rsidR="00413923" w:rsidRPr="00D92E20" w:rsidRDefault="00413923" w:rsidP="00413923">
            <w:pPr>
              <w:spacing w:after="0" w:line="240" w:lineRule="auto"/>
              <w:jc w:val="right"/>
              <w:rPr>
                <w:rFonts w:cs="Arial"/>
                <w:sz w:val="16"/>
                <w:szCs w:val="16"/>
              </w:rPr>
            </w:pPr>
            <w:r w:rsidRPr="00D92E20">
              <w:rPr>
                <w:rFonts w:cs="Arial"/>
                <w:sz w:val="16"/>
                <w:szCs w:val="16"/>
              </w:rPr>
              <w:t>697,3</w:t>
            </w:r>
          </w:p>
        </w:tc>
        <w:tc>
          <w:tcPr>
            <w:tcW w:w="907" w:type="dxa"/>
            <w:tcBorders>
              <w:top w:val="nil"/>
              <w:left w:val="nil"/>
              <w:bottom w:val="nil"/>
              <w:right w:val="nil"/>
            </w:tcBorders>
            <w:shd w:val="clear" w:color="auto" w:fill="auto"/>
            <w:noWrap/>
            <w:vAlign w:val="center"/>
            <w:hideMark/>
          </w:tcPr>
          <w:p w14:paraId="15DAFD55" w14:textId="77777777" w:rsidR="00413923" w:rsidRPr="00D92E20" w:rsidRDefault="00413923" w:rsidP="00413923">
            <w:pPr>
              <w:spacing w:after="0" w:line="240" w:lineRule="auto"/>
              <w:jc w:val="right"/>
              <w:rPr>
                <w:rFonts w:cs="Arial"/>
                <w:sz w:val="16"/>
                <w:szCs w:val="16"/>
              </w:rPr>
            </w:pPr>
            <w:r w:rsidRPr="00D92E20">
              <w:rPr>
                <w:rFonts w:cs="Arial"/>
                <w:sz w:val="16"/>
                <w:szCs w:val="16"/>
              </w:rPr>
              <w:t>716,7</w:t>
            </w:r>
          </w:p>
        </w:tc>
        <w:tc>
          <w:tcPr>
            <w:tcW w:w="907" w:type="dxa"/>
            <w:tcBorders>
              <w:top w:val="nil"/>
              <w:left w:val="nil"/>
              <w:bottom w:val="nil"/>
              <w:right w:val="nil"/>
            </w:tcBorders>
            <w:shd w:val="clear" w:color="auto" w:fill="auto"/>
            <w:noWrap/>
            <w:vAlign w:val="center"/>
            <w:hideMark/>
          </w:tcPr>
          <w:p w14:paraId="0D3563FF" w14:textId="77777777" w:rsidR="00413923" w:rsidRPr="00D92E20" w:rsidRDefault="00413923" w:rsidP="00413923">
            <w:pPr>
              <w:spacing w:after="0" w:line="240" w:lineRule="auto"/>
              <w:jc w:val="right"/>
              <w:rPr>
                <w:rFonts w:cs="Arial"/>
                <w:sz w:val="16"/>
                <w:szCs w:val="16"/>
              </w:rPr>
            </w:pPr>
            <w:r w:rsidRPr="00D92E20">
              <w:rPr>
                <w:rFonts w:cs="Arial"/>
                <w:sz w:val="16"/>
                <w:szCs w:val="16"/>
              </w:rPr>
              <w:t>751,4</w:t>
            </w:r>
          </w:p>
        </w:tc>
        <w:tc>
          <w:tcPr>
            <w:tcW w:w="907" w:type="dxa"/>
            <w:tcBorders>
              <w:top w:val="nil"/>
              <w:left w:val="nil"/>
              <w:bottom w:val="nil"/>
              <w:right w:val="nil"/>
            </w:tcBorders>
            <w:shd w:val="clear" w:color="auto" w:fill="auto"/>
            <w:noWrap/>
            <w:vAlign w:val="center"/>
            <w:hideMark/>
          </w:tcPr>
          <w:p w14:paraId="5449F75E" w14:textId="77777777" w:rsidR="00413923" w:rsidRPr="00D92E20" w:rsidRDefault="00413923" w:rsidP="00413923">
            <w:pPr>
              <w:spacing w:after="0" w:line="240" w:lineRule="auto"/>
              <w:jc w:val="right"/>
              <w:rPr>
                <w:rFonts w:cs="Arial"/>
                <w:sz w:val="16"/>
                <w:szCs w:val="16"/>
              </w:rPr>
            </w:pPr>
            <w:r w:rsidRPr="00D92E20">
              <w:rPr>
                <w:rFonts w:cs="Arial"/>
                <w:sz w:val="16"/>
                <w:szCs w:val="16"/>
              </w:rPr>
              <w:t>766,9</w:t>
            </w:r>
          </w:p>
        </w:tc>
      </w:tr>
      <w:tr w:rsidR="00413923" w:rsidRPr="00D92E20" w14:paraId="62584DD7" w14:textId="77777777" w:rsidTr="00413923">
        <w:trPr>
          <w:trHeight w:val="300"/>
        </w:trPr>
        <w:tc>
          <w:tcPr>
            <w:tcW w:w="1417" w:type="dxa"/>
            <w:tcBorders>
              <w:top w:val="nil"/>
              <w:left w:val="nil"/>
              <w:bottom w:val="nil"/>
              <w:right w:val="nil"/>
            </w:tcBorders>
            <w:shd w:val="clear" w:color="auto" w:fill="auto"/>
            <w:noWrap/>
            <w:vAlign w:val="center"/>
            <w:hideMark/>
          </w:tcPr>
          <w:p w14:paraId="045C8F2D"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Litva</w:t>
            </w:r>
          </w:p>
        </w:tc>
        <w:tc>
          <w:tcPr>
            <w:tcW w:w="907" w:type="dxa"/>
            <w:tcBorders>
              <w:top w:val="nil"/>
              <w:left w:val="single" w:sz="4" w:space="0" w:color="000000"/>
              <w:bottom w:val="nil"/>
              <w:right w:val="nil"/>
            </w:tcBorders>
            <w:shd w:val="clear" w:color="auto" w:fill="auto"/>
            <w:noWrap/>
            <w:vAlign w:val="center"/>
            <w:hideMark/>
          </w:tcPr>
          <w:p w14:paraId="6DED5563" w14:textId="77777777" w:rsidR="00413923" w:rsidRPr="00D92E20" w:rsidRDefault="00413923" w:rsidP="00413923">
            <w:pPr>
              <w:spacing w:after="0" w:line="240" w:lineRule="auto"/>
              <w:jc w:val="right"/>
              <w:rPr>
                <w:rFonts w:cs="Arial"/>
                <w:sz w:val="16"/>
                <w:szCs w:val="16"/>
              </w:rPr>
            </w:pPr>
            <w:r w:rsidRPr="00D92E20">
              <w:rPr>
                <w:rFonts w:cs="Arial"/>
                <w:sz w:val="16"/>
                <w:szCs w:val="16"/>
              </w:rPr>
              <w:t>209,3</w:t>
            </w:r>
          </w:p>
        </w:tc>
        <w:tc>
          <w:tcPr>
            <w:tcW w:w="907" w:type="dxa"/>
            <w:tcBorders>
              <w:top w:val="nil"/>
              <w:left w:val="nil"/>
              <w:bottom w:val="nil"/>
              <w:right w:val="nil"/>
            </w:tcBorders>
            <w:shd w:val="clear" w:color="auto" w:fill="auto"/>
            <w:noWrap/>
            <w:vAlign w:val="center"/>
            <w:hideMark/>
          </w:tcPr>
          <w:p w14:paraId="44F19EF7" w14:textId="77777777" w:rsidR="00413923" w:rsidRPr="00D92E20" w:rsidRDefault="00413923" w:rsidP="00413923">
            <w:pPr>
              <w:spacing w:after="0" w:line="240" w:lineRule="auto"/>
              <w:jc w:val="right"/>
              <w:rPr>
                <w:rFonts w:cs="Arial"/>
                <w:sz w:val="16"/>
                <w:szCs w:val="16"/>
              </w:rPr>
            </w:pPr>
            <w:r w:rsidRPr="00D92E20">
              <w:rPr>
                <w:rFonts w:cs="Arial"/>
                <w:sz w:val="16"/>
                <w:szCs w:val="16"/>
              </w:rPr>
              <w:t>235,3</w:t>
            </w:r>
          </w:p>
        </w:tc>
        <w:tc>
          <w:tcPr>
            <w:tcW w:w="907" w:type="dxa"/>
            <w:tcBorders>
              <w:top w:val="nil"/>
              <w:left w:val="nil"/>
              <w:bottom w:val="nil"/>
              <w:right w:val="nil"/>
            </w:tcBorders>
            <w:shd w:val="clear" w:color="auto" w:fill="auto"/>
            <w:noWrap/>
            <w:vAlign w:val="center"/>
            <w:hideMark/>
          </w:tcPr>
          <w:p w14:paraId="046C4812" w14:textId="77777777" w:rsidR="00413923" w:rsidRPr="00D92E20" w:rsidRDefault="00413923" w:rsidP="00413923">
            <w:pPr>
              <w:spacing w:after="0" w:line="240" w:lineRule="auto"/>
              <w:jc w:val="right"/>
              <w:rPr>
                <w:rFonts w:cs="Arial"/>
                <w:sz w:val="16"/>
                <w:szCs w:val="16"/>
              </w:rPr>
            </w:pPr>
            <w:r w:rsidRPr="00D92E20">
              <w:rPr>
                <w:rFonts w:cs="Arial"/>
                <w:sz w:val="16"/>
                <w:szCs w:val="16"/>
              </w:rPr>
              <w:t>280,2</w:t>
            </w:r>
          </w:p>
        </w:tc>
        <w:tc>
          <w:tcPr>
            <w:tcW w:w="907" w:type="dxa"/>
            <w:tcBorders>
              <w:top w:val="nil"/>
              <w:left w:val="nil"/>
              <w:bottom w:val="nil"/>
              <w:right w:val="nil"/>
            </w:tcBorders>
            <w:shd w:val="clear" w:color="auto" w:fill="auto"/>
            <w:noWrap/>
            <w:vAlign w:val="center"/>
            <w:hideMark/>
          </w:tcPr>
          <w:p w14:paraId="491581F3" w14:textId="77777777" w:rsidR="00413923" w:rsidRPr="00D92E20" w:rsidRDefault="00413923" w:rsidP="00413923">
            <w:pPr>
              <w:spacing w:after="0" w:line="240" w:lineRule="auto"/>
              <w:jc w:val="right"/>
              <w:rPr>
                <w:rFonts w:cs="Arial"/>
                <w:sz w:val="16"/>
                <w:szCs w:val="16"/>
              </w:rPr>
            </w:pPr>
            <w:r w:rsidRPr="00D92E20">
              <w:rPr>
                <w:rFonts w:cs="Arial"/>
                <w:sz w:val="16"/>
                <w:szCs w:val="16"/>
              </w:rPr>
              <w:t>259,7</w:t>
            </w:r>
          </w:p>
        </w:tc>
        <w:tc>
          <w:tcPr>
            <w:tcW w:w="907" w:type="dxa"/>
            <w:tcBorders>
              <w:top w:val="nil"/>
              <w:left w:val="nil"/>
              <w:bottom w:val="nil"/>
              <w:right w:val="nil"/>
            </w:tcBorders>
            <w:shd w:val="clear" w:color="auto" w:fill="auto"/>
            <w:noWrap/>
            <w:vAlign w:val="center"/>
            <w:hideMark/>
          </w:tcPr>
          <w:p w14:paraId="592735F2" w14:textId="77777777" w:rsidR="00413923" w:rsidRPr="00D92E20" w:rsidRDefault="00413923" w:rsidP="00413923">
            <w:pPr>
              <w:spacing w:after="0" w:line="240" w:lineRule="auto"/>
              <w:jc w:val="right"/>
              <w:rPr>
                <w:rFonts w:cs="Arial"/>
                <w:sz w:val="16"/>
                <w:szCs w:val="16"/>
              </w:rPr>
            </w:pPr>
            <w:r w:rsidRPr="00D92E20">
              <w:rPr>
                <w:rFonts w:cs="Arial"/>
                <w:sz w:val="16"/>
                <w:szCs w:val="16"/>
              </w:rPr>
              <w:t>296,7</w:t>
            </w:r>
          </w:p>
        </w:tc>
        <w:tc>
          <w:tcPr>
            <w:tcW w:w="907" w:type="dxa"/>
            <w:tcBorders>
              <w:top w:val="nil"/>
              <w:left w:val="nil"/>
              <w:bottom w:val="nil"/>
              <w:right w:val="nil"/>
            </w:tcBorders>
            <w:shd w:val="clear" w:color="auto" w:fill="auto"/>
            <w:noWrap/>
            <w:vAlign w:val="center"/>
            <w:hideMark/>
          </w:tcPr>
          <w:p w14:paraId="504D699E" w14:textId="77777777" w:rsidR="00413923" w:rsidRPr="00D92E20" w:rsidRDefault="00413923" w:rsidP="00413923">
            <w:pPr>
              <w:spacing w:after="0" w:line="240" w:lineRule="auto"/>
              <w:jc w:val="right"/>
              <w:rPr>
                <w:rFonts w:cs="Arial"/>
                <w:sz w:val="16"/>
                <w:szCs w:val="16"/>
              </w:rPr>
            </w:pPr>
            <w:r w:rsidRPr="00D92E20">
              <w:rPr>
                <w:rFonts w:cs="Arial"/>
                <w:sz w:val="16"/>
                <w:szCs w:val="16"/>
              </w:rPr>
              <w:t>313,9</w:t>
            </w:r>
          </w:p>
        </w:tc>
        <w:tc>
          <w:tcPr>
            <w:tcW w:w="907" w:type="dxa"/>
            <w:tcBorders>
              <w:top w:val="nil"/>
              <w:left w:val="nil"/>
              <w:bottom w:val="nil"/>
              <w:right w:val="nil"/>
            </w:tcBorders>
            <w:shd w:val="clear" w:color="auto" w:fill="auto"/>
            <w:noWrap/>
            <w:vAlign w:val="center"/>
            <w:hideMark/>
          </w:tcPr>
          <w:p w14:paraId="44D9B108" w14:textId="77777777" w:rsidR="00413923" w:rsidRPr="00D92E20" w:rsidRDefault="00413923" w:rsidP="00413923">
            <w:pPr>
              <w:spacing w:after="0" w:line="240" w:lineRule="auto"/>
              <w:jc w:val="right"/>
              <w:rPr>
                <w:rFonts w:cs="Arial"/>
                <w:sz w:val="16"/>
                <w:szCs w:val="16"/>
              </w:rPr>
            </w:pPr>
            <w:r w:rsidRPr="00D92E20">
              <w:rPr>
                <w:rFonts w:cs="Arial"/>
                <w:sz w:val="16"/>
                <w:szCs w:val="16"/>
              </w:rPr>
              <w:t>332,7</w:t>
            </w:r>
          </w:p>
        </w:tc>
        <w:tc>
          <w:tcPr>
            <w:tcW w:w="907" w:type="dxa"/>
            <w:tcBorders>
              <w:top w:val="nil"/>
              <w:left w:val="nil"/>
              <w:bottom w:val="nil"/>
              <w:right w:val="nil"/>
            </w:tcBorders>
            <w:shd w:val="clear" w:color="auto" w:fill="auto"/>
            <w:noWrap/>
            <w:vAlign w:val="center"/>
            <w:hideMark/>
          </w:tcPr>
          <w:p w14:paraId="6E69698D" w14:textId="77777777" w:rsidR="00413923" w:rsidRPr="00D92E20" w:rsidRDefault="00413923" w:rsidP="00413923">
            <w:pPr>
              <w:spacing w:after="0" w:line="240" w:lineRule="auto"/>
              <w:jc w:val="right"/>
              <w:rPr>
                <w:rFonts w:cs="Arial"/>
                <w:sz w:val="16"/>
                <w:szCs w:val="16"/>
              </w:rPr>
            </w:pPr>
            <w:r w:rsidRPr="00D92E20">
              <w:rPr>
                <w:rFonts w:cs="Arial"/>
                <w:sz w:val="16"/>
                <w:szCs w:val="16"/>
              </w:rPr>
              <w:t>377,0</w:t>
            </w:r>
          </w:p>
        </w:tc>
        <w:tc>
          <w:tcPr>
            <w:tcW w:w="907" w:type="dxa"/>
            <w:tcBorders>
              <w:top w:val="nil"/>
              <w:left w:val="nil"/>
              <w:bottom w:val="nil"/>
              <w:right w:val="nil"/>
            </w:tcBorders>
            <w:shd w:val="clear" w:color="auto" w:fill="auto"/>
            <w:noWrap/>
            <w:vAlign w:val="center"/>
            <w:hideMark/>
          </w:tcPr>
          <w:p w14:paraId="5D034AC5" w14:textId="77777777" w:rsidR="00413923" w:rsidRPr="00D92E20" w:rsidRDefault="00413923" w:rsidP="00413923">
            <w:pPr>
              <w:spacing w:after="0" w:line="240" w:lineRule="auto"/>
              <w:jc w:val="right"/>
              <w:rPr>
                <w:rFonts w:cs="Arial"/>
                <w:sz w:val="16"/>
                <w:szCs w:val="16"/>
              </w:rPr>
            </w:pPr>
            <w:r w:rsidRPr="00D92E20">
              <w:rPr>
                <w:rFonts w:cs="Arial"/>
                <w:sz w:val="16"/>
                <w:szCs w:val="16"/>
              </w:rPr>
              <w:t>353,8</w:t>
            </w:r>
          </w:p>
        </w:tc>
      </w:tr>
      <w:tr w:rsidR="00413923" w:rsidRPr="00D92E20" w14:paraId="79599FD8" w14:textId="77777777" w:rsidTr="00413923">
        <w:trPr>
          <w:trHeight w:val="300"/>
        </w:trPr>
        <w:tc>
          <w:tcPr>
            <w:tcW w:w="1417" w:type="dxa"/>
            <w:tcBorders>
              <w:top w:val="nil"/>
              <w:left w:val="nil"/>
              <w:bottom w:val="nil"/>
              <w:right w:val="nil"/>
            </w:tcBorders>
            <w:shd w:val="clear" w:color="auto" w:fill="auto"/>
            <w:noWrap/>
            <w:vAlign w:val="center"/>
            <w:hideMark/>
          </w:tcPr>
          <w:p w14:paraId="70AF2EFB"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Lotyšsko</w:t>
            </w:r>
          </w:p>
        </w:tc>
        <w:tc>
          <w:tcPr>
            <w:tcW w:w="907" w:type="dxa"/>
            <w:tcBorders>
              <w:top w:val="nil"/>
              <w:left w:val="single" w:sz="4" w:space="0" w:color="000000"/>
              <w:bottom w:val="nil"/>
              <w:right w:val="nil"/>
            </w:tcBorders>
            <w:shd w:val="clear" w:color="auto" w:fill="auto"/>
            <w:noWrap/>
            <w:vAlign w:val="center"/>
            <w:hideMark/>
          </w:tcPr>
          <w:p w14:paraId="0BAA5962" w14:textId="77777777" w:rsidR="00413923" w:rsidRPr="00D92E20" w:rsidRDefault="00413923" w:rsidP="00413923">
            <w:pPr>
              <w:spacing w:after="0" w:line="240" w:lineRule="auto"/>
              <w:jc w:val="right"/>
              <w:rPr>
                <w:rFonts w:cs="Arial"/>
                <w:sz w:val="16"/>
                <w:szCs w:val="16"/>
              </w:rPr>
            </w:pPr>
            <w:r w:rsidRPr="00D92E20">
              <w:rPr>
                <w:rFonts w:cs="Arial"/>
                <w:sz w:val="16"/>
                <w:szCs w:val="16"/>
              </w:rPr>
              <w:t>139,1</w:t>
            </w:r>
          </w:p>
        </w:tc>
        <w:tc>
          <w:tcPr>
            <w:tcW w:w="907" w:type="dxa"/>
            <w:tcBorders>
              <w:top w:val="nil"/>
              <w:left w:val="nil"/>
              <w:bottom w:val="nil"/>
              <w:right w:val="nil"/>
            </w:tcBorders>
            <w:shd w:val="clear" w:color="auto" w:fill="auto"/>
            <w:noWrap/>
            <w:vAlign w:val="center"/>
            <w:hideMark/>
          </w:tcPr>
          <w:p w14:paraId="2133C45E" w14:textId="77777777" w:rsidR="00413923" w:rsidRPr="00D92E20" w:rsidRDefault="00413923" w:rsidP="00413923">
            <w:pPr>
              <w:spacing w:after="0" w:line="240" w:lineRule="auto"/>
              <w:jc w:val="right"/>
              <w:rPr>
                <w:rFonts w:cs="Arial"/>
                <w:sz w:val="16"/>
                <w:szCs w:val="16"/>
              </w:rPr>
            </w:pPr>
            <w:r w:rsidRPr="00D92E20">
              <w:rPr>
                <w:rFonts w:cs="Arial"/>
                <w:sz w:val="16"/>
                <w:szCs w:val="16"/>
              </w:rPr>
              <w:t>195,6</w:t>
            </w:r>
          </w:p>
        </w:tc>
        <w:tc>
          <w:tcPr>
            <w:tcW w:w="907" w:type="dxa"/>
            <w:tcBorders>
              <w:top w:val="nil"/>
              <w:left w:val="nil"/>
              <w:bottom w:val="nil"/>
              <w:right w:val="nil"/>
            </w:tcBorders>
            <w:shd w:val="clear" w:color="auto" w:fill="auto"/>
            <w:noWrap/>
            <w:vAlign w:val="center"/>
            <w:hideMark/>
          </w:tcPr>
          <w:p w14:paraId="5A0113BA" w14:textId="77777777" w:rsidR="00413923" w:rsidRPr="00D92E20" w:rsidRDefault="00413923" w:rsidP="00413923">
            <w:pPr>
              <w:spacing w:after="0" w:line="240" w:lineRule="auto"/>
              <w:jc w:val="right"/>
              <w:rPr>
                <w:rFonts w:cs="Arial"/>
                <w:sz w:val="16"/>
                <w:szCs w:val="16"/>
              </w:rPr>
            </w:pPr>
            <w:r w:rsidRPr="00D92E20">
              <w:rPr>
                <w:rFonts w:cs="Arial"/>
                <w:sz w:val="16"/>
                <w:szCs w:val="16"/>
              </w:rPr>
              <w:t>194,5</w:t>
            </w:r>
          </w:p>
        </w:tc>
        <w:tc>
          <w:tcPr>
            <w:tcW w:w="907" w:type="dxa"/>
            <w:tcBorders>
              <w:top w:val="nil"/>
              <w:left w:val="nil"/>
              <w:bottom w:val="nil"/>
              <w:right w:val="nil"/>
            </w:tcBorders>
            <w:shd w:val="clear" w:color="auto" w:fill="auto"/>
            <w:noWrap/>
            <w:vAlign w:val="center"/>
            <w:hideMark/>
          </w:tcPr>
          <w:p w14:paraId="765EAEA5" w14:textId="77777777" w:rsidR="00413923" w:rsidRPr="00D92E20" w:rsidRDefault="00413923" w:rsidP="00413923">
            <w:pPr>
              <w:spacing w:after="0" w:line="240" w:lineRule="auto"/>
              <w:jc w:val="right"/>
              <w:rPr>
                <w:rFonts w:cs="Arial"/>
                <w:sz w:val="16"/>
                <w:szCs w:val="16"/>
              </w:rPr>
            </w:pPr>
            <w:r w:rsidRPr="00D92E20">
              <w:rPr>
                <w:rFonts w:cs="Arial"/>
                <w:sz w:val="16"/>
                <w:szCs w:val="16"/>
              </w:rPr>
              <w:t>224,5</w:t>
            </w:r>
          </w:p>
        </w:tc>
        <w:tc>
          <w:tcPr>
            <w:tcW w:w="907" w:type="dxa"/>
            <w:tcBorders>
              <w:top w:val="nil"/>
              <w:left w:val="nil"/>
              <w:bottom w:val="nil"/>
              <w:right w:val="nil"/>
            </w:tcBorders>
            <w:shd w:val="clear" w:color="auto" w:fill="auto"/>
            <w:noWrap/>
            <w:vAlign w:val="center"/>
            <w:hideMark/>
          </w:tcPr>
          <w:p w14:paraId="295ED53F" w14:textId="77777777" w:rsidR="00413923" w:rsidRPr="00D92E20" w:rsidRDefault="00413923" w:rsidP="00413923">
            <w:pPr>
              <w:spacing w:after="0" w:line="240" w:lineRule="auto"/>
              <w:jc w:val="right"/>
              <w:rPr>
                <w:rFonts w:cs="Arial"/>
                <w:sz w:val="16"/>
                <w:szCs w:val="16"/>
              </w:rPr>
            </w:pPr>
            <w:r w:rsidRPr="00D92E20">
              <w:rPr>
                <w:rFonts w:cs="Arial"/>
                <w:sz w:val="16"/>
                <w:szCs w:val="16"/>
              </w:rPr>
              <w:t>222,8</w:t>
            </w:r>
          </w:p>
        </w:tc>
        <w:tc>
          <w:tcPr>
            <w:tcW w:w="907" w:type="dxa"/>
            <w:tcBorders>
              <w:top w:val="nil"/>
              <w:left w:val="nil"/>
              <w:bottom w:val="nil"/>
              <w:right w:val="nil"/>
            </w:tcBorders>
            <w:shd w:val="clear" w:color="auto" w:fill="auto"/>
            <w:noWrap/>
            <w:vAlign w:val="center"/>
            <w:hideMark/>
          </w:tcPr>
          <w:p w14:paraId="36279B8B" w14:textId="77777777" w:rsidR="00413923" w:rsidRPr="00D92E20" w:rsidRDefault="00413923" w:rsidP="00413923">
            <w:pPr>
              <w:spacing w:after="0" w:line="240" w:lineRule="auto"/>
              <w:jc w:val="right"/>
              <w:rPr>
                <w:rFonts w:cs="Arial"/>
                <w:sz w:val="16"/>
                <w:szCs w:val="16"/>
              </w:rPr>
            </w:pPr>
            <w:r w:rsidRPr="00D92E20">
              <w:rPr>
                <w:rFonts w:cs="Arial"/>
                <w:sz w:val="16"/>
                <w:szCs w:val="16"/>
              </w:rPr>
              <w:t>248,0</w:t>
            </w:r>
          </w:p>
        </w:tc>
        <w:tc>
          <w:tcPr>
            <w:tcW w:w="907" w:type="dxa"/>
            <w:tcBorders>
              <w:top w:val="nil"/>
              <w:left w:val="nil"/>
              <w:bottom w:val="nil"/>
              <w:right w:val="nil"/>
            </w:tcBorders>
            <w:shd w:val="clear" w:color="auto" w:fill="auto"/>
            <w:noWrap/>
            <w:vAlign w:val="center"/>
            <w:hideMark/>
          </w:tcPr>
          <w:p w14:paraId="2886EC2E" w14:textId="77777777" w:rsidR="00413923" w:rsidRPr="00D92E20" w:rsidRDefault="00413923" w:rsidP="00413923">
            <w:pPr>
              <w:spacing w:after="0" w:line="240" w:lineRule="auto"/>
              <w:jc w:val="right"/>
              <w:rPr>
                <w:rFonts w:cs="Arial"/>
                <w:sz w:val="16"/>
                <w:szCs w:val="16"/>
              </w:rPr>
            </w:pPr>
            <w:r w:rsidRPr="00D92E20">
              <w:rPr>
                <w:rFonts w:cs="Arial"/>
                <w:sz w:val="16"/>
                <w:szCs w:val="16"/>
              </w:rPr>
              <w:t>235,9</w:t>
            </w:r>
          </w:p>
        </w:tc>
        <w:tc>
          <w:tcPr>
            <w:tcW w:w="907" w:type="dxa"/>
            <w:tcBorders>
              <w:top w:val="nil"/>
              <w:left w:val="nil"/>
              <w:bottom w:val="nil"/>
              <w:right w:val="nil"/>
            </w:tcBorders>
            <w:shd w:val="clear" w:color="auto" w:fill="auto"/>
            <w:noWrap/>
            <w:vAlign w:val="center"/>
            <w:hideMark/>
          </w:tcPr>
          <w:p w14:paraId="5B1F5B87" w14:textId="77777777" w:rsidR="00413923" w:rsidRPr="00D92E20" w:rsidRDefault="00413923" w:rsidP="00413923">
            <w:pPr>
              <w:spacing w:after="0" w:line="240" w:lineRule="auto"/>
              <w:jc w:val="right"/>
              <w:rPr>
                <w:rFonts w:cs="Arial"/>
                <w:sz w:val="16"/>
                <w:szCs w:val="16"/>
              </w:rPr>
            </w:pPr>
            <w:r w:rsidRPr="00D92E20">
              <w:rPr>
                <w:rFonts w:cs="Arial"/>
                <w:sz w:val="16"/>
                <w:szCs w:val="16"/>
              </w:rPr>
              <w:t>246,6</w:t>
            </w:r>
          </w:p>
        </w:tc>
        <w:tc>
          <w:tcPr>
            <w:tcW w:w="907" w:type="dxa"/>
            <w:tcBorders>
              <w:top w:val="nil"/>
              <w:left w:val="nil"/>
              <w:bottom w:val="nil"/>
              <w:right w:val="nil"/>
            </w:tcBorders>
            <w:shd w:val="clear" w:color="auto" w:fill="auto"/>
            <w:noWrap/>
            <w:vAlign w:val="center"/>
            <w:hideMark/>
          </w:tcPr>
          <w:p w14:paraId="5D073A6F" w14:textId="77777777" w:rsidR="00413923" w:rsidRPr="00D92E20" w:rsidRDefault="00413923" w:rsidP="00413923">
            <w:pPr>
              <w:spacing w:after="0" w:line="240" w:lineRule="auto"/>
              <w:jc w:val="right"/>
              <w:rPr>
                <w:rFonts w:cs="Arial"/>
                <w:sz w:val="16"/>
                <w:szCs w:val="16"/>
              </w:rPr>
            </w:pPr>
            <w:r w:rsidRPr="00D92E20">
              <w:rPr>
                <w:rFonts w:cs="Arial"/>
                <w:sz w:val="16"/>
                <w:szCs w:val="16"/>
              </w:rPr>
              <w:t>280,5</w:t>
            </w:r>
          </w:p>
        </w:tc>
      </w:tr>
      <w:tr w:rsidR="00413923" w:rsidRPr="00D92E20" w14:paraId="76AB4D30" w14:textId="77777777" w:rsidTr="00413923">
        <w:trPr>
          <w:trHeight w:val="300"/>
        </w:trPr>
        <w:tc>
          <w:tcPr>
            <w:tcW w:w="1417" w:type="dxa"/>
            <w:tcBorders>
              <w:top w:val="nil"/>
              <w:left w:val="nil"/>
              <w:bottom w:val="nil"/>
              <w:right w:val="nil"/>
            </w:tcBorders>
            <w:shd w:val="clear" w:color="auto" w:fill="auto"/>
            <w:noWrap/>
            <w:vAlign w:val="center"/>
            <w:hideMark/>
          </w:tcPr>
          <w:p w14:paraId="7E561468"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Lucembursko</w:t>
            </w:r>
          </w:p>
        </w:tc>
        <w:tc>
          <w:tcPr>
            <w:tcW w:w="907" w:type="dxa"/>
            <w:tcBorders>
              <w:top w:val="nil"/>
              <w:left w:val="single" w:sz="4" w:space="0" w:color="000000"/>
              <w:bottom w:val="nil"/>
              <w:right w:val="nil"/>
            </w:tcBorders>
            <w:shd w:val="clear" w:color="auto" w:fill="auto"/>
            <w:noWrap/>
            <w:vAlign w:val="center"/>
            <w:hideMark/>
          </w:tcPr>
          <w:p w14:paraId="4759CC32" w14:textId="77777777" w:rsidR="00413923" w:rsidRPr="00D92E20" w:rsidRDefault="00413923" w:rsidP="00413923">
            <w:pPr>
              <w:spacing w:after="0" w:line="240" w:lineRule="auto"/>
              <w:jc w:val="right"/>
              <w:rPr>
                <w:rFonts w:cs="Arial"/>
                <w:sz w:val="16"/>
                <w:szCs w:val="16"/>
              </w:rPr>
            </w:pPr>
            <w:r w:rsidRPr="00D92E20">
              <w:rPr>
                <w:rFonts w:cs="Arial"/>
                <w:sz w:val="16"/>
                <w:szCs w:val="16"/>
              </w:rPr>
              <w:t>2 375,2</w:t>
            </w:r>
          </w:p>
        </w:tc>
        <w:tc>
          <w:tcPr>
            <w:tcW w:w="907" w:type="dxa"/>
            <w:tcBorders>
              <w:top w:val="nil"/>
              <w:left w:val="nil"/>
              <w:bottom w:val="nil"/>
              <w:right w:val="nil"/>
            </w:tcBorders>
            <w:shd w:val="clear" w:color="auto" w:fill="auto"/>
            <w:noWrap/>
            <w:vAlign w:val="center"/>
            <w:hideMark/>
          </w:tcPr>
          <w:p w14:paraId="5AFB8217" w14:textId="77777777" w:rsidR="00413923" w:rsidRPr="00D92E20" w:rsidRDefault="00413923" w:rsidP="00413923">
            <w:pPr>
              <w:spacing w:after="0" w:line="240" w:lineRule="auto"/>
              <w:jc w:val="right"/>
              <w:rPr>
                <w:rFonts w:cs="Arial"/>
                <w:sz w:val="16"/>
                <w:szCs w:val="16"/>
              </w:rPr>
            </w:pPr>
            <w:r w:rsidRPr="00D92E20">
              <w:rPr>
                <w:rFonts w:cs="Arial"/>
                <w:sz w:val="16"/>
                <w:szCs w:val="16"/>
              </w:rPr>
              <w:t>2 396,6</w:t>
            </w:r>
          </w:p>
        </w:tc>
        <w:tc>
          <w:tcPr>
            <w:tcW w:w="907" w:type="dxa"/>
            <w:tcBorders>
              <w:top w:val="nil"/>
              <w:left w:val="nil"/>
              <w:bottom w:val="nil"/>
              <w:right w:val="nil"/>
            </w:tcBorders>
            <w:shd w:val="clear" w:color="auto" w:fill="auto"/>
            <w:noWrap/>
            <w:vAlign w:val="center"/>
            <w:hideMark/>
          </w:tcPr>
          <w:p w14:paraId="7DBA83B8" w14:textId="77777777" w:rsidR="00413923" w:rsidRPr="00D92E20" w:rsidRDefault="00413923" w:rsidP="00413923">
            <w:pPr>
              <w:spacing w:after="0" w:line="240" w:lineRule="auto"/>
              <w:jc w:val="right"/>
              <w:rPr>
                <w:rFonts w:cs="Arial"/>
                <w:sz w:val="16"/>
                <w:szCs w:val="16"/>
              </w:rPr>
            </w:pPr>
            <w:r w:rsidRPr="00D92E20">
              <w:rPr>
                <w:rFonts w:cs="Arial"/>
                <w:sz w:val="16"/>
                <w:szCs w:val="16"/>
              </w:rPr>
              <w:t>2 324,1</w:t>
            </w:r>
          </w:p>
        </w:tc>
        <w:tc>
          <w:tcPr>
            <w:tcW w:w="907" w:type="dxa"/>
            <w:tcBorders>
              <w:top w:val="nil"/>
              <w:left w:val="nil"/>
              <w:bottom w:val="nil"/>
              <w:right w:val="nil"/>
            </w:tcBorders>
            <w:shd w:val="clear" w:color="auto" w:fill="auto"/>
            <w:noWrap/>
            <w:vAlign w:val="center"/>
            <w:hideMark/>
          </w:tcPr>
          <w:p w14:paraId="775C221A" w14:textId="77777777" w:rsidR="00413923" w:rsidRPr="00D92E20" w:rsidRDefault="00413923" w:rsidP="00413923">
            <w:pPr>
              <w:spacing w:after="0" w:line="240" w:lineRule="auto"/>
              <w:jc w:val="right"/>
              <w:rPr>
                <w:rFonts w:cs="Arial"/>
                <w:sz w:val="16"/>
                <w:szCs w:val="16"/>
              </w:rPr>
            </w:pPr>
            <w:r w:rsidRPr="00D92E20">
              <w:rPr>
                <w:rFonts w:cs="Arial"/>
                <w:sz w:val="16"/>
                <w:szCs w:val="16"/>
              </w:rPr>
              <w:t>2 465,9</w:t>
            </w:r>
          </w:p>
        </w:tc>
        <w:tc>
          <w:tcPr>
            <w:tcW w:w="907" w:type="dxa"/>
            <w:tcBorders>
              <w:top w:val="nil"/>
              <w:left w:val="nil"/>
              <w:bottom w:val="nil"/>
              <w:right w:val="nil"/>
            </w:tcBorders>
            <w:shd w:val="clear" w:color="auto" w:fill="auto"/>
            <w:noWrap/>
            <w:vAlign w:val="center"/>
            <w:hideMark/>
          </w:tcPr>
          <w:p w14:paraId="24952DD1" w14:textId="77777777" w:rsidR="00413923" w:rsidRPr="00D92E20" w:rsidRDefault="00413923" w:rsidP="00413923">
            <w:pPr>
              <w:spacing w:after="0" w:line="240" w:lineRule="auto"/>
              <w:jc w:val="right"/>
              <w:rPr>
                <w:rFonts w:cs="Arial"/>
                <w:sz w:val="16"/>
                <w:szCs w:val="16"/>
              </w:rPr>
            </w:pPr>
            <w:r w:rsidRPr="00D92E20">
              <w:rPr>
                <w:rFonts w:cs="Arial"/>
                <w:sz w:val="16"/>
                <w:szCs w:val="16"/>
              </w:rPr>
              <w:t>2 286,8</w:t>
            </w:r>
          </w:p>
        </w:tc>
        <w:tc>
          <w:tcPr>
            <w:tcW w:w="907" w:type="dxa"/>
            <w:tcBorders>
              <w:top w:val="nil"/>
              <w:left w:val="nil"/>
              <w:bottom w:val="nil"/>
              <w:right w:val="nil"/>
            </w:tcBorders>
            <w:shd w:val="clear" w:color="auto" w:fill="auto"/>
            <w:noWrap/>
            <w:vAlign w:val="center"/>
            <w:hideMark/>
          </w:tcPr>
          <w:p w14:paraId="0A0B73D6" w14:textId="77777777" w:rsidR="00413923" w:rsidRPr="00D92E20" w:rsidRDefault="00413923" w:rsidP="00413923">
            <w:pPr>
              <w:spacing w:after="0" w:line="240" w:lineRule="auto"/>
              <w:jc w:val="right"/>
              <w:rPr>
                <w:rFonts w:cs="Arial"/>
                <w:sz w:val="16"/>
                <w:szCs w:val="16"/>
              </w:rPr>
            </w:pPr>
            <w:r w:rsidRPr="00D92E20">
              <w:rPr>
                <w:rFonts w:cs="Arial"/>
                <w:sz w:val="16"/>
                <w:szCs w:val="16"/>
              </w:rPr>
              <w:t>2 255,8</w:t>
            </w:r>
          </w:p>
        </w:tc>
        <w:tc>
          <w:tcPr>
            <w:tcW w:w="907" w:type="dxa"/>
            <w:tcBorders>
              <w:top w:val="nil"/>
              <w:left w:val="nil"/>
              <w:bottom w:val="nil"/>
              <w:right w:val="nil"/>
            </w:tcBorders>
            <w:shd w:val="clear" w:color="auto" w:fill="auto"/>
            <w:noWrap/>
            <w:vAlign w:val="center"/>
            <w:hideMark/>
          </w:tcPr>
          <w:p w14:paraId="7467821A" w14:textId="77777777" w:rsidR="00413923" w:rsidRPr="00D92E20" w:rsidRDefault="00413923" w:rsidP="00413923">
            <w:pPr>
              <w:spacing w:after="0" w:line="240" w:lineRule="auto"/>
              <w:jc w:val="right"/>
              <w:rPr>
                <w:rFonts w:cs="Arial"/>
                <w:sz w:val="16"/>
                <w:szCs w:val="16"/>
              </w:rPr>
            </w:pPr>
            <w:r w:rsidRPr="00D92E20">
              <w:rPr>
                <w:rFonts w:cs="Arial"/>
                <w:sz w:val="16"/>
                <w:szCs w:val="16"/>
              </w:rPr>
              <w:t>2 510,8</w:t>
            </w:r>
          </w:p>
        </w:tc>
        <w:tc>
          <w:tcPr>
            <w:tcW w:w="907" w:type="dxa"/>
            <w:tcBorders>
              <w:top w:val="nil"/>
              <w:left w:val="nil"/>
              <w:bottom w:val="nil"/>
              <w:right w:val="nil"/>
            </w:tcBorders>
            <w:shd w:val="clear" w:color="auto" w:fill="auto"/>
            <w:noWrap/>
            <w:vAlign w:val="center"/>
            <w:hideMark/>
          </w:tcPr>
          <w:p w14:paraId="41F7037A" w14:textId="77777777" w:rsidR="00413923" w:rsidRPr="00D92E20" w:rsidRDefault="00413923" w:rsidP="00413923">
            <w:pPr>
              <w:spacing w:after="0" w:line="240" w:lineRule="auto"/>
              <w:jc w:val="right"/>
              <w:rPr>
                <w:rFonts w:cs="Arial"/>
                <w:sz w:val="16"/>
                <w:szCs w:val="16"/>
              </w:rPr>
            </w:pPr>
            <w:r w:rsidRPr="00D92E20">
              <w:rPr>
                <w:rFonts w:cs="Arial"/>
                <w:sz w:val="16"/>
                <w:szCs w:val="16"/>
              </w:rPr>
              <w:t>2 131,2</w:t>
            </w:r>
          </w:p>
        </w:tc>
        <w:tc>
          <w:tcPr>
            <w:tcW w:w="907" w:type="dxa"/>
            <w:tcBorders>
              <w:top w:val="nil"/>
              <w:left w:val="nil"/>
              <w:bottom w:val="nil"/>
              <w:right w:val="nil"/>
            </w:tcBorders>
            <w:shd w:val="clear" w:color="auto" w:fill="auto"/>
            <w:noWrap/>
            <w:vAlign w:val="center"/>
            <w:hideMark/>
          </w:tcPr>
          <w:p w14:paraId="3C4D25AE" w14:textId="77777777" w:rsidR="00413923" w:rsidRPr="00D92E20" w:rsidRDefault="00413923" w:rsidP="00413923">
            <w:pPr>
              <w:spacing w:after="0" w:line="240" w:lineRule="auto"/>
              <w:jc w:val="right"/>
              <w:rPr>
                <w:rFonts w:cs="Arial"/>
                <w:sz w:val="16"/>
                <w:szCs w:val="16"/>
              </w:rPr>
            </w:pPr>
            <w:r w:rsidRPr="00D92E20">
              <w:rPr>
                <w:rFonts w:cs="Arial"/>
                <w:sz w:val="16"/>
                <w:szCs w:val="16"/>
              </w:rPr>
              <w:t>2 285,9</w:t>
            </w:r>
          </w:p>
        </w:tc>
      </w:tr>
      <w:tr w:rsidR="00413923" w:rsidRPr="00D92E20" w14:paraId="40886610" w14:textId="77777777" w:rsidTr="00413923">
        <w:trPr>
          <w:trHeight w:val="300"/>
        </w:trPr>
        <w:tc>
          <w:tcPr>
            <w:tcW w:w="1417" w:type="dxa"/>
            <w:tcBorders>
              <w:top w:val="nil"/>
              <w:left w:val="nil"/>
              <w:bottom w:val="nil"/>
              <w:right w:val="nil"/>
            </w:tcBorders>
            <w:shd w:val="clear" w:color="auto" w:fill="auto"/>
            <w:noWrap/>
            <w:vAlign w:val="center"/>
            <w:hideMark/>
          </w:tcPr>
          <w:p w14:paraId="24BD277F"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Maďarsko</w:t>
            </w:r>
          </w:p>
        </w:tc>
        <w:tc>
          <w:tcPr>
            <w:tcW w:w="907" w:type="dxa"/>
            <w:tcBorders>
              <w:top w:val="nil"/>
              <w:left w:val="single" w:sz="4" w:space="0" w:color="000000"/>
              <w:bottom w:val="nil"/>
              <w:right w:val="nil"/>
            </w:tcBorders>
            <w:shd w:val="clear" w:color="auto" w:fill="auto"/>
            <w:noWrap/>
            <w:vAlign w:val="center"/>
            <w:hideMark/>
          </w:tcPr>
          <w:p w14:paraId="07A0ECC3" w14:textId="77777777" w:rsidR="00413923" w:rsidRPr="00D92E20" w:rsidRDefault="00413923" w:rsidP="00413923">
            <w:pPr>
              <w:spacing w:after="0" w:line="240" w:lineRule="auto"/>
              <w:jc w:val="right"/>
              <w:rPr>
                <w:rFonts w:cs="Arial"/>
                <w:sz w:val="16"/>
                <w:szCs w:val="16"/>
              </w:rPr>
            </w:pPr>
            <w:r w:rsidRPr="00D92E20">
              <w:rPr>
                <w:rFonts w:cs="Arial"/>
                <w:sz w:val="16"/>
                <w:szCs w:val="16"/>
              </w:rPr>
              <w:t>546,3</w:t>
            </w:r>
          </w:p>
        </w:tc>
        <w:tc>
          <w:tcPr>
            <w:tcW w:w="907" w:type="dxa"/>
            <w:tcBorders>
              <w:top w:val="nil"/>
              <w:left w:val="nil"/>
              <w:bottom w:val="nil"/>
              <w:right w:val="nil"/>
            </w:tcBorders>
            <w:shd w:val="clear" w:color="auto" w:fill="auto"/>
            <w:noWrap/>
            <w:vAlign w:val="center"/>
            <w:hideMark/>
          </w:tcPr>
          <w:p w14:paraId="43A79C1A" w14:textId="77777777" w:rsidR="00413923" w:rsidRPr="00D92E20" w:rsidRDefault="00413923" w:rsidP="00413923">
            <w:pPr>
              <w:spacing w:after="0" w:line="240" w:lineRule="auto"/>
              <w:jc w:val="right"/>
              <w:rPr>
                <w:rFonts w:cs="Arial"/>
                <w:sz w:val="16"/>
                <w:szCs w:val="16"/>
              </w:rPr>
            </w:pPr>
            <w:r w:rsidRPr="00D92E20">
              <w:rPr>
                <w:rFonts w:cs="Arial"/>
                <w:sz w:val="16"/>
                <w:szCs w:val="16"/>
              </w:rPr>
              <w:t>531,1</w:t>
            </w:r>
          </w:p>
        </w:tc>
        <w:tc>
          <w:tcPr>
            <w:tcW w:w="907" w:type="dxa"/>
            <w:tcBorders>
              <w:top w:val="nil"/>
              <w:left w:val="nil"/>
              <w:bottom w:val="nil"/>
              <w:right w:val="nil"/>
            </w:tcBorders>
            <w:shd w:val="clear" w:color="auto" w:fill="auto"/>
            <w:noWrap/>
            <w:vAlign w:val="center"/>
            <w:hideMark/>
          </w:tcPr>
          <w:p w14:paraId="101C722E" w14:textId="77777777" w:rsidR="00413923" w:rsidRPr="00D92E20" w:rsidRDefault="00413923" w:rsidP="00413923">
            <w:pPr>
              <w:spacing w:after="0" w:line="240" w:lineRule="auto"/>
              <w:jc w:val="right"/>
              <w:rPr>
                <w:rFonts w:cs="Arial"/>
                <w:sz w:val="16"/>
                <w:szCs w:val="16"/>
              </w:rPr>
            </w:pPr>
            <w:r w:rsidRPr="00D92E20">
              <w:rPr>
                <w:rFonts w:cs="Arial"/>
                <w:sz w:val="16"/>
                <w:szCs w:val="16"/>
              </w:rPr>
              <w:t>534,4</w:t>
            </w:r>
          </w:p>
        </w:tc>
        <w:tc>
          <w:tcPr>
            <w:tcW w:w="907" w:type="dxa"/>
            <w:tcBorders>
              <w:top w:val="nil"/>
              <w:left w:val="nil"/>
              <w:bottom w:val="nil"/>
              <w:right w:val="nil"/>
            </w:tcBorders>
            <w:shd w:val="clear" w:color="auto" w:fill="auto"/>
            <w:noWrap/>
            <w:vAlign w:val="center"/>
            <w:hideMark/>
          </w:tcPr>
          <w:p w14:paraId="2E55154B" w14:textId="77777777" w:rsidR="00413923" w:rsidRPr="00D92E20" w:rsidRDefault="00413923" w:rsidP="00413923">
            <w:pPr>
              <w:spacing w:after="0" w:line="240" w:lineRule="auto"/>
              <w:jc w:val="right"/>
              <w:rPr>
                <w:rFonts w:cs="Arial"/>
                <w:sz w:val="16"/>
                <w:szCs w:val="16"/>
              </w:rPr>
            </w:pPr>
            <w:r w:rsidRPr="00D92E20">
              <w:rPr>
                <w:rFonts w:cs="Arial"/>
                <w:sz w:val="16"/>
                <w:szCs w:val="16"/>
              </w:rPr>
              <w:t>487,2</w:t>
            </w:r>
          </w:p>
        </w:tc>
        <w:tc>
          <w:tcPr>
            <w:tcW w:w="907" w:type="dxa"/>
            <w:tcBorders>
              <w:top w:val="nil"/>
              <w:left w:val="nil"/>
              <w:bottom w:val="nil"/>
              <w:right w:val="nil"/>
            </w:tcBorders>
            <w:shd w:val="clear" w:color="auto" w:fill="auto"/>
            <w:noWrap/>
            <w:vAlign w:val="center"/>
            <w:hideMark/>
          </w:tcPr>
          <w:p w14:paraId="111EBC22" w14:textId="77777777" w:rsidR="00413923" w:rsidRPr="00D92E20" w:rsidRDefault="00413923" w:rsidP="00413923">
            <w:pPr>
              <w:spacing w:after="0" w:line="240" w:lineRule="auto"/>
              <w:jc w:val="right"/>
              <w:rPr>
                <w:rFonts w:cs="Arial"/>
                <w:sz w:val="16"/>
                <w:szCs w:val="16"/>
              </w:rPr>
            </w:pPr>
            <w:r w:rsidRPr="00D92E20">
              <w:rPr>
                <w:rFonts w:cs="Arial"/>
                <w:sz w:val="16"/>
                <w:szCs w:val="16"/>
              </w:rPr>
              <w:t>549,0</w:t>
            </w:r>
          </w:p>
        </w:tc>
        <w:tc>
          <w:tcPr>
            <w:tcW w:w="907" w:type="dxa"/>
            <w:tcBorders>
              <w:top w:val="nil"/>
              <w:left w:val="nil"/>
              <w:bottom w:val="nil"/>
              <w:right w:val="nil"/>
            </w:tcBorders>
            <w:shd w:val="clear" w:color="auto" w:fill="auto"/>
            <w:noWrap/>
            <w:vAlign w:val="center"/>
            <w:hideMark/>
          </w:tcPr>
          <w:p w14:paraId="63242EAE" w14:textId="77777777" w:rsidR="00413923" w:rsidRPr="00D92E20" w:rsidRDefault="00413923" w:rsidP="00413923">
            <w:pPr>
              <w:spacing w:after="0" w:line="240" w:lineRule="auto"/>
              <w:jc w:val="right"/>
              <w:rPr>
                <w:rFonts w:cs="Arial"/>
                <w:sz w:val="16"/>
                <w:szCs w:val="16"/>
              </w:rPr>
            </w:pPr>
            <w:r w:rsidRPr="00D92E20">
              <w:rPr>
                <w:rFonts w:cs="Arial"/>
                <w:sz w:val="16"/>
                <w:szCs w:val="16"/>
              </w:rPr>
              <w:t>569,2</w:t>
            </w:r>
          </w:p>
        </w:tc>
        <w:tc>
          <w:tcPr>
            <w:tcW w:w="907" w:type="dxa"/>
            <w:tcBorders>
              <w:top w:val="nil"/>
              <w:left w:val="nil"/>
              <w:bottom w:val="nil"/>
              <w:right w:val="nil"/>
            </w:tcBorders>
            <w:shd w:val="clear" w:color="auto" w:fill="auto"/>
            <w:noWrap/>
            <w:vAlign w:val="center"/>
            <w:hideMark/>
          </w:tcPr>
          <w:p w14:paraId="7E1FAA3D" w14:textId="77777777" w:rsidR="00413923" w:rsidRPr="00D92E20" w:rsidRDefault="00413923" w:rsidP="00413923">
            <w:pPr>
              <w:spacing w:after="0" w:line="240" w:lineRule="auto"/>
              <w:jc w:val="right"/>
              <w:rPr>
                <w:rFonts w:cs="Arial"/>
                <w:sz w:val="16"/>
                <w:szCs w:val="16"/>
              </w:rPr>
            </w:pPr>
            <w:r w:rsidRPr="00D92E20">
              <w:rPr>
                <w:rFonts w:cs="Arial"/>
                <w:sz w:val="16"/>
                <w:szCs w:val="16"/>
              </w:rPr>
              <w:t>722,2</w:t>
            </w:r>
          </w:p>
        </w:tc>
        <w:tc>
          <w:tcPr>
            <w:tcW w:w="907" w:type="dxa"/>
            <w:tcBorders>
              <w:top w:val="nil"/>
              <w:left w:val="nil"/>
              <w:bottom w:val="nil"/>
              <w:right w:val="nil"/>
            </w:tcBorders>
            <w:shd w:val="clear" w:color="auto" w:fill="auto"/>
            <w:noWrap/>
            <w:vAlign w:val="center"/>
            <w:hideMark/>
          </w:tcPr>
          <w:p w14:paraId="1FD2EEFB" w14:textId="77777777" w:rsidR="00413923" w:rsidRPr="00D92E20" w:rsidRDefault="00413923" w:rsidP="00413923">
            <w:pPr>
              <w:spacing w:after="0" w:line="240" w:lineRule="auto"/>
              <w:jc w:val="right"/>
              <w:rPr>
                <w:rFonts w:cs="Arial"/>
                <w:sz w:val="16"/>
                <w:szCs w:val="16"/>
              </w:rPr>
            </w:pPr>
            <w:r w:rsidRPr="00D92E20">
              <w:rPr>
                <w:rFonts w:cs="Arial"/>
                <w:sz w:val="16"/>
                <w:szCs w:val="16"/>
              </w:rPr>
              <w:t>639,7</w:t>
            </w:r>
          </w:p>
        </w:tc>
        <w:tc>
          <w:tcPr>
            <w:tcW w:w="907" w:type="dxa"/>
            <w:tcBorders>
              <w:top w:val="nil"/>
              <w:left w:val="nil"/>
              <w:bottom w:val="nil"/>
              <w:right w:val="nil"/>
            </w:tcBorders>
            <w:shd w:val="clear" w:color="auto" w:fill="auto"/>
            <w:noWrap/>
            <w:vAlign w:val="center"/>
            <w:hideMark/>
          </w:tcPr>
          <w:p w14:paraId="7A26E0BB" w14:textId="77777777" w:rsidR="00413923" w:rsidRPr="00D92E20" w:rsidRDefault="00413923" w:rsidP="00413923">
            <w:pPr>
              <w:spacing w:after="0" w:line="240" w:lineRule="auto"/>
              <w:jc w:val="right"/>
              <w:rPr>
                <w:rFonts w:cs="Arial"/>
                <w:sz w:val="16"/>
                <w:szCs w:val="16"/>
              </w:rPr>
            </w:pPr>
            <w:r w:rsidRPr="00D92E20">
              <w:rPr>
                <w:rFonts w:cs="Arial"/>
                <w:sz w:val="16"/>
                <w:szCs w:val="16"/>
              </w:rPr>
              <w:t>596,0</w:t>
            </w:r>
          </w:p>
        </w:tc>
      </w:tr>
      <w:tr w:rsidR="00413923" w:rsidRPr="00D92E20" w14:paraId="5443201B" w14:textId="77777777" w:rsidTr="00413923">
        <w:trPr>
          <w:trHeight w:val="300"/>
        </w:trPr>
        <w:tc>
          <w:tcPr>
            <w:tcW w:w="1417" w:type="dxa"/>
            <w:tcBorders>
              <w:top w:val="nil"/>
              <w:left w:val="nil"/>
              <w:bottom w:val="nil"/>
              <w:right w:val="nil"/>
            </w:tcBorders>
            <w:shd w:val="clear" w:color="auto" w:fill="auto"/>
            <w:noWrap/>
            <w:vAlign w:val="center"/>
            <w:hideMark/>
          </w:tcPr>
          <w:p w14:paraId="4BC03EAA"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Malta</w:t>
            </w:r>
          </w:p>
        </w:tc>
        <w:tc>
          <w:tcPr>
            <w:tcW w:w="907" w:type="dxa"/>
            <w:tcBorders>
              <w:top w:val="nil"/>
              <w:left w:val="single" w:sz="4" w:space="0" w:color="000000"/>
              <w:bottom w:val="nil"/>
              <w:right w:val="nil"/>
            </w:tcBorders>
            <w:shd w:val="clear" w:color="auto" w:fill="auto"/>
            <w:noWrap/>
            <w:vAlign w:val="center"/>
            <w:hideMark/>
          </w:tcPr>
          <w:p w14:paraId="2930EB35" w14:textId="77777777" w:rsidR="00413923" w:rsidRPr="00D92E20" w:rsidRDefault="00413923" w:rsidP="00413923">
            <w:pPr>
              <w:spacing w:after="0" w:line="240" w:lineRule="auto"/>
              <w:jc w:val="right"/>
              <w:rPr>
                <w:rFonts w:cs="Arial"/>
                <w:sz w:val="16"/>
                <w:szCs w:val="16"/>
              </w:rPr>
            </w:pPr>
            <w:r w:rsidRPr="00D92E20">
              <w:rPr>
                <w:rFonts w:cs="Arial"/>
                <w:sz w:val="16"/>
                <w:szCs w:val="16"/>
              </w:rPr>
              <w:t>2 080,9</w:t>
            </w:r>
          </w:p>
        </w:tc>
        <w:tc>
          <w:tcPr>
            <w:tcW w:w="907" w:type="dxa"/>
            <w:tcBorders>
              <w:top w:val="nil"/>
              <w:left w:val="nil"/>
              <w:bottom w:val="nil"/>
              <w:right w:val="nil"/>
            </w:tcBorders>
            <w:shd w:val="clear" w:color="auto" w:fill="auto"/>
            <w:noWrap/>
            <w:vAlign w:val="center"/>
            <w:hideMark/>
          </w:tcPr>
          <w:p w14:paraId="54BC15DD" w14:textId="77777777" w:rsidR="00413923" w:rsidRPr="00D92E20" w:rsidRDefault="00413923" w:rsidP="00413923">
            <w:pPr>
              <w:spacing w:after="0" w:line="240" w:lineRule="auto"/>
              <w:jc w:val="right"/>
              <w:rPr>
                <w:rFonts w:cs="Arial"/>
                <w:sz w:val="16"/>
                <w:szCs w:val="16"/>
              </w:rPr>
            </w:pPr>
            <w:r w:rsidRPr="00D92E20">
              <w:rPr>
                <w:rFonts w:cs="Arial"/>
                <w:sz w:val="16"/>
                <w:szCs w:val="16"/>
              </w:rPr>
              <w:t>1 848,0</w:t>
            </w:r>
          </w:p>
        </w:tc>
        <w:tc>
          <w:tcPr>
            <w:tcW w:w="907" w:type="dxa"/>
            <w:tcBorders>
              <w:top w:val="nil"/>
              <w:left w:val="nil"/>
              <w:bottom w:val="nil"/>
              <w:right w:val="nil"/>
            </w:tcBorders>
            <w:shd w:val="clear" w:color="auto" w:fill="auto"/>
            <w:noWrap/>
            <w:vAlign w:val="center"/>
            <w:hideMark/>
          </w:tcPr>
          <w:p w14:paraId="4E9F8F4F" w14:textId="77777777" w:rsidR="00413923" w:rsidRPr="00D92E20" w:rsidRDefault="00413923" w:rsidP="00413923">
            <w:pPr>
              <w:spacing w:after="0" w:line="240" w:lineRule="auto"/>
              <w:jc w:val="right"/>
              <w:rPr>
                <w:rFonts w:cs="Arial"/>
                <w:sz w:val="16"/>
                <w:szCs w:val="16"/>
              </w:rPr>
            </w:pPr>
            <w:r w:rsidRPr="00D92E20">
              <w:rPr>
                <w:rFonts w:cs="Arial"/>
                <w:sz w:val="16"/>
                <w:szCs w:val="16"/>
              </w:rPr>
              <w:t>2 008,7</w:t>
            </w:r>
          </w:p>
        </w:tc>
        <w:tc>
          <w:tcPr>
            <w:tcW w:w="907" w:type="dxa"/>
            <w:tcBorders>
              <w:top w:val="nil"/>
              <w:left w:val="nil"/>
              <w:bottom w:val="nil"/>
              <w:right w:val="nil"/>
            </w:tcBorders>
            <w:shd w:val="clear" w:color="auto" w:fill="auto"/>
            <w:noWrap/>
            <w:vAlign w:val="center"/>
            <w:hideMark/>
          </w:tcPr>
          <w:p w14:paraId="5A49A33D" w14:textId="77777777" w:rsidR="00413923" w:rsidRPr="00D92E20" w:rsidRDefault="00413923" w:rsidP="00413923">
            <w:pPr>
              <w:spacing w:after="0" w:line="240" w:lineRule="auto"/>
              <w:jc w:val="right"/>
              <w:rPr>
                <w:rFonts w:cs="Arial"/>
                <w:sz w:val="16"/>
                <w:szCs w:val="16"/>
              </w:rPr>
            </w:pPr>
            <w:r w:rsidRPr="00D92E20">
              <w:rPr>
                <w:rFonts w:cs="Arial"/>
                <w:sz w:val="16"/>
                <w:szCs w:val="16"/>
              </w:rPr>
              <w:t>1 888,1</w:t>
            </w:r>
          </w:p>
        </w:tc>
        <w:tc>
          <w:tcPr>
            <w:tcW w:w="907" w:type="dxa"/>
            <w:tcBorders>
              <w:top w:val="nil"/>
              <w:left w:val="nil"/>
              <w:bottom w:val="nil"/>
              <w:right w:val="nil"/>
            </w:tcBorders>
            <w:shd w:val="clear" w:color="auto" w:fill="auto"/>
            <w:noWrap/>
            <w:vAlign w:val="center"/>
            <w:hideMark/>
          </w:tcPr>
          <w:p w14:paraId="56083752" w14:textId="77777777" w:rsidR="00413923" w:rsidRPr="00D92E20" w:rsidRDefault="00413923" w:rsidP="00413923">
            <w:pPr>
              <w:spacing w:after="0" w:line="240" w:lineRule="auto"/>
              <w:jc w:val="right"/>
              <w:rPr>
                <w:rFonts w:cs="Arial"/>
                <w:sz w:val="16"/>
                <w:szCs w:val="16"/>
              </w:rPr>
            </w:pPr>
            <w:r w:rsidRPr="00D92E20">
              <w:rPr>
                <w:rFonts w:cs="Arial"/>
                <w:sz w:val="16"/>
                <w:szCs w:val="16"/>
              </w:rPr>
              <w:t>1 863,7</w:t>
            </w:r>
          </w:p>
        </w:tc>
        <w:tc>
          <w:tcPr>
            <w:tcW w:w="907" w:type="dxa"/>
            <w:tcBorders>
              <w:top w:val="nil"/>
              <w:left w:val="nil"/>
              <w:bottom w:val="nil"/>
              <w:right w:val="nil"/>
            </w:tcBorders>
            <w:shd w:val="clear" w:color="auto" w:fill="auto"/>
            <w:noWrap/>
            <w:vAlign w:val="center"/>
            <w:hideMark/>
          </w:tcPr>
          <w:p w14:paraId="143F2EAA" w14:textId="77777777" w:rsidR="00413923" w:rsidRPr="00D92E20" w:rsidRDefault="00413923" w:rsidP="00413923">
            <w:pPr>
              <w:spacing w:after="0" w:line="240" w:lineRule="auto"/>
              <w:jc w:val="right"/>
              <w:rPr>
                <w:rFonts w:cs="Arial"/>
                <w:sz w:val="16"/>
                <w:szCs w:val="16"/>
              </w:rPr>
            </w:pPr>
            <w:r w:rsidRPr="00D92E20">
              <w:rPr>
                <w:rFonts w:cs="Arial"/>
                <w:sz w:val="16"/>
                <w:szCs w:val="16"/>
              </w:rPr>
              <w:t>1 675,0</w:t>
            </w:r>
          </w:p>
        </w:tc>
        <w:tc>
          <w:tcPr>
            <w:tcW w:w="907" w:type="dxa"/>
            <w:tcBorders>
              <w:top w:val="nil"/>
              <w:left w:val="nil"/>
              <w:bottom w:val="nil"/>
              <w:right w:val="nil"/>
            </w:tcBorders>
            <w:shd w:val="clear" w:color="auto" w:fill="auto"/>
            <w:noWrap/>
            <w:vAlign w:val="center"/>
            <w:hideMark/>
          </w:tcPr>
          <w:p w14:paraId="56EDFC7C" w14:textId="77777777" w:rsidR="00413923" w:rsidRPr="00D92E20" w:rsidRDefault="00413923" w:rsidP="00413923">
            <w:pPr>
              <w:spacing w:after="0" w:line="240" w:lineRule="auto"/>
              <w:jc w:val="right"/>
              <w:rPr>
                <w:rFonts w:cs="Arial"/>
                <w:sz w:val="16"/>
                <w:szCs w:val="16"/>
              </w:rPr>
            </w:pPr>
            <w:r w:rsidRPr="00D92E20">
              <w:rPr>
                <w:rFonts w:cs="Arial"/>
                <w:sz w:val="16"/>
                <w:szCs w:val="16"/>
              </w:rPr>
              <w:t>1 507,4</w:t>
            </w:r>
          </w:p>
        </w:tc>
        <w:tc>
          <w:tcPr>
            <w:tcW w:w="907" w:type="dxa"/>
            <w:tcBorders>
              <w:top w:val="nil"/>
              <w:left w:val="nil"/>
              <w:bottom w:val="nil"/>
              <w:right w:val="nil"/>
            </w:tcBorders>
            <w:shd w:val="clear" w:color="auto" w:fill="auto"/>
            <w:noWrap/>
            <w:vAlign w:val="center"/>
            <w:hideMark/>
          </w:tcPr>
          <w:p w14:paraId="02FBFAE4" w14:textId="77777777" w:rsidR="00413923" w:rsidRPr="00D92E20" w:rsidRDefault="00413923" w:rsidP="00413923">
            <w:pPr>
              <w:spacing w:after="0" w:line="240" w:lineRule="auto"/>
              <w:jc w:val="right"/>
              <w:rPr>
                <w:rFonts w:cs="Arial"/>
                <w:sz w:val="16"/>
                <w:szCs w:val="16"/>
              </w:rPr>
            </w:pPr>
            <w:r w:rsidRPr="00D92E20">
              <w:rPr>
                <w:rFonts w:cs="Arial"/>
                <w:sz w:val="16"/>
                <w:szCs w:val="16"/>
              </w:rPr>
              <w:t>1 057,5</w:t>
            </w:r>
          </w:p>
        </w:tc>
        <w:tc>
          <w:tcPr>
            <w:tcW w:w="907" w:type="dxa"/>
            <w:tcBorders>
              <w:top w:val="nil"/>
              <w:left w:val="nil"/>
              <w:bottom w:val="nil"/>
              <w:right w:val="nil"/>
            </w:tcBorders>
            <w:shd w:val="clear" w:color="auto" w:fill="auto"/>
            <w:noWrap/>
            <w:vAlign w:val="center"/>
            <w:hideMark/>
          </w:tcPr>
          <w:p w14:paraId="17D4A824" w14:textId="77777777" w:rsidR="00413923" w:rsidRPr="00D92E20" w:rsidRDefault="00413923" w:rsidP="00413923">
            <w:pPr>
              <w:spacing w:after="0" w:line="240" w:lineRule="auto"/>
              <w:jc w:val="right"/>
              <w:rPr>
                <w:rFonts w:cs="Arial"/>
                <w:sz w:val="16"/>
                <w:szCs w:val="16"/>
              </w:rPr>
            </w:pPr>
            <w:r w:rsidRPr="00D92E20">
              <w:rPr>
                <w:rFonts w:cs="Arial"/>
                <w:sz w:val="16"/>
                <w:szCs w:val="16"/>
              </w:rPr>
              <w:t>1 202,4</w:t>
            </w:r>
          </w:p>
        </w:tc>
      </w:tr>
      <w:tr w:rsidR="00413923" w:rsidRPr="00D92E20" w14:paraId="05FAD723" w14:textId="77777777" w:rsidTr="00413923">
        <w:trPr>
          <w:trHeight w:val="300"/>
        </w:trPr>
        <w:tc>
          <w:tcPr>
            <w:tcW w:w="1417" w:type="dxa"/>
            <w:tcBorders>
              <w:top w:val="nil"/>
              <w:left w:val="nil"/>
              <w:bottom w:val="nil"/>
              <w:right w:val="nil"/>
            </w:tcBorders>
            <w:shd w:val="clear" w:color="auto" w:fill="auto"/>
            <w:noWrap/>
            <w:vAlign w:val="center"/>
            <w:hideMark/>
          </w:tcPr>
          <w:p w14:paraId="2E33910A"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Německo</w:t>
            </w:r>
          </w:p>
        </w:tc>
        <w:tc>
          <w:tcPr>
            <w:tcW w:w="907" w:type="dxa"/>
            <w:tcBorders>
              <w:top w:val="nil"/>
              <w:left w:val="single" w:sz="4" w:space="0" w:color="000000"/>
              <w:bottom w:val="nil"/>
              <w:right w:val="nil"/>
            </w:tcBorders>
            <w:shd w:val="clear" w:color="auto" w:fill="auto"/>
            <w:noWrap/>
            <w:vAlign w:val="center"/>
            <w:hideMark/>
          </w:tcPr>
          <w:p w14:paraId="0B4FEF53" w14:textId="77777777" w:rsidR="00413923" w:rsidRPr="00D92E20" w:rsidRDefault="00413923" w:rsidP="00413923">
            <w:pPr>
              <w:spacing w:after="0" w:line="240" w:lineRule="auto"/>
              <w:jc w:val="right"/>
              <w:rPr>
                <w:rFonts w:cs="Arial"/>
                <w:sz w:val="16"/>
                <w:szCs w:val="16"/>
              </w:rPr>
            </w:pPr>
            <w:r w:rsidRPr="00D92E20">
              <w:rPr>
                <w:rFonts w:cs="Arial"/>
                <w:sz w:val="16"/>
                <w:szCs w:val="16"/>
              </w:rPr>
              <w:t>2 226,3</w:t>
            </w:r>
          </w:p>
        </w:tc>
        <w:tc>
          <w:tcPr>
            <w:tcW w:w="907" w:type="dxa"/>
            <w:tcBorders>
              <w:top w:val="nil"/>
              <w:left w:val="nil"/>
              <w:bottom w:val="nil"/>
              <w:right w:val="nil"/>
            </w:tcBorders>
            <w:shd w:val="clear" w:color="auto" w:fill="auto"/>
            <w:noWrap/>
            <w:vAlign w:val="center"/>
            <w:hideMark/>
          </w:tcPr>
          <w:p w14:paraId="149CE998" w14:textId="77777777" w:rsidR="00413923" w:rsidRPr="00D92E20" w:rsidRDefault="00413923" w:rsidP="00413923">
            <w:pPr>
              <w:spacing w:after="0" w:line="240" w:lineRule="auto"/>
              <w:jc w:val="right"/>
              <w:rPr>
                <w:rFonts w:cs="Arial"/>
                <w:sz w:val="16"/>
                <w:szCs w:val="16"/>
              </w:rPr>
            </w:pPr>
            <w:r w:rsidRPr="00D92E20">
              <w:rPr>
                <w:rFonts w:cs="Arial"/>
                <w:sz w:val="16"/>
                <w:szCs w:val="16"/>
              </w:rPr>
              <w:t>2 369,1</w:t>
            </w:r>
          </w:p>
        </w:tc>
        <w:tc>
          <w:tcPr>
            <w:tcW w:w="907" w:type="dxa"/>
            <w:tcBorders>
              <w:top w:val="nil"/>
              <w:left w:val="nil"/>
              <w:bottom w:val="nil"/>
              <w:right w:val="nil"/>
            </w:tcBorders>
            <w:shd w:val="clear" w:color="auto" w:fill="auto"/>
            <w:noWrap/>
            <w:vAlign w:val="center"/>
            <w:hideMark/>
          </w:tcPr>
          <w:p w14:paraId="62BA26A9" w14:textId="77777777" w:rsidR="00413923" w:rsidRPr="00D92E20" w:rsidRDefault="00413923" w:rsidP="00413923">
            <w:pPr>
              <w:spacing w:after="0" w:line="240" w:lineRule="auto"/>
              <w:jc w:val="right"/>
              <w:rPr>
                <w:rFonts w:cs="Arial"/>
                <w:sz w:val="16"/>
                <w:szCs w:val="16"/>
              </w:rPr>
            </w:pPr>
            <w:r w:rsidRPr="00D92E20">
              <w:rPr>
                <w:rFonts w:cs="Arial"/>
                <w:sz w:val="16"/>
                <w:szCs w:val="16"/>
              </w:rPr>
              <w:t>2 202,5</w:t>
            </w:r>
          </w:p>
        </w:tc>
        <w:tc>
          <w:tcPr>
            <w:tcW w:w="907" w:type="dxa"/>
            <w:tcBorders>
              <w:top w:val="nil"/>
              <w:left w:val="nil"/>
              <w:bottom w:val="nil"/>
              <w:right w:val="nil"/>
            </w:tcBorders>
            <w:shd w:val="clear" w:color="auto" w:fill="auto"/>
            <w:noWrap/>
            <w:vAlign w:val="center"/>
            <w:hideMark/>
          </w:tcPr>
          <w:p w14:paraId="1A6A1550" w14:textId="77777777" w:rsidR="00413923" w:rsidRPr="00D92E20" w:rsidRDefault="00413923" w:rsidP="00413923">
            <w:pPr>
              <w:spacing w:after="0" w:line="240" w:lineRule="auto"/>
              <w:jc w:val="right"/>
              <w:rPr>
                <w:rFonts w:cs="Arial"/>
                <w:sz w:val="16"/>
                <w:szCs w:val="16"/>
              </w:rPr>
            </w:pPr>
            <w:r w:rsidRPr="00D92E20">
              <w:rPr>
                <w:rFonts w:cs="Arial"/>
                <w:sz w:val="16"/>
                <w:szCs w:val="16"/>
              </w:rPr>
              <w:t>2 178,4</w:t>
            </w:r>
          </w:p>
        </w:tc>
        <w:tc>
          <w:tcPr>
            <w:tcW w:w="907" w:type="dxa"/>
            <w:tcBorders>
              <w:top w:val="nil"/>
              <w:left w:val="nil"/>
              <w:bottom w:val="nil"/>
              <w:right w:val="nil"/>
            </w:tcBorders>
            <w:shd w:val="clear" w:color="auto" w:fill="auto"/>
            <w:noWrap/>
            <w:vAlign w:val="center"/>
            <w:hideMark/>
          </w:tcPr>
          <w:p w14:paraId="72C05176" w14:textId="77777777" w:rsidR="00413923" w:rsidRPr="00D92E20" w:rsidRDefault="00413923" w:rsidP="00413923">
            <w:pPr>
              <w:spacing w:after="0" w:line="240" w:lineRule="auto"/>
              <w:jc w:val="right"/>
              <w:rPr>
                <w:rFonts w:cs="Arial"/>
                <w:sz w:val="16"/>
                <w:szCs w:val="16"/>
              </w:rPr>
            </w:pPr>
            <w:r w:rsidRPr="00D92E20">
              <w:rPr>
                <w:rFonts w:cs="Arial"/>
                <w:sz w:val="16"/>
                <w:szCs w:val="16"/>
              </w:rPr>
              <w:t>2 124,2</w:t>
            </w:r>
          </w:p>
        </w:tc>
        <w:tc>
          <w:tcPr>
            <w:tcW w:w="907" w:type="dxa"/>
            <w:tcBorders>
              <w:top w:val="nil"/>
              <w:left w:val="nil"/>
              <w:bottom w:val="nil"/>
              <w:right w:val="nil"/>
            </w:tcBorders>
            <w:shd w:val="clear" w:color="auto" w:fill="auto"/>
            <w:noWrap/>
            <w:vAlign w:val="center"/>
            <w:hideMark/>
          </w:tcPr>
          <w:p w14:paraId="57020CEF" w14:textId="77777777" w:rsidR="00413923" w:rsidRPr="00D92E20" w:rsidRDefault="00413923" w:rsidP="00413923">
            <w:pPr>
              <w:spacing w:after="0" w:line="240" w:lineRule="auto"/>
              <w:jc w:val="right"/>
              <w:rPr>
                <w:rFonts w:cs="Arial"/>
                <w:sz w:val="16"/>
                <w:szCs w:val="16"/>
              </w:rPr>
            </w:pPr>
            <w:r w:rsidRPr="00D92E20">
              <w:rPr>
                <w:rFonts w:cs="Arial"/>
                <w:sz w:val="16"/>
                <w:szCs w:val="16"/>
              </w:rPr>
              <w:t>2 096,8</w:t>
            </w:r>
          </w:p>
        </w:tc>
        <w:tc>
          <w:tcPr>
            <w:tcW w:w="907" w:type="dxa"/>
            <w:tcBorders>
              <w:top w:val="nil"/>
              <w:left w:val="nil"/>
              <w:bottom w:val="nil"/>
              <w:right w:val="nil"/>
            </w:tcBorders>
            <w:shd w:val="clear" w:color="auto" w:fill="auto"/>
            <w:noWrap/>
            <w:vAlign w:val="center"/>
            <w:hideMark/>
          </w:tcPr>
          <w:p w14:paraId="04B70A6A" w14:textId="77777777" w:rsidR="00413923" w:rsidRPr="00D92E20" w:rsidRDefault="00413923" w:rsidP="00413923">
            <w:pPr>
              <w:spacing w:after="0" w:line="240" w:lineRule="auto"/>
              <w:jc w:val="right"/>
              <w:rPr>
                <w:rFonts w:cs="Arial"/>
                <w:sz w:val="16"/>
                <w:szCs w:val="16"/>
              </w:rPr>
            </w:pPr>
            <w:r w:rsidRPr="00D92E20">
              <w:rPr>
                <w:rFonts w:cs="Arial"/>
                <w:sz w:val="16"/>
                <w:szCs w:val="16"/>
              </w:rPr>
              <w:t>2 079,9</w:t>
            </w:r>
          </w:p>
        </w:tc>
        <w:tc>
          <w:tcPr>
            <w:tcW w:w="907" w:type="dxa"/>
            <w:tcBorders>
              <w:top w:val="nil"/>
              <w:left w:val="nil"/>
              <w:bottom w:val="nil"/>
              <w:right w:val="nil"/>
            </w:tcBorders>
            <w:shd w:val="clear" w:color="auto" w:fill="auto"/>
            <w:noWrap/>
            <w:vAlign w:val="center"/>
            <w:hideMark/>
          </w:tcPr>
          <w:p w14:paraId="7D1732F6" w14:textId="77777777" w:rsidR="00413923" w:rsidRPr="00D92E20" w:rsidRDefault="00413923" w:rsidP="00413923">
            <w:pPr>
              <w:spacing w:after="0" w:line="240" w:lineRule="auto"/>
              <w:jc w:val="right"/>
              <w:rPr>
                <w:rFonts w:cs="Arial"/>
                <w:sz w:val="16"/>
                <w:szCs w:val="16"/>
              </w:rPr>
            </w:pPr>
            <w:r w:rsidRPr="00D92E20">
              <w:rPr>
                <w:rFonts w:cs="Arial"/>
                <w:sz w:val="16"/>
                <w:szCs w:val="16"/>
              </w:rPr>
              <w:t>2 058,1</w:t>
            </w:r>
          </w:p>
        </w:tc>
        <w:tc>
          <w:tcPr>
            <w:tcW w:w="907" w:type="dxa"/>
            <w:tcBorders>
              <w:top w:val="nil"/>
              <w:left w:val="nil"/>
              <w:bottom w:val="nil"/>
              <w:right w:val="nil"/>
            </w:tcBorders>
            <w:shd w:val="clear" w:color="auto" w:fill="auto"/>
            <w:noWrap/>
            <w:vAlign w:val="center"/>
            <w:hideMark/>
          </w:tcPr>
          <w:p w14:paraId="7E0AF8E1" w14:textId="77777777" w:rsidR="00413923" w:rsidRPr="00D92E20" w:rsidRDefault="00413923" w:rsidP="00413923">
            <w:pPr>
              <w:spacing w:after="0" w:line="240" w:lineRule="auto"/>
              <w:jc w:val="right"/>
              <w:rPr>
                <w:rFonts w:cs="Arial"/>
                <w:sz w:val="16"/>
                <w:szCs w:val="16"/>
              </w:rPr>
            </w:pPr>
            <w:r w:rsidRPr="00D92E20">
              <w:rPr>
                <w:rFonts w:cs="Arial"/>
                <w:sz w:val="16"/>
                <w:szCs w:val="16"/>
              </w:rPr>
              <w:t>1 985,8</w:t>
            </w:r>
          </w:p>
        </w:tc>
      </w:tr>
      <w:tr w:rsidR="00413923" w:rsidRPr="00D92E20" w14:paraId="779F70ED" w14:textId="77777777" w:rsidTr="00413923">
        <w:trPr>
          <w:trHeight w:val="300"/>
        </w:trPr>
        <w:tc>
          <w:tcPr>
            <w:tcW w:w="1417" w:type="dxa"/>
            <w:tcBorders>
              <w:top w:val="nil"/>
              <w:left w:val="nil"/>
              <w:bottom w:val="nil"/>
              <w:right w:val="nil"/>
            </w:tcBorders>
            <w:shd w:val="clear" w:color="auto" w:fill="auto"/>
            <w:noWrap/>
            <w:vAlign w:val="center"/>
            <w:hideMark/>
          </w:tcPr>
          <w:p w14:paraId="031C15E3"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Nizozemsko</w:t>
            </w:r>
          </w:p>
        </w:tc>
        <w:tc>
          <w:tcPr>
            <w:tcW w:w="907" w:type="dxa"/>
            <w:tcBorders>
              <w:top w:val="nil"/>
              <w:left w:val="single" w:sz="4" w:space="0" w:color="000000"/>
              <w:bottom w:val="nil"/>
              <w:right w:val="nil"/>
            </w:tcBorders>
            <w:shd w:val="clear" w:color="auto" w:fill="auto"/>
            <w:noWrap/>
            <w:vAlign w:val="center"/>
            <w:hideMark/>
          </w:tcPr>
          <w:p w14:paraId="67805378" w14:textId="77777777" w:rsidR="00413923" w:rsidRPr="00D92E20" w:rsidRDefault="00413923" w:rsidP="00413923">
            <w:pPr>
              <w:spacing w:after="0" w:line="240" w:lineRule="auto"/>
              <w:jc w:val="right"/>
              <w:rPr>
                <w:rFonts w:cs="Arial"/>
                <w:sz w:val="16"/>
                <w:szCs w:val="16"/>
              </w:rPr>
            </w:pPr>
            <w:r w:rsidRPr="00D92E20">
              <w:rPr>
                <w:rFonts w:cs="Arial"/>
                <w:sz w:val="16"/>
                <w:szCs w:val="16"/>
              </w:rPr>
              <w:t>2 362,4</w:t>
            </w:r>
          </w:p>
        </w:tc>
        <w:tc>
          <w:tcPr>
            <w:tcW w:w="907" w:type="dxa"/>
            <w:tcBorders>
              <w:top w:val="nil"/>
              <w:left w:val="nil"/>
              <w:bottom w:val="nil"/>
              <w:right w:val="nil"/>
            </w:tcBorders>
            <w:shd w:val="clear" w:color="auto" w:fill="auto"/>
            <w:noWrap/>
            <w:vAlign w:val="center"/>
            <w:hideMark/>
          </w:tcPr>
          <w:p w14:paraId="410F10AA" w14:textId="77777777" w:rsidR="00413923" w:rsidRPr="00D92E20" w:rsidRDefault="00413923" w:rsidP="00413923">
            <w:pPr>
              <w:spacing w:after="0" w:line="240" w:lineRule="auto"/>
              <w:jc w:val="right"/>
              <w:rPr>
                <w:rFonts w:cs="Arial"/>
                <w:sz w:val="16"/>
                <w:szCs w:val="16"/>
              </w:rPr>
            </w:pPr>
            <w:r w:rsidRPr="00D92E20">
              <w:rPr>
                <w:rFonts w:cs="Arial"/>
                <w:sz w:val="16"/>
                <w:szCs w:val="16"/>
              </w:rPr>
              <w:t>2 268,7</w:t>
            </w:r>
          </w:p>
        </w:tc>
        <w:tc>
          <w:tcPr>
            <w:tcW w:w="907" w:type="dxa"/>
            <w:tcBorders>
              <w:top w:val="nil"/>
              <w:left w:val="nil"/>
              <w:bottom w:val="nil"/>
              <w:right w:val="nil"/>
            </w:tcBorders>
            <w:shd w:val="clear" w:color="auto" w:fill="auto"/>
            <w:noWrap/>
            <w:vAlign w:val="center"/>
            <w:hideMark/>
          </w:tcPr>
          <w:p w14:paraId="79FF3414" w14:textId="77777777" w:rsidR="00413923" w:rsidRPr="00D92E20" w:rsidRDefault="00413923" w:rsidP="00413923">
            <w:pPr>
              <w:spacing w:after="0" w:line="240" w:lineRule="auto"/>
              <w:jc w:val="right"/>
              <w:rPr>
                <w:rFonts w:cs="Arial"/>
                <w:sz w:val="16"/>
                <w:szCs w:val="16"/>
              </w:rPr>
            </w:pPr>
            <w:r w:rsidRPr="00D92E20">
              <w:rPr>
                <w:rFonts w:cs="Arial"/>
                <w:sz w:val="16"/>
                <w:szCs w:val="16"/>
              </w:rPr>
              <w:t>2 663,4</w:t>
            </w:r>
          </w:p>
        </w:tc>
        <w:tc>
          <w:tcPr>
            <w:tcW w:w="907" w:type="dxa"/>
            <w:tcBorders>
              <w:top w:val="nil"/>
              <w:left w:val="nil"/>
              <w:bottom w:val="nil"/>
              <w:right w:val="nil"/>
            </w:tcBorders>
            <w:shd w:val="clear" w:color="auto" w:fill="auto"/>
            <w:noWrap/>
            <w:vAlign w:val="center"/>
            <w:hideMark/>
          </w:tcPr>
          <w:p w14:paraId="4E7DD9CD" w14:textId="77777777" w:rsidR="00413923" w:rsidRPr="00D92E20" w:rsidRDefault="00413923" w:rsidP="00413923">
            <w:pPr>
              <w:spacing w:after="0" w:line="240" w:lineRule="auto"/>
              <w:jc w:val="right"/>
              <w:rPr>
                <w:rFonts w:cs="Arial"/>
                <w:sz w:val="16"/>
                <w:szCs w:val="16"/>
              </w:rPr>
            </w:pPr>
            <w:r w:rsidRPr="00D92E20">
              <w:rPr>
                <w:rFonts w:cs="Arial"/>
                <w:sz w:val="16"/>
                <w:szCs w:val="16"/>
              </w:rPr>
              <w:t>2 278,2</w:t>
            </w:r>
          </w:p>
        </w:tc>
        <w:tc>
          <w:tcPr>
            <w:tcW w:w="907" w:type="dxa"/>
            <w:tcBorders>
              <w:top w:val="nil"/>
              <w:left w:val="nil"/>
              <w:bottom w:val="nil"/>
              <w:right w:val="nil"/>
            </w:tcBorders>
            <w:shd w:val="clear" w:color="000000" w:fill="D9D9D9"/>
            <w:noWrap/>
            <w:vAlign w:val="center"/>
            <w:hideMark/>
          </w:tcPr>
          <w:p w14:paraId="4D197519" w14:textId="77777777" w:rsidR="00413923" w:rsidRPr="00D92E20" w:rsidRDefault="00413923" w:rsidP="00413923">
            <w:pPr>
              <w:spacing w:after="0" w:line="240" w:lineRule="auto"/>
              <w:jc w:val="right"/>
              <w:rPr>
                <w:rFonts w:cs="Arial"/>
                <w:sz w:val="16"/>
                <w:szCs w:val="16"/>
              </w:rPr>
            </w:pPr>
            <w:r w:rsidRPr="00D92E20">
              <w:rPr>
                <w:rFonts w:cs="Arial"/>
                <w:sz w:val="16"/>
                <w:szCs w:val="16"/>
              </w:rPr>
              <w:t>1 393,6</w:t>
            </w:r>
          </w:p>
        </w:tc>
        <w:tc>
          <w:tcPr>
            <w:tcW w:w="907" w:type="dxa"/>
            <w:tcBorders>
              <w:top w:val="nil"/>
              <w:left w:val="nil"/>
              <w:bottom w:val="nil"/>
              <w:right w:val="nil"/>
            </w:tcBorders>
            <w:shd w:val="clear" w:color="auto" w:fill="auto"/>
            <w:noWrap/>
            <w:vAlign w:val="center"/>
            <w:hideMark/>
          </w:tcPr>
          <w:p w14:paraId="64AE21F0" w14:textId="77777777" w:rsidR="00413923" w:rsidRPr="00D92E20" w:rsidRDefault="00413923" w:rsidP="00413923">
            <w:pPr>
              <w:spacing w:after="0" w:line="240" w:lineRule="auto"/>
              <w:jc w:val="right"/>
              <w:rPr>
                <w:rFonts w:cs="Arial"/>
                <w:sz w:val="16"/>
                <w:szCs w:val="16"/>
              </w:rPr>
            </w:pPr>
            <w:r w:rsidRPr="00D92E20">
              <w:rPr>
                <w:rFonts w:cs="Arial"/>
                <w:sz w:val="16"/>
                <w:szCs w:val="16"/>
              </w:rPr>
              <w:t>1 241,1</w:t>
            </w:r>
          </w:p>
        </w:tc>
        <w:tc>
          <w:tcPr>
            <w:tcW w:w="907" w:type="dxa"/>
            <w:tcBorders>
              <w:top w:val="nil"/>
              <w:left w:val="nil"/>
              <w:bottom w:val="nil"/>
              <w:right w:val="nil"/>
            </w:tcBorders>
            <w:shd w:val="clear" w:color="auto" w:fill="auto"/>
            <w:noWrap/>
            <w:vAlign w:val="center"/>
            <w:hideMark/>
          </w:tcPr>
          <w:p w14:paraId="0758D692" w14:textId="77777777" w:rsidR="00413923" w:rsidRPr="00D92E20" w:rsidRDefault="00413923" w:rsidP="00413923">
            <w:pPr>
              <w:spacing w:after="0" w:line="240" w:lineRule="auto"/>
              <w:jc w:val="right"/>
              <w:rPr>
                <w:rFonts w:cs="Arial"/>
                <w:sz w:val="16"/>
                <w:szCs w:val="16"/>
              </w:rPr>
            </w:pPr>
            <w:r w:rsidRPr="00D92E20">
              <w:rPr>
                <w:rFonts w:cs="Arial"/>
                <w:sz w:val="16"/>
                <w:szCs w:val="16"/>
              </w:rPr>
              <w:t>1 304,1</w:t>
            </w:r>
          </w:p>
        </w:tc>
        <w:tc>
          <w:tcPr>
            <w:tcW w:w="907" w:type="dxa"/>
            <w:tcBorders>
              <w:top w:val="nil"/>
              <w:left w:val="nil"/>
              <w:bottom w:val="nil"/>
              <w:right w:val="nil"/>
            </w:tcBorders>
            <w:shd w:val="clear" w:color="auto" w:fill="auto"/>
            <w:noWrap/>
            <w:vAlign w:val="center"/>
            <w:hideMark/>
          </w:tcPr>
          <w:p w14:paraId="762C6578" w14:textId="77777777" w:rsidR="00413923" w:rsidRPr="00D92E20" w:rsidRDefault="00413923" w:rsidP="00413923">
            <w:pPr>
              <w:spacing w:after="0" w:line="240" w:lineRule="auto"/>
              <w:jc w:val="right"/>
              <w:rPr>
                <w:rFonts w:cs="Arial"/>
                <w:sz w:val="16"/>
                <w:szCs w:val="16"/>
              </w:rPr>
            </w:pPr>
            <w:r w:rsidRPr="00D92E20">
              <w:rPr>
                <w:rFonts w:cs="Arial"/>
                <w:sz w:val="16"/>
                <w:szCs w:val="16"/>
              </w:rPr>
              <w:t>1 451,7</w:t>
            </w:r>
          </w:p>
        </w:tc>
        <w:tc>
          <w:tcPr>
            <w:tcW w:w="907" w:type="dxa"/>
            <w:tcBorders>
              <w:top w:val="nil"/>
              <w:left w:val="nil"/>
              <w:bottom w:val="nil"/>
              <w:right w:val="nil"/>
            </w:tcBorders>
            <w:shd w:val="clear" w:color="auto" w:fill="auto"/>
            <w:noWrap/>
            <w:vAlign w:val="center"/>
            <w:hideMark/>
          </w:tcPr>
          <w:p w14:paraId="203DA2E8" w14:textId="77777777" w:rsidR="00413923" w:rsidRPr="00D92E20" w:rsidRDefault="00413923" w:rsidP="00413923">
            <w:pPr>
              <w:spacing w:after="0" w:line="240" w:lineRule="auto"/>
              <w:jc w:val="right"/>
              <w:rPr>
                <w:rFonts w:cs="Arial"/>
                <w:sz w:val="16"/>
                <w:szCs w:val="16"/>
              </w:rPr>
            </w:pPr>
            <w:r w:rsidRPr="00D92E20">
              <w:rPr>
                <w:rFonts w:cs="Arial"/>
                <w:sz w:val="16"/>
                <w:szCs w:val="16"/>
              </w:rPr>
              <w:t>1 431,9</w:t>
            </w:r>
          </w:p>
        </w:tc>
      </w:tr>
      <w:tr w:rsidR="00413923" w:rsidRPr="00D92E20" w14:paraId="7A7FB7AE" w14:textId="77777777" w:rsidTr="00413923">
        <w:trPr>
          <w:trHeight w:val="300"/>
        </w:trPr>
        <w:tc>
          <w:tcPr>
            <w:tcW w:w="1417" w:type="dxa"/>
            <w:tcBorders>
              <w:top w:val="nil"/>
              <w:left w:val="nil"/>
              <w:bottom w:val="nil"/>
              <w:right w:val="nil"/>
            </w:tcBorders>
            <w:shd w:val="clear" w:color="auto" w:fill="auto"/>
            <w:noWrap/>
            <w:vAlign w:val="center"/>
            <w:hideMark/>
          </w:tcPr>
          <w:p w14:paraId="3ABC1B59"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Polsko</w:t>
            </w:r>
          </w:p>
        </w:tc>
        <w:tc>
          <w:tcPr>
            <w:tcW w:w="907" w:type="dxa"/>
            <w:tcBorders>
              <w:top w:val="nil"/>
              <w:left w:val="single" w:sz="4" w:space="0" w:color="000000"/>
              <w:bottom w:val="nil"/>
              <w:right w:val="nil"/>
            </w:tcBorders>
            <w:shd w:val="clear" w:color="auto" w:fill="auto"/>
            <w:noWrap/>
            <w:vAlign w:val="center"/>
            <w:hideMark/>
          </w:tcPr>
          <w:p w14:paraId="5D720ADC" w14:textId="77777777" w:rsidR="00413923" w:rsidRPr="00D92E20" w:rsidRDefault="00413923" w:rsidP="00413923">
            <w:pPr>
              <w:spacing w:after="0" w:line="240" w:lineRule="auto"/>
              <w:jc w:val="right"/>
              <w:rPr>
                <w:rFonts w:cs="Arial"/>
                <w:sz w:val="16"/>
                <w:szCs w:val="16"/>
              </w:rPr>
            </w:pPr>
            <w:r w:rsidRPr="00D92E20">
              <w:rPr>
                <w:rFonts w:cs="Arial"/>
                <w:sz w:val="16"/>
                <w:szCs w:val="16"/>
              </w:rPr>
              <w:t>693,9</w:t>
            </w:r>
          </w:p>
        </w:tc>
        <w:tc>
          <w:tcPr>
            <w:tcW w:w="907" w:type="dxa"/>
            <w:tcBorders>
              <w:top w:val="nil"/>
              <w:left w:val="nil"/>
              <w:bottom w:val="nil"/>
              <w:right w:val="nil"/>
            </w:tcBorders>
            <w:shd w:val="clear" w:color="auto" w:fill="auto"/>
            <w:noWrap/>
            <w:vAlign w:val="center"/>
            <w:hideMark/>
          </w:tcPr>
          <w:p w14:paraId="7B17787A" w14:textId="77777777" w:rsidR="00413923" w:rsidRPr="00D92E20" w:rsidRDefault="00413923" w:rsidP="00413923">
            <w:pPr>
              <w:spacing w:after="0" w:line="240" w:lineRule="auto"/>
              <w:jc w:val="right"/>
              <w:rPr>
                <w:rFonts w:cs="Arial"/>
                <w:sz w:val="16"/>
                <w:szCs w:val="16"/>
              </w:rPr>
            </w:pPr>
            <w:r w:rsidRPr="00D92E20">
              <w:rPr>
                <w:rFonts w:cs="Arial"/>
                <w:sz w:val="16"/>
                <w:szCs w:val="16"/>
              </w:rPr>
              <w:t>580,9</w:t>
            </w:r>
          </w:p>
        </w:tc>
        <w:tc>
          <w:tcPr>
            <w:tcW w:w="907" w:type="dxa"/>
            <w:tcBorders>
              <w:top w:val="nil"/>
              <w:left w:val="nil"/>
              <w:bottom w:val="nil"/>
              <w:right w:val="nil"/>
            </w:tcBorders>
            <w:shd w:val="clear" w:color="auto" w:fill="auto"/>
            <w:noWrap/>
            <w:vAlign w:val="center"/>
            <w:hideMark/>
          </w:tcPr>
          <w:p w14:paraId="4E75E95D" w14:textId="77777777" w:rsidR="00413923" w:rsidRPr="00D92E20" w:rsidRDefault="00413923" w:rsidP="00413923">
            <w:pPr>
              <w:spacing w:after="0" w:line="240" w:lineRule="auto"/>
              <w:jc w:val="right"/>
              <w:rPr>
                <w:rFonts w:cs="Arial"/>
                <w:sz w:val="16"/>
                <w:szCs w:val="16"/>
              </w:rPr>
            </w:pPr>
            <w:r w:rsidRPr="00D92E20">
              <w:rPr>
                <w:rFonts w:cs="Arial"/>
                <w:sz w:val="16"/>
                <w:szCs w:val="16"/>
              </w:rPr>
              <w:t>607,2</w:t>
            </w:r>
          </w:p>
        </w:tc>
        <w:tc>
          <w:tcPr>
            <w:tcW w:w="907" w:type="dxa"/>
            <w:tcBorders>
              <w:top w:val="nil"/>
              <w:left w:val="nil"/>
              <w:bottom w:val="nil"/>
              <w:right w:val="nil"/>
            </w:tcBorders>
            <w:shd w:val="clear" w:color="auto" w:fill="auto"/>
            <w:noWrap/>
            <w:vAlign w:val="center"/>
            <w:hideMark/>
          </w:tcPr>
          <w:p w14:paraId="1C86772B" w14:textId="77777777" w:rsidR="00413923" w:rsidRPr="00D92E20" w:rsidRDefault="00413923" w:rsidP="00413923">
            <w:pPr>
              <w:spacing w:after="0" w:line="240" w:lineRule="auto"/>
              <w:jc w:val="right"/>
              <w:rPr>
                <w:rFonts w:cs="Arial"/>
                <w:sz w:val="16"/>
                <w:szCs w:val="16"/>
              </w:rPr>
            </w:pPr>
            <w:r w:rsidRPr="00D92E20">
              <w:rPr>
                <w:rFonts w:cs="Arial"/>
                <w:sz w:val="16"/>
                <w:szCs w:val="16"/>
              </w:rPr>
              <w:t>540,8</w:t>
            </w:r>
          </w:p>
        </w:tc>
        <w:tc>
          <w:tcPr>
            <w:tcW w:w="907" w:type="dxa"/>
            <w:tcBorders>
              <w:top w:val="nil"/>
              <w:left w:val="nil"/>
              <w:bottom w:val="nil"/>
              <w:right w:val="nil"/>
            </w:tcBorders>
            <w:shd w:val="clear" w:color="auto" w:fill="auto"/>
            <w:noWrap/>
            <w:vAlign w:val="center"/>
            <w:hideMark/>
          </w:tcPr>
          <w:p w14:paraId="6D96730D" w14:textId="77777777" w:rsidR="00413923" w:rsidRPr="00D92E20" w:rsidRDefault="00413923" w:rsidP="00413923">
            <w:pPr>
              <w:spacing w:after="0" w:line="240" w:lineRule="auto"/>
              <w:jc w:val="right"/>
              <w:rPr>
                <w:rFonts w:cs="Arial"/>
                <w:sz w:val="16"/>
                <w:szCs w:val="16"/>
              </w:rPr>
            </w:pPr>
            <w:r w:rsidRPr="00D92E20">
              <w:rPr>
                <w:rFonts w:cs="Arial"/>
                <w:sz w:val="16"/>
                <w:szCs w:val="16"/>
              </w:rPr>
              <w:t>525,2</w:t>
            </w:r>
          </w:p>
        </w:tc>
        <w:tc>
          <w:tcPr>
            <w:tcW w:w="907" w:type="dxa"/>
            <w:tcBorders>
              <w:top w:val="nil"/>
              <w:left w:val="nil"/>
              <w:bottom w:val="nil"/>
              <w:right w:val="nil"/>
            </w:tcBorders>
            <w:shd w:val="clear" w:color="auto" w:fill="auto"/>
            <w:noWrap/>
            <w:vAlign w:val="center"/>
            <w:hideMark/>
          </w:tcPr>
          <w:p w14:paraId="3FC8B009" w14:textId="77777777" w:rsidR="00413923" w:rsidRPr="00D92E20" w:rsidRDefault="00413923" w:rsidP="00413923">
            <w:pPr>
              <w:spacing w:after="0" w:line="240" w:lineRule="auto"/>
              <w:jc w:val="right"/>
              <w:rPr>
                <w:rFonts w:cs="Arial"/>
                <w:sz w:val="16"/>
                <w:szCs w:val="16"/>
              </w:rPr>
            </w:pPr>
            <w:r w:rsidRPr="00D92E20">
              <w:rPr>
                <w:rFonts w:cs="Arial"/>
                <w:sz w:val="16"/>
                <w:szCs w:val="16"/>
              </w:rPr>
              <w:t>535,1</w:t>
            </w:r>
          </w:p>
        </w:tc>
        <w:tc>
          <w:tcPr>
            <w:tcW w:w="907" w:type="dxa"/>
            <w:tcBorders>
              <w:top w:val="nil"/>
              <w:left w:val="nil"/>
              <w:bottom w:val="nil"/>
              <w:right w:val="nil"/>
            </w:tcBorders>
            <w:shd w:val="clear" w:color="auto" w:fill="auto"/>
            <w:noWrap/>
            <w:vAlign w:val="center"/>
            <w:hideMark/>
          </w:tcPr>
          <w:p w14:paraId="11161BEB" w14:textId="77777777" w:rsidR="00413923" w:rsidRPr="00D92E20" w:rsidRDefault="00413923" w:rsidP="00413923">
            <w:pPr>
              <w:spacing w:after="0" w:line="240" w:lineRule="auto"/>
              <w:jc w:val="right"/>
              <w:rPr>
                <w:rFonts w:cs="Arial"/>
                <w:sz w:val="16"/>
                <w:szCs w:val="16"/>
              </w:rPr>
            </w:pPr>
            <w:r w:rsidRPr="00D92E20">
              <w:rPr>
                <w:rFonts w:cs="Arial"/>
                <w:sz w:val="16"/>
                <w:szCs w:val="16"/>
              </w:rPr>
              <w:t>537,7</w:t>
            </w:r>
          </w:p>
        </w:tc>
        <w:tc>
          <w:tcPr>
            <w:tcW w:w="907" w:type="dxa"/>
            <w:tcBorders>
              <w:top w:val="nil"/>
              <w:left w:val="nil"/>
              <w:bottom w:val="nil"/>
              <w:right w:val="nil"/>
            </w:tcBorders>
            <w:shd w:val="clear" w:color="auto" w:fill="auto"/>
            <w:noWrap/>
            <w:vAlign w:val="center"/>
            <w:hideMark/>
          </w:tcPr>
          <w:p w14:paraId="1839C743" w14:textId="77777777" w:rsidR="00413923" w:rsidRPr="00D92E20" w:rsidRDefault="00413923" w:rsidP="00413923">
            <w:pPr>
              <w:spacing w:after="0" w:line="240" w:lineRule="auto"/>
              <w:jc w:val="right"/>
              <w:rPr>
                <w:rFonts w:cs="Arial"/>
                <w:sz w:val="16"/>
                <w:szCs w:val="16"/>
              </w:rPr>
            </w:pPr>
            <w:r w:rsidRPr="00D92E20">
              <w:rPr>
                <w:rFonts w:cs="Arial"/>
                <w:sz w:val="16"/>
                <w:szCs w:val="16"/>
              </w:rPr>
              <w:t>518,1</w:t>
            </w:r>
          </w:p>
        </w:tc>
        <w:tc>
          <w:tcPr>
            <w:tcW w:w="907" w:type="dxa"/>
            <w:tcBorders>
              <w:top w:val="nil"/>
              <w:left w:val="nil"/>
              <w:bottom w:val="nil"/>
              <w:right w:val="nil"/>
            </w:tcBorders>
            <w:shd w:val="clear" w:color="auto" w:fill="auto"/>
            <w:noWrap/>
            <w:vAlign w:val="center"/>
            <w:hideMark/>
          </w:tcPr>
          <w:p w14:paraId="7B9E145A" w14:textId="77777777" w:rsidR="00413923" w:rsidRPr="00D92E20" w:rsidRDefault="00413923" w:rsidP="00413923">
            <w:pPr>
              <w:spacing w:after="0" w:line="240" w:lineRule="auto"/>
              <w:jc w:val="right"/>
              <w:rPr>
                <w:rFonts w:cs="Arial"/>
                <w:sz w:val="16"/>
                <w:szCs w:val="16"/>
              </w:rPr>
            </w:pPr>
            <w:r w:rsidRPr="00D92E20">
              <w:rPr>
                <w:rFonts w:cs="Arial"/>
                <w:sz w:val="16"/>
                <w:szCs w:val="16"/>
              </w:rPr>
              <w:t>574,2</w:t>
            </w:r>
          </w:p>
        </w:tc>
      </w:tr>
      <w:tr w:rsidR="00413923" w:rsidRPr="00D92E20" w14:paraId="7C87610A" w14:textId="77777777" w:rsidTr="00413923">
        <w:trPr>
          <w:trHeight w:val="300"/>
        </w:trPr>
        <w:tc>
          <w:tcPr>
            <w:tcW w:w="1417" w:type="dxa"/>
            <w:tcBorders>
              <w:top w:val="nil"/>
              <w:left w:val="nil"/>
              <w:bottom w:val="nil"/>
              <w:right w:val="nil"/>
            </w:tcBorders>
            <w:shd w:val="clear" w:color="auto" w:fill="auto"/>
            <w:noWrap/>
            <w:vAlign w:val="center"/>
            <w:hideMark/>
          </w:tcPr>
          <w:p w14:paraId="10B67923"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Portugalsko</w:t>
            </w:r>
          </w:p>
        </w:tc>
        <w:tc>
          <w:tcPr>
            <w:tcW w:w="907" w:type="dxa"/>
            <w:tcBorders>
              <w:top w:val="nil"/>
              <w:left w:val="single" w:sz="4" w:space="0" w:color="000000"/>
              <w:bottom w:val="nil"/>
              <w:right w:val="nil"/>
            </w:tcBorders>
            <w:shd w:val="clear" w:color="auto" w:fill="auto"/>
            <w:noWrap/>
            <w:vAlign w:val="center"/>
            <w:hideMark/>
          </w:tcPr>
          <w:p w14:paraId="4351EEFC" w14:textId="77777777" w:rsidR="00413923" w:rsidRPr="00D92E20" w:rsidRDefault="00413923" w:rsidP="00413923">
            <w:pPr>
              <w:spacing w:after="0" w:line="240" w:lineRule="auto"/>
              <w:jc w:val="right"/>
              <w:rPr>
                <w:rFonts w:cs="Arial"/>
                <w:sz w:val="16"/>
                <w:szCs w:val="16"/>
              </w:rPr>
            </w:pPr>
            <w:r w:rsidRPr="00D92E20">
              <w:rPr>
                <w:rFonts w:cs="Arial"/>
                <w:sz w:val="16"/>
                <w:szCs w:val="16"/>
              </w:rPr>
              <w:t>3 381,1</w:t>
            </w:r>
          </w:p>
        </w:tc>
        <w:tc>
          <w:tcPr>
            <w:tcW w:w="907" w:type="dxa"/>
            <w:tcBorders>
              <w:top w:val="nil"/>
              <w:left w:val="nil"/>
              <w:bottom w:val="nil"/>
              <w:right w:val="nil"/>
            </w:tcBorders>
            <w:shd w:val="clear" w:color="auto" w:fill="auto"/>
            <w:noWrap/>
            <w:vAlign w:val="center"/>
            <w:hideMark/>
          </w:tcPr>
          <w:p w14:paraId="394A0706" w14:textId="77777777" w:rsidR="00413923" w:rsidRPr="00D92E20" w:rsidRDefault="00413923" w:rsidP="00413923">
            <w:pPr>
              <w:spacing w:after="0" w:line="240" w:lineRule="auto"/>
              <w:jc w:val="right"/>
              <w:rPr>
                <w:rFonts w:cs="Arial"/>
                <w:sz w:val="16"/>
                <w:szCs w:val="16"/>
              </w:rPr>
            </w:pPr>
            <w:r w:rsidRPr="00D92E20">
              <w:rPr>
                <w:rFonts w:cs="Arial"/>
                <w:sz w:val="16"/>
                <w:szCs w:val="16"/>
              </w:rPr>
              <w:t>3 537,0</w:t>
            </w:r>
          </w:p>
        </w:tc>
        <w:tc>
          <w:tcPr>
            <w:tcW w:w="907" w:type="dxa"/>
            <w:tcBorders>
              <w:top w:val="nil"/>
              <w:left w:val="nil"/>
              <w:bottom w:val="nil"/>
              <w:right w:val="nil"/>
            </w:tcBorders>
            <w:shd w:val="clear" w:color="auto" w:fill="auto"/>
            <w:noWrap/>
            <w:vAlign w:val="center"/>
            <w:hideMark/>
          </w:tcPr>
          <w:p w14:paraId="67FC43F9" w14:textId="77777777" w:rsidR="00413923" w:rsidRPr="00D92E20" w:rsidRDefault="00413923" w:rsidP="00413923">
            <w:pPr>
              <w:spacing w:after="0" w:line="240" w:lineRule="auto"/>
              <w:jc w:val="right"/>
              <w:rPr>
                <w:rFonts w:cs="Arial"/>
                <w:sz w:val="16"/>
                <w:szCs w:val="16"/>
              </w:rPr>
            </w:pPr>
            <w:r w:rsidRPr="00D92E20">
              <w:rPr>
                <w:rFonts w:cs="Arial"/>
                <w:sz w:val="16"/>
                <w:szCs w:val="16"/>
              </w:rPr>
              <w:t>3 563,5</w:t>
            </w:r>
          </w:p>
        </w:tc>
        <w:tc>
          <w:tcPr>
            <w:tcW w:w="907" w:type="dxa"/>
            <w:tcBorders>
              <w:top w:val="nil"/>
              <w:left w:val="nil"/>
              <w:bottom w:val="nil"/>
              <w:right w:val="nil"/>
            </w:tcBorders>
            <w:shd w:val="clear" w:color="auto" w:fill="auto"/>
            <w:noWrap/>
            <w:vAlign w:val="center"/>
            <w:hideMark/>
          </w:tcPr>
          <w:p w14:paraId="53C89CA5" w14:textId="77777777" w:rsidR="00413923" w:rsidRPr="00D92E20" w:rsidRDefault="00413923" w:rsidP="00413923">
            <w:pPr>
              <w:spacing w:after="0" w:line="240" w:lineRule="auto"/>
              <w:jc w:val="right"/>
              <w:rPr>
                <w:rFonts w:cs="Arial"/>
                <w:sz w:val="16"/>
                <w:szCs w:val="16"/>
              </w:rPr>
            </w:pPr>
            <w:r w:rsidRPr="00D92E20">
              <w:rPr>
                <w:rFonts w:cs="Arial"/>
                <w:sz w:val="16"/>
                <w:szCs w:val="16"/>
              </w:rPr>
              <w:t>3 618,8</w:t>
            </w:r>
          </w:p>
        </w:tc>
        <w:tc>
          <w:tcPr>
            <w:tcW w:w="907" w:type="dxa"/>
            <w:tcBorders>
              <w:top w:val="nil"/>
              <w:left w:val="nil"/>
              <w:bottom w:val="nil"/>
              <w:right w:val="nil"/>
            </w:tcBorders>
            <w:shd w:val="clear" w:color="auto" w:fill="auto"/>
            <w:noWrap/>
            <w:vAlign w:val="center"/>
            <w:hideMark/>
          </w:tcPr>
          <w:p w14:paraId="522E4314" w14:textId="77777777" w:rsidR="00413923" w:rsidRPr="00D92E20" w:rsidRDefault="00413923" w:rsidP="00413923">
            <w:pPr>
              <w:spacing w:after="0" w:line="240" w:lineRule="auto"/>
              <w:jc w:val="right"/>
              <w:rPr>
                <w:rFonts w:cs="Arial"/>
                <w:sz w:val="16"/>
                <w:szCs w:val="16"/>
              </w:rPr>
            </w:pPr>
            <w:r w:rsidRPr="00D92E20">
              <w:rPr>
                <w:rFonts w:cs="Arial"/>
                <w:sz w:val="16"/>
                <w:szCs w:val="16"/>
              </w:rPr>
              <w:t>3 582,2</w:t>
            </w:r>
          </w:p>
        </w:tc>
        <w:tc>
          <w:tcPr>
            <w:tcW w:w="907" w:type="dxa"/>
            <w:tcBorders>
              <w:top w:val="nil"/>
              <w:left w:val="nil"/>
              <w:bottom w:val="nil"/>
              <w:right w:val="nil"/>
            </w:tcBorders>
            <w:shd w:val="clear" w:color="auto" w:fill="auto"/>
            <w:noWrap/>
            <w:vAlign w:val="center"/>
            <w:hideMark/>
          </w:tcPr>
          <w:p w14:paraId="53D027A3" w14:textId="77777777" w:rsidR="00413923" w:rsidRPr="00D92E20" w:rsidRDefault="00413923" w:rsidP="00413923">
            <w:pPr>
              <w:spacing w:after="0" w:line="240" w:lineRule="auto"/>
              <w:jc w:val="right"/>
              <w:rPr>
                <w:rFonts w:cs="Arial"/>
                <w:sz w:val="16"/>
                <w:szCs w:val="16"/>
              </w:rPr>
            </w:pPr>
            <w:r w:rsidRPr="00D92E20">
              <w:rPr>
                <w:rFonts w:cs="Arial"/>
                <w:sz w:val="16"/>
                <w:szCs w:val="16"/>
              </w:rPr>
              <w:t>3 677,2</w:t>
            </w:r>
          </w:p>
        </w:tc>
        <w:tc>
          <w:tcPr>
            <w:tcW w:w="907" w:type="dxa"/>
            <w:tcBorders>
              <w:top w:val="nil"/>
              <w:left w:val="nil"/>
              <w:bottom w:val="nil"/>
              <w:right w:val="nil"/>
            </w:tcBorders>
            <w:shd w:val="clear" w:color="auto" w:fill="auto"/>
            <w:noWrap/>
            <w:vAlign w:val="center"/>
            <w:hideMark/>
          </w:tcPr>
          <w:p w14:paraId="738D7C17" w14:textId="77777777" w:rsidR="00413923" w:rsidRPr="00D92E20" w:rsidRDefault="00413923" w:rsidP="00413923">
            <w:pPr>
              <w:spacing w:after="0" w:line="240" w:lineRule="auto"/>
              <w:jc w:val="right"/>
              <w:rPr>
                <w:rFonts w:cs="Arial"/>
                <w:sz w:val="16"/>
                <w:szCs w:val="16"/>
              </w:rPr>
            </w:pPr>
            <w:r w:rsidRPr="00D92E20">
              <w:rPr>
                <w:rFonts w:cs="Arial"/>
                <w:sz w:val="16"/>
                <w:szCs w:val="16"/>
              </w:rPr>
              <w:t>3 589,5</w:t>
            </w:r>
          </w:p>
        </w:tc>
        <w:tc>
          <w:tcPr>
            <w:tcW w:w="907" w:type="dxa"/>
            <w:tcBorders>
              <w:top w:val="nil"/>
              <w:left w:val="nil"/>
              <w:bottom w:val="nil"/>
              <w:right w:val="nil"/>
            </w:tcBorders>
            <w:shd w:val="clear" w:color="auto" w:fill="auto"/>
            <w:noWrap/>
            <w:vAlign w:val="center"/>
            <w:hideMark/>
          </w:tcPr>
          <w:p w14:paraId="15DE836E" w14:textId="77777777" w:rsidR="00413923" w:rsidRPr="00D92E20" w:rsidRDefault="00413923" w:rsidP="00413923">
            <w:pPr>
              <w:spacing w:after="0" w:line="240" w:lineRule="auto"/>
              <w:jc w:val="right"/>
              <w:rPr>
                <w:rFonts w:cs="Arial"/>
                <w:sz w:val="16"/>
                <w:szCs w:val="16"/>
              </w:rPr>
            </w:pPr>
            <w:r w:rsidRPr="00D92E20">
              <w:rPr>
                <w:rFonts w:cs="Arial"/>
                <w:sz w:val="16"/>
                <w:szCs w:val="16"/>
              </w:rPr>
              <w:t>3 563,4</w:t>
            </w:r>
          </w:p>
        </w:tc>
        <w:tc>
          <w:tcPr>
            <w:tcW w:w="907" w:type="dxa"/>
            <w:tcBorders>
              <w:top w:val="nil"/>
              <w:left w:val="nil"/>
              <w:bottom w:val="nil"/>
              <w:right w:val="nil"/>
            </w:tcBorders>
            <w:shd w:val="clear" w:color="auto" w:fill="auto"/>
            <w:noWrap/>
            <w:vAlign w:val="center"/>
            <w:hideMark/>
          </w:tcPr>
          <w:p w14:paraId="1464DD38" w14:textId="77777777" w:rsidR="00413923" w:rsidRPr="00D92E20" w:rsidRDefault="00413923" w:rsidP="00413923">
            <w:pPr>
              <w:spacing w:after="0" w:line="240" w:lineRule="auto"/>
              <w:jc w:val="right"/>
              <w:rPr>
                <w:rFonts w:cs="Arial"/>
                <w:sz w:val="16"/>
                <w:szCs w:val="16"/>
              </w:rPr>
            </w:pPr>
            <w:r w:rsidRPr="00D92E20">
              <w:rPr>
                <w:rFonts w:cs="Arial"/>
                <w:sz w:val="16"/>
                <w:szCs w:val="16"/>
              </w:rPr>
              <w:t>3 342,9</w:t>
            </w:r>
          </w:p>
        </w:tc>
      </w:tr>
      <w:tr w:rsidR="00413923" w:rsidRPr="00D92E20" w14:paraId="38571868" w14:textId="77777777" w:rsidTr="00413923">
        <w:trPr>
          <w:trHeight w:val="300"/>
        </w:trPr>
        <w:tc>
          <w:tcPr>
            <w:tcW w:w="1417" w:type="dxa"/>
            <w:tcBorders>
              <w:top w:val="nil"/>
              <w:left w:val="nil"/>
              <w:bottom w:val="nil"/>
              <w:right w:val="nil"/>
            </w:tcBorders>
            <w:shd w:val="clear" w:color="auto" w:fill="auto"/>
            <w:noWrap/>
            <w:vAlign w:val="center"/>
            <w:hideMark/>
          </w:tcPr>
          <w:p w14:paraId="70A2C992"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Rakousko</w:t>
            </w:r>
          </w:p>
        </w:tc>
        <w:tc>
          <w:tcPr>
            <w:tcW w:w="907" w:type="dxa"/>
            <w:tcBorders>
              <w:top w:val="nil"/>
              <w:left w:val="single" w:sz="4" w:space="0" w:color="000000"/>
              <w:bottom w:val="nil"/>
              <w:right w:val="nil"/>
            </w:tcBorders>
            <w:shd w:val="clear" w:color="auto" w:fill="auto"/>
            <w:noWrap/>
            <w:vAlign w:val="center"/>
            <w:hideMark/>
          </w:tcPr>
          <w:p w14:paraId="301BD981" w14:textId="77777777" w:rsidR="00413923" w:rsidRPr="00D92E20" w:rsidRDefault="00413923" w:rsidP="00413923">
            <w:pPr>
              <w:spacing w:after="0" w:line="240" w:lineRule="auto"/>
              <w:jc w:val="right"/>
              <w:rPr>
                <w:rFonts w:cs="Arial"/>
                <w:sz w:val="16"/>
                <w:szCs w:val="16"/>
              </w:rPr>
            </w:pPr>
            <w:r w:rsidRPr="00D92E20">
              <w:rPr>
                <w:rFonts w:cs="Arial"/>
                <w:sz w:val="16"/>
                <w:szCs w:val="16"/>
              </w:rPr>
              <w:t>2 143,2</w:t>
            </w:r>
          </w:p>
        </w:tc>
        <w:tc>
          <w:tcPr>
            <w:tcW w:w="907" w:type="dxa"/>
            <w:tcBorders>
              <w:top w:val="nil"/>
              <w:left w:val="nil"/>
              <w:bottom w:val="nil"/>
              <w:right w:val="nil"/>
            </w:tcBorders>
            <w:shd w:val="clear" w:color="auto" w:fill="auto"/>
            <w:noWrap/>
            <w:vAlign w:val="center"/>
            <w:hideMark/>
          </w:tcPr>
          <w:p w14:paraId="37740042" w14:textId="77777777" w:rsidR="00413923" w:rsidRPr="00D92E20" w:rsidRDefault="00413923" w:rsidP="00413923">
            <w:pPr>
              <w:spacing w:after="0" w:line="240" w:lineRule="auto"/>
              <w:jc w:val="right"/>
              <w:rPr>
                <w:rFonts w:cs="Arial"/>
                <w:sz w:val="16"/>
                <w:szCs w:val="16"/>
              </w:rPr>
            </w:pPr>
            <w:r w:rsidRPr="00D92E20">
              <w:rPr>
                <w:rFonts w:cs="Arial"/>
                <w:sz w:val="16"/>
                <w:szCs w:val="16"/>
              </w:rPr>
              <w:t>1 961,3</w:t>
            </w:r>
          </w:p>
        </w:tc>
        <w:tc>
          <w:tcPr>
            <w:tcW w:w="907" w:type="dxa"/>
            <w:tcBorders>
              <w:top w:val="nil"/>
              <w:left w:val="nil"/>
              <w:bottom w:val="nil"/>
              <w:right w:val="nil"/>
            </w:tcBorders>
            <w:shd w:val="clear" w:color="auto" w:fill="auto"/>
            <w:noWrap/>
            <w:vAlign w:val="center"/>
            <w:hideMark/>
          </w:tcPr>
          <w:p w14:paraId="783AA802" w14:textId="77777777" w:rsidR="00413923" w:rsidRPr="00D92E20" w:rsidRDefault="00413923" w:rsidP="00413923">
            <w:pPr>
              <w:spacing w:after="0" w:line="240" w:lineRule="auto"/>
              <w:jc w:val="right"/>
              <w:rPr>
                <w:rFonts w:cs="Arial"/>
                <w:sz w:val="16"/>
                <w:szCs w:val="16"/>
              </w:rPr>
            </w:pPr>
            <w:r w:rsidRPr="00D92E20">
              <w:rPr>
                <w:rFonts w:cs="Arial"/>
                <w:sz w:val="16"/>
                <w:szCs w:val="16"/>
              </w:rPr>
              <w:t>1 902,5</w:t>
            </w:r>
          </w:p>
        </w:tc>
        <w:tc>
          <w:tcPr>
            <w:tcW w:w="907" w:type="dxa"/>
            <w:tcBorders>
              <w:top w:val="nil"/>
              <w:left w:val="nil"/>
              <w:bottom w:val="nil"/>
              <w:right w:val="nil"/>
            </w:tcBorders>
            <w:shd w:val="clear" w:color="auto" w:fill="auto"/>
            <w:noWrap/>
            <w:vAlign w:val="center"/>
            <w:hideMark/>
          </w:tcPr>
          <w:p w14:paraId="7D4C523A" w14:textId="77777777" w:rsidR="00413923" w:rsidRPr="00D92E20" w:rsidRDefault="00413923" w:rsidP="00413923">
            <w:pPr>
              <w:spacing w:after="0" w:line="240" w:lineRule="auto"/>
              <w:jc w:val="right"/>
              <w:rPr>
                <w:rFonts w:cs="Arial"/>
                <w:sz w:val="16"/>
                <w:szCs w:val="16"/>
              </w:rPr>
            </w:pPr>
            <w:r w:rsidRPr="00D92E20">
              <w:rPr>
                <w:rFonts w:cs="Arial"/>
                <w:sz w:val="16"/>
                <w:szCs w:val="16"/>
              </w:rPr>
              <w:t>1 840,2</w:t>
            </w:r>
          </w:p>
        </w:tc>
        <w:tc>
          <w:tcPr>
            <w:tcW w:w="907" w:type="dxa"/>
            <w:tcBorders>
              <w:top w:val="nil"/>
              <w:left w:val="nil"/>
              <w:bottom w:val="nil"/>
              <w:right w:val="nil"/>
            </w:tcBorders>
            <w:shd w:val="clear" w:color="auto" w:fill="auto"/>
            <w:noWrap/>
            <w:vAlign w:val="center"/>
            <w:hideMark/>
          </w:tcPr>
          <w:p w14:paraId="73FB84DC" w14:textId="77777777" w:rsidR="00413923" w:rsidRPr="00D92E20" w:rsidRDefault="00413923" w:rsidP="00413923">
            <w:pPr>
              <w:spacing w:after="0" w:line="240" w:lineRule="auto"/>
              <w:jc w:val="right"/>
              <w:rPr>
                <w:rFonts w:cs="Arial"/>
                <w:sz w:val="16"/>
                <w:szCs w:val="16"/>
              </w:rPr>
            </w:pPr>
            <w:r w:rsidRPr="00D92E20">
              <w:rPr>
                <w:rFonts w:cs="Arial"/>
                <w:sz w:val="16"/>
                <w:szCs w:val="16"/>
              </w:rPr>
              <w:t>1 806,0</w:t>
            </w:r>
          </w:p>
        </w:tc>
        <w:tc>
          <w:tcPr>
            <w:tcW w:w="907" w:type="dxa"/>
            <w:tcBorders>
              <w:top w:val="nil"/>
              <w:left w:val="nil"/>
              <w:bottom w:val="nil"/>
              <w:right w:val="nil"/>
            </w:tcBorders>
            <w:shd w:val="clear" w:color="auto" w:fill="auto"/>
            <w:noWrap/>
            <w:vAlign w:val="center"/>
            <w:hideMark/>
          </w:tcPr>
          <w:p w14:paraId="1324EDA0" w14:textId="77777777" w:rsidR="00413923" w:rsidRPr="00D92E20" w:rsidRDefault="00413923" w:rsidP="00413923">
            <w:pPr>
              <w:spacing w:after="0" w:line="240" w:lineRule="auto"/>
              <w:jc w:val="right"/>
              <w:rPr>
                <w:rFonts w:cs="Arial"/>
                <w:sz w:val="16"/>
                <w:szCs w:val="16"/>
              </w:rPr>
            </w:pPr>
            <w:r w:rsidRPr="00D92E20">
              <w:rPr>
                <w:rFonts w:cs="Arial"/>
                <w:sz w:val="16"/>
                <w:szCs w:val="16"/>
              </w:rPr>
              <w:t>1 749,8</w:t>
            </w:r>
          </w:p>
        </w:tc>
        <w:tc>
          <w:tcPr>
            <w:tcW w:w="907" w:type="dxa"/>
            <w:tcBorders>
              <w:top w:val="nil"/>
              <w:left w:val="nil"/>
              <w:bottom w:val="nil"/>
              <w:right w:val="nil"/>
            </w:tcBorders>
            <w:shd w:val="clear" w:color="auto" w:fill="auto"/>
            <w:noWrap/>
            <w:vAlign w:val="center"/>
            <w:hideMark/>
          </w:tcPr>
          <w:p w14:paraId="0ABCD6CA" w14:textId="77777777" w:rsidR="00413923" w:rsidRPr="00D92E20" w:rsidRDefault="00413923" w:rsidP="00413923">
            <w:pPr>
              <w:spacing w:after="0" w:line="240" w:lineRule="auto"/>
              <w:jc w:val="right"/>
              <w:rPr>
                <w:rFonts w:cs="Arial"/>
                <w:sz w:val="16"/>
                <w:szCs w:val="16"/>
              </w:rPr>
            </w:pPr>
            <w:r w:rsidRPr="00D92E20">
              <w:rPr>
                <w:rFonts w:cs="Arial"/>
                <w:sz w:val="16"/>
                <w:szCs w:val="16"/>
              </w:rPr>
              <w:t>2 102,3</w:t>
            </w:r>
          </w:p>
        </w:tc>
        <w:tc>
          <w:tcPr>
            <w:tcW w:w="907" w:type="dxa"/>
            <w:tcBorders>
              <w:top w:val="nil"/>
              <w:left w:val="nil"/>
              <w:bottom w:val="nil"/>
              <w:right w:val="nil"/>
            </w:tcBorders>
            <w:shd w:val="clear" w:color="auto" w:fill="auto"/>
            <w:noWrap/>
            <w:vAlign w:val="center"/>
            <w:hideMark/>
          </w:tcPr>
          <w:p w14:paraId="0988B7B0" w14:textId="77777777" w:rsidR="00413923" w:rsidRPr="00D92E20" w:rsidRDefault="00413923" w:rsidP="00413923">
            <w:pPr>
              <w:spacing w:after="0" w:line="240" w:lineRule="auto"/>
              <w:jc w:val="right"/>
              <w:rPr>
                <w:rFonts w:cs="Arial"/>
                <w:sz w:val="16"/>
                <w:szCs w:val="16"/>
              </w:rPr>
            </w:pPr>
            <w:r w:rsidRPr="00D92E20">
              <w:rPr>
                <w:rFonts w:cs="Arial"/>
                <w:sz w:val="16"/>
                <w:szCs w:val="16"/>
              </w:rPr>
              <w:t>2 072,6</w:t>
            </w:r>
          </w:p>
        </w:tc>
        <w:tc>
          <w:tcPr>
            <w:tcW w:w="907" w:type="dxa"/>
            <w:tcBorders>
              <w:top w:val="nil"/>
              <w:left w:val="nil"/>
              <w:bottom w:val="nil"/>
              <w:right w:val="nil"/>
            </w:tcBorders>
            <w:shd w:val="clear" w:color="auto" w:fill="auto"/>
            <w:noWrap/>
            <w:vAlign w:val="center"/>
            <w:hideMark/>
          </w:tcPr>
          <w:p w14:paraId="5CFB862B" w14:textId="77777777" w:rsidR="00413923" w:rsidRPr="00D92E20" w:rsidRDefault="00413923" w:rsidP="00413923">
            <w:pPr>
              <w:spacing w:after="0" w:line="240" w:lineRule="auto"/>
              <w:jc w:val="right"/>
              <w:rPr>
                <w:rFonts w:cs="Arial"/>
                <w:sz w:val="16"/>
                <w:szCs w:val="16"/>
              </w:rPr>
            </w:pPr>
            <w:r w:rsidRPr="00D92E20">
              <w:rPr>
                <w:rFonts w:cs="Arial"/>
                <w:sz w:val="16"/>
                <w:szCs w:val="16"/>
              </w:rPr>
              <w:t>1 864,2</w:t>
            </w:r>
          </w:p>
        </w:tc>
      </w:tr>
      <w:tr w:rsidR="00413923" w:rsidRPr="00D92E20" w14:paraId="41AC80FF" w14:textId="77777777" w:rsidTr="00413923">
        <w:trPr>
          <w:trHeight w:val="300"/>
        </w:trPr>
        <w:tc>
          <w:tcPr>
            <w:tcW w:w="1417" w:type="dxa"/>
            <w:tcBorders>
              <w:top w:val="nil"/>
              <w:left w:val="nil"/>
              <w:bottom w:val="nil"/>
              <w:right w:val="nil"/>
            </w:tcBorders>
            <w:shd w:val="clear" w:color="auto" w:fill="auto"/>
            <w:noWrap/>
            <w:vAlign w:val="center"/>
            <w:hideMark/>
          </w:tcPr>
          <w:p w14:paraId="00502022"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Rumunsko</w:t>
            </w:r>
          </w:p>
        </w:tc>
        <w:tc>
          <w:tcPr>
            <w:tcW w:w="907" w:type="dxa"/>
            <w:tcBorders>
              <w:top w:val="nil"/>
              <w:left w:val="single" w:sz="4" w:space="0" w:color="000000"/>
              <w:bottom w:val="nil"/>
              <w:right w:val="nil"/>
            </w:tcBorders>
            <w:shd w:val="clear" w:color="auto" w:fill="auto"/>
            <w:noWrap/>
            <w:vAlign w:val="center"/>
            <w:hideMark/>
          </w:tcPr>
          <w:p w14:paraId="1CED5D5E" w14:textId="77777777" w:rsidR="00413923" w:rsidRPr="00D92E20" w:rsidRDefault="00413923" w:rsidP="00413923">
            <w:pPr>
              <w:spacing w:after="0" w:line="240" w:lineRule="auto"/>
              <w:jc w:val="right"/>
              <w:rPr>
                <w:rFonts w:cs="Arial"/>
                <w:sz w:val="16"/>
                <w:szCs w:val="16"/>
              </w:rPr>
            </w:pPr>
            <w:r w:rsidRPr="00D92E20">
              <w:rPr>
                <w:rFonts w:cs="Arial"/>
                <w:sz w:val="16"/>
                <w:szCs w:val="16"/>
              </w:rPr>
              <w:t>67,8</w:t>
            </w:r>
          </w:p>
        </w:tc>
        <w:tc>
          <w:tcPr>
            <w:tcW w:w="907" w:type="dxa"/>
            <w:tcBorders>
              <w:top w:val="nil"/>
              <w:left w:val="nil"/>
              <w:bottom w:val="nil"/>
              <w:right w:val="nil"/>
            </w:tcBorders>
            <w:shd w:val="clear" w:color="auto" w:fill="auto"/>
            <w:noWrap/>
            <w:vAlign w:val="center"/>
            <w:hideMark/>
          </w:tcPr>
          <w:p w14:paraId="5923AEA6" w14:textId="77777777" w:rsidR="00413923" w:rsidRPr="00D92E20" w:rsidRDefault="00413923" w:rsidP="00413923">
            <w:pPr>
              <w:spacing w:after="0" w:line="240" w:lineRule="auto"/>
              <w:jc w:val="right"/>
              <w:rPr>
                <w:rFonts w:cs="Arial"/>
                <w:sz w:val="16"/>
                <w:szCs w:val="16"/>
              </w:rPr>
            </w:pPr>
            <w:r w:rsidRPr="00D92E20">
              <w:rPr>
                <w:rFonts w:cs="Arial"/>
                <w:sz w:val="16"/>
                <w:szCs w:val="16"/>
              </w:rPr>
              <w:t>74,8</w:t>
            </w:r>
          </w:p>
        </w:tc>
        <w:tc>
          <w:tcPr>
            <w:tcW w:w="907" w:type="dxa"/>
            <w:tcBorders>
              <w:top w:val="nil"/>
              <w:left w:val="nil"/>
              <w:bottom w:val="nil"/>
              <w:right w:val="nil"/>
            </w:tcBorders>
            <w:shd w:val="clear" w:color="auto" w:fill="auto"/>
            <w:noWrap/>
            <w:vAlign w:val="center"/>
            <w:hideMark/>
          </w:tcPr>
          <w:p w14:paraId="48EFF3D1" w14:textId="77777777" w:rsidR="00413923" w:rsidRPr="00D92E20" w:rsidRDefault="00413923" w:rsidP="00413923">
            <w:pPr>
              <w:spacing w:after="0" w:line="240" w:lineRule="auto"/>
              <w:jc w:val="right"/>
              <w:rPr>
                <w:rFonts w:cs="Arial"/>
                <w:sz w:val="16"/>
                <w:szCs w:val="16"/>
              </w:rPr>
            </w:pPr>
            <w:r w:rsidRPr="00D92E20">
              <w:rPr>
                <w:rFonts w:cs="Arial"/>
                <w:sz w:val="16"/>
                <w:szCs w:val="16"/>
              </w:rPr>
              <w:t>72,5</w:t>
            </w:r>
          </w:p>
        </w:tc>
        <w:tc>
          <w:tcPr>
            <w:tcW w:w="907" w:type="dxa"/>
            <w:tcBorders>
              <w:top w:val="nil"/>
              <w:left w:val="nil"/>
              <w:bottom w:val="nil"/>
              <w:right w:val="nil"/>
            </w:tcBorders>
            <w:shd w:val="clear" w:color="auto" w:fill="auto"/>
            <w:noWrap/>
            <w:vAlign w:val="center"/>
            <w:hideMark/>
          </w:tcPr>
          <w:p w14:paraId="386966C7" w14:textId="77777777" w:rsidR="00413923" w:rsidRPr="00D92E20" w:rsidRDefault="00413923" w:rsidP="00413923">
            <w:pPr>
              <w:spacing w:after="0" w:line="240" w:lineRule="auto"/>
              <w:jc w:val="right"/>
              <w:rPr>
                <w:rFonts w:cs="Arial"/>
                <w:sz w:val="16"/>
                <w:szCs w:val="16"/>
              </w:rPr>
            </w:pPr>
            <w:r w:rsidRPr="00D92E20">
              <w:rPr>
                <w:rFonts w:cs="Arial"/>
                <w:sz w:val="16"/>
                <w:szCs w:val="16"/>
              </w:rPr>
              <w:t>76,7</w:t>
            </w:r>
          </w:p>
        </w:tc>
        <w:tc>
          <w:tcPr>
            <w:tcW w:w="907" w:type="dxa"/>
            <w:tcBorders>
              <w:top w:val="nil"/>
              <w:left w:val="nil"/>
              <w:bottom w:val="nil"/>
              <w:right w:val="nil"/>
            </w:tcBorders>
            <w:shd w:val="clear" w:color="auto" w:fill="auto"/>
            <w:noWrap/>
            <w:vAlign w:val="center"/>
            <w:hideMark/>
          </w:tcPr>
          <w:p w14:paraId="3E98AF91" w14:textId="77777777" w:rsidR="00413923" w:rsidRPr="00D92E20" w:rsidRDefault="00413923" w:rsidP="00413923">
            <w:pPr>
              <w:spacing w:after="0" w:line="240" w:lineRule="auto"/>
              <w:jc w:val="right"/>
              <w:rPr>
                <w:rFonts w:cs="Arial"/>
                <w:sz w:val="16"/>
                <w:szCs w:val="16"/>
              </w:rPr>
            </w:pPr>
            <w:r w:rsidRPr="00D92E20">
              <w:rPr>
                <w:rFonts w:cs="Arial"/>
                <w:sz w:val="16"/>
                <w:szCs w:val="16"/>
              </w:rPr>
              <w:t>74,8</w:t>
            </w:r>
          </w:p>
        </w:tc>
        <w:tc>
          <w:tcPr>
            <w:tcW w:w="907" w:type="dxa"/>
            <w:tcBorders>
              <w:top w:val="nil"/>
              <w:left w:val="nil"/>
              <w:bottom w:val="nil"/>
              <w:right w:val="nil"/>
            </w:tcBorders>
            <w:shd w:val="clear" w:color="auto" w:fill="auto"/>
            <w:noWrap/>
            <w:vAlign w:val="center"/>
            <w:hideMark/>
          </w:tcPr>
          <w:p w14:paraId="02942E43" w14:textId="77777777" w:rsidR="00413923" w:rsidRPr="00D92E20" w:rsidRDefault="00413923" w:rsidP="00413923">
            <w:pPr>
              <w:spacing w:after="0" w:line="240" w:lineRule="auto"/>
              <w:jc w:val="right"/>
              <w:rPr>
                <w:rFonts w:cs="Arial"/>
                <w:sz w:val="16"/>
                <w:szCs w:val="16"/>
              </w:rPr>
            </w:pPr>
            <w:r w:rsidRPr="00D92E20">
              <w:rPr>
                <w:rFonts w:cs="Arial"/>
                <w:sz w:val="16"/>
                <w:szCs w:val="16"/>
              </w:rPr>
              <w:t>85,8</w:t>
            </w:r>
          </w:p>
        </w:tc>
        <w:tc>
          <w:tcPr>
            <w:tcW w:w="907" w:type="dxa"/>
            <w:tcBorders>
              <w:top w:val="nil"/>
              <w:left w:val="nil"/>
              <w:bottom w:val="nil"/>
              <w:right w:val="nil"/>
            </w:tcBorders>
            <w:shd w:val="clear" w:color="auto" w:fill="auto"/>
            <w:noWrap/>
            <w:vAlign w:val="center"/>
            <w:hideMark/>
          </w:tcPr>
          <w:p w14:paraId="09BF78FD" w14:textId="77777777" w:rsidR="00413923" w:rsidRPr="00D92E20" w:rsidRDefault="00413923" w:rsidP="00413923">
            <w:pPr>
              <w:spacing w:after="0" w:line="240" w:lineRule="auto"/>
              <w:jc w:val="right"/>
              <w:rPr>
                <w:rFonts w:cs="Arial"/>
                <w:sz w:val="16"/>
                <w:szCs w:val="16"/>
              </w:rPr>
            </w:pPr>
            <w:r w:rsidRPr="00D92E20">
              <w:rPr>
                <w:rFonts w:cs="Arial"/>
                <w:sz w:val="16"/>
                <w:szCs w:val="16"/>
              </w:rPr>
              <w:t>87,4</w:t>
            </w:r>
          </w:p>
        </w:tc>
        <w:tc>
          <w:tcPr>
            <w:tcW w:w="907" w:type="dxa"/>
            <w:tcBorders>
              <w:top w:val="nil"/>
              <w:left w:val="nil"/>
              <w:bottom w:val="nil"/>
              <w:right w:val="nil"/>
            </w:tcBorders>
            <w:shd w:val="clear" w:color="auto" w:fill="auto"/>
            <w:noWrap/>
            <w:vAlign w:val="center"/>
            <w:hideMark/>
          </w:tcPr>
          <w:p w14:paraId="119141AE" w14:textId="77777777" w:rsidR="00413923" w:rsidRPr="00D92E20" w:rsidRDefault="00413923" w:rsidP="00413923">
            <w:pPr>
              <w:spacing w:after="0" w:line="240" w:lineRule="auto"/>
              <w:jc w:val="right"/>
              <w:rPr>
                <w:rFonts w:cs="Arial"/>
                <w:sz w:val="16"/>
                <w:szCs w:val="16"/>
              </w:rPr>
            </w:pPr>
            <w:r w:rsidRPr="00D92E20">
              <w:rPr>
                <w:rFonts w:cs="Arial"/>
                <w:sz w:val="16"/>
                <w:szCs w:val="16"/>
              </w:rPr>
              <w:t>91,8</w:t>
            </w:r>
          </w:p>
        </w:tc>
        <w:tc>
          <w:tcPr>
            <w:tcW w:w="907" w:type="dxa"/>
            <w:tcBorders>
              <w:top w:val="nil"/>
              <w:left w:val="nil"/>
              <w:bottom w:val="nil"/>
              <w:right w:val="nil"/>
            </w:tcBorders>
            <w:shd w:val="clear" w:color="auto" w:fill="auto"/>
            <w:noWrap/>
            <w:vAlign w:val="center"/>
            <w:hideMark/>
          </w:tcPr>
          <w:p w14:paraId="0C916A6D" w14:textId="77777777" w:rsidR="00413923" w:rsidRPr="00D92E20" w:rsidRDefault="00413923" w:rsidP="00413923">
            <w:pPr>
              <w:spacing w:after="0" w:line="240" w:lineRule="auto"/>
              <w:jc w:val="right"/>
              <w:rPr>
                <w:rFonts w:cs="Arial"/>
                <w:sz w:val="16"/>
                <w:szCs w:val="16"/>
              </w:rPr>
            </w:pPr>
            <w:r w:rsidRPr="00D92E20">
              <w:rPr>
                <w:rFonts w:cs="Arial"/>
                <w:sz w:val="16"/>
                <w:szCs w:val="16"/>
              </w:rPr>
              <w:t>92,5</w:t>
            </w:r>
          </w:p>
        </w:tc>
      </w:tr>
      <w:tr w:rsidR="00413923" w:rsidRPr="00D92E20" w14:paraId="3561E3B6" w14:textId="77777777" w:rsidTr="00413923">
        <w:trPr>
          <w:trHeight w:val="300"/>
        </w:trPr>
        <w:tc>
          <w:tcPr>
            <w:tcW w:w="1417" w:type="dxa"/>
            <w:tcBorders>
              <w:top w:val="nil"/>
              <w:left w:val="nil"/>
              <w:bottom w:val="nil"/>
              <w:right w:val="nil"/>
            </w:tcBorders>
            <w:shd w:val="clear" w:color="auto" w:fill="auto"/>
            <w:noWrap/>
            <w:vAlign w:val="center"/>
            <w:hideMark/>
          </w:tcPr>
          <w:p w14:paraId="11DD8AF9"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Řecko</w:t>
            </w:r>
          </w:p>
        </w:tc>
        <w:tc>
          <w:tcPr>
            <w:tcW w:w="907" w:type="dxa"/>
            <w:tcBorders>
              <w:top w:val="nil"/>
              <w:left w:val="single" w:sz="4" w:space="0" w:color="000000"/>
              <w:bottom w:val="nil"/>
              <w:right w:val="nil"/>
            </w:tcBorders>
            <w:shd w:val="clear" w:color="auto" w:fill="auto"/>
            <w:noWrap/>
            <w:vAlign w:val="center"/>
            <w:hideMark/>
          </w:tcPr>
          <w:p w14:paraId="7B292375" w14:textId="77777777" w:rsidR="00413923" w:rsidRPr="00D92E20" w:rsidRDefault="00413923" w:rsidP="00413923">
            <w:pPr>
              <w:spacing w:after="0" w:line="240" w:lineRule="auto"/>
              <w:jc w:val="right"/>
              <w:rPr>
                <w:rFonts w:cs="Arial"/>
                <w:sz w:val="16"/>
                <w:szCs w:val="16"/>
              </w:rPr>
            </w:pPr>
            <w:r w:rsidRPr="00D92E20">
              <w:rPr>
                <w:rFonts w:cs="Arial"/>
                <w:sz w:val="16"/>
                <w:szCs w:val="16"/>
              </w:rPr>
              <w:t>530,5</w:t>
            </w:r>
          </w:p>
        </w:tc>
        <w:tc>
          <w:tcPr>
            <w:tcW w:w="907" w:type="dxa"/>
            <w:tcBorders>
              <w:top w:val="nil"/>
              <w:left w:val="nil"/>
              <w:bottom w:val="nil"/>
              <w:right w:val="nil"/>
            </w:tcBorders>
            <w:shd w:val="clear" w:color="auto" w:fill="auto"/>
            <w:noWrap/>
            <w:vAlign w:val="center"/>
            <w:hideMark/>
          </w:tcPr>
          <w:p w14:paraId="744237C3" w14:textId="77777777" w:rsidR="00413923" w:rsidRPr="00D92E20" w:rsidRDefault="00413923" w:rsidP="00413923">
            <w:pPr>
              <w:spacing w:after="0" w:line="240" w:lineRule="auto"/>
              <w:jc w:val="right"/>
              <w:rPr>
                <w:rFonts w:cs="Arial"/>
                <w:sz w:val="16"/>
                <w:szCs w:val="16"/>
              </w:rPr>
            </w:pPr>
            <w:r w:rsidRPr="00D92E20">
              <w:rPr>
                <w:rFonts w:cs="Arial"/>
                <w:sz w:val="16"/>
                <w:szCs w:val="16"/>
              </w:rPr>
              <w:t>519,0</w:t>
            </w:r>
          </w:p>
        </w:tc>
        <w:tc>
          <w:tcPr>
            <w:tcW w:w="907" w:type="dxa"/>
            <w:tcBorders>
              <w:top w:val="nil"/>
              <w:left w:val="nil"/>
              <w:bottom w:val="nil"/>
              <w:right w:val="nil"/>
            </w:tcBorders>
            <w:shd w:val="clear" w:color="auto" w:fill="auto"/>
            <w:noWrap/>
            <w:vAlign w:val="center"/>
            <w:hideMark/>
          </w:tcPr>
          <w:p w14:paraId="2B622236" w14:textId="77777777" w:rsidR="00413923" w:rsidRPr="00D92E20" w:rsidRDefault="00413923" w:rsidP="00413923">
            <w:pPr>
              <w:spacing w:after="0" w:line="240" w:lineRule="auto"/>
              <w:jc w:val="right"/>
              <w:rPr>
                <w:rFonts w:cs="Arial"/>
                <w:sz w:val="16"/>
                <w:szCs w:val="16"/>
              </w:rPr>
            </w:pPr>
            <w:r w:rsidRPr="00D92E20">
              <w:rPr>
                <w:rFonts w:cs="Arial"/>
                <w:sz w:val="16"/>
                <w:szCs w:val="16"/>
              </w:rPr>
              <w:t>459,5</w:t>
            </w:r>
          </w:p>
        </w:tc>
        <w:tc>
          <w:tcPr>
            <w:tcW w:w="907" w:type="dxa"/>
            <w:tcBorders>
              <w:top w:val="nil"/>
              <w:left w:val="nil"/>
              <w:bottom w:val="nil"/>
              <w:right w:val="nil"/>
            </w:tcBorders>
            <w:shd w:val="clear" w:color="auto" w:fill="auto"/>
            <w:noWrap/>
            <w:vAlign w:val="center"/>
            <w:hideMark/>
          </w:tcPr>
          <w:p w14:paraId="6EC73A85" w14:textId="77777777" w:rsidR="00413923" w:rsidRPr="00D92E20" w:rsidRDefault="00413923" w:rsidP="00413923">
            <w:pPr>
              <w:spacing w:after="0" w:line="240" w:lineRule="auto"/>
              <w:jc w:val="right"/>
              <w:rPr>
                <w:rFonts w:cs="Arial"/>
                <w:sz w:val="16"/>
                <w:szCs w:val="16"/>
              </w:rPr>
            </w:pPr>
            <w:r w:rsidRPr="00D92E20">
              <w:rPr>
                <w:rFonts w:cs="Arial"/>
                <w:sz w:val="16"/>
                <w:szCs w:val="16"/>
              </w:rPr>
              <w:t>447,0</w:t>
            </w:r>
          </w:p>
        </w:tc>
        <w:tc>
          <w:tcPr>
            <w:tcW w:w="907" w:type="dxa"/>
            <w:tcBorders>
              <w:top w:val="nil"/>
              <w:left w:val="nil"/>
              <w:bottom w:val="nil"/>
              <w:right w:val="nil"/>
            </w:tcBorders>
            <w:shd w:val="clear" w:color="000000" w:fill="D9D9D9"/>
            <w:noWrap/>
            <w:vAlign w:val="center"/>
            <w:hideMark/>
          </w:tcPr>
          <w:p w14:paraId="6C1CF667" w14:textId="77777777" w:rsidR="00413923" w:rsidRPr="00D92E20" w:rsidRDefault="00413923" w:rsidP="00413923">
            <w:pPr>
              <w:spacing w:after="0" w:line="240" w:lineRule="auto"/>
              <w:jc w:val="right"/>
              <w:rPr>
                <w:rFonts w:cs="Arial"/>
                <w:sz w:val="16"/>
                <w:szCs w:val="16"/>
              </w:rPr>
            </w:pPr>
            <w:r w:rsidRPr="00D92E20">
              <w:rPr>
                <w:rFonts w:cs="Arial"/>
                <w:sz w:val="16"/>
                <w:szCs w:val="16"/>
              </w:rPr>
              <w:t>152,1</w:t>
            </w:r>
          </w:p>
        </w:tc>
        <w:tc>
          <w:tcPr>
            <w:tcW w:w="907" w:type="dxa"/>
            <w:tcBorders>
              <w:top w:val="nil"/>
              <w:left w:val="nil"/>
              <w:bottom w:val="nil"/>
              <w:right w:val="nil"/>
            </w:tcBorders>
            <w:shd w:val="clear" w:color="auto" w:fill="auto"/>
            <w:noWrap/>
            <w:vAlign w:val="center"/>
            <w:hideMark/>
          </w:tcPr>
          <w:p w14:paraId="2E25B173" w14:textId="77777777" w:rsidR="00413923" w:rsidRPr="00D92E20" w:rsidRDefault="00413923" w:rsidP="00413923">
            <w:pPr>
              <w:spacing w:after="0" w:line="240" w:lineRule="auto"/>
              <w:jc w:val="right"/>
              <w:rPr>
                <w:rFonts w:cs="Arial"/>
                <w:sz w:val="16"/>
                <w:szCs w:val="16"/>
              </w:rPr>
            </w:pPr>
            <w:r w:rsidRPr="00D92E20">
              <w:rPr>
                <w:rFonts w:cs="Arial"/>
                <w:sz w:val="16"/>
                <w:szCs w:val="16"/>
              </w:rPr>
              <w:t>241,4</w:t>
            </w:r>
          </w:p>
        </w:tc>
        <w:tc>
          <w:tcPr>
            <w:tcW w:w="907" w:type="dxa"/>
            <w:tcBorders>
              <w:top w:val="nil"/>
              <w:left w:val="nil"/>
              <w:bottom w:val="nil"/>
              <w:right w:val="nil"/>
            </w:tcBorders>
            <w:shd w:val="clear" w:color="auto" w:fill="auto"/>
            <w:noWrap/>
            <w:vAlign w:val="center"/>
            <w:hideMark/>
          </w:tcPr>
          <w:p w14:paraId="77154F22" w14:textId="77777777" w:rsidR="00413923" w:rsidRPr="00D92E20" w:rsidRDefault="00413923" w:rsidP="00413923">
            <w:pPr>
              <w:spacing w:after="0" w:line="240" w:lineRule="auto"/>
              <w:jc w:val="right"/>
              <w:rPr>
                <w:rFonts w:cs="Arial"/>
                <w:sz w:val="16"/>
                <w:szCs w:val="16"/>
              </w:rPr>
            </w:pPr>
            <w:r w:rsidRPr="00D92E20">
              <w:rPr>
                <w:rFonts w:cs="Arial"/>
                <w:sz w:val="16"/>
                <w:szCs w:val="16"/>
              </w:rPr>
              <w:t>229,1</w:t>
            </w:r>
          </w:p>
        </w:tc>
        <w:tc>
          <w:tcPr>
            <w:tcW w:w="907" w:type="dxa"/>
            <w:tcBorders>
              <w:top w:val="nil"/>
              <w:left w:val="nil"/>
              <w:bottom w:val="nil"/>
              <w:right w:val="nil"/>
            </w:tcBorders>
            <w:shd w:val="clear" w:color="auto" w:fill="auto"/>
            <w:noWrap/>
            <w:vAlign w:val="center"/>
            <w:hideMark/>
          </w:tcPr>
          <w:p w14:paraId="0789BAB3" w14:textId="77777777" w:rsidR="00413923" w:rsidRPr="00D92E20" w:rsidRDefault="00413923" w:rsidP="00413923">
            <w:pPr>
              <w:spacing w:after="0" w:line="240" w:lineRule="auto"/>
              <w:jc w:val="right"/>
              <w:rPr>
                <w:rFonts w:cs="Arial"/>
                <w:sz w:val="16"/>
                <w:szCs w:val="16"/>
              </w:rPr>
            </w:pPr>
            <w:r w:rsidRPr="00D92E20">
              <w:rPr>
                <w:rFonts w:cs="Arial"/>
                <w:sz w:val="16"/>
                <w:szCs w:val="16"/>
              </w:rPr>
              <w:t>236,4</w:t>
            </w:r>
          </w:p>
        </w:tc>
        <w:tc>
          <w:tcPr>
            <w:tcW w:w="907" w:type="dxa"/>
            <w:tcBorders>
              <w:top w:val="nil"/>
              <w:left w:val="nil"/>
              <w:bottom w:val="nil"/>
              <w:right w:val="nil"/>
            </w:tcBorders>
            <w:shd w:val="clear" w:color="auto" w:fill="auto"/>
            <w:noWrap/>
            <w:vAlign w:val="center"/>
            <w:hideMark/>
          </w:tcPr>
          <w:p w14:paraId="49CC1581" w14:textId="77777777" w:rsidR="00413923" w:rsidRPr="00D92E20" w:rsidRDefault="00413923" w:rsidP="00413923">
            <w:pPr>
              <w:spacing w:after="0" w:line="240" w:lineRule="auto"/>
              <w:jc w:val="right"/>
              <w:rPr>
                <w:rFonts w:cs="Arial"/>
                <w:sz w:val="16"/>
                <w:szCs w:val="16"/>
              </w:rPr>
            </w:pPr>
            <w:r w:rsidRPr="00D92E20">
              <w:rPr>
                <w:rFonts w:cs="Arial"/>
                <w:sz w:val="16"/>
                <w:szCs w:val="16"/>
              </w:rPr>
              <w:t>172,6</w:t>
            </w:r>
          </w:p>
        </w:tc>
      </w:tr>
      <w:tr w:rsidR="00413923" w:rsidRPr="00D92E20" w14:paraId="58526082" w14:textId="77777777" w:rsidTr="00413923">
        <w:trPr>
          <w:trHeight w:val="300"/>
        </w:trPr>
        <w:tc>
          <w:tcPr>
            <w:tcW w:w="1417" w:type="dxa"/>
            <w:tcBorders>
              <w:top w:val="nil"/>
              <w:left w:val="nil"/>
              <w:bottom w:val="nil"/>
              <w:right w:val="nil"/>
            </w:tcBorders>
            <w:shd w:val="clear" w:color="auto" w:fill="auto"/>
            <w:noWrap/>
            <w:vAlign w:val="center"/>
            <w:hideMark/>
          </w:tcPr>
          <w:p w14:paraId="07697B89"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Slovensko</w:t>
            </w:r>
          </w:p>
        </w:tc>
        <w:tc>
          <w:tcPr>
            <w:tcW w:w="907" w:type="dxa"/>
            <w:tcBorders>
              <w:top w:val="nil"/>
              <w:left w:val="single" w:sz="4" w:space="0" w:color="000000"/>
              <w:bottom w:val="nil"/>
              <w:right w:val="nil"/>
            </w:tcBorders>
            <w:shd w:val="clear" w:color="auto" w:fill="auto"/>
            <w:noWrap/>
            <w:vAlign w:val="center"/>
            <w:hideMark/>
          </w:tcPr>
          <w:p w14:paraId="74B4F602" w14:textId="77777777" w:rsidR="00413923" w:rsidRPr="00D92E20" w:rsidRDefault="00413923" w:rsidP="00413923">
            <w:pPr>
              <w:spacing w:after="0" w:line="240" w:lineRule="auto"/>
              <w:jc w:val="right"/>
              <w:rPr>
                <w:rFonts w:cs="Arial"/>
                <w:sz w:val="16"/>
                <w:szCs w:val="16"/>
              </w:rPr>
            </w:pPr>
            <w:r w:rsidRPr="00D92E20">
              <w:rPr>
                <w:rFonts w:cs="Arial"/>
                <w:sz w:val="16"/>
                <w:szCs w:val="16"/>
              </w:rPr>
              <w:t>520,6</w:t>
            </w:r>
          </w:p>
        </w:tc>
        <w:tc>
          <w:tcPr>
            <w:tcW w:w="907" w:type="dxa"/>
            <w:tcBorders>
              <w:top w:val="nil"/>
              <w:left w:val="nil"/>
              <w:bottom w:val="nil"/>
              <w:right w:val="nil"/>
            </w:tcBorders>
            <w:shd w:val="clear" w:color="auto" w:fill="auto"/>
            <w:noWrap/>
            <w:vAlign w:val="center"/>
            <w:hideMark/>
          </w:tcPr>
          <w:p w14:paraId="5D4E9041" w14:textId="77777777" w:rsidR="00413923" w:rsidRPr="00D92E20" w:rsidRDefault="00413923" w:rsidP="00413923">
            <w:pPr>
              <w:spacing w:after="0" w:line="240" w:lineRule="auto"/>
              <w:jc w:val="right"/>
              <w:rPr>
                <w:rFonts w:cs="Arial"/>
                <w:sz w:val="16"/>
                <w:szCs w:val="16"/>
              </w:rPr>
            </w:pPr>
            <w:r w:rsidRPr="00D92E20">
              <w:rPr>
                <w:rFonts w:cs="Arial"/>
                <w:sz w:val="16"/>
                <w:szCs w:val="16"/>
              </w:rPr>
              <w:t>444,9</w:t>
            </w:r>
          </w:p>
        </w:tc>
        <w:tc>
          <w:tcPr>
            <w:tcW w:w="907" w:type="dxa"/>
            <w:tcBorders>
              <w:top w:val="nil"/>
              <w:left w:val="nil"/>
              <w:bottom w:val="nil"/>
              <w:right w:val="nil"/>
            </w:tcBorders>
            <w:shd w:val="clear" w:color="auto" w:fill="auto"/>
            <w:noWrap/>
            <w:vAlign w:val="center"/>
            <w:hideMark/>
          </w:tcPr>
          <w:p w14:paraId="2A00EC40" w14:textId="77777777" w:rsidR="00413923" w:rsidRPr="00D92E20" w:rsidRDefault="00413923" w:rsidP="00413923">
            <w:pPr>
              <w:spacing w:after="0" w:line="240" w:lineRule="auto"/>
              <w:jc w:val="right"/>
              <w:rPr>
                <w:rFonts w:cs="Arial"/>
                <w:sz w:val="16"/>
                <w:szCs w:val="16"/>
              </w:rPr>
            </w:pPr>
            <w:r w:rsidRPr="00D92E20">
              <w:rPr>
                <w:rFonts w:cs="Arial"/>
                <w:sz w:val="16"/>
                <w:szCs w:val="16"/>
              </w:rPr>
              <w:t>421,2</w:t>
            </w:r>
          </w:p>
        </w:tc>
        <w:tc>
          <w:tcPr>
            <w:tcW w:w="907" w:type="dxa"/>
            <w:tcBorders>
              <w:top w:val="nil"/>
              <w:left w:val="nil"/>
              <w:bottom w:val="nil"/>
              <w:right w:val="nil"/>
            </w:tcBorders>
            <w:shd w:val="clear" w:color="auto" w:fill="auto"/>
            <w:noWrap/>
            <w:vAlign w:val="center"/>
            <w:hideMark/>
          </w:tcPr>
          <w:p w14:paraId="0074168A" w14:textId="77777777" w:rsidR="00413923" w:rsidRPr="00D92E20" w:rsidRDefault="00413923" w:rsidP="00413923">
            <w:pPr>
              <w:spacing w:after="0" w:line="240" w:lineRule="auto"/>
              <w:jc w:val="right"/>
              <w:rPr>
                <w:rFonts w:cs="Arial"/>
                <w:sz w:val="16"/>
                <w:szCs w:val="16"/>
              </w:rPr>
            </w:pPr>
            <w:r w:rsidRPr="00D92E20">
              <w:rPr>
                <w:rFonts w:cs="Arial"/>
                <w:sz w:val="16"/>
                <w:szCs w:val="16"/>
              </w:rPr>
              <w:t>426,9</w:t>
            </w:r>
          </w:p>
        </w:tc>
        <w:tc>
          <w:tcPr>
            <w:tcW w:w="907" w:type="dxa"/>
            <w:tcBorders>
              <w:top w:val="nil"/>
              <w:left w:val="nil"/>
              <w:bottom w:val="nil"/>
              <w:right w:val="nil"/>
            </w:tcBorders>
            <w:shd w:val="clear" w:color="auto" w:fill="auto"/>
            <w:noWrap/>
            <w:vAlign w:val="center"/>
            <w:hideMark/>
          </w:tcPr>
          <w:p w14:paraId="009163F5" w14:textId="77777777" w:rsidR="00413923" w:rsidRPr="00D92E20" w:rsidRDefault="00413923" w:rsidP="00413923">
            <w:pPr>
              <w:spacing w:after="0" w:line="240" w:lineRule="auto"/>
              <w:jc w:val="right"/>
              <w:rPr>
                <w:rFonts w:cs="Arial"/>
                <w:sz w:val="16"/>
                <w:szCs w:val="16"/>
              </w:rPr>
            </w:pPr>
            <w:r w:rsidRPr="00D92E20">
              <w:rPr>
                <w:rFonts w:cs="Arial"/>
                <w:sz w:val="16"/>
                <w:szCs w:val="16"/>
              </w:rPr>
              <w:t>414,9</w:t>
            </w:r>
          </w:p>
        </w:tc>
        <w:tc>
          <w:tcPr>
            <w:tcW w:w="907" w:type="dxa"/>
            <w:tcBorders>
              <w:top w:val="nil"/>
              <w:left w:val="nil"/>
              <w:bottom w:val="nil"/>
              <w:right w:val="nil"/>
            </w:tcBorders>
            <w:shd w:val="clear" w:color="auto" w:fill="auto"/>
            <w:noWrap/>
            <w:vAlign w:val="center"/>
            <w:hideMark/>
          </w:tcPr>
          <w:p w14:paraId="64B46DD8" w14:textId="77777777" w:rsidR="00413923" w:rsidRPr="00D92E20" w:rsidRDefault="00413923" w:rsidP="00413923">
            <w:pPr>
              <w:spacing w:after="0" w:line="240" w:lineRule="auto"/>
              <w:jc w:val="right"/>
              <w:rPr>
                <w:rFonts w:cs="Arial"/>
                <w:sz w:val="16"/>
                <w:szCs w:val="16"/>
              </w:rPr>
            </w:pPr>
            <w:r w:rsidRPr="00D92E20">
              <w:rPr>
                <w:rFonts w:cs="Arial"/>
                <w:sz w:val="16"/>
                <w:szCs w:val="16"/>
              </w:rPr>
              <w:t>525,9</w:t>
            </w:r>
          </w:p>
        </w:tc>
        <w:tc>
          <w:tcPr>
            <w:tcW w:w="907" w:type="dxa"/>
            <w:tcBorders>
              <w:top w:val="nil"/>
              <w:left w:val="nil"/>
              <w:bottom w:val="nil"/>
              <w:right w:val="nil"/>
            </w:tcBorders>
            <w:shd w:val="clear" w:color="auto" w:fill="auto"/>
            <w:noWrap/>
            <w:vAlign w:val="center"/>
            <w:hideMark/>
          </w:tcPr>
          <w:p w14:paraId="78E6D383" w14:textId="77777777" w:rsidR="00413923" w:rsidRPr="00D92E20" w:rsidRDefault="00413923" w:rsidP="00413923">
            <w:pPr>
              <w:spacing w:after="0" w:line="240" w:lineRule="auto"/>
              <w:jc w:val="right"/>
              <w:rPr>
                <w:rFonts w:cs="Arial"/>
                <w:sz w:val="16"/>
                <w:szCs w:val="16"/>
              </w:rPr>
            </w:pPr>
            <w:r w:rsidRPr="00D92E20">
              <w:rPr>
                <w:rFonts w:cs="Arial"/>
                <w:sz w:val="16"/>
                <w:szCs w:val="16"/>
              </w:rPr>
              <w:t>533,5</w:t>
            </w:r>
          </w:p>
        </w:tc>
        <w:tc>
          <w:tcPr>
            <w:tcW w:w="907" w:type="dxa"/>
            <w:tcBorders>
              <w:top w:val="nil"/>
              <w:left w:val="nil"/>
              <w:bottom w:val="nil"/>
              <w:right w:val="nil"/>
            </w:tcBorders>
            <w:shd w:val="clear" w:color="auto" w:fill="auto"/>
            <w:noWrap/>
            <w:vAlign w:val="center"/>
            <w:hideMark/>
          </w:tcPr>
          <w:p w14:paraId="4A4D4A97" w14:textId="77777777" w:rsidR="00413923" w:rsidRPr="00D92E20" w:rsidRDefault="00413923" w:rsidP="00413923">
            <w:pPr>
              <w:spacing w:after="0" w:line="240" w:lineRule="auto"/>
              <w:jc w:val="right"/>
              <w:rPr>
                <w:rFonts w:cs="Arial"/>
                <w:sz w:val="16"/>
                <w:szCs w:val="16"/>
              </w:rPr>
            </w:pPr>
            <w:r w:rsidRPr="00D92E20">
              <w:rPr>
                <w:rFonts w:cs="Arial"/>
                <w:sz w:val="16"/>
                <w:szCs w:val="16"/>
              </w:rPr>
              <w:t>530,9</w:t>
            </w:r>
          </w:p>
        </w:tc>
        <w:tc>
          <w:tcPr>
            <w:tcW w:w="907" w:type="dxa"/>
            <w:tcBorders>
              <w:top w:val="nil"/>
              <w:left w:val="nil"/>
              <w:bottom w:val="nil"/>
              <w:right w:val="nil"/>
            </w:tcBorders>
            <w:shd w:val="clear" w:color="auto" w:fill="auto"/>
            <w:noWrap/>
            <w:vAlign w:val="center"/>
            <w:hideMark/>
          </w:tcPr>
          <w:p w14:paraId="12336264" w14:textId="77777777" w:rsidR="00413923" w:rsidRPr="00D92E20" w:rsidRDefault="00413923" w:rsidP="00413923">
            <w:pPr>
              <w:spacing w:after="0" w:line="240" w:lineRule="auto"/>
              <w:jc w:val="right"/>
              <w:rPr>
                <w:rFonts w:cs="Arial"/>
                <w:sz w:val="16"/>
                <w:szCs w:val="16"/>
              </w:rPr>
            </w:pPr>
            <w:r w:rsidRPr="00D92E20">
              <w:rPr>
                <w:rFonts w:cs="Arial"/>
                <w:sz w:val="16"/>
                <w:szCs w:val="16"/>
              </w:rPr>
              <w:t>538,6</w:t>
            </w:r>
          </w:p>
        </w:tc>
      </w:tr>
      <w:tr w:rsidR="00413923" w:rsidRPr="00D92E20" w14:paraId="09B7E743" w14:textId="77777777" w:rsidTr="00413923">
        <w:trPr>
          <w:trHeight w:val="300"/>
        </w:trPr>
        <w:tc>
          <w:tcPr>
            <w:tcW w:w="1417" w:type="dxa"/>
            <w:tcBorders>
              <w:top w:val="nil"/>
              <w:left w:val="nil"/>
              <w:bottom w:val="nil"/>
              <w:right w:val="nil"/>
            </w:tcBorders>
            <w:shd w:val="clear" w:color="auto" w:fill="auto"/>
            <w:noWrap/>
            <w:vAlign w:val="center"/>
            <w:hideMark/>
          </w:tcPr>
          <w:p w14:paraId="6B4D2E52"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Slovinsko</w:t>
            </w:r>
          </w:p>
        </w:tc>
        <w:tc>
          <w:tcPr>
            <w:tcW w:w="907" w:type="dxa"/>
            <w:tcBorders>
              <w:top w:val="nil"/>
              <w:left w:val="single" w:sz="4" w:space="0" w:color="000000"/>
              <w:bottom w:val="nil"/>
              <w:right w:val="nil"/>
            </w:tcBorders>
            <w:shd w:val="clear" w:color="auto" w:fill="auto"/>
            <w:noWrap/>
            <w:vAlign w:val="center"/>
            <w:hideMark/>
          </w:tcPr>
          <w:p w14:paraId="0AF6EA7E" w14:textId="77777777" w:rsidR="00413923" w:rsidRPr="00D92E20" w:rsidRDefault="00413923" w:rsidP="00413923">
            <w:pPr>
              <w:spacing w:after="0" w:line="240" w:lineRule="auto"/>
              <w:jc w:val="right"/>
              <w:rPr>
                <w:rFonts w:cs="Arial"/>
                <w:sz w:val="16"/>
                <w:szCs w:val="16"/>
              </w:rPr>
            </w:pPr>
            <w:r w:rsidRPr="00D92E20">
              <w:rPr>
                <w:rFonts w:cs="Arial"/>
                <w:sz w:val="16"/>
                <w:szCs w:val="16"/>
              </w:rPr>
              <w:t>1 984,3</w:t>
            </w:r>
          </w:p>
        </w:tc>
        <w:tc>
          <w:tcPr>
            <w:tcW w:w="907" w:type="dxa"/>
            <w:tcBorders>
              <w:top w:val="nil"/>
              <w:left w:val="nil"/>
              <w:bottom w:val="nil"/>
              <w:right w:val="nil"/>
            </w:tcBorders>
            <w:shd w:val="clear" w:color="auto" w:fill="auto"/>
            <w:noWrap/>
            <w:vAlign w:val="center"/>
            <w:hideMark/>
          </w:tcPr>
          <w:p w14:paraId="3D8E8A10" w14:textId="77777777" w:rsidR="00413923" w:rsidRPr="00D92E20" w:rsidRDefault="00413923" w:rsidP="00413923">
            <w:pPr>
              <w:spacing w:after="0" w:line="240" w:lineRule="auto"/>
              <w:jc w:val="right"/>
              <w:rPr>
                <w:rFonts w:cs="Arial"/>
                <w:sz w:val="16"/>
                <w:szCs w:val="16"/>
              </w:rPr>
            </w:pPr>
            <w:r w:rsidRPr="00D92E20">
              <w:rPr>
                <w:rFonts w:cs="Arial"/>
                <w:sz w:val="16"/>
                <w:szCs w:val="16"/>
              </w:rPr>
              <w:t>2 006,8</w:t>
            </w:r>
          </w:p>
        </w:tc>
        <w:tc>
          <w:tcPr>
            <w:tcW w:w="907" w:type="dxa"/>
            <w:tcBorders>
              <w:top w:val="nil"/>
              <w:left w:val="nil"/>
              <w:bottom w:val="nil"/>
              <w:right w:val="nil"/>
            </w:tcBorders>
            <w:shd w:val="clear" w:color="auto" w:fill="auto"/>
            <w:noWrap/>
            <w:vAlign w:val="center"/>
            <w:hideMark/>
          </w:tcPr>
          <w:p w14:paraId="20535AAF" w14:textId="77777777" w:rsidR="00413923" w:rsidRPr="00D92E20" w:rsidRDefault="00413923" w:rsidP="00413923">
            <w:pPr>
              <w:spacing w:after="0" w:line="240" w:lineRule="auto"/>
              <w:jc w:val="right"/>
              <w:rPr>
                <w:rFonts w:cs="Arial"/>
                <w:sz w:val="16"/>
                <w:szCs w:val="16"/>
              </w:rPr>
            </w:pPr>
            <w:r w:rsidRPr="00D92E20">
              <w:rPr>
                <w:rFonts w:cs="Arial"/>
                <w:sz w:val="16"/>
                <w:szCs w:val="16"/>
              </w:rPr>
              <w:t>1 787,7</w:t>
            </w:r>
          </w:p>
        </w:tc>
        <w:tc>
          <w:tcPr>
            <w:tcW w:w="907" w:type="dxa"/>
            <w:tcBorders>
              <w:top w:val="nil"/>
              <w:left w:val="nil"/>
              <w:bottom w:val="nil"/>
              <w:right w:val="nil"/>
            </w:tcBorders>
            <w:shd w:val="clear" w:color="auto" w:fill="auto"/>
            <w:noWrap/>
            <w:vAlign w:val="center"/>
            <w:hideMark/>
          </w:tcPr>
          <w:p w14:paraId="38CAC15E" w14:textId="77777777" w:rsidR="00413923" w:rsidRPr="00D92E20" w:rsidRDefault="00413923" w:rsidP="00413923">
            <w:pPr>
              <w:spacing w:after="0" w:line="240" w:lineRule="auto"/>
              <w:jc w:val="right"/>
              <w:rPr>
                <w:rFonts w:cs="Arial"/>
                <w:sz w:val="16"/>
                <w:szCs w:val="16"/>
              </w:rPr>
            </w:pPr>
            <w:r w:rsidRPr="00D92E20">
              <w:rPr>
                <w:rFonts w:cs="Arial"/>
                <w:sz w:val="16"/>
                <w:szCs w:val="16"/>
              </w:rPr>
              <w:t>1 594,7</w:t>
            </w:r>
          </w:p>
        </w:tc>
        <w:tc>
          <w:tcPr>
            <w:tcW w:w="907" w:type="dxa"/>
            <w:tcBorders>
              <w:top w:val="nil"/>
              <w:left w:val="nil"/>
              <w:bottom w:val="nil"/>
              <w:right w:val="nil"/>
            </w:tcBorders>
            <w:shd w:val="clear" w:color="auto" w:fill="auto"/>
            <w:noWrap/>
            <w:vAlign w:val="center"/>
            <w:hideMark/>
          </w:tcPr>
          <w:p w14:paraId="55690C2A" w14:textId="77777777" w:rsidR="00413923" w:rsidRPr="00D92E20" w:rsidRDefault="00413923" w:rsidP="00413923">
            <w:pPr>
              <w:spacing w:after="0" w:line="240" w:lineRule="auto"/>
              <w:jc w:val="right"/>
              <w:rPr>
                <w:rFonts w:cs="Arial"/>
                <w:sz w:val="16"/>
                <w:szCs w:val="16"/>
              </w:rPr>
            </w:pPr>
            <w:r w:rsidRPr="00D92E20">
              <w:rPr>
                <w:rFonts w:cs="Arial"/>
                <w:sz w:val="16"/>
                <w:szCs w:val="16"/>
              </w:rPr>
              <w:t>1 627,1</w:t>
            </w:r>
          </w:p>
        </w:tc>
        <w:tc>
          <w:tcPr>
            <w:tcW w:w="907" w:type="dxa"/>
            <w:tcBorders>
              <w:top w:val="nil"/>
              <w:left w:val="nil"/>
              <w:bottom w:val="nil"/>
              <w:right w:val="nil"/>
            </w:tcBorders>
            <w:shd w:val="clear" w:color="auto" w:fill="auto"/>
            <w:noWrap/>
            <w:vAlign w:val="center"/>
            <w:hideMark/>
          </w:tcPr>
          <w:p w14:paraId="3A047901" w14:textId="77777777" w:rsidR="00413923" w:rsidRPr="00D92E20" w:rsidRDefault="00413923" w:rsidP="00413923">
            <w:pPr>
              <w:spacing w:after="0" w:line="240" w:lineRule="auto"/>
              <w:jc w:val="right"/>
              <w:rPr>
                <w:rFonts w:cs="Arial"/>
                <w:sz w:val="16"/>
                <w:szCs w:val="16"/>
              </w:rPr>
            </w:pPr>
            <w:r w:rsidRPr="00D92E20">
              <w:rPr>
                <w:rFonts w:cs="Arial"/>
                <w:sz w:val="16"/>
                <w:szCs w:val="16"/>
              </w:rPr>
              <w:t>1 658,8</w:t>
            </w:r>
          </w:p>
        </w:tc>
        <w:tc>
          <w:tcPr>
            <w:tcW w:w="907" w:type="dxa"/>
            <w:tcBorders>
              <w:top w:val="nil"/>
              <w:left w:val="nil"/>
              <w:bottom w:val="nil"/>
              <w:right w:val="nil"/>
            </w:tcBorders>
            <w:shd w:val="clear" w:color="auto" w:fill="auto"/>
            <w:noWrap/>
            <w:vAlign w:val="center"/>
            <w:hideMark/>
          </w:tcPr>
          <w:p w14:paraId="58A2FBB8" w14:textId="77777777" w:rsidR="00413923" w:rsidRPr="00D92E20" w:rsidRDefault="00413923" w:rsidP="00413923">
            <w:pPr>
              <w:spacing w:after="0" w:line="240" w:lineRule="auto"/>
              <w:jc w:val="right"/>
              <w:rPr>
                <w:rFonts w:cs="Arial"/>
                <w:sz w:val="16"/>
                <w:szCs w:val="16"/>
              </w:rPr>
            </w:pPr>
            <w:r w:rsidRPr="00D92E20">
              <w:rPr>
                <w:rFonts w:cs="Arial"/>
                <w:sz w:val="16"/>
                <w:szCs w:val="16"/>
              </w:rPr>
              <w:t>1 556,7</w:t>
            </w:r>
          </w:p>
        </w:tc>
        <w:tc>
          <w:tcPr>
            <w:tcW w:w="907" w:type="dxa"/>
            <w:tcBorders>
              <w:top w:val="nil"/>
              <w:left w:val="nil"/>
              <w:bottom w:val="nil"/>
              <w:right w:val="nil"/>
            </w:tcBorders>
            <w:shd w:val="clear" w:color="auto" w:fill="auto"/>
            <w:noWrap/>
            <w:vAlign w:val="center"/>
            <w:hideMark/>
          </w:tcPr>
          <w:p w14:paraId="7F9FB24F" w14:textId="77777777" w:rsidR="00413923" w:rsidRPr="00D92E20" w:rsidRDefault="00413923" w:rsidP="00413923">
            <w:pPr>
              <w:spacing w:after="0" w:line="240" w:lineRule="auto"/>
              <w:jc w:val="right"/>
              <w:rPr>
                <w:rFonts w:cs="Arial"/>
                <w:sz w:val="16"/>
                <w:szCs w:val="16"/>
              </w:rPr>
            </w:pPr>
            <w:r w:rsidRPr="00D92E20">
              <w:rPr>
                <w:rFonts w:cs="Arial"/>
                <w:sz w:val="16"/>
                <w:szCs w:val="16"/>
              </w:rPr>
              <w:t>1 636,7</w:t>
            </w:r>
          </w:p>
        </w:tc>
        <w:tc>
          <w:tcPr>
            <w:tcW w:w="907" w:type="dxa"/>
            <w:tcBorders>
              <w:top w:val="nil"/>
              <w:left w:val="nil"/>
              <w:bottom w:val="nil"/>
              <w:right w:val="nil"/>
            </w:tcBorders>
            <w:shd w:val="clear" w:color="auto" w:fill="auto"/>
            <w:noWrap/>
            <w:vAlign w:val="center"/>
            <w:hideMark/>
          </w:tcPr>
          <w:p w14:paraId="2C887331" w14:textId="77777777" w:rsidR="00413923" w:rsidRPr="00D92E20" w:rsidRDefault="00413923" w:rsidP="00413923">
            <w:pPr>
              <w:spacing w:after="0" w:line="240" w:lineRule="auto"/>
              <w:jc w:val="right"/>
              <w:rPr>
                <w:rFonts w:cs="Arial"/>
                <w:sz w:val="16"/>
                <w:szCs w:val="16"/>
              </w:rPr>
            </w:pPr>
            <w:r w:rsidRPr="00D92E20">
              <w:rPr>
                <w:rFonts w:cs="Arial"/>
                <w:sz w:val="16"/>
                <w:szCs w:val="16"/>
              </w:rPr>
              <w:t>1 567,2</w:t>
            </w:r>
          </w:p>
        </w:tc>
      </w:tr>
      <w:tr w:rsidR="00413923" w:rsidRPr="00D92E20" w14:paraId="4C955A7C" w14:textId="77777777" w:rsidTr="00413923">
        <w:trPr>
          <w:trHeight w:val="300"/>
        </w:trPr>
        <w:tc>
          <w:tcPr>
            <w:tcW w:w="1417" w:type="dxa"/>
            <w:tcBorders>
              <w:top w:val="nil"/>
              <w:left w:val="nil"/>
              <w:bottom w:val="nil"/>
              <w:right w:val="nil"/>
            </w:tcBorders>
            <w:shd w:val="clear" w:color="auto" w:fill="auto"/>
            <w:noWrap/>
            <w:vAlign w:val="center"/>
            <w:hideMark/>
          </w:tcPr>
          <w:p w14:paraId="6F2F9B40"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Španělsko</w:t>
            </w:r>
          </w:p>
        </w:tc>
        <w:tc>
          <w:tcPr>
            <w:tcW w:w="907" w:type="dxa"/>
            <w:tcBorders>
              <w:top w:val="nil"/>
              <w:left w:val="single" w:sz="4" w:space="0" w:color="000000"/>
              <w:bottom w:val="nil"/>
              <w:right w:val="nil"/>
            </w:tcBorders>
            <w:shd w:val="clear" w:color="auto" w:fill="auto"/>
            <w:noWrap/>
            <w:vAlign w:val="center"/>
            <w:hideMark/>
          </w:tcPr>
          <w:p w14:paraId="1063E302" w14:textId="77777777" w:rsidR="00413923" w:rsidRPr="00D92E20" w:rsidRDefault="00413923" w:rsidP="00413923">
            <w:pPr>
              <w:spacing w:after="0" w:line="240" w:lineRule="auto"/>
              <w:jc w:val="right"/>
              <w:rPr>
                <w:rFonts w:cs="Arial"/>
                <w:sz w:val="16"/>
                <w:szCs w:val="16"/>
              </w:rPr>
            </w:pPr>
            <w:r w:rsidRPr="00D92E20">
              <w:rPr>
                <w:rFonts w:cs="Arial"/>
                <w:sz w:val="16"/>
                <w:szCs w:val="16"/>
              </w:rPr>
              <w:t>3 558,5</w:t>
            </w:r>
          </w:p>
        </w:tc>
        <w:tc>
          <w:tcPr>
            <w:tcW w:w="907" w:type="dxa"/>
            <w:tcBorders>
              <w:top w:val="nil"/>
              <w:left w:val="nil"/>
              <w:bottom w:val="nil"/>
              <w:right w:val="nil"/>
            </w:tcBorders>
            <w:shd w:val="clear" w:color="auto" w:fill="auto"/>
            <w:noWrap/>
            <w:vAlign w:val="center"/>
            <w:hideMark/>
          </w:tcPr>
          <w:p w14:paraId="630887D6" w14:textId="77777777" w:rsidR="00413923" w:rsidRPr="00D92E20" w:rsidRDefault="00413923" w:rsidP="00413923">
            <w:pPr>
              <w:spacing w:after="0" w:line="240" w:lineRule="auto"/>
              <w:jc w:val="right"/>
              <w:rPr>
                <w:rFonts w:cs="Arial"/>
                <w:sz w:val="16"/>
                <w:szCs w:val="16"/>
              </w:rPr>
            </w:pPr>
            <w:r w:rsidRPr="00D92E20">
              <w:rPr>
                <w:rFonts w:cs="Arial"/>
                <w:sz w:val="16"/>
                <w:szCs w:val="16"/>
              </w:rPr>
              <w:t>3 421,7</w:t>
            </w:r>
          </w:p>
        </w:tc>
        <w:tc>
          <w:tcPr>
            <w:tcW w:w="907" w:type="dxa"/>
            <w:tcBorders>
              <w:top w:val="nil"/>
              <w:left w:val="nil"/>
              <w:bottom w:val="nil"/>
              <w:right w:val="nil"/>
            </w:tcBorders>
            <w:shd w:val="clear" w:color="auto" w:fill="auto"/>
            <w:noWrap/>
            <w:vAlign w:val="center"/>
            <w:hideMark/>
          </w:tcPr>
          <w:p w14:paraId="594FFADA" w14:textId="77777777" w:rsidR="00413923" w:rsidRPr="00D92E20" w:rsidRDefault="00413923" w:rsidP="00413923">
            <w:pPr>
              <w:spacing w:after="0" w:line="240" w:lineRule="auto"/>
              <w:jc w:val="right"/>
              <w:rPr>
                <w:rFonts w:cs="Arial"/>
                <w:sz w:val="16"/>
                <w:szCs w:val="16"/>
              </w:rPr>
            </w:pPr>
            <w:r w:rsidRPr="00D92E20">
              <w:rPr>
                <w:rFonts w:cs="Arial"/>
                <w:sz w:val="16"/>
                <w:szCs w:val="16"/>
              </w:rPr>
              <w:t>2 889,6</w:t>
            </w:r>
          </w:p>
        </w:tc>
        <w:tc>
          <w:tcPr>
            <w:tcW w:w="907" w:type="dxa"/>
            <w:tcBorders>
              <w:top w:val="nil"/>
              <w:left w:val="nil"/>
              <w:bottom w:val="nil"/>
              <w:right w:val="nil"/>
            </w:tcBorders>
            <w:shd w:val="clear" w:color="auto" w:fill="auto"/>
            <w:noWrap/>
            <w:vAlign w:val="center"/>
            <w:hideMark/>
          </w:tcPr>
          <w:p w14:paraId="6C575C6D" w14:textId="77777777" w:rsidR="00413923" w:rsidRPr="00D92E20" w:rsidRDefault="00413923" w:rsidP="00413923">
            <w:pPr>
              <w:spacing w:after="0" w:line="240" w:lineRule="auto"/>
              <w:jc w:val="right"/>
              <w:rPr>
                <w:rFonts w:cs="Arial"/>
                <w:sz w:val="16"/>
                <w:szCs w:val="16"/>
              </w:rPr>
            </w:pPr>
            <w:r w:rsidRPr="00D92E20">
              <w:rPr>
                <w:rFonts w:cs="Arial"/>
                <w:sz w:val="16"/>
                <w:szCs w:val="16"/>
              </w:rPr>
              <w:t>2 909,0</w:t>
            </w:r>
          </w:p>
        </w:tc>
        <w:tc>
          <w:tcPr>
            <w:tcW w:w="907" w:type="dxa"/>
            <w:tcBorders>
              <w:top w:val="nil"/>
              <w:left w:val="nil"/>
              <w:bottom w:val="nil"/>
              <w:right w:val="nil"/>
            </w:tcBorders>
            <w:shd w:val="clear" w:color="auto" w:fill="auto"/>
            <w:noWrap/>
            <w:vAlign w:val="center"/>
            <w:hideMark/>
          </w:tcPr>
          <w:p w14:paraId="6E81BCA1" w14:textId="77777777" w:rsidR="00413923" w:rsidRPr="00D92E20" w:rsidRDefault="00413923" w:rsidP="00413923">
            <w:pPr>
              <w:spacing w:after="0" w:line="240" w:lineRule="auto"/>
              <w:jc w:val="right"/>
              <w:rPr>
                <w:rFonts w:cs="Arial"/>
                <w:sz w:val="16"/>
                <w:szCs w:val="16"/>
              </w:rPr>
            </w:pPr>
            <w:r w:rsidRPr="00D92E20">
              <w:rPr>
                <w:rFonts w:cs="Arial"/>
                <w:sz w:val="16"/>
                <w:szCs w:val="16"/>
              </w:rPr>
              <w:t>3 220,4</w:t>
            </w:r>
          </w:p>
        </w:tc>
        <w:tc>
          <w:tcPr>
            <w:tcW w:w="907" w:type="dxa"/>
            <w:tcBorders>
              <w:top w:val="nil"/>
              <w:left w:val="nil"/>
              <w:bottom w:val="nil"/>
              <w:right w:val="nil"/>
            </w:tcBorders>
            <w:shd w:val="clear" w:color="auto" w:fill="auto"/>
            <w:noWrap/>
            <w:vAlign w:val="center"/>
            <w:hideMark/>
          </w:tcPr>
          <w:p w14:paraId="022E5039" w14:textId="77777777" w:rsidR="00413923" w:rsidRPr="00D92E20" w:rsidRDefault="00413923" w:rsidP="00413923">
            <w:pPr>
              <w:spacing w:after="0" w:line="240" w:lineRule="auto"/>
              <w:jc w:val="right"/>
              <w:rPr>
                <w:rFonts w:cs="Arial"/>
                <w:sz w:val="16"/>
                <w:szCs w:val="16"/>
              </w:rPr>
            </w:pPr>
            <w:r w:rsidRPr="00D92E20">
              <w:rPr>
                <w:rFonts w:cs="Arial"/>
                <w:sz w:val="16"/>
                <w:szCs w:val="16"/>
              </w:rPr>
              <w:t>3 150,9</w:t>
            </w:r>
          </w:p>
        </w:tc>
        <w:tc>
          <w:tcPr>
            <w:tcW w:w="907" w:type="dxa"/>
            <w:tcBorders>
              <w:top w:val="nil"/>
              <w:left w:val="nil"/>
              <w:bottom w:val="nil"/>
              <w:right w:val="nil"/>
            </w:tcBorders>
            <w:shd w:val="clear" w:color="auto" w:fill="auto"/>
            <w:noWrap/>
            <w:vAlign w:val="center"/>
            <w:hideMark/>
          </w:tcPr>
          <w:p w14:paraId="45C84531" w14:textId="77777777" w:rsidR="00413923" w:rsidRPr="00D92E20" w:rsidRDefault="00413923" w:rsidP="00413923">
            <w:pPr>
              <w:spacing w:after="0" w:line="240" w:lineRule="auto"/>
              <w:jc w:val="right"/>
              <w:rPr>
                <w:rFonts w:cs="Arial"/>
                <w:sz w:val="16"/>
                <w:szCs w:val="16"/>
              </w:rPr>
            </w:pPr>
            <w:r w:rsidRPr="00D92E20">
              <w:rPr>
                <w:rFonts w:cs="Arial"/>
                <w:sz w:val="16"/>
                <w:szCs w:val="16"/>
              </w:rPr>
              <w:t>3 209,8</w:t>
            </w:r>
          </w:p>
        </w:tc>
        <w:tc>
          <w:tcPr>
            <w:tcW w:w="907" w:type="dxa"/>
            <w:tcBorders>
              <w:top w:val="nil"/>
              <w:left w:val="nil"/>
              <w:bottom w:val="nil"/>
              <w:right w:val="nil"/>
            </w:tcBorders>
            <w:shd w:val="clear" w:color="auto" w:fill="auto"/>
            <w:noWrap/>
            <w:vAlign w:val="center"/>
            <w:hideMark/>
          </w:tcPr>
          <w:p w14:paraId="2F134245" w14:textId="77777777" w:rsidR="00413923" w:rsidRPr="00D92E20" w:rsidRDefault="00413923" w:rsidP="00413923">
            <w:pPr>
              <w:spacing w:after="0" w:line="240" w:lineRule="auto"/>
              <w:jc w:val="right"/>
              <w:rPr>
                <w:rFonts w:cs="Arial"/>
                <w:sz w:val="16"/>
                <w:szCs w:val="16"/>
              </w:rPr>
            </w:pPr>
            <w:r w:rsidRPr="00D92E20">
              <w:rPr>
                <w:rFonts w:cs="Arial"/>
                <w:sz w:val="16"/>
                <w:szCs w:val="16"/>
              </w:rPr>
              <w:t>3 267,7</w:t>
            </w:r>
          </w:p>
        </w:tc>
        <w:tc>
          <w:tcPr>
            <w:tcW w:w="907" w:type="dxa"/>
            <w:tcBorders>
              <w:top w:val="nil"/>
              <w:left w:val="nil"/>
              <w:bottom w:val="nil"/>
              <w:right w:val="nil"/>
            </w:tcBorders>
            <w:shd w:val="clear" w:color="auto" w:fill="auto"/>
            <w:noWrap/>
            <w:vAlign w:val="center"/>
            <w:hideMark/>
          </w:tcPr>
          <w:p w14:paraId="10E216E7" w14:textId="77777777" w:rsidR="00413923" w:rsidRPr="00D92E20" w:rsidRDefault="00413923" w:rsidP="00413923">
            <w:pPr>
              <w:spacing w:after="0" w:line="240" w:lineRule="auto"/>
              <w:jc w:val="right"/>
              <w:rPr>
                <w:rFonts w:cs="Arial"/>
                <w:sz w:val="16"/>
                <w:szCs w:val="16"/>
              </w:rPr>
            </w:pPr>
            <w:r w:rsidRPr="00D92E20">
              <w:rPr>
                <w:rFonts w:cs="Arial"/>
                <w:sz w:val="16"/>
                <w:szCs w:val="16"/>
              </w:rPr>
              <w:t>3 275,1</w:t>
            </w:r>
          </w:p>
        </w:tc>
      </w:tr>
      <w:tr w:rsidR="00413923" w:rsidRPr="00D92E20" w14:paraId="6198C8AA" w14:textId="77777777" w:rsidTr="00413923">
        <w:trPr>
          <w:trHeight w:val="300"/>
        </w:trPr>
        <w:tc>
          <w:tcPr>
            <w:tcW w:w="1417" w:type="dxa"/>
            <w:tcBorders>
              <w:top w:val="nil"/>
              <w:left w:val="nil"/>
              <w:bottom w:val="nil"/>
              <w:right w:val="nil"/>
            </w:tcBorders>
            <w:shd w:val="clear" w:color="auto" w:fill="auto"/>
            <w:noWrap/>
            <w:vAlign w:val="center"/>
            <w:hideMark/>
          </w:tcPr>
          <w:p w14:paraId="18BD143A"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Švédsko</w:t>
            </w:r>
          </w:p>
        </w:tc>
        <w:tc>
          <w:tcPr>
            <w:tcW w:w="907" w:type="dxa"/>
            <w:tcBorders>
              <w:top w:val="nil"/>
              <w:left w:val="single" w:sz="4" w:space="0" w:color="000000"/>
              <w:bottom w:val="nil"/>
              <w:right w:val="nil"/>
            </w:tcBorders>
            <w:shd w:val="clear" w:color="auto" w:fill="auto"/>
            <w:noWrap/>
            <w:vAlign w:val="center"/>
            <w:hideMark/>
          </w:tcPr>
          <w:p w14:paraId="28BDABFF" w14:textId="77777777" w:rsidR="00413923" w:rsidRPr="00D92E20" w:rsidRDefault="00413923" w:rsidP="00413923">
            <w:pPr>
              <w:spacing w:after="0" w:line="240" w:lineRule="auto"/>
              <w:jc w:val="right"/>
              <w:rPr>
                <w:rFonts w:cs="Arial"/>
                <w:sz w:val="16"/>
                <w:szCs w:val="16"/>
              </w:rPr>
            </w:pPr>
            <w:r w:rsidRPr="00D92E20">
              <w:rPr>
                <w:rFonts w:cs="Arial"/>
                <w:sz w:val="16"/>
                <w:szCs w:val="16"/>
              </w:rPr>
              <w:t>888,6</w:t>
            </w:r>
          </w:p>
        </w:tc>
        <w:tc>
          <w:tcPr>
            <w:tcW w:w="907" w:type="dxa"/>
            <w:tcBorders>
              <w:top w:val="nil"/>
              <w:left w:val="nil"/>
              <w:bottom w:val="nil"/>
              <w:right w:val="nil"/>
            </w:tcBorders>
            <w:shd w:val="clear" w:color="auto" w:fill="auto"/>
            <w:noWrap/>
            <w:vAlign w:val="center"/>
            <w:hideMark/>
          </w:tcPr>
          <w:p w14:paraId="0F7C0E96" w14:textId="77777777" w:rsidR="00413923" w:rsidRPr="00D92E20" w:rsidRDefault="00413923" w:rsidP="00413923">
            <w:pPr>
              <w:spacing w:after="0" w:line="240" w:lineRule="auto"/>
              <w:jc w:val="right"/>
              <w:rPr>
                <w:rFonts w:cs="Arial"/>
                <w:sz w:val="16"/>
                <w:szCs w:val="16"/>
              </w:rPr>
            </w:pPr>
            <w:r w:rsidRPr="00D92E20">
              <w:rPr>
                <w:rFonts w:cs="Arial"/>
                <w:sz w:val="16"/>
                <w:szCs w:val="16"/>
              </w:rPr>
              <w:t>874,2</w:t>
            </w:r>
          </w:p>
        </w:tc>
        <w:tc>
          <w:tcPr>
            <w:tcW w:w="907" w:type="dxa"/>
            <w:tcBorders>
              <w:top w:val="nil"/>
              <w:left w:val="nil"/>
              <w:bottom w:val="nil"/>
              <w:right w:val="nil"/>
            </w:tcBorders>
            <w:shd w:val="clear" w:color="auto" w:fill="auto"/>
            <w:noWrap/>
            <w:vAlign w:val="center"/>
            <w:hideMark/>
          </w:tcPr>
          <w:p w14:paraId="254845C5" w14:textId="77777777" w:rsidR="00413923" w:rsidRPr="00D92E20" w:rsidRDefault="00413923" w:rsidP="00413923">
            <w:pPr>
              <w:spacing w:after="0" w:line="240" w:lineRule="auto"/>
              <w:jc w:val="right"/>
              <w:rPr>
                <w:rFonts w:cs="Arial"/>
                <w:sz w:val="16"/>
                <w:szCs w:val="16"/>
              </w:rPr>
            </w:pPr>
            <w:r w:rsidRPr="00D92E20">
              <w:rPr>
                <w:rFonts w:cs="Arial"/>
                <w:sz w:val="16"/>
                <w:szCs w:val="16"/>
              </w:rPr>
              <w:t>901,4</w:t>
            </w:r>
          </w:p>
        </w:tc>
        <w:tc>
          <w:tcPr>
            <w:tcW w:w="907" w:type="dxa"/>
            <w:tcBorders>
              <w:top w:val="nil"/>
              <w:left w:val="nil"/>
              <w:bottom w:val="nil"/>
              <w:right w:val="nil"/>
            </w:tcBorders>
            <w:shd w:val="clear" w:color="auto" w:fill="auto"/>
            <w:noWrap/>
            <w:vAlign w:val="center"/>
            <w:hideMark/>
          </w:tcPr>
          <w:p w14:paraId="60A94FA9" w14:textId="77777777" w:rsidR="00413923" w:rsidRPr="00D92E20" w:rsidRDefault="00413923" w:rsidP="00413923">
            <w:pPr>
              <w:spacing w:after="0" w:line="240" w:lineRule="auto"/>
              <w:jc w:val="right"/>
              <w:rPr>
                <w:rFonts w:cs="Arial"/>
                <w:sz w:val="16"/>
                <w:szCs w:val="16"/>
              </w:rPr>
            </w:pPr>
            <w:r w:rsidRPr="00D92E20">
              <w:rPr>
                <w:rFonts w:cs="Arial"/>
                <w:sz w:val="16"/>
                <w:szCs w:val="16"/>
              </w:rPr>
              <w:t>875,0</w:t>
            </w:r>
          </w:p>
        </w:tc>
        <w:tc>
          <w:tcPr>
            <w:tcW w:w="907" w:type="dxa"/>
            <w:tcBorders>
              <w:top w:val="nil"/>
              <w:left w:val="nil"/>
              <w:bottom w:val="nil"/>
              <w:right w:val="nil"/>
            </w:tcBorders>
            <w:shd w:val="clear" w:color="auto" w:fill="auto"/>
            <w:noWrap/>
            <w:vAlign w:val="center"/>
            <w:hideMark/>
          </w:tcPr>
          <w:p w14:paraId="5A61EFF8" w14:textId="77777777" w:rsidR="00413923" w:rsidRPr="00D92E20" w:rsidRDefault="00413923" w:rsidP="00413923">
            <w:pPr>
              <w:spacing w:after="0" w:line="240" w:lineRule="auto"/>
              <w:jc w:val="right"/>
              <w:rPr>
                <w:rFonts w:cs="Arial"/>
                <w:sz w:val="16"/>
                <w:szCs w:val="16"/>
              </w:rPr>
            </w:pPr>
            <w:r w:rsidRPr="00D92E20">
              <w:rPr>
                <w:rFonts w:cs="Arial"/>
                <w:sz w:val="16"/>
                <w:szCs w:val="16"/>
              </w:rPr>
              <w:t>759,8</w:t>
            </w:r>
          </w:p>
        </w:tc>
        <w:tc>
          <w:tcPr>
            <w:tcW w:w="907" w:type="dxa"/>
            <w:tcBorders>
              <w:top w:val="nil"/>
              <w:left w:val="nil"/>
              <w:bottom w:val="nil"/>
              <w:right w:val="nil"/>
            </w:tcBorders>
            <w:shd w:val="clear" w:color="auto" w:fill="auto"/>
            <w:noWrap/>
            <w:vAlign w:val="center"/>
            <w:hideMark/>
          </w:tcPr>
          <w:p w14:paraId="7A3FD44F" w14:textId="77777777" w:rsidR="00413923" w:rsidRPr="00D92E20" w:rsidRDefault="00413923" w:rsidP="00413923">
            <w:pPr>
              <w:spacing w:after="0" w:line="240" w:lineRule="auto"/>
              <w:jc w:val="right"/>
              <w:rPr>
                <w:rFonts w:cs="Arial"/>
                <w:sz w:val="16"/>
                <w:szCs w:val="16"/>
              </w:rPr>
            </w:pPr>
            <w:r w:rsidRPr="00D92E20">
              <w:rPr>
                <w:rFonts w:cs="Arial"/>
                <w:sz w:val="16"/>
                <w:szCs w:val="16"/>
              </w:rPr>
              <w:t>768,7</w:t>
            </w:r>
          </w:p>
        </w:tc>
        <w:tc>
          <w:tcPr>
            <w:tcW w:w="907" w:type="dxa"/>
            <w:tcBorders>
              <w:top w:val="nil"/>
              <w:left w:val="nil"/>
              <w:bottom w:val="nil"/>
              <w:right w:val="nil"/>
            </w:tcBorders>
            <w:shd w:val="clear" w:color="auto" w:fill="auto"/>
            <w:noWrap/>
            <w:vAlign w:val="center"/>
            <w:hideMark/>
          </w:tcPr>
          <w:p w14:paraId="7DC0C505" w14:textId="77777777" w:rsidR="00413923" w:rsidRPr="00D92E20" w:rsidRDefault="00413923" w:rsidP="00413923">
            <w:pPr>
              <w:spacing w:after="0" w:line="240" w:lineRule="auto"/>
              <w:jc w:val="right"/>
              <w:rPr>
                <w:rFonts w:cs="Arial"/>
                <w:sz w:val="16"/>
                <w:szCs w:val="16"/>
              </w:rPr>
            </w:pPr>
            <w:r w:rsidRPr="00D92E20">
              <w:rPr>
                <w:rFonts w:cs="Arial"/>
                <w:sz w:val="16"/>
                <w:szCs w:val="16"/>
              </w:rPr>
              <w:t>796,2</w:t>
            </w:r>
          </w:p>
        </w:tc>
        <w:tc>
          <w:tcPr>
            <w:tcW w:w="907" w:type="dxa"/>
            <w:tcBorders>
              <w:top w:val="nil"/>
              <w:left w:val="nil"/>
              <w:bottom w:val="nil"/>
              <w:right w:val="nil"/>
            </w:tcBorders>
            <w:shd w:val="clear" w:color="auto" w:fill="auto"/>
            <w:noWrap/>
            <w:vAlign w:val="center"/>
            <w:hideMark/>
          </w:tcPr>
          <w:p w14:paraId="6753476D" w14:textId="77777777" w:rsidR="00413923" w:rsidRPr="00D92E20" w:rsidRDefault="00413923" w:rsidP="00413923">
            <w:pPr>
              <w:spacing w:after="0" w:line="240" w:lineRule="auto"/>
              <w:jc w:val="right"/>
              <w:rPr>
                <w:rFonts w:cs="Arial"/>
                <w:sz w:val="16"/>
                <w:szCs w:val="16"/>
              </w:rPr>
            </w:pPr>
            <w:r w:rsidRPr="00D92E20">
              <w:rPr>
                <w:rFonts w:cs="Arial"/>
                <w:sz w:val="16"/>
                <w:szCs w:val="16"/>
              </w:rPr>
              <w:t>774,3</w:t>
            </w:r>
          </w:p>
        </w:tc>
        <w:tc>
          <w:tcPr>
            <w:tcW w:w="907" w:type="dxa"/>
            <w:tcBorders>
              <w:top w:val="nil"/>
              <w:left w:val="nil"/>
              <w:bottom w:val="nil"/>
              <w:right w:val="nil"/>
            </w:tcBorders>
            <w:shd w:val="clear" w:color="auto" w:fill="auto"/>
            <w:noWrap/>
            <w:vAlign w:val="center"/>
            <w:hideMark/>
          </w:tcPr>
          <w:p w14:paraId="00E80F1F" w14:textId="77777777" w:rsidR="00413923" w:rsidRPr="00D92E20" w:rsidRDefault="00413923" w:rsidP="00413923">
            <w:pPr>
              <w:spacing w:after="0" w:line="240" w:lineRule="auto"/>
              <w:jc w:val="right"/>
              <w:rPr>
                <w:rFonts w:cs="Arial"/>
                <w:sz w:val="16"/>
                <w:szCs w:val="16"/>
              </w:rPr>
            </w:pPr>
            <w:r w:rsidRPr="00D92E20">
              <w:rPr>
                <w:rFonts w:cs="Arial"/>
                <w:sz w:val="16"/>
                <w:szCs w:val="16"/>
              </w:rPr>
              <w:t>781,1</w:t>
            </w:r>
          </w:p>
        </w:tc>
      </w:tr>
      <w:tr w:rsidR="00413923" w:rsidRPr="00D92E20" w14:paraId="6B3E6B65" w14:textId="77777777" w:rsidTr="00413923">
        <w:trPr>
          <w:trHeight w:val="300"/>
        </w:trPr>
        <w:tc>
          <w:tcPr>
            <w:tcW w:w="1417" w:type="dxa"/>
            <w:tcBorders>
              <w:top w:val="nil"/>
              <w:left w:val="nil"/>
              <w:bottom w:val="nil"/>
              <w:right w:val="nil"/>
            </w:tcBorders>
            <w:shd w:val="clear" w:color="auto" w:fill="auto"/>
            <w:noWrap/>
            <w:vAlign w:val="center"/>
            <w:hideMark/>
          </w:tcPr>
          <w:p w14:paraId="3D5708A3" w14:textId="77777777" w:rsidR="00413923" w:rsidRPr="00D92E20" w:rsidRDefault="00413923" w:rsidP="00413923">
            <w:pPr>
              <w:spacing w:after="0" w:line="240" w:lineRule="auto"/>
              <w:ind w:firstLineChars="100" w:firstLine="160"/>
              <w:rPr>
                <w:rFonts w:cs="Arial"/>
                <w:sz w:val="16"/>
                <w:szCs w:val="16"/>
              </w:rPr>
            </w:pPr>
            <w:r w:rsidRPr="00D92E20">
              <w:rPr>
                <w:rFonts w:cs="Arial"/>
                <w:sz w:val="16"/>
                <w:szCs w:val="16"/>
              </w:rPr>
              <w:t>Velká Británie</w:t>
            </w:r>
          </w:p>
        </w:tc>
        <w:tc>
          <w:tcPr>
            <w:tcW w:w="907" w:type="dxa"/>
            <w:tcBorders>
              <w:top w:val="nil"/>
              <w:left w:val="single" w:sz="4" w:space="0" w:color="000000"/>
              <w:bottom w:val="nil"/>
              <w:right w:val="nil"/>
            </w:tcBorders>
            <w:shd w:val="clear" w:color="auto" w:fill="auto"/>
            <w:noWrap/>
            <w:vAlign w:val="center"/>
            <w:hideMark/>
          </w:tcPr>
          <w:p w14:paraId="4EF32337" w14:textId="77777777" w:rsidR="00413923" w:rsidRPr="00D92E20" w:rsidRDefault="00413923" w:rsidP="00413923">
            <w:pPr>
              <w:spacing w:after="0" w:line="240" w:lineRule="auto"/>
              <w:jc w:val="right"/>
              <w:rPr>
                <w:rFonts w:cs="Arial"/>
                <w:sz w:val="16"/>
                <w:szCs w:val="16"/>
              </w:rPr>
            </w:pPr>
            <w:r w:rsidRPr="00D92E20">
              <w:rPr>
                <w:rFonts w:cs="Arial"/>
                <w:sz w:val="16"/>
                <w:szCs w:val="16"/>
              </w:rPr>
              <w:t>1 031,2</w:t>
            </w:r>
          </w:p>
        </w:tc>
        <w:tc>
          <w:tcPr>
            <w:tcW w:w="907" w:type="dxa"/>
            <w:tcBorders>
              <w:top w:val="nil"/>
              <w:left w:val="nil"/>
              <w:bottom w:val="nil"/>
              <w:right w:val="nil"/>
            </w:tcBorders>
            <w:shd w:val="clear" w:color="auto" w:fill="auto"/>
            <w:noWrap/>
            <w:vAlign w:val="center"/>
            <w:hideMark/>
          </w:tcPr>
          <w:p w14:paraId="609AD231" w14:textId="77777777" w:rsidR="00413923" w:rsidRPr="00D92E20" w:rsidRDefault="00413923" w:rsidP="00413923">
            <w:pPr>
              <w:spacing w:after="0" w:line="240" w:lineRule="auto"/>
              <w:jc w:val="right"/>
              <w:rPr>
                <w:rFonts w:cs="Arial"/>
                <w:sz w:val="16"/>
                <w:szCs w:val="16"/>
              </w:rPr>
            </w:pPr>
            <w:r w:rsidRPr="00D92E20">
              <w:rPr>
                <w:rFonts w:cs="Arial"/>
                <w:sz w:val="16"/>
                <w:szCs w:val="16"/>
              </w:rPr>
              <w:t>1 021,1</w:t>
            </w:r>
          </w:p>
        </w:tc>
        <w:tc>
          <w:tcPr>
            <w:tcW w:w="907" w:type="dxa"/>
            <w:tcBorders>
              <w:top w:val="nil"/>
              <w:left w:val="nil"/>
              <w:bottom w:val="nil"/>
              <w:right w:val="nil"/>
            </w:tcBorders>
            <w:shd w:val="clear" w:color="auto" w:fill="auto"/>
            <w:noWrap/>
            <w:vAlign w:val="center"/>
            <w:hideMark/>
          </w:tcPr>
          <w:p w14:paraId="2E7E7A25" w14:textId="77777777" w:rsidR="00413923" w:rsidRPr="00D92E20" w:rsidRDefault="00413923" w:rsidP="00413923">
            <w:pPr>
              <w:spacing w:after="0" w:line="240" w:lineRule="auto"/>
              <w:jc w:val="right"/>
              <w:rPr>
                <w:rFonts w:cs="Arial"/>
                <w:sz w:val="16"/>
                <w:szCs w:val="16"/>
              </w:rPr>
            </w:pPr>
            <w:r w:rsidRPr="00D92E20">
              <w:rPr>
                <w:rFonts w:cs="Arial"/>
                <w:sz w:val="16"/>
                <w:szCs w:val="16"/>
              </w:rPr>
              <w:t>894,3</w:t>
            </w:r>
          </w:p>
        </w:tc>
        <w:tc>
          <w:tcPr>
            <w:tcW w:w="907" w:type="dxa"/>
            <w:tcBorders>
              <w:top w:val="nil"/>
              <w:left w:val="nil"/>
              <w:bottom w:val="nil"/>
              <w:right w:val="nil"/>
            </w:tcBorders>
            <w:shd w:val="clear" w:color="auto" w:fill="auto"/>
            <w:noWrap/>
            <w:vAlign w:val="center"/>
            <w:hideMark/>
          </w:tcPr>
          <w:p w14:paraId="452096D6" w14:textId="77777777" w:rsidR="00413923" w:rsidRPr="00D92E20" w:rsidRDefault="00413923" w:rsidP="00413923">
            <w:pPr>
              <w:spacing w:after="0" w:line="240" w:lineRule="auto"/>
              <w:jc w:val="right"/>
              <w:rPr>
                <w:rFonts w:cs="Arial"/>
                <w:sz w:val="16"/>
                <w:szCs w:val="16"/>
              </w:rPr>
            </w:pPr>
            <w:r w:rsidRPr="00D92E20">
              <w:rPr>
                <w:rFonts w:cs="Arial"/>
                <w:sz w:val="16"/>
                <w:szCs w:val="16"/>
              </w:rPr>
              <w:t>989,6</w:t>
            </w:r>
          </w:p>
        </w:tc>
        <w:tc>
          <w:tcPr>
            <w:tcW w:w="907" w:type="dxa"/>
            <w:tcBorders>
              <w:top w:val="nil"/>
              <w:left w:val="nil"/>
              <w:bottom w:val="nil"/>
              <w:right w:val="nil"/>
            </w:tcBorders>
            <w:shd w:val="clear" w:color="auto" w:fill="auto"/>
            <w:noWrap/>
            <w:vAlign w:val="center"/>
            <w:hideMark/>
          </w:tcPr>
          <w:p w14:paraId="0E476ED4" w14:textId="77777777" w:rsidR="00413923" w:rsidRPr="00D92E20" w:rsidRDefault="00413923" w:rsidP="00413923">
            <w:pPr>
              <w:spacing w:after="0" w:line="240" w:lineRule="auto"/>
              <w:jc w:val="right"/>
              <w:rPr>
                <w:rFonts w:cs="Arial"/>
                <w:sz w:val="16"/>
                <w:szCs w:val="16"/>
              </w:rPr>
            </w:pPr>
            <w:r w:rsidRPr="00D92E20">
              <w:rPr>
                <w:rFonts w:cs="Arial"/>
                <w:sz w:val="16"/>
                <w:szCs w:val="16"/>
              </w:rPr>
              <w:t>1 015,3</w:t>
            </w:r>
          </w:p>
        </w:tc>
        <w:tc>
          <w:tcPr>
            <w:tcW w:w="907" w:type="dxa"/>
            <w:tcBorders>
              <w:top w:val="nil"/>
              <w:left w:val="nil"/>
              <w:bottom w:val="nil"/>
              <w:right w:val="nil"/>
            </w:tcBorders>
            <w:shd w:val="clear" w:color="auto" w:fill="auto"/>
            <w:noWrap/>
            <w:vAlign w:val="center"/>
            <w:hideMark/>
          </w:tcPr>
          <w:p w14:paraId="657381BF" w14:textId="77777777" w:rsidR="00413923" w:rsidRPr="00D92E20" w:rsidRDefault="00413923" w:rsidP="00413923">
            <w:pPr>
              <w:spacing w:after="0" w:line="240" w:lineRule="auto"/>
              <w:jc w:val="right"/>
              <w:rPr>
                <w:rFonts w:cs="Arial"/>
                <w:sz w:val="16"/>
                <w:szCs w:val="16"/>
              </w:rPr>
            </w:pPr>
            <w:r w:rsidRPr="00D92E20">
              <w:rPr>
                <w:rFonts w:cs="Arial"/>
                <w:sz w:val="16"/>
                <w:szCs w:val="16"/>
              </w:rPr>
              <w:t>918,3</w:t>
            </w:r>
          </w:p>
        </w:tc>
        <w:tc>
          <w:tcPr>
            <w:tcW w:w="907" w:type="dxa"/>
            <w:tcBorders>
              <w:top w:val="nil"/>
              <w:left w:val="nil"/>
              <w:bottom w:val="nil"/>
              <w:right w:val="nil"/>
            </w:tcBorders>
            <w:shd w:val="clear" w:color="auto" w:fill="auto"/>
            <w:noWrap/>
            <w:vAlign w:val="center"/>
            <w:hideMark/>
          </w:tcPr>
          <w:p w14:paraId="1B456836" w14:textId="77777777" w:rsidR="00413923" w:rsidRPr="00D92E20" w:rsidRDefault="00413923" w:rsidP="00413923">
            <w:pPr>
              <w:spacing w:after="0" w:line="240" w:lineRule="auto"/>
              <w:jc w:val="right"/>
              <w:rPr>
                <w:rFonts w:cs="Arial"/>
                <w:sz w:val="16"/>
                <w:szCs w:val="16"/>
              </w:rPr>
            </w:pPr>
            <w:r w:rsidRPr="00D92E20">
              <w:rPr>
                <w:rFonts w:cs="Arial"/>
                <w:sz w:val="16"/>
                <w:szCs w:val="16"/>
              </w:rPr>
              <w:t>864,6</w:t>
            </w:r>
          </w:p>
        </w:tc>
        <w:tc>
          <w:tcPr>
            <w:tcW w:w="907" w:type="dxa"/>
            <w:tcBorders>
              <w:top w:val="nil"/>
              <w:left w:val="nil"/>
              <w:bottom w:val="nil"/>
              <w:right w:val="nil"/>
            </w:tcBorders>
            <w:shd w:val="clear" w:color="auto" w:fill="auto"/>
            <w:noWrap/>
            <w:vAlign w:val="center"/>
            <w:hideMark/>
          </w:tcPr>
          <w:p w14:paraId="50BBA1B4" w14:textId="77777777" w:rsidR="00413923" w:rsidRPr="00D92E20" w:rsidRDefault="00413923" w:rsidP="00413923">
            <w:pPr>
              <w:spacing w:after="0" w:line="240" w:lineRule="auto"/>
              <w:jc w:val="right"/>
              <w:rPr>
                <w:rFonts w:cs="Arial"/>
                <w:sz w:val="16"/>
                <w:szCs w:val="16"/>
              </w:rPr>
            </w:pPr>
            <w:r w:rsidRPr="00D92E20">
              <w:rPr>
                <w:rFonts w:cs="Arial"/>
                <w:sz w:val="16"/>
                <w:szCs w:val="16"/>
              </w:rPr>
              <w:t>841,0</w:t>
            </w:r>
          </w:p>
        </w:tc>
        <w:tc>
          <w:tcPr>
            <w:tcW w:w="907" w:type="dxa"/>
            <w:tcBorders>
              <w:top w:val="nil"/>
              <w:left w:val="nil"/>
              <w:bottom w:val="nil"/>
              <w:right w:val="nil"/>
            </w:tcBorders>
            <w:shd w:val="clear" w:color="auto" w:fill="auto"/>
            <w:noWrap/>
            <w:vAlign w:val="center"/>
            <w:hideMark/>
          </w:tcPr>
          <w:p w14:paraId="4937582C" w14:textId="77777777" w:rsidR="00413923" w:rsidRPr="00D92E20" w:rsidRDefault="00413923" w:rsidP="00413923">
            <w:pPr>
              <w:spacing w:after="0" w:line="240" w:lineRule="auto"/>
              <w:jc w:val="right"/>
              <w:rPr>
                <w:rFonts w:cs="Arial"/>
                <w:sz w:val="16"/>
                <w:szCs w:val="16"/>
              </w:rPr>
            </w:pPr>
            <w:r w:rsidRPr="00D92E20">
              <w:rPr>
                <w:rFonts w:cs="Arial"/>
                <w:sz w:val="16"/>
                <w:szCs w:val="16"/>
              </w:rPr>
              <w:t>825,1</w:t>
            </w:r>
          </w:p>
        </w:tc>
      </w:tr>
    </w:tbl>
    <w:p w14:paraId="54AAF29B" w14:textId="77777777" w:rsidR="00413923" w:rsidRPr="00D92E20" w:rsidRDefault="00413923" w:rsidP="00413923">
      <w:pPr>
        <w:spacing w:after="120"/>
        <w:jc w:val="both"/>
        <w:rPr>
          <w:sz w:val="16"/>
        </w:rPr>
      </w:pPr>
    </w:p>
    <w:p w14:paraId="3D2A1A52" w14:textId="77777777" w:rsidR="00413923" w:rsidRPr="00D92E20" w:rsidRDefault="00413923" w:rsidP="00413923">
      <w:pPr>
        <w:spacing w:after="120"/>
        <w:jc w:val="both"/>
        <w:rPr>
          <w:sz w:val="16"/>
        </w:rPr>
      </w:pPr>
      <w:r w:rsidRPr="00D92E20">
        <w:rPr>
          <w:sz w:val="16"/>
        </w:rPr>
        <w:t>Přerušení v časové řadě</w:t>
      </w:r>
    </w:p>
    <w:p w14:paraId="134098DA" w14:textId="77777777" w:rsidR="00413923" w:rsidRPr="00D92E20" w:rsidRDefault="00413923" w:rsidP="00413923">
      <w:pPr>
        <w:spacing w:after="120"/>
        <w:jc w:val="both"/>
        <w:rPr>
          <w:sz w:val="16"/>
        </w:rPr>
      </w:pPr>
      <w:r w:rsidRPr="00D92E20">
        <w:rPr>
          <w:sz w:val="16"/>
        </w:rPr>
        <w:t>Zdroj: Eurostat (ESAW)</w:t>
      </w:r>
    </w:p>
    <w:p w14:paraId="3034AD9A" w14:textId="05E30D6F" w:rsidR="00033735" w:rsidRPr="00D92E20" w:rsidRDefault="00347261" w:rsidP="00347261">
      <w:pPr>
        <w:spacing w:after="120"/>
        <w:jc w:val="both"/>
      </w:pPr>
      <w:r w:rsidRPr="00D92E20">
        <w:t xml:space="preserve">V oblasti </w:t>
      </w:r>
      <w:r w:rsidRPr="00D92E20">
        <w:rPr>
          <w:b/>
        </w:rPr>
        <w:t>smrtelných pracovních úrazů</w:t>
      </w:r>
      <w:r w:rsidRPr="00D92E20">
        <w:t xml:space="preserve"> se </w:t>
      </w:r>
      <w:r w:rsidRPr="00D92E20">
        <w:rPr>
          <w:b/>
        </w:rPr>
        <w:t>Česká republika</w:t>
      </w:r>
      <w:r w:rsidRPr="00D92E20">
        <w:t xml:space="preserve"> s hodnotou </w:t>
      </w:r>
      <w:r w:rsidR="00C13A9E" w:rsidRPr="00D92E20">
        <w:t>2,9</w:t>
      </w:r>
      <w:r w:rsidRPr="00D92E20">
        <w:t xml:space="preserve"> smrtelných pracovních úrazů na 100 tis. zaměstnaných osob v roce 201</w:t>
      </w:r>
      <w:r w:rsidR="00C13A9E" w:rsidRPr="00D92E20">
        <w:t>8</w:t>
      </w:r>
      <w:r w:rsidRPr="00D92E20">
        <w:t xml:space="preserve"> řadila na </w:t>
      </w:r>
      <w:r w:rsidRPr="00D92E20">
        <w:rPr>
          <w:b/>
        </w:rPr>
        <w:t>1</w:t>
      </w:r>
      <w:r w:rsidR="00C13A9E" w:rsidRPr="00D92E20">
        <w:rPr>
          <w:b/>
        </w:rPr>
        <w:t>0</w:t>
      </w:r>
      <w:r w:rsidRPr="00D92E20">
        <w:rPr>
          <w:b/>
        </w:rPr>
        <w:t xml:space="preserve">. místo </w:t>
      </w:r>
      <w:r w:rsidRPr="00D92E20">
        <w:t xml:space="preserve">v rámci </w:t>
      </w:r>
      <w:r w:rsidRPr="00D92E20">
        <w:rPr>
          <w:b/>
        </w:rPr>
        <w:t>EU28</w:t>
      </w:r>
      <w:r w:rsidRPr="00D92E20">
        <w:t xml:space="preserve"> a dosahovala obdobné </w:t>
      </w:r>
      <w:r w:rsidR="00C13A9E" w:rsidRPr="00D92E20">
        <w:t>hodnoty</w:t>
      </w:r>
      <w:r w:rsidRPr="00D92E20">
        <w:t xml:space="preserve">, jako </w:t>
      </w:r>
      <w:r w:rsidR="00C13A9E" w:rsidRPr="00D92E20">
        <w:t xml:space="preserve">Španělsko. Zatímco v roce 2017 </w:t>
      </w:r>
      <w:r w:rsidRPr="00D92E20">
        <w:t>byl</w:t>
      </w:r>
      <w:r w:rsidR="00C13A9E" w:rsidRPr="00D92E20">
        <w:t>a</w:t>
      </w:r>
      <w:r w:rsidRPr="00D92E20">
        <w:t xml:space="preserve"> </w:t>
      </w:r>
      <w:r w:rsidR="00C13A9E" w:rsidRPr="00D92E20">
        <w:t xml:space="preserve">na úrovni </w:t>
      </w:r>
      <w:r w:rsidRPr="00D92E20">
        <w:t>celoevropsk</w:t>
      </w:r>
      <w:r w:rsidR="00C13A9E" w:rsidRPr="00D92E20">
        <w:t>ého</w:t>
      </w:r>
      <w:r w:rsidRPr="00D92E20">
        <w:t xml:space="preserve"> průměr</w:t>
      </w:r>
      <w:r w:rsidR="00C13A9E" w:rsidRPr="00D92E20">
        <w:t>u, v roce 2018 ho převyšovala o</w:t>
      </w:r>
      <w:r w:rsidR="00CA3FFD" w:rsidRPr="00D92E20">
        <w:t> </w:t>
      </w:r>
      <w:r w:rsidR="00C13A9E" w:rsidRPr="00D92E20">
        <w:t>0,8</w:t>
      </w:r>
      <w:r w:rsidRPr="00D92E20">
        <w:t>. Nejvyšší míra smrtelné pracovní úrazovosti byla podle Eurostatu v</w:t>
      </w:r>
      <w:r w:rsidR="00C13A9E" w:rsidRPr="00D92E20">
        <w:t xml:space="preserve"> Lucembursku (6,4 smrtelných pracovních úrazů na 100 tis. zaměstnaných osob) následovaném </w:t>
      </w:r>
      <w:r w:rsidRPr="00D92E20">
        <w:t>Rumunsk</w:t>
      </w:r>
      <w:r w:rsidR="00C13A9E" w:rsidRPr="00D92E20">
        <w:t>em</w:t>
      </w:r>
      <w:r w:rsidRPr="00D92E20">
        <w:t xml:space="preserve"> (5,</w:t>
      </w:r>
      <w:r w:rsidR="00C13A9E" w:rsidRPr="00D92E20">
        <w:t>3</w:t>
      </w:r>
      <w:r w:rsidRPr="00D92E20">
        <w:t xml:space="preserve"> smrtelných úrazů</w:t>
      </w:r>
      <w:r w:rsidR="00C13A9E" w:rsidRPr="00D92E20">
        <w:t>).</w:t>
      </w:r>
      <w:r w:rsidRPr="00D92E20">
        <w:t xml:space="preserve"> Vyšší míru smrtelné pracovní úrazovosti (nad hranicí 4 smrtelných úrazů) zaznamenali v</w:t>
      </w:r>
      <w:r w:rsidR="00CA3FFD" w:rsidRPr="00D92E20">
        <w:t xml:space="preserve"> Lotyšsku, </w:t>
      </w:r>
      <w:r w:rsidRPr="00D92E20">
        <w:t>Rakousku</w:t>
      </w:r>
      <w:r w:rsidR="00CA3FFD" w:rsidRPr="00D92E20">
        <w:t xml:space="preserve"> a na Kypru</w:t>
      </w:r>
      <w:r w:rsidRPr="00D92E20">
        <w:t xml:space="preserve">. Nejnižší míra smrtelné pracovní úrazovosti </w:t>
      </w:r>
      <w:r w:rsidR="0003626A" w:rsidRPr="00D92E20">
        <w:t xml:space="preserve">v roce 2018 </w:t>
      </w:r>
      <w:r w:rsidRPr="00D92E20">
        <w:t xml:space="preserve">byla </w:t>
      </w:r>
      <w:r w:rsidR="00CA3FFD" w:rsidRPr="00D92E20">
        <w:t>v Nizozemsku (0,9).</w:t>
      </w:r>
    </w:p>
    <w:p w14:paraId="6FF4AE94" w14:textId="77777777" w:rsidR="00033735" w:rsidRPr="00D92E20" w:rsidRDefault="00033735">
      <w:pPr>
        <w:spacing w:after="0" w:line="240" w:lineRule="auto"/>
      </w:pPr>
      <w:r w:rsidRPr="00D92E20">
        <w:br w:type="page"/>
      </w:r>
    </w:p>
    <w:p w14:paraId="18DA6877" w14:textId="77777777" w:rsidR="00C13A9E" w:rsidRPr="00D92E20" w:rsidRDefault="00C13A9E" w:rsidP="00033735">
      <w:pPr>
        <w:spacing w:after="0"/>
        <w:jc w:val="both"/>
        <w:rPr>
          <w:b/>
        </w:rPr>
      </w:pPr>
      <w:r w:rsidRPr="00D92E20">
        <w:rPr>
          <w:b/>
        </w:rPr>
        <w:lastRenderedPageBreak/>
        <w:t>Graf 6.2: Smrtelné pracovní úrazy v zemích EU (standardizovaná míra výskytu na 100 tis. zaměstnaných osob), 2018</w:t>
      </w:r>
    </w:p>
    <w:p w14:paraId="0DE66B16" w14:textId="77777777" w:rsidR="00C13A9E" w:rsidRPr="00D92E20" w:rsidRDefault="00C13A9E" w:rsidP="00C13A9E">
      <w:pPr>
        <w:jc w:val="both"/>
        <w:rPr>
          <w:b/>
        </w:rPr>
      </w:pPr>
      <w:r w:rsidRPr="00D92E20">
        <w:rPr>
          <w:noProof/>
        </w:rPr>
        <w:drawing>
          <wp:inline distT="0" distB="0" distL="0" distR="0" wp14:anchorId="0A6A7A4B" wp14:editId="31E24A37">
            <wp:extent cx="6115050" cy="4514850"/>
            <wp:effectExtent l="0" t="0" r="0" b="0"/>
            <wp:docPr id="47" name="Graf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A6D3E7" w14:textId="77777777" w:rsidR="00C13A9E" w:rsidRPr="00D92E20" w:rsidRDefault="00C13A9E" w:rsidP="00C13A9E">
      <w:pPr>
        <w:spacing w:after="120"/>
        <w:jc w:val="both"/>
        <w:rPr>
          <w:sz w:val="16"/>
        </w:rPr>
      </w:pPr>
      <w:r w:rsidRPr="00D92E20">
        <w:rPr>
          <w:sz w:val="16"/>
        </w:rPr>
        <w:t>Zdroj: Eurostat (ESAW)</w:t>
      </w:r>
    </w:p>
    <w:p w14:paraId="2A1C2581" w14:textId="77777777" w:rsidR="00033735" w:rsidRPr="00D92E20" w:rsidRDefault="00033735">
      <w:pPr>
        <w:spacing w:after="0" w:line="240" w:lineRule="auto"/>
        <w:rPr>
          <w:b/>
        </w:rPr>
      </w:pPr>
      <w:r w:rsidRPr="00D92E20">
        <w:rPr>
          <w:b/>
        </w:rPr>
        <w:br w:type="page"/>
      </w:r>
    </w:p>
    <w:p w14:paraId="14D77E83" w14:textId="77777777" w:rsidR="00413923" w:rsidRPr="00D92E20" w:rsidRDefault="00C13A9E" w:rsidP="00033735">
      <w:pPr>
        <w:spacing w:after="0"/>
        <w:jc w:val="both"/>
        <w:rPr>
          <w:b/>
        </w:rPr>
      </w:pPr>
      <w:r w:rsidRPr="00D92E20">
        <w:rPr>
          <w:b/>
        </w:rPr>
        <w:lastRenderedPageBreak/>
        <w:t>Tab. 6.2: Smrtelné pracovní úrazy v zemích EU (standardizovaná míra výskytu na 100 tis. zaměstnaných osob), 2010–2018</w:t>
      </w:r>
    </w:p>
    <w:tbl>
      <w:tblPr>
        <w:tblW w:w="9580" w:type="dxa"/>
        <w:tblCellMar>
          <w:left w:w="70" w:type="dxa"/>
          <w:right w:w="70" w:type="dxa"/>
        </w:tblCellMar>
        <w:tblLook w:val="04A0" w:firstRow="1" w:lastRow="0" w:firstColumn="1" w:lastColumn="0" w:noHBand="0" w:noVBand="1"/>
      </w:tblPr>
      <w:tblGrid>
        <w:gridCol w:w="1417"/>
        <w:gridCol w:w="907"/>
        <w:gridCol w:w="907"/>
        <w:gridCol w:w="907"/>
        <w:gridCol w:w="907"/>
        <w:gridCol w:w="907"/>
        <w:gridCol w:w="907"/>
        <w:gridCol w:w="907"/>
        <w:gridCol w:w="907"/>
        <w:gridCol w:w="907"/>
      </w:tblGrid>
      <w:tr w:rsidR="00C13A9E" w:rsidRPr="00D92E20" w14:paraId="26833B8E" w14:textId="77777777" w:rsidTr="00C13A9E">
        <w:trPr>
          <w:trHeight w:val="300"/>
        </w:trPr>
        <w:tc>
          <w:tcPr>
            <w:tcW w:w="1417" w:type="dxa"/>
            <w:tcBorders>
              <w:top w:val="single" w:sz="4" w:space="0" w:color="000000"/>
              <w:left w:val="nil"/>
              <w:bottom w:val="single" w:sz="4" w:space="0" w:color="000000"/>
              <w:right w:val="single" w:sz="4" w:space="0" w:color="auto"/>
            </w:tcBorders>
            <w:shd w:val="clear" w:color="000000" w:fill="F5DADD"/>
            <w:noWrap/>
            <w:vAlign w:val="center"/>
            <w:hideMark/>
          </w:tcPr>
          <w:p w14:paraId="2A1D275B" w14:textId="77777777" w:rsidR="00C13A9E" w:rsidRPr="00D92E20" w:rsidRDefault="00C13A9E" w:rsidP="00C13A9E">
            <w:pPr>
              <w:spacing w:after="0" w:line="240" w:lineRule="auto"/>
              <w:rPr>
                <w:rFonts w:cs="Arial"/>
                <w:sz w:val="16"/>
                <w:szCs w:val="16"/>
              </w:rPr>
            </w:pPr>
            <w:r w:rsidRPr="00D92E20">
              <w:rPr>
                <w:rFonts w:cs="Arial"/>
                <w:sz w:val="16"/>
                <w:szCs w:val="16"/>
              </w:rPr>
              <w:t>Členské státy EU</w:t>
            </w:r>
          </w:p>
        </w:tc>
        <w:tc>
          <w:tcPr>
            <w:tcW w:w="907" w:type="dxa"/>
            <w:tcBorders>
              <w:top w:val="single" w:sz="4" w:space="0" w:color="000000"/>
              <w:left w:val="nil"/>
              <w:bottom w:val="single" w:sz="4" w:space="0" w:color="auto"/>
              <w:right w:val="nil"/>
            </w:tcBorders>
            <w:shd w:val="clear" w:color="000000" w:fill="F5DADD"/>
            <w:noWrap/>
            <w:vAlign w:val="center"/>
            <w:hideMark/>
          </w:tcPr>
          <w:p w14:paraId="3B7B97A4"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2010</w:t>
            </w:r>
          </w:p>
        </w:tc>
        <w:tc>
          <w:tcPr>
            <w:tcW w:w="907" w:type="dxa"/>
            <w:tcBorders>
              <w:top w:val="single" w:sz="4" w:space="0" w:color="000000"/>
              <w:left w:val="nil"/>
              <w:bottom w:val="single" w:sz="4" w:space="0" w:color="auto"/>
              <w:right w:val="nil"/>
            </w:tcBorders>
            <w:shd w:val="clear" w:color="000000" w:fill="F5DADD"/>
            <w:noWrap/>
            <w:vAlign w:val="center"/>
            <w:hideMark/>
          </w:tcPr>
          <w:p w14:paraId="0F75304B"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2011</w:t>
            </w:r>
          </w:p>
        </w:tc>
        <w:tc>
          <w:tcPr>
            <w:tcW w:w="907" w:type="dxa"/>
            <w:tcBorders>
              <w:top w:val="single" w:sz="4" w:space="0" w:color="000000"/>
              <w:left w:val="nil"/>
              <w:bottom w:val="single" w:sz="4" w:space="0" w:color="auto"/>
              <w:right w:val="nil"/>
            </w:tcBorders>
            <w:shd w:val="clear" w:color="000000" w:fill="F5DADD"/>
            <w:noWrap/>
            <w:vAlign w:val="center"/>
            <w:hideMark/>
          </w:tcPr>
          <w:p w14:paraId="1DCA6C30"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2012</w:t>
            </w:r>
          </w:p>
        </w:tc>
        <w:tc>
          <w:tcPr>
            <w:tcW w:w="907" w:type="dxa"/>
            <w:tcBorders>
              <w:top w:val="single" w:sz="4" w:space="0" w:color="000000"/>
              <w:left w:val="nil"/>
              <w:bottom w:val="single" w:sz="4" w:space="0" w:color="auto"/>
              <w:right w:val="nil"/>
            </w:tcBorders>
            <w:shd w:val="clear" w:color="000000" w:fill="F5DADD"/>
            <w:noWrap/>
            <w:vAlign w:val="center"/>
            <w:hideMark/>
          </w:tcPr>
          <w:p w14:paraId="79A53717"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2013</w:t>
            </w:r>
          </w:p>
        </w:tc>
        <w:tc>
          <w:tcPr>
            <w:tcW w:w="907" w:type="dxa"/>
            <w:tcBorders>
              <w:top w:val="single" w:sz="4" w:space="0" w:color="000000"/>
              <w:left w:val="nil"/>
              <w:bottom w:val="single" w:sz="4" w:space="0" w:color="auto"/>
              <w:right w:val="nil"/>
            </w:tcBorders>
            <w:shd w:val="clear" w:color="000000" w:fill="F5DADD"/>
            <w:noWrap/>
            <w:vAlign w:val="center"/>
            <w:hideMark/>
          </w:tcPr>
          <w:p w14:paraId="523F5C66"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2014</w:t>
            </w:r>
          </w:p>
        </w:tc>
        <w:tc>
          <w:tcPr>
            <w:tcW w:w="907" w:type="dxa"/>
            <w:tcBorders>
              <w:top w:val="single" w:sz="4" w:space="0" w:color="000000"/>
              <w:left w:val="nil"/>
              <w:bottom w:val="single" w:sz="4" w:space="0" w:color="auto"/>
              <w:right w:val="nil"/>
            </w:tcBorders>
            <w:shd w:val="clear" w:color="000000" w:fill="F5DADD"/>
            <w:noWrap/>
            <w:vAlign w:val="center"/>
            <w:hideMark/>
          </w:tcPr>
          <w:p w14:paraId="63C89662"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2015</w:t>
            </w:r>
          </w:p>
        </w:tc>
        <w:tc>
          <w:tcPr>
            <w:tcW w:w="907" w:type="dxa"/>
            <w:tcBorders>
              <w:top w:val="single" w:sz="4" w:space="0" w:color="000000"/>
              <w:left w:val="nil"/>
              <w:bottom w:val="single" w:sz="4" w:space="0" w:color="auto"/>
              <w:right w:val="nil"/>
            </w:tcBorders>
            <w:shd w:val="clear" w:color="000000" w:fill="F5DADD"/>
            <w:noWrap/>
            <w:vAlign w:val="center"/>
            <w:hideMark/>
          </w:tcPr>
          <w:p w14:paraId="213E2BEF"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2016</w:t>
            </w:r>
          </w:p>
        </w:tc>
        <w:tc>
          <w:tcPr>
            <w:tcW w:w="907" w:type="dxa"/>
            <w:tcBorders>
              <w:top w:val="single" w:sz="4" w:space="0" w:color="000000"/>
              <w:left w:val="nil"/>
              <w:bottom w:val="single" w:sz="4" w:space="0" w:color="auto"/>
              <w:right w:val="nil"/>
            </w:tcBorders>
            <w:shd w:val="clear" w:color="000000" w:fill="F5DADD"/>
            <w:noWrap/>
            <w:vAlign w:val="center"/>
            <w:hideMark/>
          </w:tcPr>
          <w:p w14:paraId="69282CBD"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2017</w:t>
            </w:r>
          </w:p>
        </w:tc>
        <w:tc>
          <w:tcPr>
            <w:tcW w:w="907" w:type="dxa"/>
            <w:tcBorders>
              <w:top w:val="single" w:sz="4" w:space="0" w:color="000000"/>
              <w:left w:val="nil"/>
              <w:bottom w:val="single" w:sz="4" w:space="0" w:color="auto"/>
              <w:right w:val="nil"/>
            </w:tcBorders>
            <w:shd w:val="clear" w:color="000000" w:fill="F5DADD"/>
            <w:noWrap/>
            <w:vAlign w:val="center"/>
            <w:hideMark/>
          </w:tcPr>
          <w:p w14:paraId="45494259" w14:textId="77777777" w:rsidR="00C13A9E" w:rsidRPr="00D92E20" w:rsidRDefault="00C13A9E" w:rsidP="00C13A9E">
            <w:pPr>
              <w:spacing w:after="0" w:line="240" w:lineRule="auto"/>
              <w:jc w:val="center"/>
              <w:rPr>
                <w:rFonts w:cs="Arial"/>
                <w:sz w:val="16"/>
                <w:szCs w:val="16"/>
              </w:rPr>
            </w:pPr>
            <w:r w:rsidRPr="00D92E20">
              <w:rPr>
                <w:rFonts w:cs="Arial"/>
                <w:sz w:val="16"/>
                <w:szCs w:val="16"/>
              </w:rPr>
              <w:t>2018</w:t>
            </w:r>
          </w:p>
        </w:tc>
      </w:tr>
      <w:tr w:rsidR="00C13A9E" w:rsidRPr="00D92E20" w14:paraId="1D522152"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13908DA8" w14:textId="77777777" w:rsidR="00C13A9E" w:rsidRPr="00D92E20" w:rsidRDefault="00C13A9E" w:rsidP="00C13A9E">
            <w:pPr>
              <w:spacing w:after="0" w:line="240" w:lineRule="auto"/>
              <w:rPr>
                <w:rFonts w:cs="Arial"/>
                <w:b/>
                <w:bCs/>
                <w:sz w:val="16"/>
                <w:szCs w:val="16"/>
              </w:rPr>
            </w:pPr>
            <w:r w:rsidRPr="00D92E20">
              <w:rPr>
                <w:rFonts w:cs="Arial"/>
                <w:b/>
                <w:bCs/>
                <w:sz w:val="16"/>
                <w:szCs w:val="16"/>
              </w:rPr>
              <w:t>EU28</w:t>
            </w:r>
          </w:p>
        </w:tc>
        <w:tc>
          <w:tcPr>
            <w:tcW w:w="907" w:type="dxa"/>
            <w:tcBorders>
              <w:top w:val="nil"/>
              <w:left w:val="nil"/>
              <w:bottom w:val="nil"/>
              <w:right w:val="nil"/>
            </w:tcBorders>
            <w:shd w:val="clear" w:color="auto" w:fill="auto"/>
            <w:noWrap/>
            <w:vAlign w:val="center"/>
            <w:hideMark/>
          </w:tcPr>
          <w:p w14:paraId="2B971C0E"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2,66</w:t>
            </w:r>
          </w:p>
        </w:tc>
        <w:tc>
          <w:tcPr>
            <w:tcW w:w="907" w:type="dxa"/>
            <w:tcBorders>
              <w:top w:val="nil"/>
              <w:left w:val="nil"/>
              <w:bottom w:val="nil"/>
              <w:right w:val="nil"/>
            </w:tcBorders>
            <w:shd w:val="clear" w:color="auto" w:fill="auto"/>
            <w:noWrap/>
            <w:vAlign w:val="center"/>
            <w:hideMark/>
          </w:tcPr>
          <w:p w14:paraId="5F1C1D80"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2,54</w:t>
            </w:r>
          </w:p>
        </w:tc>
        <w:tc>
          <w:tcPr>
            <w:tcW w:w="907" w:type="dxa"/>
            <w:tcBorders>
              <w:top w:val="nil"/>
              <w:left w:val="nil"/>
              <w:bottom w:val="nil"/>
              <w:right w:val="nil"/>
            </w:tcBorders>
            <w:shd w:val="clear" w:color="auto" w:fill="auto"/>
            <w:noWrap/>
            <w:vAlign w:val="center"/>
            <w:hideMark/>
          </w:tcPr>
          <w:p w14:paraId="54A49E3A"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2,42</w:t>
            </w:r>
          </w:p>
        </w:tc>
        <w:tc>
          <w:tcPr>
            <w:tcW w:w="907" w:type="dxa"/>
            <w:tcBorders>
              <w:top w:val="nil"/>
              <w:left w:val="nil"/>
              <w:bottom w:val="nil"/>
              <w:right w:val="nil"/>
            </w:tcBorders>
            <w:shd w:val="clear" w:color="auto" w:fill="auto"/>
            <w:noWrap/>
            <w:vAlign w:val="center"/>
            <w:hideMark/>
          </w:tcPr>
          <w:p w14:paraId="4A56F208"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2,26</w:t>
            </w:r>
          </w:p>
        </w:tc>
        <w:tc>
          <w:tcPr>
            <w:tcW w:w="907" w:type="dxa"/>
            <w:tcBorders>
              <w:top w:val="nil"/>
              <w:left w:val="nil"/>
              <w:bottom w:val="nil"/>
              <w:right w:val="nil"/>
            </w:tcBorders>
            <w:shd w:val="clear" w:color="auto" w:fill="auto"/>
            <w:noWrap/>
            <w:vAlign w:val="center"/>
            <w:hideMark/>
          </w:tcPr>
          <w:p w14:paraId="04900A61"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2,33</w:t>
            </w:r>
          </w:p>
        </w:tc>
        <w:tc>
          <w:tcPr>
            <w:tcW w:w="907" w:type="dxa"/>
            <w:tcBorders>
              <w:top w:val="nil"/>
              <w:left w:val="nil"/>
              <w:bottom w:val="nil"/>
              <w:right w:val="nil"/>
            </w:tcBorders>
            <w:shd w:val="clear" w:color="auto" w:fill="auto"/>
            <w:noWrap/>
            <w:vAlign w:val="center"/>
            <w:hideMark/>
          </w:tcPr>
          <w:p w14:paraId="24EAED2D"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2,39</w:t>
            </w:r>
          </w:p>
        </w:tc>
        <w:tc>
          <w:tcPr>
            <w:tcW w:w="907" w:type="dxa"/>
            <w:tcBorders>
              <w:top w:val="nil"/>
              <w:left w:val="nil"/>
              <w:bottom w:val="nil"/>
              <w:right w:val="nil"/>
            </w:tcBorders>
            <w:shd w:val="clear" w:color="auto" w:fill="auto"/>
            <w:noWrap/>
            <w:vAlign w:val="center"/>
            <w:hideMark/>
          </w:tcPr>
          <w:p w14:paraId="6399AB31"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2,15</w:t>
            </w:r>
          </w:p>
        </w:tc>
        <w:tc>
          <w:tcPr>
            <w:tcW w:w="907" w:type="dxa"/>
            <w:tcBorders>
              <w:top w:val="nil"/>
              <w:left w:val="nil"/>
              <w:bottom w:val="nil"/>
              <w:right w:val="nil"/>
            </w:tcBorders>
            <w:shd w:val="clear" w:color="auto" w:fill="auto"/>
            <w:noWrap/>
            <w:vAlign w:val="center"/>
            <w:hideMark/>
          </w:tcPr>
          <w:p w14:paraId="19495A75"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2,12</w:t>
            </w:r>
          </w:p>
        </w:tc>
        <w:tc>
          <w:tcPr>
            <w:tcW w:w="907" w:type="dxa"/>
            <w:tcBorders>
              <w:top w:val="nil"/>
              <w:left w:val="nil"/>
              <w:bottom w:val="nil"/>
              <w:right w:val="nil"/>
            </w:tcBorders>
            <w:shd w:val="clear" w:color="auto" w:fill="auto"/>
            <w:noWrap/>
            <w:vAlign w:val="center"/>
            <w:hideMark/>
          </w:tcPr>
          <w:p w14:paraId="2E20044F"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2,08</w:t>
            </w:r>
          </w:p>
        </w:tc>
      </w:tr>
      <w:tr w:rsidR="00C13A9E" w:rsidRPr="00D92E20" w14:paraId="37BEC59B"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72D4F95D"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Belgie</w:t>
            </w:r>
          </w:p>
        </w:tc>
        <w:tc>
          <w:tcPr>
            <w:tcW w:w="907" w:type="dxa"/>
            <w:tcBorders>
              <w:top w:val="nil"/>
              <w:left w:val="nil"/>
              <w:bottom w:val="nil"/>
              <w:right w:val="nil"/>
            </w:tcBorders>
            <w:shd w:val="clear" w:color="auto" w:fill="auto"/>
            <w:noWrap/>
            <w:vAlign w:val="center"/>
            <w:hideMark/>
          </w:tcPr>
          <w:p w14:paraId="6F6F55ED" w14:textId="77777777" w:rsidR="00C13A9E" w:rsidRPr="00D92E20" w:rsidRDefault="00C13A9E" w:rsidP="00C13A9E">
            <w:pPr>
              <w:spacing w:after="0" w:line="240" w:lineRule="auto"/>
              <w:jc w:val="center"/>
              <w:rPr>
                <w:rFonts w:cs="Arial"/>
                <w:sz w:val="16"/>
                <w:szCs w:val="16"/>
              </w:rPr>
            </w:pPr>
            <w:r w:rsidRPr="00D92E20">
              <w:rPr>
                <w:rFonts w:cs="Arial"/>
                <w:sz w:val="16"/>
                <w:szCs w:val="16"/>
              </w:rPr>
              <w:t>2,56</w:t>
            </w:r>
          </w:p>
        </w:tc>
        <w:tc>
          <w:tcPr>
            <w:tcW w:w="907" w:type="dxa"/>
            <w:tcBorders>
              <w:top w:val="nil"/>
              <w:left w:val="nil"/>
              <w:bottom w:val="nil"/>
              <w:right w:val="nil"/>
            </w:tcBorders>
            <w:shd w:val="clear" w:color="auto" w:fill="auto"/>
            <w:noWrap/>
            <w:vAlign w:val="center"/>
            <w:hideMark/>
          </w:tcPr>
          <w:p w14:paraId="1D4049BB" w14:textId="77777777" w:rsidR="00C13A9E" w:rsidRPr="00D92E20" w:rsidRDefault="00C13A9E" w:rsidP="00C13A9E">
            <w:pPr>
              <w:spacing w:after="0" w:line="240" w:lineRule="auto"/>
              <w:jc w:val="center"/>
              <w:rPr>
                <w:rFonts w:cs="Arial"/>
                <w:sz w:val="16"/>
                <w:szCs w:val="16"/>
              </w:rPr>
            </w:pPr>
            <w:r w:rsidRPr="00D92E20">
              <w:rPr>
                <w:rFonts w:cs="Arial"/>
                <w:sz w:val="16"/>
                <w:szCs w:val="16"/>
              </w:rPr>
              <w:t>4,48</w:t>
            </w:r>
          </w:p>
        </w:tc>
        <w:tc>
          <w:tcPr>
            <w:tcW w:w="907" w:type="dxa"/>
            <w:tcBorders>
              <w:top w:val="nil"/>
              <w:left w:val="nil"/>
              <w:bottom w:val="nil"/>
              <w:right w:val="nil"/>
            </w:tcBorders>
            <w:shd w:val="clear" w:color="auto" w:fill="auto"/>
            <w:noWrap/>
            <w:vAlign w:val="center"/>
            <w:hideMark/>
          </w:tcPr>
          <w:p w14:paraId="46593C50" w14:textId="77777777" w:rsidR="00C13A9E" w:rsidRPr="00D92E20" w:rsidRDefault="00C13A9E" w:rsidP="00C13A9E">
            <w:pPr>
              <w:spacing w:after="0" w:line="240" w:lineRule="auto"/>
              <w:jc w:val="center"/>
              <w:rPr>
                <w:rFonts w:cs="Arial"/>
                <w:sz w:val="16"/>
                <w:szCs w:val="16"/>
              </w:rPr>
            </w:pPr>
            <w:r w:rsidRPr="00D92E20">
              <w:rPr>
                <w:rFonts w:cs="Arial"/>
                <w:sz w:val="16"/>
                <w:szCs w:val="16"/>
              </w:rPr>
              <w:t>2,09</w:t>
            </w:r>
          </w:p>
        </w:tc>
        <w:tc>
          <w:tcPr>
            <w:tcW w:w="907" w:type="dxa"/>
            <w:tcBorders>
              <w:top w:val="nil"/>
              <w:left w:val="nil"/>
              <w:bottom w:val="nil"/>
              <w:right w:val="nil"/>
            </w:tcBorders>
            <w:shd w:val="clear" w:color="auto" w:fill="auto"/>
            <w:noWrap/>
            <w:vAlign w:val="center"/>
            <w:hideMark/>
          </w:tcPr>
          <w:p w14:paraId="686B976F" w14:textId="77777777" w:rsidR="00C13A9E" w:rsidRPr="00D92E20" w:rsidRDefault="00C13A9E" w:rsidP="00C13A9E">
            <w:pPr>
              <w:spacing w:after="0" w:line="240" w:lineRule="auto"/>
              <w:jc w:val="center"/>
              <w:rPr>
                <w:rFonts w:cs="Arial"/>
                <w:sz w:val="16"/>
                <w:szCs w:val="16"/>
              </w:rPr>
            </w:pPr>
            <w:r w:rsidRPr="00D92E20">
              <w:rPr>
                <w:rFonts w:cs="Arial"/>
                <w:sz w:val="16"/>
                <w:szCs w:val="16"/>
              </w:rPr>
              <w:t>3,14</w:t>
            </w:r>
          </w:p>
        </w:tc>
        <w:tc>
          <w:tcPr>
            <w:tcW w:w="907" w:type="dxa"/>
            <w:tcBorders>
              <w:top w:val="nil"/>
              <w:left w:val="nil"/>
              <w:bottom w:val="nil"/>
              <w:right w:val="nil"/>
            </w:tcBorders>
            <w:shd w:val="clear" w:color="000000" w:fill="D9D9D9"/>
            <w:noWrap/>
            <w:vAlign w:val="center"/>
            <w:hideMark/>
          </w:tcPr>
          <w:p w14:paraId="029D7D61" w14:textId="77777777" w:rsidR="00C13A9E" w:rsidRPr="00D92E20" w:rsidRDefault="00C13A9E" w:rsidP="00C13A9E">
            <w:pPr>
              <w:spacing w:after="0" w:line="240" w:lineRule="auto"/>
              <w:jc w:val="center"/>
              <w:rPr>
                <w:rFonts w:cs="Arial"/>
                <w:sz w:val="16"/>
                <w:szCs w:val="16"/>
              </w:rPr>
            </w:pPr>
            <w:r w:rsidRPr="00D92E20">
              <w:rPr>
                <w:rFonts w:cs="Arial"/>
                <w:sz w:val="16"/>
                <w:szCs w:val="16"/>
              </w:rPr>
              <w:t>1,72</w:t>
            </w:r>
          </w:p>
        </w:tc>
        <w:tc>
          <w:tcPr>
            <w:tcW w:w="907" w:type="dxa"/>
            <w:tcBorders>
              <w:top w:val="nil"/>
              <w:left w:val="nil"/>
              <w:bottom w:val="nil"/>
              <w:right w:val="nil"/>
            </w:tcBorders>
            <w:shd w:val="clear" w:color="auto" w:fill="auto"/>
            <w:noWrap/>
            <w:vAlign w:val="center"/>
            <w:hideMark/>
          </w:tcPr>
          <w:p w14:paraId="6EDFB5F9" w14:textId="77777777" w:rsidR="00C13A9E" w:rsidRPr="00D92E20" w:rsidRDefault="00C13A9E" w:rsidP="00C13A9E">
            <w:pPr>
              <w:spacing w:after="0" w:line="240" w:lineRule="auto"/>
              <w:jc w:val="center"/>
              <w:rPr>
                <w:rFonts w:cs="Arial"/>
                <w:sz w:val="16"/>
                <w:szCs w:val="16"/>
              </w:rPr>
            </w:pPr>
            <w:r w:rsidRPr="00D92E20">
              <w:rPr>
                <w:rFonts w:cs="Arial"/>
                <w:sz w:val="16"/>
                <w:szCs w:val="16"/>
              </w:rPr>
              <w:t>2,39</w:t>
            </w:r>
          </w:p>
        </w:tc>
        <w:tc>
          <w:tcPr>
            <w:tcW w:w="907" w:type="dxa"/>
            <w:tcBorders>
              <w:top w:val="nil"/>
              <w:left w:val="nil"/>
              <w:bottom w:val="nil"/>
              <w:right w:val="nil"/>
            </w:tcBorders>
            <w:shd w:val="clear" w:color="auto" w:fill="auto"/>
            <w:noWrap/>
            <w:vAlign w:val="center"/>
            <w:hideMark/>
          </w:tcPr>
          <w:p w14:paraId="1754F318" w14:textId="77777777" w:rsidR="00C13A9E" w:rsidRPr="00D92E20" w:rsidRDefault="00C13A9E" w:rsidP="00C13A9E">
            <w:pPr>
              <w:spacing w:after="0" w:line="240" w:lineRule="auto"/>
              <w:jc w:val="center"/>
              <w:rPr>
                <w:rFonts w:cs="Arial"/>
                <w:sz w:val="16"/>
                <w:szCs w:val="16"/>
              </w:rPr>
            </w:pPr>
            <w:r w:rsidRPr="00D92E20">
              <w:rPr>
                <w:rFonts w:cs="Arial"/>
                <w:sz w:val="16"/>
                <w:szCs w:val="16"/>
              </w:rPr>
              <w:t>2,27</w:t>
            </w:r>
          </w:p>
        </w:tc>
        <w:tc>
          <w:tcPr>
            <w:tcW w:w="907" w:type="dxa"/>
            <w:tcBorders>
              <w:top w:val="nil"/>
              <w:left w:val="nil"/>
              <w:bottom w:val="nil"/>
              <w:right w:val="nil"/>
            </w:tcBorders>
            <w:shd w:val="clear" w:color="auto" w:fill="auto"/>
            <w:noWrap/>
            <w:vAlign w:val="center"/>
            <w:hideMark/>
          </w:tcPr>
          <w:p w14:paraId="30FE9DD6" w14:textId="77777777" w:rsidR="00C13A9E" w:rsidRPr="00D92E20" w:rsidRDefault="00C13A9E" w:rsidP="00C13A9E">
            <w:pPr>
              <w:spacing w:after="0" w:line="240" w:lineRule="auto"/>
              <w:jc w:val="center"/>
              <w:rPr>
                <w:rFonts w:cs="Arial"/>
                <w:sz w:val="16"/>
                <w:szCs w:val="16"/>
              </w:rPr>
            </w:pPr>
            <w:r w:rsidRPr="00D92E20">
              <w:rPr>
                <w:rFonts w:cs="Arial"/>
                <w:sz w:val="16"/>
                <w:szCs w:val="16"/>
              </w:rPr>
              <w:t>2,32</w:t>
            </w:r>
          </w:p>
        </w:tc>
        <w:tc>
          <w:tcPr>
            <w:tcW w:w="907" w:type="dxa"/>
            <w:tcBorders>
              <w:top w:val="nil"/>
              <w:left w:val="nil"/>
              <w:bottom w:val="nil"/>
              <w:right w:val="nil"/>
            </w:tcBorders>
            <w:shd w:val="clear" w:color="auto" w:fill="auto"/>
            <w:noWrap/>
            <w:vAlign w:val="center"/>
            <w:hideMark/>
          </w:tcPr>
          <w:p w14:paraId="32F9E479" w14:textId="77777777" w:rsidR="00C13A9E" w:rsidRPr="00D92E20" w:rsidRDefault="00C13A9E" w:rsidP="00C13A9E">
            <w:pPr>
              <w:spacing w:after="0" w:line="240" w:lineRule="auto"/>
              <w:jc w:val="center"/>
              <w:rPr>
                <w:rFonts w:cs="Arial"/>
                <w:sz w:val="16"/>
                <w:szCs w:val="16"/>
              </w:rPr>
            </w:pPr>
            <w:r w:rsidRPr="00D92E20">
              <w:rPr>
                <w:rFonts w:cs="Arial"/>
                <w:sz w:val="16"/>
                <w:szCs w:val="16"/>
              </w:rPr>
              <w:t>2,72</w:t>
            </w:r>
          </w:p>
        </w:tc>
      </w:tr>
      <w:tr w:rsidR="00C13A9E" w:rsidRPr="00D92E20" w14:paraId="3AC8F3DB"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2CAFA85F"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Bulharsko</w:t>
            </w:r>
          </w:p>
        </w:tc>
        <w:tc>
          <w:tcPr>
            <w:tcW w:w="907" w:type="dxa"/>
            <w:tcBorders>
              <w:top w:val="nil"/>
              <w:left w:val="nil"/>
              <w:bottom w:val="nil"/>
              <w:right w:val="nil"/>
            </w:tcBorders>
            <w:shd w:val="clear" w:color="auto" w:fill="auto"/>
            <w:noWrap/>
            <w:vAlign w:val="center"/>
            <w:hideMark/>
          </w:tcPr>
          <w:p w14:paraId="69DB0EEA" w14:textId="77777777" w:rsidR="00C13A9E" w:rsidRPr="00D92E20" w:rsidRDefault="00C13A9E" w:rsidP="00C13A9E">
            <w:pPr>
              <w:spacing w:after="0" w:line="240" w:lineRule="auto"/>
              <w:jc w:val="center"/>
              <w:rPr>
                <w:rFonts w:cs="Arial"/>
                <w:sz w:val="16"/>
                <w:szCs w:val="16"/>
              </w:rPr>
            </w:pPr>
            <w:r w:rsidRPr="00D92E20">
              <w:rPr>
                <w:rFonts w:cs="Arial"/>
                <w:sz w:val="16"/>
                <w:szCs w:val="16"/>
              </w:rPr>
              <w:t>4,56</w:t>
            </w:r>
          </w:p>
        </w:tc>
        <w:tc>
          <w:tcPr>
            <w:tcW w:w="907" w:type="dxa"/>
            <w:tcBorders>
              <w:top w:val="nil"/>
              <w:left w:val="nil"/>
              <w:bottom w:val="nil"/>
              <w:right w:val="nil"/>
            </w:tcBorders>
            <w:shd w:val="clear" w:color="auto" w:fill="auto"/>
            <w:noWrap/>
            <w:vAlign w:val="center"/>
            <w:hideMark/>
          </w:tcPr>
          <w:p w14:paraId="13D80F03" w14:textId="77777777" w:rsidR="00C13A9E" w:rsidRPr="00D92E20" w:rsidRDefault="00C13A9E" w:rsidP="00C13A9E">
            <w:pPr>
              <w:spacing w:after="0" w:line="240" w:lineRule="auto"/>
              <w:jc w:val="center"/>
              <w:rPr>
                <w:rFonts w:cs="Arial"/>
                <w:sz w:val="16"/>
                <w:szCs w:val="16"/>
              </w:rPr>
            </w:pPr>
            <w:r w:rsidRPr="00D92E20">
              <w:rPr>
                <w:rFonts w:cs="Arial"/>
                <w:sz w:val="16"/>
                <w:szCs w:val="16"/>
              </w:rPr>
              <w:t>4,57</w:t>
            </w:r>
          </w:p>
        </w:tc>
        <w:tc>
          <w:tcPr>
            <w:tcW w:w="907" w:type="dxa"/>
            <w:tcBorders>
              <w:top w:val="nil"/>
              <w:left w:val="nil"/>
              <w:bottom w:val="nil"/>
              <w:right w:val="nil"/>
            </w:tcBorders>
            <w:shd w:val="clear" w:color="auto" w:fill="auto"/>
            <w:noWrap/>
            <w:vAlign w:val="center"/>
            <w:hideMark/>
          </w:tcPr>
          <w:p w14:paraId="62C49E0F" w14:textId="77777777" w:rsidR="00C13A9E" w:rsidRPr="00D92E20" w:rsidRDefault="00C13A9E" w:rsidP="00C13A9E">
            <w:pPr>
              <w:spacing w:after="0" w:line="240" w:lineRule="auto"/>
              <w:jc w:val="center"/>
              <w:rPr>
                <w:rFonts w:cs="Arial"/>
                <w:sz w:val="16"/>
                <w:szCs w:val="16"/>
              </w:rPr>
            </w:pPr>
            <w:r w:rsidRPr="00D92E20">
              <w:rPr>
                <w:rFonts w:cs="Arial"/>
                <w:sz w:val="16"/>
                <w:szCs w:val="16"/>
              </w:rPr>
              <w:t>4,65</w:t>
            </w:r>
          </w:p>
        </w:tc>
        <w:tc>
          <w:tcPr>
            <w:tcW w:w="907" w:type="dxa"/>
            <w:tcBorders>
              <w:top w:val="nil"/>
              <w:left w:val="nil"/>
              <w:bottom w:val="nil"/>
              <w:right w:val="nil"/>
            </w:tcBorders>
            <w:shd w:val="clear" w:color="auto" w:fill="auto"/>
            <w:noWrap/>
            <w:vAlign w:val="center"/>
            <w:hideMark/>
          </w:tcPr>
          <w:p w14:paraId="2BF09997" w14:textId="77777777" w:rsidR="00C13A9E" w:rsidRPr="00D92E20" w:rsidRDefault="00C13A9E" w:rsidP="00C13A9E">
            <w:pPr>
              <w:spacing w:after="0" w:line="240" w:lineRule="auto"/>
              <w:jc w:val="center"/>
              <w:rPr>
                <w:rFonts w:cs="Arial"/>
                <w:sz w:val="16"/>
                <w:szCs w:val="16"/>
              </w:rPr>
            </w:pPr>
            <w:r w:rsidRPr="00D92E20">
              <w:rPr>
                <w:rFonts w:cs="Arial"/>
                <w:sz w:val="16"/>
                <w:szCs w:val="16"/>
              </w:rPr>
              <w:t>3,72</w:t>
            </w:r>
          </w:p>
        </w:tc>
        <w:tc>
          <w:tcPr>
            <w:tcW w:w="907" w:type="dxa"/>
            <w:tcBorders>
              <w:top w:val="nil"/>
              <w:left w:val="nil"/>
              <w:bottom w:val="nil"/>
              <w:right w:val="nil"/>
            </w:tcBorders>
            <w:shd w:val="clear" w:color="auto" w:fill="auto"/>
            <w:noWrap/>
            <w:vAlign w:val="center"/>
            <w:hideMark/>
          </w:tcPr>
          <w:p w14:paraId="4840FE29" w14:textId="77777777" w:rsidR="00C13A9E" w:rsidRPr="00D92E20" w:rsidRDefault="00C13A9E" w:rsidP="00C13A9E">
            <w:pPr>
              <w:spacing w:after="0" w:line="240" w:lineRule="auto"/>
              <w:jc w:val="center"/>
              <w:rPr>
                <w:rFonts w:cs="Arial"/>
                <w:sz w:val="16"/>
                <w:szCs w:val="16"/>
              </w:rPr>
            </w:pPr>
            <w:r w:rsidRPr="00D92E20">
              <w:rPr>
                <w:rFonts w:cs="Arial"/>
                <w:sz w:val="16"/>
                <w:szCs w:val="16"/>
              </w:rPr>
              <w:t>5,43</w:t>
            </w:r>
          </w:p>
        </w:tc>
        <w:tc>
          <w:tcPr>
            <w:tcW w:w="907" w:type="dxa"/>
            <w:tcBorders>
              <w:top w:val="nil"/>
              <w:left w:val="nil"/>
              <w:bottom w:val="nil"/>
              <w:right w:val="nil"/>
            </w:tcBorders>
            <w:shd w:val="clear" w:color="auto" w:fill="auto"/>
            <w:noWrap/>
            <w:vAlign w:val="center"/>
            <w:hideMark/>
          </w:tcPr>
          <w:p w14:paraId="00634F9A" w14:textId="77777777" w:rsidR="00C13A9E" w:rsidRPr="00D92E20" w:rsidRDefault="00C13A9E" w:rsidP="00C13A9E">
            <w:pPr>
              <w:spacing w:after="0" w:line="240" w:lineRule="auto"/>
              <w:jc w:val="center"/>
              <w:rPr>
                <w:rFonts w:cs="Arial"/>
                <w:sz w:val="16"/>
                <w:szCs w:val="16"/>
              </w:rPr>
            </w:pPr>
            <w:r w:rsidRPr="00D92E20">
              <w:rPr>
                <w:rFonts w:cs="Arial"/>
                <w:sz w:val="16"/>
                <w:szCs w:val="16"/>
              </w:rPr>
              <w:t>4,31</w:t>
            </w:r>
          </w:p>
        </w:tc>
        <w:tc>
          <w:tcPr>
            <w:tcW w:w="907" w:type="dxa"/>
            <w:tcBorders>
              <w:top w:val="nil"/>
              <w:left w:val="nil"/>
              <w:bottom w:val="nil"/>
              <w:right w:val="nil"/>
            </w:tcBorders>
            <w:shd w:val="clear" w:color="auto" w:fill="auto"/>
            <w:noWrap/>
            <w:vAlign w:val="center"/>
            <w:hideMark/>
          </w:tcPr>
          <w:p w14:paraId="7CF17F37" w14:textId="77777777" w:rsidR="00C13A9E" w:rsidRPr="00D92E20" w:rsidRDefault="00C13A9E" w:rsidP="00C13A9E">
            <w:pPr>
              <w:spacing w:after="0" w:line="240" w:lineRule="auto"/>
              <w:jc w:val="center"/>
              <w:rPr>
                <w:rFonts w:cs="Arial"/>
                <w:sz w:val="16"/>
                <w:szCs w:val="16"/>
              </w:rPr>
            </w:pPr>
            <w:r w:rsidRPr="00D92E20">
              <w:rPr>
                <w:rFonts w:cs="Arial"/>
                <w:sz w:val="16"/>
                <w:szCs w:val="16"/>
              </w:rPr>
              <w:t>3,74</w:t>
            </w:r>
          </w:p>
        </w:tc>
        <w:tc>
          <w:tcPr>
            <w:tcW w:w="907" w:type="dxa"/>
            <w:tcBorders>
              <w:top w:val="nil"/>
              <w:left w:val="nil"/>
              <w:bottom w:val="nil"/>
              <w:right w:val="nil"/>
            </w:tcBorders>
            <w:shd w:val="clear" w:color="auto" w:fill="auto"/>
            <w:noWrap/>
            <w:vAlign w:val="center"/>
            <w:hideMark/>
          </w:tcPr>
          <w:p w14:paraId="57AA4AA1" w14:textId="77777777" w:rsidR="00C13A9E" w:rsidRPr="00D92E20" w:rsidRDefault="00C13A9E" w:rsidP="00C13A9E">
            <w:pPr>
              <w:spacing w:after="0" w:line="240" w:lineRule="auto"/>
              <w:jc w:val="center"/>
              <w:rPr>
                <w:rFonts w:cs="Arial"/>
                <w:sz w:val="16"/>
                <w:szCs w:val="16"/>
              </w:rPr>
            </w:pPr>
            <w:r w:rsidRPr="00D92E20">
              <w:rPr>
                <w:rFonts w:cs="Arial"/>
                <w:sz w:val="16"/>
                <w:szCs w:val="16"/>
              </w:rPr>
              <w:t>4,30</w:t>
            </w:r>
          </w:p>
        </w:tc>
        <w:tc>
          <w:tcPr>
            <w:tcW w:w="907" w:type="dxa"/>
            <w:tcBorders>
              <w:top w:val="nil"/>
              <w:left w:val="nil"/>
              <w:bottom w:val="nil"/>
              <w:right w:val="nil"/>
            </w:tcBorders>
            <w:shd w:val="clear" w:color="auto" w:fill="auto"/>
            <w:noWrap/>
            <w:vAlign w:val="center"/>
            <w:hideMark/>
          </w:tcPr>
          <w:p w14:paraId="3AFDEF0F" w14:textId="77777777" w:rsidR="00C13A9E" w:rsidRPr="00D92E20" w:rsidRDefault="00C13A9E" w:rsidP="00C13A9E">
            <w:pPr>
              <w:spacing w:after="0" w:line="240" w:lineRule="auto"/>
              <w:jc w:val="center"/>
              <w:rPr>
                <w:rFonts w:cs="Arial"/>
                <w:sz w:val="16"/>
                <w:szCs w:val="16"/>
              </w:rPr>
            </w:pPr>
            <w:r w:rsidRPr="00D92E20">
              <w:rPr>
                <w:rFonts w:cs="Arial"/>
                <w:sz w:val="16"/>
                <w:szCs w:val="16"/>
              </w:rPr>
              <w:t>3,81</w:t>
            </w:r>
          </w:p>
        </w:tc>
      </w:tr>
      <w:tr w:rsidR="00C13A9E" w:rsidRPr="00D92E20" w14:paraId="47747D4B"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4A3FF77E" w14:textId="77777777" w:rsidR="00C13A9E" w:rsidRPr="00D92E20" w:rsidRDefault="00C13A9E" w:rsidP="00C13A9E">
            <w:pPr>
              <w:spacing w:after="0" w:line="240" w:lineRule="auto"/>
              <w:ind w:firstLineChars="100" w:firstLine="160"/>
              <w:rPr>
                <w:rFonts w:cs="Arial"/>
                <w:b/>
                <w:bCs/>
                <w:sz w:val="16"/>
                <w:szCs w:val="16"/>
              </w:rPr>
            </w:pPr>
            <w:r w:rsidRPr="00D92E20">
              <w:rPr>
                <w:rFonts w:cs="Arial"/>
                <w:b/>
                <w:bCs/>
                <w:sz w:val="16"/>
                <w:szCs w:val="16"/>
              </w:rPr>
              <w:t>Česko</w:t>
            </w:r>
          </w:p>
        </w:tc>
        <w:tc>
          <w:tcPr>
            <w:tcW w:w="907" w:type="dxa"/>
            <w:tcBorders>
              <w:top w:val="nil"/>
              <w:left w:val="nil"/>
              <w:bottom w:val="nil"/>
              <w:right w:val="nil"/>
            </w:tcBorders>
            <w:shd w:val="clear" w:color="auto" w:fill="auto"/>
            <w:noWrap/>
            <w:vAlign w:val="center"/>
            <w:hideMark/>
          </w:tcPr>
          <w:p w14:paraId="13067BEF"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3,35</w:t>
            </w:r>
          </w:p>
        </w:tc>
        <w:tc>
          <w:tcPr>
            <w:tcW w:w="907" w:type="dxa"/>
            <w:tcBorders>
              <w:top w:val="nil"/>
              <w:left w:val="nil"/>
              <w:bottom w:val="nil"/>
              <w:right w:val="nil"/>
            </w:tcBorders>
            <w:shd w:val="clear" w:color="auto" w:fill="auto"/>
            <w:noWrap/>
            <w:vAlign w:val="center"/>
            <w:hideMark/>
          </w:tcPr>
          <w:p w14:paraId="7ACD4D86"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3,96</w:t>
            </w:r>
          </w:p>
        </w:tc>
        <w:tc>
          <w:tcPr>
            <w:tcW w:w="907" w:type="dxa"/>
            <w:tcBorders>
              <w:top w:val="nil"/>
              <w:left w:val="nil"/>
              <w:bottom w:val="nil"/>
              <w:right w:val="nil"/>
            </w:tcBorders>
            <w:shd w:val="clear" w:color="auto" w:fill="auto"/>
            <w:noWrap/>
            <w:vAlign w:val="center"/>
            <w:hideMark/>
          </w:tcPr>
          <w:p w14:paraId="3123F562"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2,96</w:t>
            </w:r>
          </w:p>
        </w:tc>
        <w:tc>
          <w:tcPr>
            <w:tcW w:w="907" w:type="dxa"/>
            <w:tcBorders>
              <w:top w:val="nil"/>
              <w:left w:val="nil"/>
              <w:bottom w:val="nil"/>
              <w:right w:val="nil"/>
            </w:tcBorders>
            <w:shd w:val="clear" w:color="auto" w:fill="auto"/>
            <w:noWrap/>
            <w:vAlign w:val="center"/>
            <w:hideMark/>
          </w:tcPr>
          <w:p w14:paraId="4B897310"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2,68</w:t>
            </w:r>
          </w:p>
        </w:tc>
        <w:tc>
          <w:tcPr>
            <w:tcW w:w="907" w:type="dxa"/>
            <w:tcBorders>
              <w:top w:val="nil"/>
              <w:left w:val="nil"/>
              <w:bottom w:val="nil"/>
              <w:right w:val="nil"/>
            </w:tcBorders>
            <w:shd w:val="clear" w:color="auto" w:fill="auto"/>
            <w:noWrap/>
            <w:vAlign w:val="center"/>
            <w:hideMark/>
          </w:tcPr>
          <w:p w14:paraId="73100B12"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2,61</w:t>
            </w:r>
          </w:p>
        </w:tc>
        <w:tc>
          <w:tcPr>
            <w:tcW w:w="907" w:type="dxa"/>
            <w:tcBorders>
              <w:top w:val="nil"/>
              <w:left w:val="nil"/>
              <w:bottom w:val="nil"/>
              <w:right w:val="nil"/>
            </w:tcBorders>
            <w:shd w:val="clear" w:color="auto" w:fill="auto"/>
            <w:noWrap/>
            <w:vAlign w:val="center"/>
            <w:hideMark/>
          </w:tcPr>
          <w:p w14:paraId="49859EB6"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3,44</w:t>
            </w:r>
          </w:p>
        </w:tc>
        <w:tc>
          <w:tcPr>
            <w:tcW w:w="907" w:type="dxa"/>
            <w:tcBorders>
              <w:top w:val="nil"/>
              <w:left w:val="nil"/>
              <w:bottom w:val="nil"/>
              <w:right w:val="nil"/>
            </w:tcBorders>
            <w:shd w:val="clear" w:color="auto" w:fill="auto"/>
            <w:noWrap/>
            <w:vAlign w:val="center"/>
            <w:hideMark/>
          </w:tcPr>
          <w:p w14:paraId="2626789F"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2,19</w:t>
            </w:r>
          </w:p>
        </w:tc>
        <w:tc>
          <w:tcPr>
            <w:tcW w:w="907" w:type="dxa"/>
            <w:tcBorders>
              <w:top w:val="nil"/>
              <w:left w:val="nil"/>
              <w:bottom w:val="nil"/>
              <w:right w:val="nil"/>
            </w:tcBorders>
            <w:shd w:val="clear" w:color="auto" w:fill="auto"/>
            <w:noWrap/>
            <w:vAlign w:val="center"/>
            <w:hideMark/>
          </w:tcPr>
          <w:p w14:paraId="2CEE30B2"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2,10</w:t>
            </w:r>
          </w:p>
        </w:tc>
        <w:tc>
          <w:tcPr>
            <w:tcW w:w="907" w:type="dxa"/>
            <w:tcBorders>
              <w:top w:val="nil"/>
              <w:left w:val="nil"/>
              <w:bottom w:val="nil"/>
              <w:right w:val="nil"/>
            </w:tcBorders>
            <w:shd w:val="clear" w:color="auto" w:fill="auto"/>
            <w:noWrap/>
            <w:vAlign w:val="center"/>
            <w:hideMark/>
          </w:tcPr>
          <w:p w14:paraId="48CEFAB3" w14:textId="77777777" w:rsidR="00C13A9E" w:rsidRPr="00D92E20" w:rsidRDefault="00C13A9E" w:rsidP="00C13A9E">
            <w:pPr>
              <w:spacing w:after="0" w:line="240" w:lineRule="auto"/>
              <w:jc w:val="center"/>
              <w:rPr>
                <w:rFonts w:cs="Arial"/>
                <w:b/>
                <w:bCs/>
                <w:sz w:val="16"/>
                <w:szCs w:val="16"/>
              </w:rPr>
            </w:pPr>
            <w:r w:rsidRPr="00D92E20">
              <w:rPr>
                <w:rFonts w:cs="Arial"/>
                <w:b/>
                <w:bCs/>
                <w:sz w:val="16"/>
                <w:szCs w:val="16"/>
              </w:rPr>
              <w:t>2,85</w:t>
            </w:r>
          </w:p>
        </w:tc>
      </w:tr>
      <w:tr w:rsidR="00C13A9E" w:rsidRPr="00D92E20" w14:paraId="33265816"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5AF77F09"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Dánsko</w:t>
            </w:r>
          </w:p>
        </w:tc>
        <w:tc>
          <w:tcPr>
            <w:tcW w:w="907" w:type="dxa"/>
            <w:tcBorders>
              <w:top w:val="nil"/>
              <w:left w:val="nil"/>
              <w:bottom w:val="nil"/>
              <w:right w:val="nil"/>
            </w:tcBorders>
            <w:shd w:val="clear" w:color="auto" w:fill="auto"/>
            <w:noWrap/>
            <w:vAlign w:val="center"/>
            <w:hideMark/>
          </w:tcPr>
          <w:p w14:paraId="63D15F79" w14:textId="77777777" w:rsidR="00C13A9E" w:rsidRPr="00D92E20" w:rsidRDefault="00C13A9E" w:rsidP="00C13A9E">
            <w:pPr>
              <w:spacing w:after="0" w:line="240" w:lineRule="auto"/>
              <w:jc w:val="center"/>
              <w:rPr>
                <w:rFonts w:cs="Arial"/>
                <w:sz w:val="16"/>
                <w:szCs w:val="16"/>
              </w:rPr>
            </w:pPr>
            <w:r w:rsidRPr="00D92E20">
              <w:rPr>
                <w:rFonts w:cs="Arial"/>
                <w:sz w:val="16"/>
                <w:szCs w:val="16"/>
              </w:rPr>
              <w:t>2,59</w:t>
            </w:r>
          </w:p>
        </w:tc>
        <w:tc>
          <w:tcPr>
            <w:tcW w:w="907" w:type="dxa"/>
            <w:tcBorders>
              <w:top w:val="nil"/>
              <w:left w:val="nil"/>
              <w:bottom w:val="nil"/>
              <w:right w:val="nil"/>
            </w:tcBorders>
            <w:shd w:val="clear" w:color="auto" w:fill="auto"/>
            <w:noWrap/>
            <w:vAlign w:val="center"/>
            <w:hideMark/>
          </w:tcPr>
          <w:p w14:paraId="724891AD" w14:textId="77777777" w:rsidR="00C13A9E" w:rsidRPr="00D92E20" w:rsidRDefault="00C13A9E" w:rsidP="00C13A9E">
            <w:pPr>
              <w:spacing w:after="0" w:line="240" w:lineRule="auto"/>
              <w:jc w:val="center"/>
              <w:rPr>
                <w:rFonts w:cs="Arial"/>
                <w:sz w:val="16"/>
                <w:szCs w:val="16"/>
              </w:rPr>
            </w:pPr>
            <w:r w:rsidRPr="00D92E20">
              <w:rPr>
                <w:rFonts w:cs="Arial"/>
                <w:sz w:val="16"/>
                <w:szCs w:val="16"/>
              </w:rPr>
              <w:t>3,16</w:t>
            </w:r>
          </w:p>
        </w:tc>
        <w:tc>
          <w:tcPr>
            <w:tcW w:w="907" w:type="dxa"/>
            <w:tcBorders>
              <w:top w:val="nil"/>
              <w:left w:val="nil"/>
              <w:bottom w:val="nil"/>
              <w:right w:val="nil"/>
            </w:tcBorders>
            <w:shd w:val="clear" w:color="auto" w:fill="auto"/>
            <w:noWrap/>
            <w:vAlign w:val="center"/>
            <w:hideMark/>
          </w:tcPr>
          <w:p w14:paraId="65098930" w14:textId="77777777" w:rsidR="00C13A9E" w:rsidRPr="00D92E20" w:rsidRDefault="00C13A9E" w:rsidP="00C13A9E">
            <w:pPr>
              <w:spacing w:after="0" w:line="240" w:lineRule="auto"/>
              <w:jc w:val="center"/>
              <w:rPr>
                <w:rFonts w:cs="Arial"/>
                <w:sz w:val="16"/>
                <w:szCs w:val="16"/>
              </w:rPr>
            </w:pPr>
            <w:r w:rsidRPr="00D92E20">
              <w:rPr>
                <w:rFonts w:cs="Arial"/>
                <w:sz w:val="16"/>
                <w:szCs w:val="16"/>
              </w:rPr>
              <w:t>2,95</w:t>
            </w:r>
          </w:p>
        </w:tc>
        <w:tc>
          <w:tcPr>
            <w:tcW w:w="907" w:type="dxa"/>
            <w:tcBorders>
              <w:top w:val="nil"/>
              <w:left w:val="nil"/>
              <w:bottom w:val="nil"/>
              <w:right w:val="nil"/>
            </w:tcBorders>
            <w:shd w:val="clear" w:color="auto" w:fill="auto"/>
            <w:noWrap/>
            <w:vAlign w:val="center"/>
            <w:hideMark/>
          </w:tcPr>
          <w:p w14:paraId="39E0F3A5" w14:textId="77777777" w:rsidR="00C13A9E" w:rsidRPr="00D92E20" w:rsidRDefault="00C13A9E" w:rsidP="00C13A9E">
            <w:pPr>
              <w:spacing w:after="0" w:line="240" w:lineRule="auto"/>
              <w:jc w:val="center"/>
              <w:rPr>
                <w:rFonts w:cs="Arial"/>
                <w:sz w:val="16"/>
                <w:szCs w:val="16"/>
              </w:rPr>
            </w:pPr>
            <w:r w:rsidRPr="00D92E20">
              <w:rPr>
                <w:rFonts w:cs="Arial"/>
                <w:sz w:val="16"/>
                <w:szCs w:val="16"/>
              </w:rPr>
              <w:t>2,25</w:t>
            </w:r>
          </w:p>
        </w:tc>
        <w:tc>
          <w:tcPr>
            <w:tcW w:w="907" w:type="dxa"/>
            <w:tcBorders>
              <w:top w:val="nil"/>
              <w:left w:val="nil"/>
              <w:bottom w:val="nil"/>
              <w:right w:val="nil"/>
            </w:tcBorders>
            <w:shd w:val="clear" w:color="auto" w:fill="auto"/>
            <w:noWrap/>
            <w:vAlign w:val="center"/>
            <w:hideMark/>
          </w:tcPr>
          <w:p w14:paraId="05EFC86D" w14:textId="77777777" w:rsidR="00C13A9E" w:rsidRPr="00D92E20" w:rsidRDefault="00C13A9E" w:rsidP="00C13A9E">
            <w:pPr>
              <w:spacing w:after="0" w:line="240" w:lineRule="auto"/>
              <w:jc w:val="center"/>
              <w:rPr>
                <w:rFonts w:cs="Arial"/>
                <w:sz w:val="16"/>
                <w:szCs w:val="16"/>
              </w:rPr>
            </w:pPr>
            <w:r w:rsidRPr="00D92E20">
              <w:rPr>
                <w:rFonts w:cs="Arial"/>
                <w:sz w:val="16"/>
                <w:szCs w:val="16"/>
              </w:rPr>
              <w:t>1,94</w:t>
            </w:r>
          </w:p>
        </w:tc>
        <w:tc>
          <w:tcPr>
            <w:tcW w:w="907" w:type="dxa"/>
            <w:tcBorders>
              <w:top w:val="nil"/>
              <w:left w:val="nil"/>
              <w:bottom w:val="nil"/>
              <w:right w:val="nil"/>
            </w:tcBorders>
            <w:shd w:val="clear" w:color="auto" w:fill="auto"/>
            <w:noWrap/>
            <w:vAlign w:val="center"/>
            <w:hideMark/>
          </w:tcPr>
          <w:p w14:paraId="5AE8BC03" w14:textId="77777777" w:rsidR="00C13A9E" w:rsidRPr="00D92E20" w:rsidRDefault="00C13A9E" w:rsidP="00C13A9E">
            <w:pPr>
              <w:spacing w:after="0" w:line="240" w:lineRule="auto"/>
              <w:jc w:val="center"/>
              <w:rPr>
                <w:rFonts w:cs="Arial"/>
                <w:sz w:val="16"/>
                <w:szCs w:val="16"/>
              </w:rPr>
            </w:pPr>
            <w:r w:rsidRPr="00D92E20">
              <w:rPr>
                <w:rFonts w:cs="Arial"/>
                <w:sz w:val="16"/>
                <w:szCs w:val="16"/>
              </w:rPr>
              <w:t>1,42</w:t>
            </w:r>
          </w:p>
        </w:tc>
        <w:tc>
          <w:tcPr>
            <w:tcW w:w="907" w:type="dxa"/>
            <w:tcBorders>
              <w:top w:val="nil"/>
              <w:left w:val="nil"/>
              <w:bottom w:val="nil"/>
              <w:right w:val="nil"/>
            </w:tcBorders>
            <w:shd w:val="clear" w:color="auto" w:fill="auto"/>
            <w:noWrap/>
            <w:vAlign w:val="center"/>
            <w:hideMark/>
          </w:tcPr>
          <w:p w14:paraId="2D81A4B2" w14:textId="77777777" w:rsidR="00C13A9E" w:rsidRPr="00D92E20" w:rsidRDefault="00C13A9E" w:rsidP="00C13A9E">
            <w:pPr>
              <w:spacing w:after="0" w:line="240" w:lineRule="auto"/>
              <w:jc w:val="center"/>
              <w:rPr>
                <w:rFonts w:cs="Arial"/>
                <w:sz w:val="16"/>
                <w:szCs w:val="16"/>
              </w:rPr>
            </w:pPr>
            <w:r w:rsidRPr="00D92E20">
              <w:rPr>
                <w:rFonts w:cs="Arial"/>
                <w:sz w:val="16"/>
                <w:szCs w:val="16"/>
              </w:rPr>
              <w:t>1,92</w:t>
            </w:r>
          </w:p>
        </w:tc>
        <w:tc>
          <w:tcPr>
            <w:tcW w:w="907" w:type="dxa"/>
            <w:tcBorders>
              <w:top w:val="nil"/>
              <w:left w:val="nil"/>
              <w:bottom w:val="nil"/>
              <w:right w:val="nil"/>
            </w:tcBorders>
            <w:shd w:val="clear" w:color="auto" w:fill="auto"/>
            <w:noWrap/>
            <w:vAlign w:val="center"/>
            <w:hideMark/>
          </w:tcPr>
          <w:p w14:paraId="6197FFD4" w14:textId="77777777" w:rsidR="00C13A9E" w:rsidRPr="00D92E20" w:rsidRDefault="00C13A9E" w:rsidP="00C13A9E">
            <w:pPr>
              <w:spacing w:after="0" w:line="240" w:lineRule="auto"/>
              <w:jc w:val="center"/>
              <w:rPr>
                <w:rFonts w:cs="Arial"/>
                <w:sz w:val="16"/>
                <w:szCs w:val="16"/>
              </w:rPr>
            </w:pPr>
            <w:r w:rsidRPr="00D92E20">
              <w:rPr>
                <w:rFonts w:cs="Arial"/>
                <w:sz w:val="16"/>
                <w:szCs w:val="16"/>
              </w:rPr>
              <w:t>1,27</w:t>
            </w:r>
          </w:p>
        </w:tc>
        <w:tc>
          <w:tcPr>
            <w:tcW w:w="907" w:type="dxa"/>
            <w:tcBorders>
              <w:top w:val="nil"/>
              <w:left w:val="nil"/>
              <w:bottom w:val="nil"/>
              <w:right w:val="nil"/>
            </w:tcBorders>
            <w:shd w:val="clear" w:color="auto" w:fill="auto"/>
            <w:noWrap/>
            <w:vAlign w:val="center"/>
            <w:hideMark/>
          </w:tcPr>
          <w:p w14:paraId="1F3E4694" w14:textId="77777777" w:rsidR="00C13A9E" w:rsidRPr="00D92E20" w:rsidRDefault="00C13A9E" w:rsidP="00C13A9E">
            <w:pPr>
              <w:spacing w:after="0" w:line="240" w:lineRule="auto"/>
              <w:jc w:val="center"/>
              <w:rPr>
                <w:rFonts w:cs="Arial"/>
                <w:sz w:val="16"/>
                <w:szCs w:val="16"/>
              </w:rPr>
            </w:pPr>
            <w:r w:rsidRPr="00D92E20">
              <w:rPr>
                <w:rFonts w:cs="Arial"/>
                <w:sz w:val="16"/>
                <w:szCs w:val="16"/>
              </w:rPr>
              <w:t>1,89</w:t>
            </w:r>
          </w:p>
        </w:tc>
      </w:tr>
      <w:tr w:rsidR="00C13A9E" w:rsidRPr="00D92E20" w14:paraId="74EFE06A"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610DFFEF"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Estonsko</w:t>
            </w:r>
          </w:p>
        </w:tc>
        <w:tc>
          <w:tcPr>
            <w:tcW w:w="907" w:type="dxa"/>
            <w:tcBorders>
              <w:top w:val="nil"/>
              <w:left w:val="nil"/>
              <w:bottom w:val="nil"/>
              <w:right w:val="nil"/>
            </w:tcBorders>
            <w:shd w:val="clear" w:color="auto" w:fill="auto"/>
            <w:noWrap/>
            <w:vAlign w:val="center"/>
            <w:hideMark/>
          </w:tcPr>
          <w:p w14:paraId="712059A6" w14:textId="77777777" w:rsidR="00C13A9E" w:rsidRPr="00D92E20" w:rsidRDefault="00C13A9E" w:rsidP="00C13A9E">
            <w:pPr>
              <w:spacing w:after="0" w:line="240" w:lineRule="auto"/>
              <w:jc w:val="center"/>
              <w:rPr>
                <w:rFonts w:cs="Arial"/>
                <w:sz w:val="16"/>
                <w:szCs w:val="16"/>
              </w:rPr>
            </w:pPr>
            <w:r w:rsidRPr="00D92E20">
              <w:rPr>
                <w:rFonts w:cs="Arial"/>
                <w:sz w:val="16"/>
                <w:szCs w:val="16"/>
              </w:rPr>
              <w:t>3,78</w:t>
            </w:r>
          </w:p>
        </w:tc>
        <w:tc>
          <w:tcPr>
            <w:tcW w:w="907" w:type="dxa"/>
            <w:tcBorders>
              <w:top w:val="nil"/>
              <w:left w:val="nil"/>
              <w:bottom w:val="nil"/>
              <w:right w:val="nil"/>
            </w:tcBorders>
            <w:shd w:val="clear" w:color="auto" w:fill="auto"/>
            <w:noWrap/>
            <w:vAlign w:val="center"/>
            <w:hideMark/>
          </w:tcPr>
          <w:p w14:paraId="011C2FBE" w14:textId="77777777" w:rsidR="00C13A9E" w:rsidRPr="00D92E20" w:rsidRDefault="00C13A9E" w:rsidP="00C13A9E">
            <w:pPr>
              <w:spacing w:after="0" w:line="240" w:lineRule="auto"/>
              <w:jc w:val="center"/>
              <w:rPr>
                <w:rFonts w:cs="Arial"/>
                <w:sz w:val="16"/>
                <w:szCs w:val="16"/>
              </w:rPr>
            </w:pPr>
            <w:r w:rsidRPr="00D92E20">
              <w:rPr>
                <w:rFonts w:cs="Arial"/>
                <w:sz w:val="16"/>
                <w:szCs w:val="16"/>
              </w:rPr>
              <w:t>3,53</w:t>
            </w:r>
          </w:p>
        </w:tc>
        <w:tc>
          <w:tcPr>
            <w:tcW w:w="907" w:type="dxa"/>
            <w:tcBorders>
              <w:top w:val="nil"/>
              <w:left w:val="nil"/>
              <w:bottom w:val="nil"/>
              <w:right w:val="nil"/>
            </w:tcBorders>
            <w:shd w:val="clear" w:color="auto" w:fill="auto"/>
            <w:noWrap/>
            <w:vAlign w:val="center"/>
            <w:hideMark/>
          </w:tcPr>
          <w:p w14:paraId="31603802" w14:textId="77777777" w:rsidR="00C13A9E" w:rsidRPr="00D92E20" w:rsidRDefault="00C13A9E" w:rsidP="00C13A9E">
            <w:pPr>
              <w:spacing w:after="0" w:line="240" w:lineRule="auto"/>
              <w:jc w:val="center"/>
              <w:rPr>
                <w:rFonts w:cs="Arial"/>
                <w:sz w:val="16"/>
                <w:szCs w:val="16"/>
              </w:rPr>
            </w:pPr>
            <w:r w:rsidRPr="00D92E20">
              <w:rPr>
                <w:rFonts w:cs="Arial"/>
                <w:sz w:val="16"/>
                <w:szCs w:val="16"/>
              </w:rPr>
              <w:t>1,85</w:t>
            </w:r>
          </w:p>
        </w:tc>
        <w:tc>
          <w:tcPr>
            <w:tcW w:w="907" w:type="dxa"/>
            <w:tcBorders>
              <w:top w:val="nil"/>
              <w:left w:val="nil"/>
              <w:bottom w:val="nil"/>
              <w:right w:val="nil"/>
            </w:tcBorders>
            <w:shd w:val="clear" w:color="auto" w:fill="auto"/>
            <w:noWrap/>
            <w:vAlign w:val="center"/>
            <w:hideMark/>
          </w:tcPr>
          <w:p w14:paraId="5351701B" w14:textId="77777777" w:rsidR="00C13A9E" w:rsidRPr="00D92E20" w:rsidRDefault="00C13A9E" w:rsidP="00C13A9E">
            <w:pPr>
              <w:spacing w:after="0" w:line="240" w:lineRule="auto"/>
              <w:jc w:val="center"/>
              <w:rPr>
                <w:rFonts w:cs="Arial"/>
                <w:sz w:val="16"/>
                <w:szCs w:val="16"/>
              </w:rPr>
            </w:pPr>
            <w:r w:rsidRPr="00D92E20">
              <w:rPr>
                <w:rFonts w:cs="Arial"/>
                <w:sz w:val="16"/>
                <w:szCs w:val="16"/>
              </w:rPr>
              <w:t>3,49</w:t>
            </w:r>
          </w:p>
        </w:tc>
        <w:tc>
          <w:tcPr>
            <w:tcW w:w="907" w:type="dxa"/>
            <w:tcBorders>
              <w:top w:val="nil"/>
              <w:left w:val="nil"/>
              <w:bottom w:val="nil"/>
              <w:right w:val="nil"/>
            </w:tcBorders>
            <w:shd w:val="clear" w:color="auto" w:fill="auto"/>
            <w:noWrap/>
            <w:vAlign w:val="center"/>
            <w:hideMark/>
          </w:tcPr>
          <w:p w14:paraId="764696CE" w14:textId="77777777" w:rsidR="00C13A9E" w:rsidRPr="00D92E20" w:rsidRDefault="00C13A9E" w:rsidP="00C13A9E">
            <w:pPr>
              <w:spacing w:after="0" w:line="240" w:lineRule="auto"/>
              <w:jc w:val="center"/>
              <w:rPr>
                <w:rFonts w:cs="Arial"/>
                <w:sz w:val="16"/>
                <w:szCs w:val="16"/>
              </w:rPr>
            </w:pPr>
            <w:r w:rsidRPr="00D92E20">
              <w:rPr>
                <w:rFonts w:cs="Arial"/>
                <w:sz w:val="16"/>
                <w:szCs w:val="16"/>
              </w:rPr>
              <w:t>2,16</w:t>
            </w:r>
          </w:p>
        </w:tc>
        <w:tc>
          <w:tcPr>
            <w:tcW w:w="907" w:type="dxa"/>
            <w:tcBorders>
              <w:top w:val="nil"/>
              <w:left w:val="nil"/>
              <w:bottom w:val="nil"/>
              <w:right w:val="nil"/>
            </w:tcBorders>
            <w:shd w:val="clear" w:color="auto" w:fill="auto"/>
            <w:noWrap/>
            <w:vAlign w:val="center"/>
            <w:hideMark/>
          </w:tcPr>
          <w:p w14:paraId="0D146103" w14:textId="77777777" w:rsidR="00C13A9E" w:rsidRPr="00D92E20" w:rsidRDefault="00C13A9E" w:rsidP="00C13A9E">
            <w:pPr>
              <w:spacing w:after="0" w:line="240" w:lineRule="auto"/>
              <w:jc w:val="center"/>
              <w:rPr>
                <w:rFonts w:cs="Arial"/>
                <w:sz w:val="16"/>
                <w:szCs w:val="16"/>
              </w:rPr>
            </w:pPr>
            <w:r w:rsidRPr="00D92E20">
              <w:rPr>
                <w:rFonts w:cs="Arial"/>
                <w:sz w:val="16"/>
                <w:szCs w:val="16"/>
              </w:rPr>
              <w:t>2,52</w:t>
            </w:r>
          </w:p>
        </w:tc>
        <w:tc>
          <w:tcPr>
            <w:tcW w:w="907" w:type="dxa"/>
            <w:tcBorders>
              <w:top w:val="nil"/>
              <w:left w:val="nil"/>
              <w:bottom w:val="nil"/>
              <w:right w:val="nil"/>
            </w:tcBorders>
            <w:shd w:val="clear" w:color="auto" w:fill="auto"/>
            <w:noWrap/>
            <w:vAlign w:val="center"/>
            <w:hideMark/>
          </w:tcPr>
          <w:p w14:paraId="61DA7373" w14:textId="77777777" w:rsidR="00C13A9E" w:rsidRPr="00D92E20" w:rsidRDefault="00C13A9E" w:rsidP="00C13A9E">
            <w:pPr>
              <w:spacing w:after="0" w:line="240" w:lineRule="auto"/>
              <w:jc w:val="center"/>
              <w:rPr>
                <w:rFonts w:cs="Arial"/>
                <w:sz w:val="16"/>
                <w:szCs w:val="16"/>
              </w:rPr>
            </w:pPr>
            <w:r w:rsidRPr="00D92E20">
              <w:rPr>
                <w:rFonts w:cs="Arial"/>
                <w:sz w:val="16"/>
                <w:szCs w:val="16"/>
              </w:rPr>
              <w:t>4,59</w:t>
            </w:r>
          </w:p>
        </w:tc>
        <w:tc>
          <w:tcPr>
            <w:tcW w:w="907" w:type="dxa"/>
            <w:tcBorders>
              <w:top w:val="nil"/>
              <w:left w:val="nil"/>
              <w:bottom w:val="nil"/>
              <w:right w:val="nil"/>
            </w:tcBorders>
            <w:shd w:val="clear" w:color="auto" w:fill="auto"/>
            <w:noWrap/>
            <w:vAlign w:val="center"/>
            <w:hideMark/>
          </w:tcPr>
          <w:p w14:paraId="148BE7EF" w14:textId="77777777" w:rsidR="00C13A9E" w:rsidRPr="00D92E20" w:rsidRDefault="00C13A9E" w:rsidP="00C13A9E">
            <w:pPr>
              <w:spacing w:after="0" w:line="240" w:lineRule="auto"/>
              <w:jc w:val="center"/>
              <w:rPr>
                <w:rFonts w:cs="Arial"/>
                <w:sz w:val="16"/>
                <w:szCs w:val="16"/>
              </w:rPr>
            </w:pPr>
            <w:r w:rsidRPr="00D92E20">
              <w:rPr>
                <w:rFonts w:cs="Arial"/>
                <w:sz w:val="16"/>
                <w:szCs w:val="16"/>
              </w:rPr>
              <w:t>1,02</w:t>
            </w:r>
          </w:p>
        </w:tc>
        <w:tc>
          <w:tcPr>
            <w:tcW w:w="907" w:type="dxa"/>
            <w:tcBorders>
              <w:top w:val="nil"/>
              <w:left w:val="nil"/>
              <w:bottom w:val="nil"/>
              <w:right w:val="nil"/>
            </w:tcBorders>
            <w:shd w:val="clear" w:color="auto" w:fill="auto"/>
            <w:noWrap/>
            <w:vAlign w:val="center"/>
            <w:hideMark/>
          </w:tcPr>
          <w:p w14:paraId="564D778B" w14:textId="77777777" w:rsidR="00C13A9E" w:rsidRPr="00D92E20" w:rsidRDefault="00C13A9E" w:rsidP="00C13A9E">
            <w:pPr>
              <w:spacing w:after="0" w:line="240" w:lineRule="auto"/>
              <w:jc w:val="center"/>
              <w:rPr>
                <w:rFonts w:cs="Arial"/>
                <w:sz w:val="16"/>
                <w:szCs w:val="16"/>
              </w:rPr>
            </w:pPr>
            <w:r w:rsidRPr="00D92E20">
              <w:rPr>
                <w:rFonts w:cs="Arial"/>
                <w:sz w:val="16"/>
                <w:szCs w:val="16"/>
              </w:rPr>
              <w:t>1,91</w:t>
            </w:r>
          </w:p>
        </w:tc>
      </w:tr>
      <w:tr w:rsidR="00C13A9E" w:rsidRPr="00D92E20" w14:paraId="308CCE81"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3181494E"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Finsko</w:t>
            </w:r>
          </w:p>
        </w:tc>
        <w:tc>
          <w:tcPr>
            <w:tcW w:w="907" w:type="dxa"/>
            <w:tcBorders>
              <w:top w:val="nil"/>
              <w:left w:val="nil"/>
              <w:bottom w:val="nil"/>
              <w:right w:val="nil"/>
            </w:tcBorders>
            <w:shd w:val="clear" w:color="auto" w:fill="auto"/>
            <w:noWrap/>
            <w:vAlign w:val="center"/>
            <w:hideMark/>
          </w:tcPr>
          <w:p w14:paraId="47E6067C" w14:textId="77777777" w:rsidR="00C13A9E" w:rsidRPr="00D92E20" w:rsidRDefault="00C13A9E" w:rsidP="00C13A9E">
            <w:pPr>
              <w:spacing w:after="0" w:line="240" w:lineRule="auto"/>
              <w:jc w:val="center"/>
              <w:rPr>
                <w:rFonts w:cs="Arial"/>
                <w:sz w:val="16"/>
                <w:szCs w:val="16"/>
              </w:rPr>
            </w:pPr>
            <w:r w:rsidRPr="00D92E20">
              <w:rPr>
                <w:rFonts w:cs="Arial"/>
                <w:sz w:val="16"/>
                <w:szCs w:val="16"/>
              </w:rPr>
              <w:t>1,89</w:t>
            </w:r>
          </w:p>
        </w:tc>
        <w:tc>
          <w:tcPr>
            <w:tcW w:w="907" w:type="dxa"/>
            <w:tcBorders>
              <w:top w:val="nil"/>
              <w:left w:val="nil"/>
              <w:bottom w:val="nil"/>
              <w:right w:val="nil"/>
            </w:tcBorders>
            <w:shd w:val="clear" w:color="auto" w:fill="auto"/>
            <w:noWrap/>
            <w:vAlign w:val="center"/>
            <w:hideMark/>
          </w:tcPr>
          <w:p w14:paraId="5E939205" w14:textId="77777777" w:rsidR="00C13A9E" w:rsidRPr="00D92E20" w:rsidRDefault="00C13A9E" w:rsidP="00C13A9E">
            <w:pPr>
              <w:spacing w:after="0" w:line="240" w:lineRule="auto"/>
              <w:jc w:val="center"/>
              <w:rPr>
                <w:rFonts w:cs="Arial"/>
                <w:sz w:val="16"/>
                <w:szCs w:val="16"/>
              </w:rPr>
            </w:pPr>
            <w:r w:rsidRPr="00D92E20">
              <w:rPr>
                <w:rFonts w:cs="Arial"/>
                <w:sz w:val="16"/>
                <w:szCs w:val="16"/>
              </w:rPr>
              <w:t>1,63</w:t>
            </w:r>
          </w:p>
        </w:tc>
        <w:tc>
          <w:tcPr>
            <w:tcW w:w="907" w:type="dxa"/>
            <w:tcBorders>
              <w:top w:val="nil"/>
              <w:left w:val="nil"/>
              <w:bottom w:val="nil"/>
              <w:right w:val="nil"/>
            </w:tcBorders>
            <w:shd w:val="clear" w:color="auto" w:fill="auto"/>
            <w:noWrap/>
            <w:vAlign w:val="center"/>
            <w:hideMark/>
          </w:tcPr>
          <w:p w14:paraId="5E55B4E3" w14:textId="77777777" w:rsidR="00C13A9E" w:rsidRPr="00D92E20" w:rsidRDefault="00C13A9E" w:rsidP="00C13A9E">
            <w:pPr>
              <w:spacing w:after="0" w:line="240" w:lineRule="auto"/>
              <w:jc w:val="center"/>
              <w:rPr>
                <w:rFonts w:cs="Arial"/>
                <w:sz w:val="16"/>
                <w:szCs w:val="16"/>
              </w:rPr>
            </w:pPr>
            <w:r w:rsidRPr="00D92E20">
              <w:rPr>
                <w:rFonts w:cs="Arial"/>
                <w:sz w:val="16"/>
                <w:szCs w:val="16"/>
              </w:rPr>
              <w:t>1,92</w:t>
            </w:r>
          </w:p>
        </w:tc>
        <w:tc>
          <w:tcPr>
            <w:tcW w:w="907" w:type="dxa"/>
            <w:tcBorders>
              <w:top w:val="nil"/>
              <w:left w:val="nil"/>
              <w:bottom w:val="nil"/>
              <w:right w:val="nil"/>
            </w:tcBorders>
            <w:shd w:val="clear" w:color="auto" w:fill="auto"/>
            <w:noWrap/>
            <w:vAlign w:val="center"/>
            <w:hideMark/>
          </w:tcPr>
          <w:p w14:paraId="190957F6" w14:textId="77777777" w:rsidR="00C13A9E" w:rsidRPr="00D92E20" w:rsidRDefault="00C13A9E" w:rsidP="00C13A9E">
            <w:pPr>
              <w:spacing w:after="0" w:line="240" w:lineRule="auto"/>
              <w:jc w:val="center"/>
              <w:rPr>
                <w:rFonts w:cs="Arial"/>
                <w:sz w:val="16"/>
                <w:szCs w:val="16"/>
              </w:rPr>
            </w:pPr>
            <w:r w:rsidRPr="00D92E20">
              <w:rPr>
                <w:rFonts w:cs="Arial"/>
                <w:sz w:val="16"/>
                <w:szCs w:val="16"/>
              </w:rPr>
              <w:t>1,23</w:t>
            </w:r>
          </w:p>
        </w:tc>
        <w:tc>
          <w:tcPr>
            <w:tcW w:w="907" w:type="dxa"/>
            <w:tcBorders>
              <w:top w:val="nil"/>
              <w:left w:val="nil"/>
              <w:bottom w:val="nil"/>
              <w:right w:val="nil"/>
            </w:tcBorders>
            <w:shd w:val="clear" w:color="auto" w:fill="auto"/>
            <w:noWrap/>
            <w:vAlign w:val="center"/>
            <w:hideMark/>
          </w:tcPr>
          <w:p w14:paraId="168036A3" w14:textId="77777777" w:rsidR="00C13A9E" w:rsidRPr="00D92E20" w:rsidRDefault="00C13A9E" w:rsidP="00C13A9E">
            <w:pPr>
              <w:spacing w:after="0" w:line="240" w:lineRule="auto"/>
              <w:jc w:val="center"/>
              <w:rPr>
                <w:rFonts w:cs="Arial"/>
                <w:sz w:val="16"/>
                <w:szCs w:val="16"/>
              </w:rPr>
            </w:pPr>
            <w:r w:rsidRPr="00D92E20">
              <w:rPr>
                <w:rFonts w:cs="Arial"/>
                <w:sz w:val="16"/>
                <w:szCs w:val="16"/>
              </w:rPr>
              <w:t>1,74</w:t>
            </w:r>
          </w:p>
        </w:tc>
        <w:tc>
          <w:tcPr>
            <w:tcW w:w="907" w:type="dxa"/>
            <w:tcBorders>
              <w:top w:val="nil"/>
              <w:left w:val="nil"/>
              <w:bottom w:val="nil"/>
              <w:right w:val="nil"/>
            </w:tcBorders>
            <w:shd w:val="clear" w:color="auto" w:fill="auto"/>
            <w:noWrap/>
            <w:vAlign w:val="center"/>
            <w:hideMark/>
          </w:tcPr>
          <w:p w14:paraId="4FBCBC84" w14:textId="77777777" w:rsidR="00C13A9E" w:rsidRPr="00D92E20" w:rsidRDefault="00C13A9E" w:rsidP="00C13A9E">
            <w:pPr>
              <w:spacing w:after="0" w:line="240" w:lineRule="auto"/>
              <w:jc w:val="center"/>
              <w:rPr>
                <w:rFonts w:cs="Arial"/>
                <w:sz w:val="16"/>
                <w:szCs w:val="16"/>
              </w:rPr>
            </w:pPr>
            <w:r w:rsidRPr="00D92E20">
              <w:rPr>
                <w:rFonts w:cs="Arial"/>
                <w:sz w:val="16"/>
                <w:szCs w:val="16"/>
              </w:rPr>
              <w:t>1,78</w:t>
            </w:r>
          </w:p>
        </w:tc>
        <w:tc>
          <w:tcPr>
            <w:tcW w:w="907" w:type="dxa"/>
            <w:tcBorders>
              <w:top w:val="nil"/>
              <w:left w:val="nil"/>
              <w:bottom w:val="nil"/>
              <w:right w:val="nil"/>
            </w:tcBorders>
            <w:shd w:val="clear" w:color="auto" w:fill="auto"/>
            <w:noWrap/>
            <w:vAlign w:val="center"/>
            <w:hideMark/>
          </w:tcPr>
          <w:p w14:paraId="169901BA" w14:textId="77777777" w:rsidR="00C13A9E" w:rsidRPr="00D92E20" w:rsidRDefault="00C13A9E" w:rsidP="00C13A9E">
            <w:pPr>
              <w:spacing w:after="0" w:line="240" w:lineRule="auto"/>
              <w:jc w:val="center"/>
              <w:rPr>
                <w:rFonts w:cs="Arial"/>
                <w:sz w:val="16"/>
                <w:szCs w:val="16"/>
              </w:rPr>
            </w:pPr>
            <w:r w:rsidRPr="00D92E20">
              <w:rPr>
                <w:rFonts w:cs="Arial"/>
                <w:sz w:val="16"/>
                <w:szCs w:val="16"/>
              </w:rPr>
              <w:t>1,61</w:t>
            </w:r>
          </w:p>
        </w:tc>
        <w:tc>
          <w:tcPr>
            <w:tcW w:w="907" w:type="dxa"/>
            <w:tcBorders>
              <w:top w:val="nil"/>
              <w:left w:val="nil"/>
              <w:bottom w:val="nil"/>
              <w:right w:val="nil"/>
            </w:tcBorders>
            <w:shd w:val="clear" w:color="auto" w:fill="auto"/>
            <w:noWrap/>
            <w:vAlign w:val="center"/>
            <w:hideMark/>
          </w:tcPr>
          <w:p w14:paraId="06E3F405" w14:textId="77777777" w:rsidR="00C13A9E" w:rsidRPr="00D92E20" w:rsidRDefault="00C13A9E" w:rsidP="00C13A9E">
            <w:pPr>
              <w:spacing w:after="0" w:line="240" w:lineRule="auto"/>
              <w:jc w:val="center"/>
              <w:rPr>
                <w:rFonts w:cs="Arial"/>
                <w:sz w:val="16"/>
                <w:szCs w:val="16"/>
              </w:rPr>
            </w:pPr>
            <w:r w:rsidRPr="00D92E20">
              <w:rPr>
                <w:rFonts w:cs="Arial"/>
                <w:sz w:val="16"/>
                <w:szCs w:val="16"/>
              </w:rPr>
              <w:t>1,44</w:t>
            </w:r>
          </w:p>
        </w:tc>
        <w:tc>
          <w:tcPr>
            <w:tcW w:w="907" w:type="dxa"/>
            <w:tcBorders>
              <w:top w:val="nil"/>
              <w:left w:val="nil"/>
              <w:bottom w:val="nil"/>
              <w:right w:val="nil"/>
            </w:tcBorders>
            <w:shd w:val="clear" w:color="auto" w:fill="auto"/>
            <w:noWrap/>
            <w:vAlign w:val="center"/>
            <w:hideMark/>
          </w:tcPr>
          <w:p w14:paraId="7215272D" w14:textId="77777777" w:rsidR="00C13A9E" w:rsidRPr="00D92E20" w:rsidRDefault="00C13A9E" w:rsidP="00C13A9E">
            <w:pPr>
              <w:spacing w:after="0" w:line="240" w:lineRule="auto"/>
              <w:jc w:val="center"/>
              <w:rPr>
                <w:rFonts w:cs="Arial"/>
                <w:sz w:val="16"/>
                <w:szCs w:val="16"/>
              </w:rPr>
            </w:pPr>
            <w:r w:rsidRPr="00D92E20">
              <w:rPr>
                <w:rFonts w:cs="Arial"/>
                <w:sz w:val="16"/>
                <w:szCs w:val="16"/>
              </w:rPr>
              <w:t>1,28</w:t>
            </w:r>
          </w:p>
        </w:tc>
      </w:tr>
      <w:tr w:rsidR="00C13A9E" w:rsidRPr="00D92E20" w14:paraId="61A3AF21"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24DAE6BC"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Francie</w:t>
            </w:r>
          </w:p>
        </w:tc>
        <w:tc>
          <w:tcPr>
            <w:tcW w:w="907" w:type="dxa"/>
            <w:tcBorders>
              <w:top w:val="nil"/>
              <w:left w:val="nil"/>
              <w:bottom w:val="nil"/>
              <w:right w:val="nil"/>
            </w:tcBorders>
            <w:shd w:val="clear" w:color="auto" w:fill="auto"/>
            <w:noWrap/>
            <w:vAlign w:val="center"/>
            <w:hideMark/>
          </w:tcPr>
          <w:p w14:paraId="7CD272CA" w14:textId="77777777" w:rsidR="00C13A9E" w:rsidRPr="00D92E20" w:rsidRDefault="00C13A9E" w:rsidP="00C13A9E">
            <w:pPr>
              <w:spacing w:after="0" w:line="240" w:lineRule="auto"/>
              <w:jc w:val="center"/>
              <w:rPr>
                <w:rFonts w:cs="Arial"/>
                <w:sz w:val="16"/>
                <w:szCs w:val="16"/>
              </w:rPr>
            </w:pPr>
            <w:r w:rsidRPr="00D92E20">
              <w:rPr>
                <w:rFonts w:cs="Arial"/>
                <w:sz w:val="16"/>
                <w:szCs w:val="16"/>
              </w:rPr>
              <w:t>3,07</w:t>
            </w:r>
          </w:p>
        </w:tc>
        <w:tc>
          <w:tcPr>
            <w:tcW w:w="907" w:type="dxa"/>
            <w:tcBorders>
              <w:top w:val="nil"/>
              <w:left w:val="nil"/>
              <w:bottom w:val="nil"/>
              <w:right w:val="nil"/>
            </w:tcBorders>
            <w:shd w:val="clear" w:color="auto" w:fill="auto"/>
            <w:noWrap/>
            <w:vAlign w:val="center"/>
            <w:hideMark/>
          </w:tcPr>
          <w:p w14:paraId="308AADF0" w14:textId="77777777" w:rsidR="00C13A9E" w:rsidRPr="00D92E20" w:rsidRDefault="00C13A9E" w:rsidP="00C13A9E">
            <w:pPr>
              <w:spacing w:after="0" w:line="240" w:lineRule="auto"/>
              <w:jc w:val="center"/>
              <w:rPr>
                <w:rFonts w:cs="Arial"/>
                <w:sz w:val="16"/>
                <w:szCs w:val="16"/>
              </w:rPr>
            </w:pPr>
            <w:r w:rsidRPr="00D92E20">
              <w:rPr>
                <w:rFonts w:cs="Arial"/>
                <w:sz w:val="16"/>
                <w:szCs w:val="16"/>
              </w:rPr>
              <w:t>8,11</w:t>
            </w:r>
          </w:p>
        </w:tc>
        <w:tc>
          <w:tcPr>
            <w:tcW w:w="907" w:type="dxa"/>
            <w:tcBorders>
              <w:top w:val="nil"/>
              <w:left w:val="nil"/>
              <w:bottom w:val="nil"/>
              <w:right w:val="nil"/>
            </w:tcBorders>
            <w:shd w:val="clear" w:color="auto" w:fill="auto"/>
            <w:noWrap/>
            <w:vAlign w:val="center"/>
            <w:hideMark/>
          </w:tcPr>
          <w:p w14:paraId="533FA215" w14:textId="77777777" w:rsidR="00C13A9E" w:rsidRPr="00D92E20" w:rsidRDefault="00C13A9E" w:rsidP="00C13A9E">
            <w:pPr>
              <w:spacing w:after="0" w:line="240" w:lineRule="auto"/>
              <w:jc w:val="center"/>
              <w:rPr>
                <w:rFonts w:cs="Arial"/>
                <w:sz w:val="16"/>
                <w:szCs w:val="16"/>
              </w:rPr>
            </w:pPr>
            <w:r w:rsidRPr="00D92E20">
              <w:rPr>
                <w:rFonts w:cs="Arial"/>
                <w:sz w:val="16"/>
                <w:szCs w:val="16"/>
              </w:rPr>
              <w:t>3,48</w:t>
            </w:r>
          </w:p>
        </w:tc>
        <w:tc>
          <w:tcPr>
            <w:tcW w:w="907" w:type="dxa"/>
            <w:tcBorders>
              <w:top w:val="nil"/>
              <w:left w:val="nil"/>
              <w:bottom w:val="nil"/>
              <w:right w:val="nil"/>
            </w:tcBorders>
            <w:shd w:val="clear" w:color="auto" w:fill="auto"/>
            <w:noWrap/>
            <w:vAlign w:val="center"/>
            <w:hideMark/>
          </w:tcPr>
          <w:p w14:paraId="4B39EDEC" w14:textId="77777777" w:rsidR="00C13A9E" w:rsidRPr="00D92E20" w:rsidRDefault="00C13A9E" w:rsidP="00C13A9E">
            <w:pPr>
              <w:spacing w:after="0" w:line="240" w:lineRule="auto"/>
              <w:jc w:val="center"/>
              <w:rPr>
                <w:rFonts w:cs="Arial"/>
                <w:sz w:val="16"/>
                <w:szCs w:val="16"/>
              </w:rPr>
            </w:pPr>
            <w:r w:rsidRPr="00D92E20">
              <w:rPr>
                <w:rFonts w:cs="Arial"/>
                <w:sz w:val="16"/>
                <w:szCs w:val="16"/>
              </w:rPr>
              <w:t>3,65</w:t>
            </w:r>
          </w:p>
        </w:tc>
        <w:tc>
          <w:tcPr>
            <w:tcW w:w="907" w:type="dxa"/>
            <w:tcBorders>
              <w:top w:val="nil"/>
              <w:left w:val="nil"/>
              <w:bottom w:val="nil"/>
              <w:right w:val="nil"/>
            </w:tcBorders>
            <w:shd w:val="clear" w:color="000000" w:fill="D9D9D9"/>
            <w:noWrap/>
            <w:vAlign w:val="center"/>
            <w:hideMark/>
          </w:tcPr>
          <w:p w14:paraId="08695EF7" w14:textId="77777777" w:rsidR="00C13A9E" w:rsidRPr="00D92E20" w:rsidRDefault="00C13A9E" w:rsidP="00C13A9E">
            <w:pPr>
              <w:spacing w:after="0" w:line="240" w:lineRule="auto"/>
              <w:jc w:val="center"/>
              <w:rPr>
                <w:rFonts w:cs="Arial"/>
                <w:sz w:val="16"/>
                <w:szCs w:val="16"/>
              </w:rPr>
            </w:pPr>
            <w:r w:rsidRPr="00D92E20">
              <w:rPr>
                <w:rFonts w:cs="Arial"/>
                <w:sz w:val="16"/>
                <w:szCs w:val="16"/>
              </w:rPr>
              <w:t>3,74</w:t>
            </w:r>
          </w:p>
        </w:tc>
        <w:tc>
          <w:tcPr>
            <w:tcW w:w="907" w:type="dxa"/>
            <w:tcBorders>
              <w:top w:val="nil"/>
              <w:left w:val="nil"/>
              <w:bottom w:val="nil"/>
              <w:right w:val="nil"/>
            </w:tcBorders>
            <w:shd w:val="clear" w:color="auto" w:fill="auto"/>
            <w:noWrap/>
            <w:vAlign w:val="center"/>
            <w:hideMark/>
          </w:tcPr>
          <w:p w14:paraId="4D6CD03E" w14:textId="77777777" w:rsidR="00C13A9E" w:rsidRPr="00D92E20" w:rsidRDefault="00C13A9E" w:rsidP="00C13A9E">
            <w:pPr>
              <w:spacing w:after="0" w:line="240" w:lineRule="auto"/>
              <w:jc w:val="center"/>
              <w:rPr>
                <w:rFonts w:cs="Arial"/>
                <w:sz w:val="16"/>
                <w:szCs w:val="16"/>
              </w:rPr>
            </w:pPr>
            <w:r w:rsidRPr="00D92E20">
              <w:rPr>
                <w:rFonts w:cs="Arial"/>
                <w:sz w:val="16"/>
                <w:szCs w:val="16"/>
              </w:rPr>
              <w:t>3,99</w:t>
            </w:r>
          </w:p>
        </w:tc>
        <w:tc>
          <w:tcPr>
            <w:tcW w:w="907" w:type="dxa"/>
            <w:tcBorders>
              <w:top w:val="nil"/>
              <w:left w:val="nil"/>
              <w:bottom w:val="nil"/>
              <w:right w:val="nil"/>
            </w:tcBorders>
            <w:shd w:val="clear" w:color="auto" w:fill="auto"/>
            <w:noWrap/>
            <w:vAlign w:val="center"/>
            <w:hideMark/>
          </w:tcPr>
          <w:p w14:paraId="627DC24C" w14:textId="77777777" w:rsidR="00C13A9E" w:rsidRPr="00D92E20" w:rsidRDefault="00C13A9E" w:rsidP="00C13A9E">
            <w:pPr>
              <w:spacing w:after="0" w:line="240" w:lineRule="auto"/>
              <w:jc w:val="center"/>
              <w:rPr>
                <w:rFonts w:cs="Arial"/>
                <w:sz w:val="16"/>
                <w:szCs w:val="16"/>
              </w:rPr>
            </w:pPr>
            <w:r w:rsidRPr="00D92E20">
              <w:rPr>
                <w:rFonts w:cs="Arial"/>
                <w:sz w:val="16"/>
                <w:szCs w:val="16"/>
              </w:rPr>
              <w:t>4,14</w:t>
            </w:r>
          </w:p>
        </w:tc>
        <w:tc>
          <w:tcPr>
            <w:tcW w:w="907" w:type="dxa"/>
            <w:tcBorders>
              <w:top w:val="nil"/>
              <w:left w:val="nil"/>
              <w:bottom w:val="nil"/>
              <w:right w:val="nil"/>
            </w:tcBorders>
            <w:shd w:val="clear" w:color="000000" w:fill="D9D9D9"/>
            <w:noWrap/>
            <w:vAlign w:val="center"/>
            <w:hideMark/>
          </w:tcPr>
          <w:p w14:paraId="0D93CD68" w14:textId="77777777" w:rsidR="00C13A9E" w:rsidRPr="00D92E20" w:rsidRDefault="00C13A9E" w:rsidP="00C13A9E">
            <w:pPr>
              <w:spacing w:after="0" w:line="240" w:lineRule="auto"/>
              <w:jc w:val="center"/>
              <w:rPr>
                <w:rFonts w:cs="Arial"/>
                <w:sz w:val="16"/>
                <w:szCs w:val="16"/>
              </w:rPr>
            </w:pPr>
            <w:r w:rsidRPr="00D92E20">
              <w:rPr>
                <w:rFonts w:cs="Arial"/>
                <w:sz w:val="16"/>
                <w:szCs w:val="16"/>
              </w:rPr>
              <w:t>3,58</w:t>
            </w:r>
          </w:p>
        </w:tc>
        <w:tc>
          <w:tcPr>
            <w:tcW w:w="907" w:type="dxa"/>
            <w:tcBorders>
              <w:top w:val="nil"/>
              <w:left w:val="nil"/>
              <w:bottom w:val="nil"/>
              <w:right w:val="nil"/>
            </w:tcBorders>
            <w:shd w:val="clear" w:color="auto" w:fill="auto"/>
            <w:noWrap/>
            <w:vAlign w:val="center"/>
            <w:hideMark/>
          </w:tcPr>
          <w:p w14:paraId="7A3BC28E" w14:textId="77777777" w:rsidR="00C13A9E" w:rsidRPr="00D92E20" w:rsidRDefault="00C13A9E" w:rsidP="00C13A9E">
            <w:pPr>
              <w:spacing w:after="0" w:line="240" w:lineRule="auto"/>
              <w:jc w:val="center"/>
              <w:rPr>
                <w:rFonts w:cs="Arial"/>
                <w:sz w:val="16"/>
                <w:szCs w:val="16"/>
              </w:rPr>
            </w:pPr>
            <w:r w:rsidRPr="00D92E20">
              <w:rPr>
                <w:rFonts w:cs="Arial"/>
                <w:sz w:val="16"/>
                <w:szCs w:val="16"/>
              </w:rPr>
              <w:t>3,70</w:t>
            </w:r>
          </w:p>
        </w:tc>
      </w:tr>
      <w:tr w:rsidR="00C13A9E" w:rsidRPr="00D92E20" w14:paraId="3CC38D8F"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5F827468"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Chorvatsko</w:t>
            </w:r>
          </w:p>
        </w:tc>
        <w:tc>
          <w:tcPr>
            <w:tcW w:w="907" w:type="dxa"/>
            <w:tcBorders>
              <w:top w:val="nil"/>
              <w:left w:val="nil"/>
              <w:bottom w:val="nil"/>
              <w:right w:val="nil"/>
            </w:tcBorders>
            <w:shd w:val="clear" w:color="auto" w:fill="auto"/>
            <w:noWrap/>
            <w:vAlign w:val="center"/>
            <w:hideMark/>
          </w:tcPr>
          <w:p w14:paraId="2AB89771" w14:textId="77777777" w:rsidR="00C13A9E" w:rsidRPr="00D92E20" w:rsidRDefault="00C13A9E" w:rsidP="00C13A9E">
            <w:pPr>
              <w:spacing w:after="0" w:line="240" w:lineRule="auto"/>
              <w:jc w:val="center"/>
              <w:rPr>
                <w:rFonts w:cs="Arial"/>
                <w:sz w:val="16"/>
                <w:szCs w:val="16"/>
              </w:rPr>
            </w:pPr>
            <w:r w:rsidRPr="00D92E20">
              <w:rPr>
                <w:rFonts w:cs="Arial"/>
                <w:sz w:val="16"/>
                <w:szCs w:val="16"/>
              </w:rPr>
              <w:t>3,25</w:t>
            </w:r>
          </w:p>
        </w:tc>
        <w:tc>
          <w:tcPr>
            <w:tcW w:w="907" w:type="dxa"/>
            <w:tcBorders>
              <w:top w:val="nil"/>
              <w:left w:val="nil"/>
              <w:bottom w:val="nil"/>
              <w:right w:val="nil"/>
            </w:tcBorders>
            <w:shd w:val="clear" w:color="auto" w:fill="auto"/>
            <w:noWrap/>
            <w:vAlign w:val="center"/>
            <w:hideMark/>
          </w:tcPr>
          <w:p w14:paraId="0696A5D7" w14:textId="77777777" w:rsidR="00C13A9E" w:rsidRPr="00D92E20" w:rsidRDefault="00C13A9E" w:rsidP="00C13A9E">
            <w:pPr>
              <w:spacing w:after="0" w:line="240" w:lineRule="auto"/>
              <w:jc w:val="center"/>
              <w:rPr>
                <w:rFonts w:cs="Arial"/>
                <w:sz w:val="16"/>
                <w:szCs w:val="16"/>
              </w:rPr>
            </w:pPr>
            <w:r w:rsidRPr="00D92E20">
              <w:rPr>
                <w:rFonts w:cs="Arial"/>
                <w:sz w:val="16"/>
                <w:szCs w:val="16"/>
              </w:rPr>
              <w:t>3,54</w:t>
            </w:r>
          </w:p>
        </w:tc>
        <w:tc>
          <w:tcPr>
            <w:tcW w:w="907" w:type="dxa"/>
            <w:tcBorders>
              <w:top w:val="nil"/>
              <w:left w:val="nil"/>
              <w:bottom w:val="nil"/>
              <w:right w:val="nil"/>
            </w:tcBorders>
            <w:shd w:val="clear" w:color="auto" w:fill="auto"/>
            <w:noWrap/>
            <w:vAlign w:val="center"/>
            <w:hideMark/>
          </w:tcPr>
          <w:p w14:paraId="5C64F023" w14:textId="77777777" w:rsidR="00C13A9E" w:rsidRPr="00D92E20" w:rsidRDefault="00C13A9E" w:rsidP="00C13A9E">
            <w:pPr>
              <w:spacing w:after="0" w:line="240" w:lineRule="auto"/>
              <w:jc w:val="center"/>
              <w:rPr>
                <w:rFonts w:cs="Arial"/>
                <w:sz w:val="16"/>
                <w:szCs w:val="16"/>
              </w:rPr>
            </w:pPr>
            <w:r w:rsidRPr="00D92E20">
              <w:rPr>
                <w:rFonts w:cs="Arial"/>
                <w:sz w:val="16"/>
                <w:szCs w:val="16"/>
              </w:rPr>
              <w:t>4,57</w:t>
            </w:r>
          </w:p>
        </w:tc>
        <w:tc>
          <w:tcPr>
            <w:tcW w:w="907" w:type="dxa"/>
            <w:tcBorders>
              <w:top w:val="nil"/>
              <w:left w:val="nil"/>
              <w:bottom w:val="nil"/>
              <w:right w:val="nil"/>
            </w:tcBorders>
            <w:shd w:val="clear" w:color="auto" w:fill="auto"/>
            <w:noWrap/>
            <w:vAlign w:val="center"/>
            <w:hideMark/>
          </w:tcPr>
          <w:p w14:paraId="275D500C" w14:textId="77777777" w:rsidR="00C13A9E" w:rsidRPr="00D92E20" w:rsidRDefault="00C13A9E" w:rsidP="00C13A9E">
            <w:pPr>
              <w:spacing w:after="0" w:line="240" w:lineRule="auto"/>
              <w:jc w:val="center"/>
              <w:rPr>
                <w:rFonts w:cs="Arial"/>
                <w:sz w:val="16"/>
                <w:szCs w:val="16"/>
              </w:rPr>
            </w:pPr>
            <w:r w:rsidRPr="00D92E20">
              <w:rPr>
                <w:rFonts w:cs="Arial"/>
                <w:sz w:val="16"/>
                <w:szCs w:val="16"/>
              </w:rPr>
              <w:t>2,41</w:t>
            </w:r>
          </w:p>
        </w:tc>
        <w:tc>
          <w:tcPr>
            <w:tcW w:w="907" w:type="dxa"/>
            <w:tcBorders>
              <w:top w:val="nil"/>
              <w:left w:val="nil"/>
              <w:bottom w:val="nil"/>
              <w:right w:val="nil"/>
            </w:tcBorders>
            <w:shd w:val="clear" w:color="auto" w:fill="auto"/>
            <w:noWrap/>
            <w:vAlign w:val="center"/>
            <w:hideMark/>
          </w:tcPr>
          <w:p w14:paraId="41D4B453" w14:textId="77777777" w:rsidR="00C13A9E" w:rsidRPr="00D92E20" w:rsidRDefault="00C13A9E" w:rsidP="00C13A9E">
            <w:pPr>
              <w:spacing w:after="0" w:line="240" w:lineRule="auto"/>
              <w:jc w:val="center"/>
              <w:rPr>
                <w:rFonts w:cs="Arial"/>
                <w:sz w:val="16"/>
                <w:szCs w:val="16"/>
              </w:rPr>
            </w:pPr>
            <w:r w:rsidRPr="00D92E20">
              <w:rPr>
                <w:rFonts w:cs="Arial"/>
                <w:sz w:val="16"/>
                <w:szCs w:val="16"/>
              </w:rPr>
              <w:t>2,29</w:t>
            </w:r>
          </w:p>
        </w:tc>
        <w:tc>
          <w:tcPr>
            <w:tcW w:w="907" w:type="dxa"/>
            <w:tcBorders>
              <w:top w:val="nil"/>
              <w:left w:val="nil"/>
              <w:bottom w:val="nil"/>
              <w:right w:val="nil"/>
            </w:tcBorders>
            <w:shd w:val="clear" w:color="auto" w:fill="auto"/>
            <w:noWrap/>
            <w:vAlign w:val="center"/>
            <w:hideMark/>
          </w:tcPr>
          <w:p w14:paraId="1816B76F" w14:textId="77777777" w:rsidR="00C13A9E" w:rsidRPr="00D92E20" w:rsidRDefault="00C13A9E" w:rsidP="00C13A9E">
            <w:pPr>
              <w:spacing w:after="0" w:line="240" w:lineRule="auto"/>
              <w:jc w:val="center"/>
              <w:rPr>
                <w:rFonts w:cs="Arial"/>
                <w:sz w:val="16"/>
                <w:szCs w:val="16"/>
              </w:rPr>
            </w:pPr>
            <w:r w:rsidRPr="00D92E20">
              <w:rPr>
                <w:rFonts w:cs="Arial"/>
                <w:sz w:val="16"/>
                <w:szCs w:val="16"/>
              </w:rPr>
              <w:t>2,66</w:t>
            </w:r>
          </w:p>
        </w:tc>
        <w:tc>
          <w:tcPr>
            <w:tcW w:w="907" w:type="dxa"/>
            <w:tcBorders>
              <w:top w:val="nil"/>
              <w:left w:val="nil"/>
              <w:bottom w:val="nil"/>
              <w:right w:val="nil"/>
            </w:tcBorders>
            <w:shd w:val="clear" w:color="auto" w:fill="auto"/>
            <w:noWrap/>
            <w:vAlign w:val="center"/>
            <w:hideMark/>
          </w:tcPr>
          <w:p w14:paraId="3A87EAA7" w14:textId="77777777" w:rsidR="00C13A9E" w:rsidRPr="00D92E20" w:rsidRDefault="00C13A9E" w:rsidP="00C13A9E">
            <w:pPr>
              <w:spacing w:after="0" w:line="240" w:lineRule="auto"/>
              <w:jc w:val="center"/>
              <w:rPr>
                <w:rFonts w:cs="Arial"/>
                <w:sz w:val="16"/>
                <w:szCs w:val="16"/>
              </w:rPr>
            </w:pPr>
            <w:r w:rsidRPr="00D92E20">
              <w:rPr>
                <w:rFonts w:cs="Arial"/>
                <w:sz w:val="16"/>
                <w:szCs w:val="16"/>
              </w:rPr>
              <w:t>3,06</w:t>
            </w:r>
          </w:p>
        </w:tc>
        <w:tc>
          <w:tcPr>
            <w:tcW w:w="907" w:type="dxa"/>
            <w:tcBorders>
              <w:top w:val="nil"/>
              <w:left w:val="nil"/>
              <w:bottom w:val="nil"/>
              <w:right w:val="nil"/>
            </w:tcBorders>
            <w:shd w:val="clear" w:color="auto" w:fill="auto"/>
            <w:noWrap/>
            <w:vAlign w:val="center"/>
            <w:hideMark/>
          </w:tcPr>
          <w:p w14:paraId="0B41CD88" w14:textId="77777777" w:rsidR="00C13A9E" w:rsidRPr="00D92E20" w:rsidRDefault="00C13A9E" w:rsidP="00C13A9E">
            <w:pPr>
              <w:spacing w:after="0" w:line="240" w:lineRule="auto"/>
              <w:jc w:val="center"/>
              <w:rPr>
                <w:rFonts w:cs="Arial"/>
                <w:sz w:val="16"/>
                <w:szCs w:val="16"/>
              </w:rPr>
            </w:pPr>
            <w:r w:rsidRPr="00D92E20">
              <w:rPr>
                <w:rFonts w:cs="Arial"/>
                <w:sz w:val="16"/>
                <w:szCs w:val="16"/>
              </w:rPr>
              <w:t>2,81</w:t>
            </w:r>
          </w:p>
        </w:tc>
        <w:tc>
          <w:tcPr>
            <w:tcW w:w="907" w:type="dxa"/>
            <w:tcBorders>
              <w:top w:val="nil"/>
              <w:left w:val="nil"/>
              <w:bottom w:val="nil"/>
              <w:right w:val="nil"/>
            </w:tcBorders>
            <w:shd w:val="clear" w:color="auto" w:fill="auto"/>
            <w:noWrap/>
            <w:vAlign w:val="center"/>
            <w:hideMark/>
          </w:tcPr>
          <w:p w14:paraId="76768B1B" w14:textId="77777777" w:rsidR="00C13A9E" w:rsidRPr="00D92E20" w:rsidRDefault="00C13A9E" w:rsidP="00C13A9E">
            <w:pPr>
              <w:spacing w:after="0" w:line="240" w:lineRule="auto"/>
              <w:jc w:val="center"/>
              <w:rPr>
                <w:rFonts w:cs="Arial"/>
                <w:sz w:val="16"/>
                <w:szCs w:val="16"/>
              </w:rPr>
            </w:pPr>
            <w:r w:rsidRPr="00D92E20">
              <w:rPr>
                <w:rFonts w:cs="Arial"/>
                <w:sz w:val="16"/>
                <w:szCs w:val="16"/>
              </w:rPr>
              <w:t>3,34</w:t>
            </w:r>
          </w:p>
        </w:tc>
      </w:tr>
      <w:tr w:rsidR="00C13A9E" w:rsidRPr="00D92E20" w14:paraId="317BDC7C"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351A7F71"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Irsko</w:t>
            </w:r>
          </w:p>
        </w:tc>
        <w:tc>
          <w:tcPr>
            <w:tcW w:w="907" w:type="dxa"/>
            <w:tcBorders>
              <w:top w:val="nil"/>
              <w:left w:val="nil"/>
              <w:bottom w:val="nil"/>
              <w:right w:val="nil"/>
            </w:tcBorders>
            <w:shd w:val="clear" w:color="auto" w:fill="auto"/>
            <w:noWrap/>
            <w:vAlign w:val="center"/>
            <w:hideMark/>
          </w:tcPr>
          <w:p w14:paraId="5497D962" w14:textId="77777777" w:rsidR="00C13A9E" w:rsidRPr="00D92E20" w:rsidRDefault="00C13A9E" w:rsidP="00C13A9E">
            <w:pPr>
              <w:spacing w:after="0" w:line="240" w:lineRule="auto"/>
              <w:jc w:val="center"/>
              <w:rPr>
                <w:rFonts w:cs="Arial"/>
                <w:sz w:val="16"/>
                <w:szCs w:val="16"/>
              </w:rPr>
            </w:pPr>
            <w:r w:rsidRPr="00D92E20">
              <w:rPr>
                <w:rFonts w:cs="Arial"/>
                <w:sz w:val="16"/>
                <w:szCs w:val="16"/>
              </w:rPr>
              <w:t>3,96</w:t>
            </w:r>
          </w:p>
        </w:tc>
        <w:tc>
          <w:tcPr>
            <w:tcW w:w="907" w:type="dxa"/>
            <w:tcBorders>
              <w:top w:val="nil"/>
              <w:left w:val="nil"/>
              <w:bottom w:val="nil"/>
              <w:right w:val="nil"/>
            </w:tcBorders>
            <w:shd w:val="clear" w:color="auto" w:fill="auto"/>
            <w:noWrap/>
            <w:vAlign w:val="center"/>
            <w:hideMark/>
          </w:tcPr>
          <w:p w14:paraId="607B5B71" w14:textId="77777777" w:rsidR="00C13A9E" w:rsidRPr="00D92E20" w:rsidRDefault="00C13A9E" w:rsidP="00C13A9E">
            <w:pPr>
              <w:spacing w:after="0" w:line="240" w:lineRule="auto"/>
              <w:jc w:val="center"/>
              <w:rPr>
                <w:rFonts w:cs="Arial"/>
                <w:sz w:val="16"/>
                <w:szCs w:val="16"/>
              </w:rPr>
            </w:pPr>
            <w:r w:rsidRPr="00D92E20">
              <w:rPr>
                <w:rFonts w:cs="Arial"/>
                <w:sz w:val="16"/>
                <w:szCs w:val="16"/>
              </w:rPr>
              <w:t>4,19</w:t>
            </w:r>
          </w:p>
        </w:tc>
        <w:tc>
          <w:tcPr>
            <w:tcW w:w="907" w:type="dxa"/>
            <w:tcBorders>
              <w:top w:val="nil"/>
              <w:left w:val="nil"/>
              <w:bottom w:val="nil"/>
              <w:right w:val="nil"/>
            </w:tcBorders>
            <w:shd w:val="clear" w:color="auto" w:fill="auto"/>
            <w:noWrap/>
            <w:vAlign w:val="center"/>
            <w:hideMark/>
          </w:tcPr>
          <w:p w14:paraId="776FEBE5" w14:textId="77777777" w:rsidR="00C13A9E" w:rsidRPr="00D92E20" w:rsidRDefault="00C13A9E" w:rsidP="00C13A9E">
            <w:pPr>
              <w:spacing w:after="0" w:line="240" w:lineRule="auto"/>
              <w:jc w:val="center"/>
              <w:rPr>
                <w:rFonts w:cs="Arial"/>
                <w:sz w:val="16"/>
                <w:szCs w:val="16"/>
              </w:rPr>
            </w:pPr>
            <w:r w:rsidRPr="00D92E20">
              <w:rPr>
                <w:rFonts w:cs="Arial"/>
                <w:sz w:val="16"/>
                <w:szCs w:val="16"/>
              </w:rPr>
              <w:t>3,41</w:t>
            </w:r>
          </w:p>
        </w:tc>
        <w:tc>
          <w:tcPr>
            <w:tcW w:w="907" w:type="dxa"/>
            <w:tcBorders>
              <w:top w:val="nil"/>
              <w:left w:val="nil"/>
              <w:bottom w:val="nil"/>
              <w:right w:val="nil"/>
            </w:tcBorders>
            <w:shd w:val="clear" w:color="auto" w:fill="auto"/>
            <w:noWrap/>
            <w:vAlign w:val="center"/>
            <w:hideMark/>
          </w:tcPr>
          <w:p w14:paraId="1BB994F9" w14:textId="77777777" w:rsidR="00C13A9E" w:rsidRPr="00D92E20" w:rsidRDefault="00C13A9E" w:rsidP="00C13A9E">
            <w:pPr>
              <w:spacing w:after="0" w:line="240" w:lineRule="auto"/>
              <w:jc w:val="center"/>
              <w:rPr>
                <w:rFonts w:cs="Arial"/>
                <w:sz w:val="16"/>
                <w:szCs w:val="16"/>
              </w:rPr>
            </w:pPr>
            <w:r w:rsidRPr="00D92E20">
              <w:rPr>
                <w:rFonts w:cs="Arial"/>
                <w:sz w:val="16"/>
                <w:szCs w:val="16"/>
              </w:rPr>
              <w:t>2,70</w:t>
            </w:r>
          </w:p>
        </w:tc>
        <w:tc>
          <w:tcPr>
            <w:tcW w:w="907" w:type="dxa"/>
            <w:tcBorders>
              <w:top w:val="nil"/>
              <w:left w:val="nil"/>
              <w:bottom w:val="nil"/>
              <w:right w:val="nil"/>
            </w:tcBorders>
            <w:shd w:val="clear" w:color="auto" w:fill="auto"/>
            <w:noWrap/>
            <w:vAlign w:val="center"/>
            <w:hideMark/>
          </w:tcPr>
          <w:p w14:paraId="3994D3C6" w14:textId="77777777" w:rsidR="00C13A9E" w:rsidRPr="00D92E20" w:rsidRDefault="00C13A9E" w:rsidP="00C13A9E">
            <w:pPr>
              <w:spacing w:after="0" w:line="240" w:lineRule="auto"/>
              <w:jc w:val="center"/>
              <w:rPr>
                <w:rFonts w:cs="Arial"/>
                <w:sz w:val="16"/>
                <w:szCs w:val="16"/>
              </w:rPr>
            </w:pPr>
            <w:r w:rsidRPr="00D92E20">
              <w:rPr>
                <w:rFonts w:cs="Arial"/>
                <w:sz w:val="16"/>
                <w:szCs w:val="16"/>
              </w:rPr>
              <w:t>3,12</w:t>
            </w:r>
          </w:p>
        </w:tc>
        <w:tc>
          <w:tcPr>
            <w:tcW w:w="907" w:type="dxa"/>
            <w:tcBorders>
              <w:top w:val="nil"/>
              <w:left w:val="nil"/>
              <w:bottom w:val="nil"/>
              <w:right w:val="nil"/>
            </w:tcBorders>
            <w:shd w:val="clear" w:color="auto" w:fill="auto"/>
            <w:noWrap/>
            <w:vAlign w:val="center"/>
            <w:hideMark/>
          </w:tcPr>
          <w:p w14:paraId="1D8D1911" w14:textId="77777777" w:rsidR="00C13A9E" w:rsidRPr="00D92E20" w:rsidRDefault="00C13A9E" w:rsidP="00C13A9E">
            <w:pPr>
              <w:spacing w:after="0" w:line="240" w:lineRule="auto"/>
              <w:jc w:val="center"/>
              <w:rPr>
                <w:rFonts w:cs="Arial"/>
                <w:sz w:val="16"/>
                <w:szCs w:val="16"/>
              </w:rPr>
            </w:pPr>
            <w:r w:rsidRPr="00D92E20">
              <w:rPr>
                <w:rFonts w:cs="Arial"/>
                <w:sz w:val="16"/>
                <w:szCs w:val="16"/>
              </w:rPr>
              <w:t>2,93</w:t>
            </w:r>
          </w:p>
        </w:tc>
        <w:tc>
          <w:tcPr>
            <w:tcW w:w="907" w:type="dxa"/>
            <w:tcBorders>
              <w:top w:val="nil"/>
              <w:left w:val="nil"/>
              <w:bottom w:val="nil"/>
              <w:right w:val="nil"/>
            </w:tcBorders>
            <w:shd w:val="clear" w:color="auto" w:fill="auto"/>
            <w:noWrap/>
            <w:vAlign w:val="center"/>
            <w:hideMark/>
          </w:tcPr>
          <w:p w14:paraId="49075540" w14:textId="77777777" w:rsidR="00C13A9E" w:rsidRPr="00D92E20" w:rsidRDefault="00C13A9E" w:rsidP="00C13A9E">
            <w:pPr>
              <w:spacing w:after="0" w:line="240" w:lineRule="auto"/>
              <w:jc w:val="center"/>
              <w:rPr>
                <w:rFonts w:cs="Arial"/>
                <w:sz w:val="16"/>
                <w:szCs w:val="16"/>
              </w:rPr>
            </w:pPr>
            <w:r w:rsidRPr="00D92E20">
              <w:rPr>
                <w:rFonts w:cs="Arial"/>
                <w:sz w:val="16"/>
                <w:szCs w:val="16"/>
              </w:rPr>
              <w:t>2,69</w:t>
            </w:r>
          </w:p>
        </w:tc>
        <w:tc>
          <w:tcPr>
            <w:tcW w:w="907" w:type="dxa"/>
            <w:tcBorders>
              <w:top w:val="nil"/>
              <w:left w:val="nil"/>
              <w:bottom w:val="nil"/>
              <w:right w:val="nil"/>
            </w:tcBorders>
            <w:shd w:val="clear" w:color="auto" w:fill="auto"/>
            <w:noWrap/>
            <w:vAlign w:val="center"/>
            <w:hideMark/>
          </w:tcPr>
          <w:p w14:paraId="395E5B4E" w14:textId="77777777" w:rsidR="00C13A9E" w:rsidRPr="00D92E20" w:rsidRDefault="00C13A9E" w:rsidP="00C13A9E">
            <w:pPr>
              <w:spacing w:after="0" w:line="240" w:lineRule="auto"/>
              <w:jc w:val="center"/>
              <w:rPr>
                <w:rFonts w:cs="Arial"/>
                <w:sz w:val="16"/>
                <w:szCs w:val="16"/>
              </w:rPr>
            </w:pPr>
            <w:r w:rsidRPr="00D92E20">
              <w:rPr>
                <w:rFonts w:cs="Arial"/>
                <w:sz w:val="16"/>
                <w:szCs w:val="16"/>
              </w:rPr>
              <w:t>2,53</w:t>
            </w:r>
          </w:p>
        </w:tc>
        <w:tc>
          <w:tcPr>
            <w:tcW w:w="907" w:type="dxa"/>
            <w:tcBorders>
              <w:top w:val="nil"/>
              <w:left w:val="nil"/>
              <w:bottom w:val="nil"/>
              <w:right w:val="nil"/>
            </w:tcBorders>
            <w:shd w:val="clear" w:color="auto" w:fill="auto"/>
            <w:noWrap/>
            <w:vAlign w:val="center"/>
            <w:hideMark/>
          </w:tcPr>
          <w:p w14:paraId="73E19E1E" w14:textId="77777777" w:rsidR="00C13A9E" w:rsidRPr="00D92E20" w:rsidRDefault="00C13A9E" w:rsidP="00C13A9E">
            <w:pPr>
              <w:spacing w:after="0" w:line="240" w:lineRule="auto"/>
              <w:jc w:val="center"/>
              <w:rPr>
                <w:rFonts w:cs="Arial"/>
                <w:sz w:val="16"/>
                <w:szCs w:val="16"/>
              </w:rPr>
            </w:pPr>
            <w:r w:rsidRPr="00D92E20">
              <w:rPr>
                <w:rFonts w:cs="Arial"/>
                <w:sz w:val="16"/>
                <w:szCs w:val="16"/>
              </w:rPr>
              <w:t>2,04</w:t>
            </w:r>
          </w:p>
        </w:tc>
      </w:tr>
      <w:tr w:rsidR="00C13A9E" w:rsidRPr="00D92E20" w14:paraId="3B57CDAF"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77C656FD"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Itálie</w:t>
            </w:r>
          </w:p>
        </w:tc>
        <w:tc>
          <w:tcPr>
            <w:tcW w:w="907" w:type="dxa"/>
            <w:tcBorders>
              <w:top w:val="nil"/>
              <w:left w:val="nil"/>
              <w:bottom w:val="nil"/>
              <w:right w:val="nil"/>
            </w:tcBorders>
            <w:shd w:val="clear" w:color="auto" w:fill="auto"/>
            <w:noWrap/>
            <w:vAlign w:val="center"/>
            <w:hideMark/>
          </w:tcPr>
          <w:p w14:paraId="0F040EDD" w14:textId="77777777" w:rsidR="00C13A9E" w:rsidRPr="00D92E20" w:rsidRDefault="00C13A9E" w:rsidP="00C13A9E">
            <w:pPr>
              <w:spacing w:after="0" w:line="240" w:lineRule="auto"/>
              <w:jc w:val="center"/>
              <w:rPr>
                <w:rFonts w:cs="Arial"/>
                <w:sz w:val="16"/>
                <w:szCs w:val="16"/>
              </w:rPr>
            </w:pPr>
            <w:r w:rsidRPr="00D92E20">
              <w:rPr>
                <w:rFonts w:cs="Arial"/>
                <w:sz w:val="16"/>
                <w:szCs w:val="16"/>
              </w:rPr>
              <w:t>3,93</w:t>
            </w:r>
          </w:p>
        </w:tc>
        <w:tc>
          <w:tcPr>
            <w:tcW w:w="907" w:type="dxa"/>
            <w:tcBorders>
              <w:top w:val="nil"/>
              <w:left w:val="nil"/>
              <w:bottom w:val="nil"/>
              <w:right w:val="nil"/>
            </w:tcBorders>
            <w:shd w:val="clear" w:color="auto" w:fill="auto"/>
            <w:noWrap/>
            <w:vAlign w:val="center"/>
            <w:hideMark/>
          </w:tcPr>
          <w:p w14:paraId="29BAFDF1" w14:textId="77777777" w:rsidR="00C13A9E" w:rsidRPr="00D92E20" w:rsidRDefault="00C13A9E" w:rsidP="00C13A9E">
            <w:pPr>
              <w:spacing w:after="0" w:line="240" w:lineRule="auto"/>
              <w:jc w:val="center"/>
              <w:rPr>
                <w:rFonts w:cs="Arial"/>
                <w:sz w:val="16"/>
                <w:szCs w:val="16"/>
              </w:rPr>
            </w:pPr>
            <w:r w:rsidRPr="00D92E20">
              <w:rPr>
                <w:rFonts w:cs="Arial"/>
                <w:sz w:val="16"/>
                <w:szCs w:val="16"/>
              </w:rPr>
              <w:t>3,30</w:t>
            </w:r>
          </w:p>
        </w:tc>
        <w:tc>
          <w:tcPr>
            <w:tcW w:w="907" w:type="dxa"/>
            <w:tcBorders>
              <w:top w:val="nil"/>
              <w:left w:val="nil"/>
              <w:bottom w:val="nil"/>
              <w:right w:val="nil"/>
            </w:tcBorders>
            <w:shd w:val="clear" w:color="auto" w:fill="auto"/>
            <w:noWrap/>
            <w:vAlign w:val="center"/>
            <w:hideMark/>
          </w:tcPr>
          <w:p w14:paraId="05ACCF3C" w14:textId="77777777" w:rsidR="00C13A9E" w:rsidRPr="00D92E20" w:rsidRDefault="00C13A9E" w:rsidP="00C13A9E">
            <w:pPr>
              <w:spacing w:after="0" w:line="240" w:lineRule="auto"/>
              <w:jc w:val="center"/>
              <w:rPr>
                <w:rFonts w:cs="Arial"/>
                <w:sz w:val="16"/>
                <w:szCs w:val="16"/>
              </w:rPr>
            </w:pPr>
            <w:r w:rsidRPr="00D92E20">
              <w:rPr>
                <w:rFonts w:cs="Arial"/>
                <w:sz w:val="16"/>
                <w:szCs w:val="16"/>
              </w:rPr>
              <w:t>2,89</w:t>
            </w:r>
          </w:p>
        </w:tc>
        <w:tc>
          <w:tcPr>
            <w:tcW w:w="907" w:type="dxa"/>
            <w:tcBorders>
              <w:top w:val="nil"/>
              <w:left w:val="nil"/>
              <w:bottom w:val="nil"/>
              <w:right w:val="nil"/>
            </w:tcBorders>
            <w:shd w:val="clear" w:color="auto" w:fill="auto"/>
            <w:noWrap/>
            <w:vAlign w:val="center"/>
            <w:hideMark/>
          </w:tcPr>
          <w:p w14:paraId="5196EB9D" w14:textId="77777777" w:rsidR="00C13A9E" w:rsidRPr="00D92E20" w:rsidRDefault="00C13A9E" w:rsidP="00C13A9E">
            <w:pPr>
              <w:spacing w:after="0" w:line="240" w:lineRule="auto"/>
              <w:jc w:val="center"/>
              <w:rPr>
                <w:rFonts w:cs="Arial"/>
                <w:sz w:val="16"/>
                <w:szCs w:val="16"/>
              </w:rPr>
            </w:pPr>
            <w:r w:rsidRPr="00D92E20">
              <w:rPr>
                <w:rFonts w:cs="Arial"/>
                <w:sz w:val="16"/>
                <w:szCs w:val="16"/>
              </w:rPr>
              <w:t>2,98</w:t>
            </w:r>
          </w:p>
        </w:tc>
        <w:tc>
          <w:tcPr>
            <w:tcW w:w="907" w:type="dxa"/>
            <w:tcBorders>
              <w:top w:val="nil"/>
              <w:left w:val="nil"/>
              <w:bottom w:val="nil"/>
              <w:right w:val="nil"/>
            </w:tcBorders>
            <w:shd w:val="clear" w:color="auto" w:fill="auto"/>
            <w:noWrap/>
            <w:vAlign w:val="center"/>
            <w:hideMark/>
          </w:tcPr>
          <w:p w14:paraId="25D9D66E" w14:textId="77777777" w:rsidR="00C13A9E" w:rsidRPr="00D92E20" w:rsidRDefault="00C13A9E" w:rsidP="00C13A9E">
            <w:pPr>
              <w:spacing w:after="0" w:line="240" w:lineRule="auto"/>
              <w:jc w:val="center"/>
              <w:rPr>
                <w:rFonts w:cs="Arial"/>
                <w:sz w:val="16"/>
                <w:szCs w:val="16"/>
              </w:rPr>
            </w:pPr>
            <w:r w:rsidRPr="00D92E20">
              <w:rPr>
                <w:rFonts w:cs="Arial"/>
                <w:sz w:val="16"/>
                <w:szCs w:val="16"/>
              </w:rPr>
              <w:t>3,01</w:t>
            </w:r>
          </w:p>
        </w:tc>
        <w:tc>
          <w:tcPr>
            <w:tcW w:w="907" w:type="dxa"/>
            <w:tcBorders>
              <w:top w:val="nil"/>
              <w:left w:val="nil"/>
              <w:bottom w:val="nil"/>
              <w:right w:val="nil"/>
            </w:tcBorders>
            <w:shd w:val="clear" w:color="auto" w:fill="auto"/>
            <w:noWrap/>
            <w:vAlign w:val="center"/>
            <w:hideMark/>
          </w:tcPr>
          <w:p w14:paraId="3103FF1F" w14:textId="77777777" w:rsidR="00C13A9E" w:rsidRPr="00D92E20" w:rsidRDefault="00C13A9E" w:rsidP="00C13A9E">
            <w:pPr>
              <w:spacing w:after="0" w:line="240" w:lineRule="auto"/>
              <w:jc w:val="center"/>
              <w:rPr>
                <w:rFonts w:cs="Arial"/>
                <w:sz w:val="16"/>
                <w:szCs w:val="16"/>
              </w:rPr>
            </w:pPr>
            <w:r w:rsidRPr="00D92E20">
              <w:rPr>
                <w:rFonts w:cs="Arial"/>
                <w:sz w:val="16"/>
                <w:szCs w:val="16"/>
              </w:rPr>
              <w:t>3,11</w:t>
            </w:r>
          </w:p>
        </w:tc>
        <w:tc>
          <w:tcPr>
            <w:tcW w:w="907" w:type="dxa"/>
            <w:tcBorders>
              <w:top w:val="nil"/>
              <w:left w:val="nil"/>
              <w:bottom w:val="nil"/>
              <w:right w:val="nil"/>
            </w:tcBorders>
            <w:shd w:val="clear" w:color="auto" w:fill="auto"/>
            <w:noWrap/>
            <w:vAlign w:val="center"/>
            <w:hideMark/>
          </w:tcPr>
          <w:p w14:paraId="015F14D8" w14:textId="77777777" w:rsidR="00C13A9E" w:rsidRPr="00D92E20" w:rsidRDefault="00C13A9E" w:rsidP="00C13A9E">
            <w:pPr>
              <w:spacing w:after="0" w:line="240" w:lineRule="auto"/>
              <w:jc w:val="center"/>
              <w:rPr>
                <w:rFonts w:cs="Arial"/>
                <w:sz w:val="16"/>
                <w:szCs w:val="16"/>
              </w:rPr>
            </w:pPr>
            <w:r w:rsidRPr="00D92E20">
              <w:rPr>
                <w:rFonts w:cs="Arial"/>
                <w:sz w:val="16"/>
                <w:szCs w:val="16"/>
              </w:rPr>
              <w:t>2,60</w:t>
            </w:r>
          </w:p>
        </w:tc>
        <w:tc>
          <w:tcPr>
            <w:tcW w:w="907" w:type="dxa"/>
            <w:tcBorders>
              <w:top w:val="nil"/>
              <w:left w:val="nil"/>
              <w:bottom w:val="nil"/>
              <w:right w:val="nil"/>
            </w:tcBorders>
            <w:shd w:val="clear" w:color="auto" w:fill="auto"/>
            <w:noWrap/>
            <w:vAlign w:val="center"/>
            <w:hideMark/>
          </w:tcPr>
          <w:p w14:paraId="37AF4802" w14:textId="77777777" w:rsidR="00C13A9E" w:rsidRPr="00D92E20" w:rsidRDefault="00C13A9E" w:rsidP="00C13A9E">
            <w:pPr>
              <w:spacing w:after="0" w:line="240" w:lineRule="auto"/>
              <w:jc w:val="center"/>
              <w:rPr>
                <w:rFonts w:cs="Arial"/>
                <w:sz w:val="16"/>
                <w:szCs w:val="16"/>
              </w:rPr>
            </w:pPr>
            <w:r w:rsidRPr="00D92E20">
              <w:rPr>
                <w:rFonts w:cs="Arial"/>
                <w:sz w:val="16"/>
                <w:szCs w:val="16"/>
              </w:rPr>
              <w:t>2,47</w:t>
            </w:r>
          </w:p>
        </w:tc>
        <w:tc>
          <w:tcPr>
            <w:tcW w:w="907" w:type="dxa"/>
            <w:tcBorders>
              <w:top w:val="nil"/>
              <w:left w:val="nil"/>
              <w:bottom w:val="nil"/>
              <w:right w:val="nil"/>
            </w:tcBorders>
            <w:shd w:val="clear" w:color="auto" w:fill="auto"/>
            <w:noWrap/>
            <w:vAlign w:val="center"/>
            <w:hideMark/>
          </w:tcPr>
          <w:p w14:paraId="5A6A4EA4" w14:textId="77777777" w:rsidR="00C13A9E" w:rsidRPr="00D92E20" w:rsidRDefault="00C13A9E" w:rsidP="00C13A9E">
            <w:pPr>
              <w:spacing w:after="0" w:line="240" w:lineRule="auto"/>
              <w:jc w:val="center"/>
              <w:rPr>
                <w:rFonts w:cs="Arial"/>
                <w:sz w:val="16"/>
                <w:szCs w:val="16"/>
              </w:rPr>
            </w:pPr>
            <w:r w:rsidRPr="00D92E20">
              <w:rPr>
                <w:rFonts w:cs="Arial"/>
                <w:sz w:val="16"/>
                <w:szCs w:val="16"/>
              </w:rPr>
              <w:t>2,70</w:t>
            </w:r>
          </w:p>
        </w:tc>
      </w:tr>
      <w:tr w:rsidR="00C13A9E" w:rsidRPr="00D92E20" w14:paraId="5FFB1638"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327A7FD4"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Kypr</w:t>
            </w:r>
          </w:p>
        </w:tc>
        <w:tc>
          <w:tcPr>
            <w:tcW w:w="907" w:type="dxa"/>
            <w:tcBorders>
              <w:top w:val="nil"/>
              <w:left w:val="nil"/>
              <w:bottom w:val="nil"/>
              <w:right w:val="nil"/>
            </w:tcBorders>
            <w:shd w:val="clear" w:color="auto" w:fill="auto"/>
            <w:noWrap/>
            <w:vAlign w:val="center"/>
            <w:hideMark/>
          </w:tcPr>
          <w:p w14:paraId="2086A5E9" w14:textId="77777777" w:rsidR="00C13A9E" w:rsidRPr="00D92E20" w:rsidRDefault="00C13A9E" w:rsidP="00C13A9E">
            <w:pPr>
              <w:spacing w:after="0" w:line="240" w:lineRule="auto"/>
              <w:jc w:val="center"/>
              <w:rPr>
                <w:rFonts w:cs="Arial"/>
                <w:sz w:val="16"/>
                <w:szCs w:val="16"/>
              </w:rPr>
            </w:pPr>
            <w:r w:rsidRPr="00D92E20">
              <w:rPr>
                <w:rFonts w:cs="Arial"/>
                <w:sz w:val="16"/>
                <w:szCs w:val="16"/>
              </w:rPr>
              <w:t>6,85</w:t>
            </w:r>
          </w:p>
        </w:tc>
        <w:tc>
          <w:tcPr>
            <w:tcW w:w="907" w:type="dxa"/>
            <w:tcBorders>
              <w:top w:val="nil"/>
              <w:left w:val="nil"/>
              <w:bottom w:val="nil"/>
              <w:right w:val="nil"/>
            </w:tcBorders>
            <w:shd w:val="clear" w:color="auto" w:fill="auto"/>
            <w:noWrap/>
            <w:vAlign w:val="center"/>
            <w:hideMark/>
          </w:tcPr>
          <w:p w14:paraId="68979078" w14:textId="77777777" w:rsidR="00C13A9E" w:rsidRPr="00D92E20" w:rsidRDefault="00C13A9E" w:rsidP="00C13A9E">
            <w:pPr>
              <w:spacing w:after="0" w:line="240" w:lineRule="auto"/>
              <w:jc w:val="center"/>
              <w:rPr>
                <w:rFonts w:cs="Arial"/>
                <w:sz w:val="16"/>
                <w:szCs w:val="16"/>
              </w:rPr>
            </w:pPr>
            <w:r w:rsidRPr="00D92E20">
              <w:rPr>
                <w:rFonts w:cs="Arial"/>
                <w:sz w:val="16"/>
                <w:szCs w:val="16"/>
              </w:rPr>
              <w:t>4,03</w:t>
            </w:r>
          </w:p>
        </w:tc>
        <w:tc>
          <w:tcPr>
            <w:tcW w:w="907" w:type="dxa"/>
            <w:tcBorders>
              <w:top w:val="nil"/>
              <w:left w:val="nil"/>
              <w:bottom w:val="nil"/>
              <w:right w:val="nil"/>
            </w:tcBorders>
            <w:shd w:val="clear" w:color="auto" w:fill="auto"/>
            <w:noWrap/>
            <w:vAlign w:val="center"/>
            <w:hideMark/>
          </w:tcPr>
          <w:p w14:paraId="198E279C" w14:textId="77777777" w:rsidR="00C13A9E" w:rsidRPr="00D92E20" w:rsidRDefault="00C13A9E" w:rsidP="00C13A9E">
            <w:pPr>
              <w:spacing w:after="0" w:line="240" w:lineRule="auto"/>
              <w:jc w:val="center"/>
              <w:rPr>
                <w:rFonts w:cs="Arial"/>
                <w:sz w:val="16"/>
                <w:szCs w:val="16"/>
              </w:rPr>
            </w:pPr>
            <w:r w:rsidRPr="00D92E20">
              <w:rPr>
                <w:rFonts w:cs="Arial"/>
                <w:sz w:val="16"/>
                <w:szCs w:val="16"/>
              </w:rPr>
              <w:t>3,91</w:t>
            </w:r>
          </w:p>
        </w:tc>
        <w:tc>
          <w:tcPr>
            <w:tcW w:w="907" w:type="dxa"/>
            <w:tcBorders>
              <w:top w:val="nil"/>
              <w:left w:val="nil"/>
              <w:bottom w:val="nil"/>
              <w:right w:val="nil"/>
            </w:tcBorders>
            <w:shd w:val="clear" w:color="auto" w:fill="auto"/>
            <w:noWrap/>
            <w:vAlign w:val="center"/>
            <w:hideMark/>
          </w:tcPr>
          <w:p w14:paraId="7D92413E" w14:textId="77777777" w:rsidR="00C13A9E" w:rsidRPr="00D92E20" w:rsidRDefault="00C13A9E" w:rsidP="00C13A9E">
            <w:pPr>
              <w:spacing w:after="0" w:line="240" w:lineRule="auto"/>
              <w:jc w:val="center"/>
              <w:rPr>
                <w:rFonts w:cs="Arial"/>
                <w:sz w:val="16"/>
                <w:szCs w:val="16"/>
              </w:rPr>
            </w:pPr>
            <w:r w:rsidRPr="00D92E20">
              <w:rPr>
                <w:rFonts w:cs="Arial"/>
                <w:sz w:val="16"/>
                <w:szCs w:val="16"/>
              </w:rPr>
              <w:t>3,65</w:t>
            </w:r>
          </w:p>
        </w:tc>
        <w:tc>
          <w:tcPr>
            <w:tcW w:w="907" w:type="dxa"/>
            <w:tcBorders>
              <w:top w:val="nil"/>
              <w:left w:val="nil"/>
              <w:bottom w:val="nil"/>
              <w:right w:val="nil"/>
            </w:tcBorders>
            <w:shd w:val="clear" w:color="auto" w:fill="auto"/>
            <w:noWrap/>
            <w:vAlign w:val="center"/>
            <w:hideMark/>
          </w:tcPr>
          <w:p w14:paraId="6EDDE2DA" w14:textId="77777777" w:rsidR="00C13A9E" w:rsidRPr="00D92E20" w:rsidRDefault="00C13A9E" w:rsidP="00C13A9E">
            <w:pPr>
              <w:spacing w:after="0" w:line="240" w:lineRule="auto"/>
              <w:jc w:val="center"/>
              <w:rPr>
                <w:rFonts w:cs="Arial"/>
                <w:sz w:val="16"/>
                <w:szCs w:val="16"/>
              </w:rPr>
            </w:pPr>
            <w:r w:rsidRPr="00D92E20">
              <w:rPr>
                <w:rFonts w:cs="Arial"/>
                <w:sz w:val="16"/>
                <w:szCs w:val="16"/>
              </w:rPr>
              <w:t>2,60</w:t>
            </w:r>
          </w:p>
        </w:tc>
        <w:tc>
          <w:tcPr>
            <w:tcW w:w="907" w:type="dxa"/>
            <w:tcBorders>
              <w:top w:val="nil"/>
              <w:left w:val="nil"/>
              <w:bottom w:val="nil"/>
              <w:right w:val="nil"/>
            </w:tcBorders>
            <w:shd w:val="clear" w:color="auto" w:fill="auto"/>
            <w:noWrap/>
            <w:vAlign w:val="center"/>
            <w:hideMark/>
          </w:tcPr>
          <w:p w14:paraId="5154C4CC" w14:textId="77777777" w:rsidR="00C13A9E" w:rsidRPr="00D92E20" w:rsidRDefault="00C13A9E" w:rsidP="00C13A9E">
            <w:pPr>
              <w:spacing w:after="0" w:line="240" w:lineRule="auto"/>
              <w:jc w:val="center"/>
              <w:rPr>
                <w:rFonts w:cs="Arial"/>
                <w:sz w:val="16"/>
                <w:szCs w:val="16"/>
              </w:rPr>
            </w:pPr>
            <w:r w:rsidRPr="00D92E20">
              <w:rPr>
                <w:rFonts w:cs="Arial"/>
                <w:sz w:val="16"/>
                <w:szCs w:val="16"/>
              </w:rPr>
              <w:t>1,53</w:t>
            </w:r>
          </w:p>
        </w:tc>
        <w:tc>
          <w:tcPr>
            <w:tcW w:w="907" w:type="dxa"/>
            <w:tcBorders>
              <w:top w:val="nil"/>
              <w:left w:val="nil"/>
              <w:bottom w:val="nil"/>
              <w:right w:val="nil"/>
            </w:tcBorders>
            <w:shd w:val="clear" w:color="auto" w:fill="auto"/>
            <w:noWrap/>
            <w:vAlign w:val="center"/>
            <w:hideMark/>
          </w:tcPr>
          <w:p w14:paraId="3C0EACD6" w14:textId="77777777" w:rsidR="00C13A9E" w:rsidRPr="00D92E20" w:rsidRDefault="00C13A9E" w:rsidP="00C13A9E">
            <w:pPr>
              <w:spacing w:after="0" w:line="240" w:lineRule="auto"/>
              <w:jc w:val="center"/>
              <w:rPr>
                <w:rFonts w:cs="Arial"/>
                <w:sz w:val="16"/>
                <w:szCs w:val="16"/>
              </w:rPr>
            </w:pPr>
            <w:r w:rsidRPr="00D92E20">
              <w:rPr>
                <w:rFonts w:cs="Arial"/>
                <w:sz w:val="16"/>
                <w:szCs w:val="16"/>
              </w:rPr>
              <w:t>1,92</w:t>
            </w:r>
          </w:p>
        </w:tc>
        <w:tc>
          <w:tcPr>
            <w:tcW w:w="907" w:type="dxa"/>
            <w:tcBorders>
              <w:top w:val="nil"/>
              <w:left w:val="nil"/>
              <w:bottom w:val="nil"/>
              <w:right w:val="nil"/>
            </w:tcBorders>
            <w:shd w:val="clear" w:color="auto" w:fill="auto"/>
            <w:noWrap/>
            <w:vAlign w:val="center"/>
            <w:hideMark/>
          </w:tcPr>
          <w:p w14:paraId="1A0968B5" w14:textId="77777777" w:rsidR="00C13A9E" w:rsidRPr="00D92E20" w:rsidRDefault="00C13A9E" w:rsidP="00C13A9E">
            <w:pPr>
              <w:spacing w:after="0" w:line="240" w:lineRule="auto"/>
              <w:jc w:val="center"/>
              <w:rPr>
                <w:rFonts w:cs="Arial"/>
                <w:sz w:val="16"/>
                <w:szCs w:val="16"/>
              </w:rPr>
            </w:pPr>
            <w:r w:rsidRPr="00D92E20">
              <w:rPr>
                <w:rFonts w:cs="Arial"/>
                <w:sz w:val="16"/>
                <w:szCs w:val="16"/>
              </w:rPr>
              <w:t>0,85</w:t>
            </w:r>
          </w:p>
        </w:tc>
        <w:tc>
          <w:tcPr>
            <w:tcW w:w="907" w:type="dxa"/>
            <w:tcBorders>
              <w:top w:val="nil"/>
              <w:left w:val="nil"/>
              <w:bottom w:val="nil"/>
              <w:right w:val="nil"/>
            </w:tcBorders>
            <w:shd w:val="clear" w:color="auto" w:fill="auto"/>
            <w:noWrap/>
            <w:vAlign w:val="center"/>
            <w:hideMark/>
          </w:tcPr>
          <w:p w14:paraId="7602AEDC" w14:textId="77777777" w:rsidR="00C13A9E" w:rsidRPr="00D92E20" w:rsidRDefault="00C13A9E" w:rsidP="00C13A9E">
            <w:pPr>
              <w:spacing w:after="0" w:line="240" w:lineRule="auto"/>
              <w:jc w:val="center"/>
              <w:rPr>
                <w:rFonts w:cs="Arial"/>
                <w:sz w:val="16"/>
                <w:szCs w:val="16"/>
              </w:rPr>
            </w:pPr>
            <w:r w:rsidRPr="00D92E20">
              <w:rPr>
                <w:rFonts w:cs="Arial"/>
                <w:sz w:val="16"/>
                <w:szCs w:val="16"/>
              </w:rPr>
              <w:t>4,51</w:t>
            </w:r>
          </w:p>
        </w:tc>
      </w:tr>
      <w:tr w:rsidR="00C13A9E" w:rsidRPr="00D92E20" w14:paraId="77BC7881"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3E905C8D"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Litva</w:t>
            </w:r>
          </w:p>
        </w:tc>
        <w:tc>
          <w:tcPr>
            <w:tcW w:w="907" w:type="dxa"/>
            <w:tcBorders>
              <w:top w:val="nil"/>
              <w:left w:val="nil"/>
              <w:bottom w:val="nil"/>
              <w:right w:val="nil"/>
            </w:tcBorders>
            <w:shd w:val="clear" w:color="auto" w:fill="auto"/>
            <w:noWrap/>
            <w:vAlign w:val="center"/>
            <w:hideMark/>
          </w:tcPr>
          <w:p w14:paraId="433B70E1" w14:textId="77777777" w:rsidR="00C13A9E" w:rsidRPr="00D92E20" w:rsidRDefault="00C13A9E" w:rsidP="00C13A9E">
            <w:pPr>
              <w:spacing w:after="0" w:line="240" w:lineRule="auto"/>
              <w:jc w:val="center"/>
              <w:rPr>
                <w:rFonts w:cs="Arial"/>
                <w:sz w:val="16"/>
                <w:szCs w:val="16"/>
              </w:rPr>
            </w:pPr>
            <w:r w:rsidRPr="00D92E20">
              <w:rPr>
                <w:rFonts w:cs="Arial"/>
                <w:sz w:val="16"/>
                <w:szCs w:val="16"/>
              </w:rPr>
              <w:t>4,93</w:t>
            </w:r>
          </w:p>
        </w:tc>
        <w:tc>
          <w:tcPr>
            <w:tcW w:w="907" w:type="dxa"/>
            <w:tcBorders>
              <w:top w:val="nil"/>
              <w:left w:val="nil"/>
              <w:bottom w:val="nil"/>
              <w:right w:val="nil"/>
            </w:tcBorders>
            <w:shd w:val="clear" w:color="auto" w:fill="auto"/>
            <w:noWrap/>
            <w:vAlign w:val="center"/>
            <w:hideMark/>
          </w:tcPr>
          <w:p w14:paraId="5A66318B" w14:textId="77777777" w:rsidR="00C13A9E" w:rsidRPr="00D92E20" w:rsidRDefault="00C13A9E" w:rsidP="00C13A9E">
            <w:pPr>
              <w:spacing w:after="0" w:line="240" w:lineRule="auto"/>
              <w:jc w:val="center"/>
              <w:rPr>
                <w:rFonts w:cs="Arial"/>
                <w:sz w:val="16"/>
                <w:szCs w:val="16"/>
              </w:rPr>
            </w:pPr>
            <w:r w:rsidRPr="00D92E20">
              <w:rPr>
                <w:rFonts w:cs="Arial"/>
                <w:sz w:val="16"/>
                <w:szCs w:val="16"/>
              </w:rPr>
              <w:t>4,83</w:t>
            </w:r>
          </w:p>
        </w:tc>
        <w:tc>
          <w:tcPr>
            <w:tcW w:w="907" w:type="dxa"/>
            <w:tcBorders>
              <w:top w:val="nil"/>
              <w:left w:val="nil"/>
              <w:bottom w:val="nil"/>
              <w:right w:val="nil"/>
            </w:tcBorders>
            <w:shd w:val="clear" w:color="auto" w:fill="auto"/>
            <w:noWrap/>
            <w:vAlign w:val="center"/>
            <w:hideMark/>
          </w:tcPr>
          <w:p w14:paraId="1D87781E" w14:textId="77777777" w:rsidR="00C13A9E" w:rsidRPr="00D92E20" w:rsidRDefault="00C13A9E" w:rsidP="00C13A9E">
            <w:pPr>
              <w:spacing w:after="0" w:line="240" w:lineRule="auto"/>
              <w:jc w:val="center"/>
              <w:rPr>
                <w:rFonts w:cs="Arial"/>
                <w:sz w:val="16"/>
                <w:szCs w:val="16"/>
              </w:rPr>
            </w:pPr>
            <w:r w:rsidRPr="00D92E20">
              <w:rPr>
                <w:rFonts w:cs="Arial"/>
                <w:sz w:val="16"/>
                <w:szCs w:val="16"/>
              </w:rPr>
              <w:t>6,26</w:t>
            </w:r>
          </w:p>
        </w:tc>
        <w:tc>
          <w:tcPr>
            <w:tcW w:w="907" w:type="dxa"/>
            <w:tcBorders>
              <w:top w:val="nil"/>
              <w:left w:val="nil"/>
              <w:bottom w:val="nil"/>
              <w:right w:val="nil"/>
            </w:tcBorders>
            <w:shd w:val="clear" w:color="auto" w:fill="auto"/>
            <w:noWrap/>
            <w:vAlign w:val="center"/>
            <w:hideMark/>
          </w:tcPr>
          <w:p w14:paraId="7117C979" w14:textId="77777777" w:rsidR="00C13A9E" w:rsidRPr="00D92E20" w:rsidRDefault="00C13A9E" w:rsidP="00C13A9E">
            <w:pPr>
              <w:spacing w:after="0" w:line="240" w:lineRule="auto"/>
              <w:jc w:val="center"/>
              <w:rPr>
                <w:rFonts w:cs="Arial"/>
                <w:sz w:val="16"/>
                <w:szCs w:val="16"/>
              </w:rPr>
            </w:pPr>
            <w:r w:rsidRPr="00D92E20">
              <w:rPr>
                <w:rFonts w:cs="Arial"/>
                <w:sz w:val="16"/>
                <w:szCs w:val="16"/>
              </w:rPr>
              <w:t>5,00</w:t>
            </w:r>
          </w:p>
        </w:tc>
        <w:tc>
          <w:tcPr>
            <w:tcW w:w="907" w:type="dxa"/>
            <w:tcBorders>
              <w:top w:val="nil"/>
              <w:left w:val="nil"/>
              <w:bottom w:val="nil"/>
              <w:right w:val="nil"/>
            </w:tcBorders>
            <w:shd w:val="clear" w:color="auto" w:fill="auto"/>
            <w:noWrap/>
            <w:vAlign w:val="center"/>
            <w:hideMark/>
          </w:tcPr>
          <w:p w14:paraId="38991819" w14:textId="77777777" w:rsidR="00C13A9E" w:rsidRPr="00D92E20" w:rsidRDefault="00C13A9E" w:rsidP="00C13A9E">
            <w:pPr>
              <w:spacing w:after="0" w:line="240" w:lineRule="auto"/>
              <w:jc w:val="center"/>
              <w:rPr>
                <w:rFonts w:cs="Arial"/>
                <w:sz w:val="16"/>
                <w:szCs w:val="16"/>
              </w:rPr>
            </w:pPr>
            <w:r w:rsidRPr="00D92E20">
              <w:rPr>
                <w:rFonts w:cs="Arial"/>
                <w:sz w:val="16"/>
                <w:szCs w:val="16"/>
              </w:rPr>
              <w:t>5,56</w:t>
            </w:r>
          </w:p>
        </w:tc>
        <w:tc>
          <w:tcPr>
            <w:tcW w:w="907" w:type="dxa"/>
            <w:tcBorders>
              <w:top w:val="nil"/>
              <w:left w:val="nil"/>
              <w:bottom w:val="nil"/>
              <w:right w:val="nil"/>
            </w:tcBorders>
            <w:shd w:val="clear" w:color="auto" w:fill="auto"/>
            <w:noWrap/>
            <w:vAlign w:val="center"/>
            <w:hideMark/>
          </w:tcPr>
          <w:p w14:paraId="643E5BB5" w14:textId="77777777" w:rsidR="00C13A9E" w:rsidRPr="00D92E20" w:rsidRDefault="00C13A9E" w:rsidP="00C13A9E">
            <w:pPr>
              <w:spacing w:after="0" w:line="240" w:lineRule="auto"/>
              <w:jc w:val="center"/>
              <w:rPr>
                <w:rFonts w:cs="Arial"/>
                <w:sz w:val="16"/>
                <w:szCs w:val="16"/>
              </w:rPr>
            </w:pPr>
            <w:r w:rsidRPr="00D92E20">
              <w:rPr>
                <w:rFonts w:cs="Arial"/>
                <w:sz w:val="16"/>
                <w:szCs w:val="16"/>
              </w:rPr>
              <w:t>4,29</w:t>
            </w:r>
          </w:p>
        </w:tc>
        <w:tc>
          <w:tcPr>
            <w:tcW w:w="907" w:type="dxa"/>
            <w:tcBorders>
              <w:top w:val="nil"/>
              <w:left w:val="nil"/>
              <w:bottom w:val="nil"/>
              <w:right w:val="nil"/>
            </w:tcBorders>
            <w:shd w:val="clear" w:color="auto" w:fill="auto"/>
            <w:noWrap/>
            <w:vAlign w:val="center"/>
            <w:hideMark/>
          </w:tcPr>
          <w:p w14:paraId="47512CC8" w14:textId="77777777" w:rsidR="00C13A9E" w:rsidRPr="00D92E20" w:rsidRDefault="00C13A9E" w:rsidP="00C13A9E">
            <w:pPr>
              <w:spacing w:after="0" w:line="240" w:lineRule="auto"/>
              <w:jc w:val="center"/>
              <w:rPr>
                <w:rFonts w:cs="Arial"/>
                <w:sz w:val="16"/>
                <w:szCs w:val="16"/>
              </w:rPr>
            </w:pPr>
            <w:r w:rsidRPr="00D92E20">
              <w:rPr>
                <w:rFonts w:cs="Arial"/>
                <w:sz w:val="16"/>
                <w:szCs w:val="16"/>
              </w:rPr>
              <w:t>4,39</w:t>
            </w:r>
          </w:p>
        </w:tc>
        <w:tc>
          <w:tcPr>
            <w:tcW w:w="907" w:type="dxa"/>
            <w:tcBorders>
              <w:top w:val="nil"/>
              <w:left w:val="nil"/>
              <w:bottom w:val="nil"/>
              <w:right w:val="nil"/>
            </w:tcBorders>
            <w:shd w:val="clear" w:color="auto" w:fill="auto"/>
            <w:noWrap/>
            <w:vAlign w:val="center"/>
            <w:hideMark/>
          </w:tcPr>
          <w:p w14:paraId="102FE26E" w14:textId="77777777" w:rsidR="00C13A9E" w:rsidRPr="00D92E20" w:rsidRDefault="00C13A9E" w:rsidP="00C13A9E">
            <w:pPr>
              <w:spacing w:after="0" w:line="240" w:lineRule="auto"/>
              <w:jc w:val="center"/>
              <w:rPr>
                <w:rFonts w:cs="Arial"/>
                <w:sz w:val="16"/>
                <w:szCs w:val="16"/>
              </w:rPr>
            </w:pPr>
            <w:r w:rsidRPr="00D92E20">
              <w:rPr>
                <w:rFonts w:cs="Arial"/>
                <w:sz w:val="16"/>
                <w:szCs w:val="16"/>
              </w:rPr>
              <w:t>3,47</w:t>
            </w:r>
          </w:p>
        </w:tc>
        <w:tc>
          <w:tcPr>
            <w:tcW w:w="907" w:type="dxa"/>
            <w:tcBorders>
              <w:top w:val="nil"/>
              <w:left w:val="nil"/>
              <w:bottom w:val="nil"/>
              <w:right w:val="nil"/>
            </w:tcBorders>
            <w:shd w:val="clear" w:color="auto" w:fill="auto"/>
            <w:noWrap/>
            <w:vAlign w:val="center"/>
            <w:hideMark/>
          </w:tcPr>
          <w:p w14:paraId="180E4D69" w14:textId="77777777" w:rsidR="00C13A9E" w:rsidRPr="00D92E20" w:rsidRDefault="00C13A9E" w:rsidP="00C13A9E">
            <w:pPr>
              <w:spacing w:after="0" w:line="240" w:lineRule="auto"/>
              <w:jc w:val="center"/>
              <w:rPr>
                <w:rFonts w:cs="Arial"/>
                <w:sz w:val="16"/>
                <w:szCs w:val="16"/>
              </w:rPr>
            </w:pPr>
            <w:r w:rsidRPr="00D92E20">
              <w:rPr>
                <w:rFonts w:cs="Arial"/>
                <w:sz w:val="16"/>
                <w:szCs w:val="16"/>
              </w:rPr>
              <w:t>3,89</w:t>
            </w:r>
          </w:p>
        </w:tc>
      </w:tr>
      <w:tr w:rsidR="00C13A9E" w:rsidRPr="00D92E20" w14:paraId="60D11963"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1467D205"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Lotyšsko</w:t>
            </w:r>
          </w:p>
        </w:tc>
        <w:tc>
          <w:tcPr>
            <w:tcW w:w="907" w:type="dxa"/>
            <w:tcBorders>
              <w:top w:val="nil"/>
              <w:left w:val="nil"/>
              <w:bottom w:val="nil"/>
              <w:right w:val="nil"/>
            </w:tcBorders>
            <w:shd w:val="clear" w:color="auto" w:fill="auto"/>
            <w:noWrap/>
            <w:vAlign w:val="center"/>
            <w:hideMark/>
          </w:tcPr>
          <w:p w14:paraId="6DF0C5AE" w14:textId="77777777" w:rsidR="00C13A9E" w:rsidRPr="00D92E20" w:rsidRDefault="00C13A9E" w:rsidP="00C13A9E">
            <w:pPr>
              <w:spacing w:after="0" w:line="240" w:lineRule="auto"/>
              <w:jc w:val="center"/>
              <w:rPr>
                <w:rFonts w:cs="Arial"/>
                <w:sz w:val="16"/>
                <w:szCs w:val="16"/>
              </w:rPr>
            </w:pPr>
            <w:r w:rsidRPr="00D92E20">
              <w:rPr>
                <w:rFonts w:cs="Arial"/>
                <w:sz w:val="16"/>
                <w:szCs w:val="16"/>
              </w:rPr>
              <w:t>3,54</w:t>
            </w:r>
          </w:p>
        </w:tc>
        <w:tc>
          <w:tcPr>
            <w:tcW w:w="907" w:type="dxa"/>
            <w:tcBorders>
              <w:top w:val="nil"/>
              <w:left w:val="nil"/>
              <w:bottom w:val="nil"/>
              <w:right w:val="nil"/>
            </w:tcBorders>
            <w:shd w:val="clear" w:color="auto" w:fill="auto"/>
            <w:noWrap/>
            <w:vAlign w:val="center"/>
            <w:hideMark/>
          </w:tcPr>
          <w:p w14:paraId="48DCA96F" w14:textId="77777777" w:rsidR="00C13A9E" w:rsidRPr="00D92E20" w:rsidRDefault="00C13A9E" w:rsidP="00C13A9E">
            <w:pPr>
              <w:spacing w:after="0" w:line="240" w:lineRule="auto"/>
              <w:jc w:val="center"/>
              <w:rPr>
                <w:rFonts w:cs="Arial"/>
                <w:sz w:val="16"/>
                <w:szCs w:val="16"/>
              </w:rPr>
            </w:pPr>
            <w:r w:rsidRPr="00D92E20">
              <w:rPr>
                <w:rFonts w:cs="Arial"/>
                <w:sz w:val="16"/>
                <w:szCs w:val="16"/>
              </w:rPr>
              <w:t>6,13</w:t>
            </w:r>
          </w:p>
        </w:tc>
        <w:tc>
          <w:tcPr>
            <w:tcW w:w="907" w:type="dxa"/>
            <w:tcBorders>
              <w:top w:val="nil"/>
              <w:left w:val="nil"/>
              <w:bottom w:val="nil"/>
              <w:right w:val="nil"/>
            </w:tcBorders>
            <w:shd w:val="clear" w:color="auto" w:fill="auto"/>
            <w:noWrap/>
            <w:vAlign w:val="center"/>
            <w:hideMark/>
          </w:tcPr>
          <w:p w14:paraId="545CDFAA" w14:textId="77777777" w:rsidR="00C13A9E" w:rsidRPr="00D92E20" w:rsidRDefault="00C13A9E" w:rsidP="00C13A9E">
            <w:pPr>
              <w:spacing w:after="0" w:line="240" w:lineRule="auto"/>
              <w:jc w:val="center"/>
              <w:rPr>
                <w:rFonts w:cs="Arial"/>
                <w:sz w:val="16"/>
                <w:szCs w:val="16"/>
              </w:rPr>
            </w:pPr>
            <w:r w:rsidRPr="00D92E20">
              <w:rPr>
                <w:rFonts w:cs="Arial"/>
                <w:sz w:val="16"/>
                <w:szCs w:val="16"/>
              </w:rPr>
              <w:t>5,25</w:t>
            </w:r>
          </w:p>
        </w:tc>
        <w:tc>
          <w:tcPr>
            <w:tcW w:w="907" w:type="dxa"/>
            <w:tcBorders>
              <w:top w:val="nil"/>
              <w:left w:val="nil"/>
              <w:bottom w:val="nil"/>
              <w:right w:val="nil"/>
            </w:tcBorders>
            <w:shd w:val="clear" w:color="auto" w:fill="auto"/>
            <w:noWrap/>
            <w:vAlign w:val="center"/>
            <w:hideMark/>
          </w:tcPr>
          <w:p w14:paraId="09FD5C85" w14:textId="77777777" w:rsidR="00C13A9E" w:rsidRPr="00D92E20" w:rsidRDefault="00C13A9E" w:rsidP="00C13A9E">
            <w:pPr>
              <w:spacing w:after="0" w:line="240" w:lineRule="auto"/>
              <w:jc w:val="center"/>
              <w:rPr>
                <w:rFonts w:cs="Arial"/>
                <w:sz w:val="16"/>
                <w:szCs w:val="16"/>
              </w:rPr>
            </w:pPr>
            <w:r w:rsidRPr="00D92E20">
              <w:rPr>
                <w:rFonts w:cs="Arial"/>
                <w:sz w:val="16"/>
                <w:szCs w:val="16"/>
              </w:rPr>
              <w:t>4,46</w:t>
            </w:r>
          </w:p>
        </w:tc>
        <w:tc>
          <w:tcPr>
            <w:tcW w:w="907" w:type="dxa"/>
            <w:tcBorders>
              <w:top w:val="nil"/>
              <w:left w:val="nil"/>
              <w:bottom w:val="nil"/>
              <w:right w:val="nil"/>
            </w:tcBorders>
            <w:shd w:val="clear" w:color="auto" w:fill="auto"/>
            <w:noWrap/>
            <w:vAlign w:val="center"/>
            <w:hideMark/>
          </w:tcPr>
          <w:p w14:paraId="57D31309" w14:textId="77777777" w:rsidR="00C13A9E" w:rsidRPr="00D92E20" w:rsidRDefault="00C13A9E" w:rsidP="00C13A9E">
            <w:pPr>
              <w:spacing w:after="0" w:line="240" w:lineRule="auto"/>
              <w:jc w:val="center"/>
              <w:rPr>
                <w:rFonts w:cs="Arial"/>
                <w:sz w:val="16"/>
                <w:szCs w:val="16"/>
              </w:rPr>
            </w:pPr>
            <w:r w:rsidRPr="00D92E20">
              <w:rPr>
                <w:rFonts w:cs="Arial"/>
                <w:sz w:val="16"/>
                <w:szCs w:val="16"/>
              </w:rPr>
              <w:t>5,96</w:t>
            </w:r>
          </w:p>
        </w:tc>
        <w:tc>
          <w:tcPr>
            <w:tcW w:w="907" w:type="dxa"/>
            <w:tcBorders>
              <w:top w:val="nil"/>
              <w:left w:val="nil"/>
              <w:bottom w:val="nil"/>
              <w:right w:val="nil"/>
            </w:tcBorders>
            <w:shd w:val="clear" w:color="auto" w:fill="auto"/>
            <w:noWrap/>
            <w:vAlign w:val="center"/>
            <w:hideMark/>
          </w:tcPr>
          <w:p w14:paraId="578E2D5D" w14:textId="77777777" w:rsidR="00C13A9E" w:rsidRPr="00D92E20" w:rsidRDefault="00C13A9E" w:rsidP="00C13A9E">
            <w:pPr>
              <w:spacing w:after="0" w:line="240" w:lineRule="auto"/>
              <w:jc w:val="center"/>
              <w:rPr>
                <w:rFonts w:cs="Arial"/>
                <w:sz w:val="16"/>
                <w:szCs w:val="16"/>
              </w:rPr>
            </w:pPr>
            <w:r w:rsidRPr="00D92E20">
              <w:rPr>
                <w:rFonts w:cs="Arial"/>
                <w:sz w:val="16"/>
                <w:szCs w:val="16"/>
              </w:rPr>
              <w:t>4,14</w:t>
            </w:r>
          </w:p>
        </w:tc>
        <w:tc>
          <w:tcPr>
            <w:tcW w:w="907" w:type="dxa"/>
            <w:tcBorders>
              <w:top w:val="nil"/>
              <w:left w:val="nil"/>
              <w:bottom w:val="nil"/>
              <w:right w:val="nil"/>
            </w:tcBorders>
            <w:shd w:val="clear" w:color="auto" w:fill="auto"/>
            <w:noWrap/>
            <w:vAlign w:val="center"/>
            <w:hideMark/>
          </w:tcPr>
          <w:p w14:paraId="046F349C" w14:textId="77777777" w:rsidR="00C13A9E" w:rsidRPr="00D92E20" w:rsidRDefault="00C13A9E" w:rsidP="00C13A9E">
            <w:pPr>
              <w:spacing w:after="0" w:line="240" w:lineRule="auto"/>
              <w:jc w:val="center"/>
              <w:rPr>
                <w:rFonts w:cs="Arial"/>
                <w:sz w:val="16"/>
                <w:szCs w:val="16"/>
              </w:rPr>
            </w:pPr>
            <w:r w:rsidRPr="00D92E20">
              <w:rPr>
                <w:rFonts w:cs="Arial"/>
                <w:sz w:val="16"/>
                <w:szCs w:val="16"/>
              </w:rPr>
              <w:t>5,45</w:t>
            </w:r>
          </w:p>
        </w:tc>
        <w:tc>
          <w:tcPr>
            <w:tcW w:w="907" w:type="dxa"/>
            <w:tcBorders>
              <w:top w:val="nil"/>
              <w:left w:val="nil"/>
              <w:bottom w:val="nil"/>
              <w:right w:val="nil"/>
            </w:tcBorders>
            <w:shd w:val="clear" w:color="auto" w:fill="auto"/>
            <w:noWrap/>
            <w:vAlign w:val="center"/>
            <w:hideMark/>
          </w:tcPr>
          <w:p w14:paraId="394206C2" w14:textId="77777777" w:rsidR="00C13A9E" w:rsidRPr="00D92E20" w:rsidRDefault="00C13A9E" w:rsidP="00C13A9E">
            <w:pPr>
              <w:spacing w:after="0" w:line="240" w:lineRule="auto"/>
              <w:jc w:val="center"/>
              <w:rPr>
                <w:rFonts w:cs="Arial"/>
                <w:sz w:val="16"/>
                <w:szCs w:val="16"/>
              </w:rPr>
            </w:pPr>
            <w:r w:rsidRPr="00D92E20">
              <w:rPr>
                <w:rFonts w:cs="Arial"/>
                <w:sz w:val="16"/>
                <w:szCs w:val="16"/>
              </w:rPr>
              <w:t>2,79</w:t>
            </w:r>
          </w:p>
        </w:tc>
        <w:tc>
          <w:tcPr>
            <w:tcW w:w="907" w:type="dxa"/>
            <w:tcBorders>
              <w:top w:val="nil"/>
              <w:left w:val="nil"/>
              <w:bottom w:val="nil"/>
              <w:right w:val="nil"/>
            </w:tcBorders>
            <w:shd w:val="clear" w:color="auto" w:fill="auto"/>
            <w:noWrap/>
            <w:vAlign w:val="center"/>
            <w:hideMark/>
          </w:tcPr>
          <w:p w14:paraId="350A2242" w14:textId="77777777" w:rsidR="00C13A9E" w:rsidRPr="00D92E20" w:rsidRDefault="00C13A9E" w:rsidP="00C13A9E">
            <w:pPr>
              <w:spacing w:after="0" w:line="240" w:lineRule="auto"/>
              <w:jc w:val="center"/>
              <w:rPr>
                <w:rFonts w:cs="Arial"/>
                <w:sz w:val="16"/>
                <w:szCs w:val="16"/>
              </w:rPr>
            </w:pPr>
            <w:r w:rsidRPr="00D92E20">
              <w:rPr>
                <w:rFonts w:cs="Arial"/>
                <w:sz w:val="16"/>
                <w:szCs w:val="16"/>
              </w:rPr>
              <w:t>4,69</w:t>
            </w:r>
          </w:p>
        </w:tc>
      </w:tr>
      <w:tr w:rsidR="00C13A9E" w:rsidRPr="00D92E20" w14:paraId="6479A35E"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50C7DBE2"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Lucembursko</w:t>
            </w:r>
          </w:p>
        </w:tc>
        <w:tc>
          <w:tcPr>
            <w:tcW w:w="907" w:type="dxa"/>
            <w:tcBorders>
              <w:top w:val="nil"/>
              <w:left w:val="nil"/>
              <w:bottom w:val="nil"/>
              <w:right w:val="nil"/>
            </w:tcBorders>
            <w:shd w:val="clear" w:color="auto" w:fill="auto"/>
            <w:noWrap/>
            <w:vAlign w:val="center"/>
            <w:hideMark/>
          </w:tcPr>
          <w:p w14:paraId="1E4B3CAE" w14:textId="77777777" w:rsidR="00C13A9E" w:rsidRPr="00D92E20" w:rsidRDefault="00C13A9E" w:rsidP="00C13A9E">
            <w:pPr>
              <w:spacing w:after="0" w:line="240" w:lineRule="auto"/>
              <w:jc w:val="center"/>
              <w:rPr>
                <w:rFonts w:cs="Arial"/>
                <w:sz w:val="16"/>
                <w:szCs w:val="16"/>
              </w:rPr>
            </w:pPr>
            <w:r w:rsidRPr="00D92E20">
              <w:rPr>
                <w:rFonts w:cs="Arial"/>
                <w:sz w:val="16"/>
                <w:szCs w:val="16"/>
              </w:rPr>
              <w:t>5,36</w:t>
            </w:r>
          </w:p>
        </w:tc>
        <w:tc>
          <w:tcPr>
            <w:tcW w:w="907" w:type="dxa"/>
            <w:tcBorders>
              <w:top w:val="nil"/>
              <w:left w:val="nil"/>
              <w:bottom w:val="nil"/>
              <w:right w:val="nil"/>
            </w:tcBorders>
            <w:shd w:val="clear" w:color="auto" w:fill="auto"/>
            <w:noWrap/>
            <w:vAlign w:val="center"/>
            <w:hideMark/>
          </w:tcPr>
          <w:p w14:paraId="47638EF1" w14:textId="77777777" w:rsidR="00C13A9E" w:rsidRPr="00D92E20" w:rsidRDefault="00C13A9E" w:rsidP="00C13A9E">
            <w:pPr>
              <w:spacing w:after="0" w:line="240" w:lineRule="auto"/>
              <w:jc w:val="center"/>
              <w:rPr>
                <w:rFonts w:cs="Arial"/>
                <w:sz w:val="16"/>
                <w:szCs w:val="16"/>
              </w:rPr>
            </w:pPr>
            <w:r w:rsidRPr="00D92E20">
              <w:rPr>
                <w:rFonts w:cs="Arial"/>
                <w:sz w:val="16"/>
                <w:szCs w:val="16"/>
              </w:rPr>
              <w:t>3,63</w:t>
            </w:r>
          </w:p>
        </w:tc>
        <w:tc>
          <w:tcPr>
            <w:tcW w:w="907" w:type="dxa"/>
            <w:tcBorders>
              <w:top w:val="nil"/>
              <w:left w:val="nil"/>
              <w:bottom w:val="nil"/>
              <w:right w:val="nil"/>
            </w:tcBorders>
            <w:shd w:val="clear" w:color="auto" w:fill="auto"/>
            <w:noWrap/>
            <w:vAlign w:val="center"/>
            <w:hideMark/>
          </w:tcPr>
          <w:p w14:paraId="516F8213" w14:textId="77777777" w:rsidR="00C13A9E" w:rsidRPr="00D92E20" w:rsidRDefault="00C13A9E" w:rsidP="00C13A9E">
            <w:pPr>
              <w:spacing w:after="0" w:line="240" w:lineRule="auto"/>
              <w:jc w:val="center"/>
              <w:rPr>
                <w:rFonts w:cs="Arial"/>
                <w:sz w:val="16"/>
                <w:szCs w:val="16"/>
              </w:rPr>
            </w:pPr>
            <w:r w:rsidRPr="00D92E20">
              <w:rPr>
                <w:rFonts w:cs="Arial"/>
                <w:sz w:val="16"/>
                <w:szCs w:val="16"/>
              </w:rPr>
              <w:t>5,16</w:t>
            </w:r>
          </w:p>
        </w:tc>
        <w:tc>
          <w:tcPr>
            <w:tcW w:w="907" w:type="dxa"/>
            <w:tcBorders>
              <w:top w:val="nil"/>
              <w:left w:val="nil"/>
              <w:bottom w:val="nil"/>
              <w:right w:val="nil"/>
            </w:tcBorders>
            <w:shd w:val="clear" w:color="auto" w:fill="auto"/>
            <w:noWrap/>
            <w:vAlign w:val="center"/>
            <w:hideMark/>
          </w:tcPr>
          <w:p w14:paraId="3DDDFA87" w14:textId="77777777" w:rsidR="00C13A9E" w:rsidRPr="00D92E20" w:rsidRDefault="00C13A9E" w:rsidP="00C13A9E">
            <w:pPr>
              <w:spacing w:after="0" w:line="240" w:lineRule="auto"/>
              <w:jc w:val="center"/>
              <w:rPr>
                <w:rFonts w:cs="Arial"/>
                <w:sz w:val="16"/>
                <w:szCs w:val="16"/>
              </w:rPr>
            </w:pPr>
            <w:r w:rsidRPr="00D92E20">
              <w:rPr>
                <w:rFonts w:cs="Arial"/>
                <w:sz w:val="16"/>
                <w:szCs w:val="16"/>
              </w:rPr>
              <w:t>1,63</w:t>
            </w:r>
          </w:p>
        </w:tc>
        <w:tc>
          <w:tcPr>
            <w:tcW w:w="907" w:type="dxa"/>
            <w:tcBorders>
              <w:top w:val="nil"/>
              <w:left w:val="nil"/>
              <w:bottom w:val="nil"/>
              <w:right w:val="nil"/>
            </w:tcBorders>
            <w:shd w:val="clear" w:color="auto" w:fill="auto"/>
            <w:noWrap/>
            <w:vAlign w:val="center"/>
            <w:hideMark/>
          </w:tcPr>
          <w:p w14:paraId="07E0EEE7" w14:textId="77777777" w:rsidR="00C13A9E" w:rsidRPr="00D92E20" w:rsidRDefault="00C13A9E" w:rsidP="00C13A9E">
            <w:pPr>
              <w:spacing w:after="0" w:line="240" w:lineRule="auto"/>
              <w:jc w:val="center"/>
              <w:rPr>
                <w:rFonts w:cs="Arial"/>
                <w:sz w:val="16"/>
                <w:szCs w:val="16"/>
              </w:rPr>
            </w:pPr>
            <w:r w:rsidRPr="00D92E20">
              <w:rPr>
                <w:rFonts w:cs="Arial"/>
                <w:sz w:val="16"/>
                <w:szCs w:val="16"/>
              </w:rPr>
              <w:t>3,71</w:t>
            </w:r>
          </w:p>
        </w:tc>
        <w:tc>
          <w:tcPr>
            <w:tcW w:w="907" w:type="dxa"/>
            <w:tcBorders>
              <w:top w:val="nil"/>
              <w:left w:val="nil"/>
              <w:bottom w:val="nil"/>
              <w:right w:val="nil"/>
            </w:tcBorders>
            <w:shd w:val="clear" w:color="auto" w:fill="auto"/>
            <w:noWrap/>
            <w:vAlign w:val="center"/>
            <w:hideMark/>
          </w:tcPr>
          <w:p w14:paraId="5B39CFEF" w14:textId="77777777" w:rsidR="00C13A9E" w:rsidRPr="00D92E20" w:rsidRDefault="00C13A9E" w:rsidP="00C13A9E">
            <w:pPr>
              <w:spacing w:after="0" w:line="240" w:lineRule="auto"/>
              <w:jc w:val="center"/>
              <w:rPr>
                <w:rFonts w:cs="Arial"/>
                <w:sz w:val="16"/>
                <w:szCs w:val="16"/>
              </w:rPr>
            </w:pPr>
            <w:r w:rsidRPr="00D92E20">
              <w:rPr>
                <w:rFonts w:cs="Arial"/>
                <w:sz w:val="16"/>
                <w:szCs w:val="16"/>
              </w:rPr>
              <w:t>4,39</w:t>
            </w:r>
          </w:p>
        </w:tc>
        <w:tc>
          <w:tcPr>
            <w:tcW w:w="907" w:type="dxa"/>
            <w:tcBorders>
              <w:top w:val="nil"/>
              <w:left w:val="nil"/>
              <w:bottom w:val="nil"/>
              <w:right w:val="nil"/>
            </w:tcBorders>
            <w:shd w:val="clear" w:color="auto" w:fill="auto"/>
            <w:noWrap/>
            <w:vAlign w:val="center"/>
            <w:hideMark/>
          </w:tcPr>
          <w:p w14:paraId="53EAF09F" w14:textId="77777777" w:rsidR="00C13A9E" w:rsidRPr="00D92E20" w:rsidRDefault="00C13A9E" w:rsidP="00C13A9E">
            <w:pPr>
              <w:spacing w:after="0" w:line="240" w:lineRule="auto"/>
              <w:jc w:val="center"/>
              <w:rPr>
                <w:rFonts w:cs="Arial"/>
                <w:sz w:val="16"/>
                <w:szCs w:val="16"/>
              </w:rPr>
            </w:pPr>
            <w:r w:rsidRPr="00D92E20">
              <w:rPr>
                <w:rFonts w:cs="Arial"/>
                <w:sz w:val="16"/>
                <w:szCs w:val="16"/>
              </w:rPr>
              <w:t>10,80</w:t>
            </w:r>
          </w:p>
        </w:tc>
        <w:tc>
          <w:tcPr>
            <w:tcW w:w="907" w:type="dxa"/>
            <w:tcBorders>
              <w:top w:val="nil"/>
              <w:left w:val="nil"/>
              <w:bottom w:val="nil"/>
              <w:right w:val="nil"/>
            </w:tcBorders>
            <w:shd w:val="clear" w:color="auto" w:fill="auto"/>
            <w:noWrap/>
            <w:vAlign w:val="center"/>
            <w:hideMark/>
          </w:tcPr>
          <w:p w14:paraId="771DD3B5" w14:textId="77777777" w:rsidR="00C13A9E" w:rsidRPr="00D92E20" w:rsidRDefault="00C13A9E" w:rsidP="00C13A9E">
            <w:pPr>
              <w:spacing w:after="0" w:line="240" w:lineRule="auto"/>
              <w:jc w:val="center"/>
              <w:rPr>
                <w:rFonts w:cs="Arial"/>
                <w:sz w:val="16"/>
                <w:szCs w:val="16"/>
              </w:rPr>
            </w:pPr>
            <w:r w:rsidRPr="00D92E20">
              <w:rPr>
                <w:rFonts w:cs="Arial"/>
                <w:sz w:val="16"/>
                <w:szCs w:val="16"/>
              </w:rPr>
              <w:t>2,59</w:t>
            </w:r>
          </w:p>
        </w:tc>
        <w:tc>
          <w:tcPr>
            <w:tcW w:w="907" w:type="dxa"/>
            <w:tcBorders>
              <w:top w:val="nil"/>
              <w:left w:val="nil"/>
              <w:bottom w:val="nil"/>
              <w:right w:val="nil"/>
            </w:tcBorders>
            <w:shd w:val="clear" w:color="auto" w:fill="auto"/>
            <w:noWrap/>
            <w:vAlign w:val="center"/>
            <w:hideMark/>
          </w:tcPr>
          <w:p w14:paraId="4E4FBFB0" w14:textId="77777777" w:rsidR="00C13A9E" w:rsidRPr="00D92E20" w:rsidRDefault="00C13A9E" w:rsidP="00C13A9E">
            <w:pPr>
              <w:spacing w:after="0" w:line="240" w:lineRule="auto"/>
              <w:jc w:val="center"/>
              <w:rPr>
                <w:rFonts w:cs="Arial"/>
                <w:sz w:val="16"/>
                <w:szCs w:val="16"/>
              </w:rPr>
            </w:pPr>
            <w:r w:rsidRPr="00D92E20">
              <w:rPr>
                <w:rFonts w:cs="Arial"/>
                <w:sz w:val="16"/>
                <w:szCs w:val="16"/>
              </w:rPr>
              <w:t>6,42</w:t>
            </w:r>
          </w:p>
        </w:tc>
      </w:tr>
      <w:tr w:rsidR="00C13A9E" w:rsidRPr="00D92E20" w14:paraId="1EF41844"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297D4496"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Maďarsko</w:t>
            </w:r>
          </w:p>
        </w:tc>
        <w:tc>
          <w:tcPr>
            <w:tcW w:w="907" w:type="dxa"/>
            <w:tcBorders>
              <w:top w:val="nil"/>
              <w:left w:val="nil"/>
              <w:bottom w:val="nil"/>
              <w:right w:val="nil"/>
            </w:tcBorders>
            <w:shd w:val="clear" w:color="auto" w:fill="auto"/>
            <w:noWrap/>
            <w:vAlign w:val="center"/>
            <w:hideMark/>
          </w:tcPr>
          <w:p w14:paraId="45BCF680" w14:textId="77777777" w:rsidR="00C13A9E" w:rsidRPr="00D92E20" w:rsidRDefault="00C13A9E" w:rsidP="00C13A9E">
            <w:pPr>
              <w:spacing w:after="0" w:line="240" w:lineRule="auto"/>
              <w:jc w:val="center"/>
              <w:rPr>
                <w:rFonts w:cs="Arial"/>
                <w:sz w:val="16"/>
                <w:szCs w:val="16"/>
              </w:rPr>
            </w:pPr>
            <w:r w:rsidRPr="00D92E20">
              <w:rPr>
                <w:rFonts w:cs="Arial"/>
                <w:sz w:val="16"/>
                <w:szCs w:val="16"/>
              </w:rPr>
              <w:t>3,25</w:t>
            </w:r>
          </w:p>
        </w:tc>
        <w:tc>
          <w:tcPr>
            <w:tcW w:w="907" w:type="dxa"/>
            <w:tcBorders>
              <w:top w:val="nil"/>
              <w:left w:val="nil"/>
              <w:bottom w:val="nil"/>
              <w:right w:val="nil"/>
            </w:tcBorders>
            <w:shd w:val="clear" w:color="auto" w:fill="auto"/>
            <w:noWrap/>
            <w:vAlign w:val="center"/>
            <w:hideMark/>
          </w:tcPr>
          <w:p w14:paraId="7D495554" w14:textId="77777777" w:rsidR="00C13A9E" w:rsidRPr="00D92E20" w:rsidRDefault="00C13A9E" w:rsidP="00C13A9E">
            <w:pPr>
              <w:spacing w:after="0" w:line="240" w:lineRule="auto"/>
              <w:jc w:val="center"/>
              <w:rPr>
                <w:rFonts w:cs="Arial"/>
                <w:sz w:val="16"/>
                <w:szCs w:val="16"/>
              </w:rPr>
            </w:pPr>
            <w:r w:rsidRPr="00D92E20">
              <w:rPr>
                <w:rFonts w:cs="Arial"/>
                <w:sz w:val="16"/>
                <w:szCs w:val="16"/>
              </w:rPr>
              <w:t>3,63</w:t>
            </w:r>
          </w:p>
        </w:tc>
        <w:tc>
          <w:tcPr>
            <w:tcW w:w="907" w:type="dxa"/>
            <w:tcBorders>
              <w:top w:val="nil"/>
              <w:left w:val="nil"/>
              <w:bottom w:val="nil"/>
              <w:right w:val="nil"/>
            </w:tcBorders>
            <w:shd w:val="clear" w:color="auto" w:fill="auto"/>
            <w:noWrap/>
            <w:vAlign w:val="center"/>
            <w:hideMark/>
          </w:tcPr>
          <w:p w14:paraId="015B66A3" w14:textId="77777777" w:rsidR="00C13A9E" w:rsidRPr="00D92E20" w:rsidRDefault="00C13A9E" w:rsidP="00C13A9E">
            <w:pPr>
              <w:spacing w:after="0" w:line="240" w:lineRule="auto"/>
              <w:jc w:val="center"/>
              <w:rPr>
                <w:rFonts w:cs="Arial"/>
                <w:sz w:val="16"/>
                <w:szCs w:val="16"/>
              </w:rPr>
            </w:pPr>
            <w:r w:rsidRPr="00D92E20">
              <w:rPr>
                <w:rFonts w:cs="Arial"/>
                <w:sz w:val="16"/>
                <w:szCs w:val="16"/>
              </w:rPr>
              <w:t>2,03</w:t>
            </w:r>
          </w:p>
        </w:tc>
        <w:tc>
          <w:tcPr>
            <w:tcW w:w="907" w:type="dxa"/>
            <w:tcBorders>
              <w:top w:val="nil"/>
              <w:left w:val="nil"/>
              <w:bottom w:val="nil"/>
              <w:right w:val="nil"/>
            </w:tcBorders>
            <w:shd w:val="clear" w:color="auto" w:fill="auto"/>
            <w:noWrap/>
            <w:vAlign w:val="center"/>
            <w:hideMark/>
          </w:tcPr>
          <w:p w14:paraId="2A7D3D14" w14:textId="77777777" w:rsidR="00C13A9E" w:rsidRPr="00D92E20" w:rsidRDefault="00C13A9E" w:rsidP="00C13A9E">
            <w:pPr>
              <w:spacing w:after="0" w:line="240" w:lineRule="auto"/>
              <w:jc w:val="center"/>
              <w:rPr>
                <w:rFonts w:cs="Arial"/>
                <w:sz w:val="16"/>
                <w:szCs w:val="16"/>
              </w:rPr>
            </w:pPr>
            <w:r w:rsidRPr="00D92E20">
              <w:rPr>
                <w:rFonts w:cs="Arial"/>
                <w:sz w:val="16"/>
                <w:szCs w:val="16"/>
              </w:rPr>
              <w:t>1,75</w:t>
            </w:r>
          </w:p>
        </w:tc>
        <w:tc>
          <w:tcPr>
            <w:tcW w:w="907" w:type="dxa"/>
            <w:tcBorders>
              <w:top w:val="nil"/>
              <w:left w:val="nil"/>
              <w:bottom w:val="nil"/>
              <w:right w:val="nil"/>
            </w:tcBorders>
            <w:shd w:val="clear" w:color="auto" w:fill="auto"/>
            <w:noWrap/>
            <w:vAlign w:val="center"/>
            <w:hideMark/>
          </w:tcPr>
          <w:p w14:paraId="219CF525" w14:textId="77777777" w:rsidR="00C13A9E" w:rsidRPr="00D92E20" w:rsidRDefault="00C13A9E" w:rsidP="00C13A9E">
            <w:pPr>
              <w:spacing w:after="0" w:line="240" w:lineRule="auto"/>
              <w:jc w:val="center"/>
              <w:rPr>
                <w:rFonts w:cs="Arial"/>
                <w:sz w:val="16"/>
                <w:szCs w:val="16"/>
              </w:rPr>
            </w:pPr>
            <w:r w:rsidRPr="00D92E20">
              <w:rPr>
                <w:rFonts w:cs="Arial"/>
                <w:sz w:val="16"/>
                <w:szCs w:val="16"/>
              </w:rPr>
              <w:t>2,86</w:t>
            </w:r>
          </w:p>
        </w:tc>
        <w:tc>
          <w:tcPr>
            <w:tcW w:w="907" w:type="dxa"/>
            <w:tcBorders>
              <w:top w:val="nil"/>
              <w:left w:val="nil"/>
              <w:bottom w:val="nil"/>
              <w:right w:val="nil"/>
            </w:tcBorders>
            <w:shd w:val="clear" w:color="auto" w:fill="auto"/>
            <w:noWrap/>
            <w:vAlign w:val="center"/>
            <w:hideMark/>
          </w:tcPr>
          <w:p w14:paraId="1D75595C" w14:textId="77777777" w:rsidR="00C13A9E" w:rsidRPr="00D92E20" w:rsidRDefault="00C13A9E" w:rsidP="00C13A9E">
            <w:pPr>
              <w:spacing w:after="0" w:line="240" w:lineRule="auto"/>
              <w:jc w:val="center"/>
              <w:rPr>
                <w:rFonts w:cs="Arial"/>
                <w:sz w:val="16"/>
                <w:szCs w:val="16"/>
              </w:rPr>
            </w:pPr>
            <w:r w:rsidRPr="00D92E20">
              <w:rPr>
                <w:rFonts w:cs="Arial"/>
                <w:sz w:val="16"/>
                <w:szCs w:val="16"/>
              </w:rPr>
              <w:t>2,90</w:t>
            </w:r>
          </w:p>
        </w:tc>
        <w:tc>
          <w:tcPr>
            <w:tcW w:w="907" w:type="dxa"/>
            <w:tcBorders>
              <w:top w:val="nil"/>
              <w:left w:val="nil"/>
              <w:bottom w:val="nil"/>
              <w:right w:val="nil"/>
            </w:tcBorders>
            <w:shd w:val="clear" w:color="auto" w:fill="auto"/>
            <w:noWrap/>
            <w:vAlign w:val="center"/>
            <w:hideMark/>
          </w:tcPr>
          <w:p w14:paraId="39F1D023" w14:textId="77777777" w:rsidR="00C13A9E" w:rsidRPr="00D92E20" w:rsidRDefault="00C13A9E" w:rsidP="00C13A9E">
            <w:pPr>
              <w:spacing w:after="0" w:line="240" w:lineRule="auto"/>
              <w:jc w:val="center"/>
              <w:rPr>
                <w:rFonts w:cs="Arial"/>
                <w:sz w:val="16"/>
                <w:szCs w:val="16"/>
              </w:rPr>
            </w:pPr>
            <w:r w:rsidRPr="00D92E20">
              <w:rPr>
                <w:rFonts w:cs="Arial"/>
                <w:sz w:val="16"/>
                <w:szCs w:val="16"/>
              </w:rPr>
              <w:t>2,75</w:t>
            </w:r>
          </w:p>
        </w:tc>
        <w:tc>
          <w:tcPr>
            <w:tcW w:w="907" w:type="dxa"/>
            <w:tcBorders>
              <w:top w:val="nil"/>
              <w:left w:val="nil"/>
              <w:bottom w:val="nil"/>
              <w:right w:val="nil"/>
            </w:tcBorders>
            <w:shd w:val="clear" w:color="auto" w:fill="auto"/>
            <w:noWrap/>
            <w:vAlign w:val="center"/>
            <w:hideMark/>
          </w:tcPr>
          <w:p w14:paraId="0CCAA945" w14:textId="77777777" w:rsidR="00C13A9E" w:rsidRPr="00D92E20" w:rsidRDefault="00C13A9E" w:rsidP="00C13A9E">
            <w:pPr>
              <w:spacing w:after="0" w:line="240" w:lineRule="auto"/>
              <w:jc w:val="center"/>
              <w:rPr>
                <w:rFonts w:cs="Arial"/>
                <w:sz w:val="16"/>
                <w:szCs w:val="16"/>
              </w:rPr>
            </w:pPr>
            <w:r w:rsidRPr="00D92E20">
              <w:rPr>
                <w:rFonts w:cs="Arial"/>
                <w:sz w:val="16"/>
                <w:szCs w:val="16"/>
              </w:rPr>
              <w:t>2,63</w:t>
            </w:r>
          </w:p>
        </w:tc>
        <w:tc>
          <w:tcPr>
            <w:tcW w:w="907" w:type="dxa"/>
            <w:tcBorders>
              <w:top w:val="nil"/>
              <w:left w:val="nil"/>
              <w:bottom w:val="nil"/>
              <w:right w:val="nil"/>
            </w:tcBorders>
            <w:shd w:val="clear" w:color="auto" w:fill="auto"/>
            <w:noWrap/>
            <w:vAlign w:val="center"/>
            <w:hideMark/>
          </w:tcPr>
          <w:p w14:paraId="55CC7011" w14:textId="77777777" w:rsidR="00C13A9E" w:rsidRPr="00D92E20" w:rsidRDefault="00C13A9E" w:rsidP="00C13A9E">
            <w:pPr>
              <w:spacing w:after="0" w:line="240" w:lineRule="auto"/>
              <w:jc w:val="center"/>
              <w:rPr>
                <w:rFonts w:cs="Arial"/>
                <w:sz w:val="16"/>
                <w:szCs w:val="16"/>
              </w:rPr>
            </w:pPr>
            <w:r w:rsidRPr="00D92E20">
              <w:rPr>
                <w:rFonts w:cs="Arial"/>
                <w:sz w:val="16"/>
                <w:szCs w:val="16"/>
              </w:rPr>
              <w:t>2,39</w:t>
            </w:r>
          </w:p>
        </w:tc>
      </w:tr>
      <w:tr w:rsidR="00C13A9E" w:rsidRPr="00D92E20" w14:paraId="1DC31573"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1553A540"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Malta</w:t>
            </w:r>
          </w:p>
        </w:tc>
        <w:tc>
          <w:tcPr>
            <w:tcW w:w="907" w:type="dxa"/>
            <w:tcBorders>
              <w:top w:val="nil"/>
              <w:left w:val="nil"/>
              <w:bottom w:val="nil"/>
              <w:right w:val="nil"/>
            </w:tcBorders>
            <w:shd w:val="clear" w:color="auto" w:fill="auto"/>
            <w:noWrap/>
            <w:vAlign w:val="center"/>
            <w:hideMark/>
          </w:tcPr>
          <w:p w14:paraId="44F732BC" w14:textId="77777777" w:rsidR="00C13A9E" w:rsidRPr="00D92E20" w:rsidRDefault="00C13A9E" w:rsidP="00C13A9E">
            <w:pPr>
              <w:spacing w:after="0" w:line="240" w:lineRule="auto"/>
              <w:jc w:val="center"/>
              <w:rPr>
                <w:rFonts w:cs="Arial"/>
                <w:sz w:val="16"/>
                <w:szCs w:val="16"/>
              </w:rPr>
            </w:pPr>
            <w:r w:rsidRPr="00D92E20">
              <w:rPr>
                <w:rFonts w:cs="Arial"/>
                <w:sz w:val="16"/>
                <w:szCs w:val="16"/>
              </w:rPr>
              <w:t>2,23</w:t>
            </w:r>
          </w:p>
        </w:tc>
        <w:tc>
          <w:tcPr>
            <w:tcW w:w="907" w:type="dxa"/>
            <w:tcBorders>
              <w:top w:val="nil"/>
              <w:left w:val="nil"/>
              <w:bottom w:val="nil"/>
              <w:right w:val="nil"/>
            </w:tcBorders>
            <w:shd w:val="clear" w:color="auto" w:fill="auto"/>
            <w:noWrap/>
            <w:vAlign w:val="center"/>
            <w:hideMark/>
          </w:tcPr>
          <w:p w14:paraId="5A622FC3" w14:textId="77777777" w:rsidR="00C13A9E" w:rsidRPr="00D92E20" w:rsidRDefault="00C13A9E" w:rsidP="00C13A9E">
            <w:pPr>
              <w:spacing w:after="0" w:line="240" w:lineRule="auto"/>
              <w:jc w:val="center"/>
              <w:rPr>
                <w:rFonts w:cs="Arial"/>
                <w:sz w:val="16"/>
                <w:szCs w:val="16"/>
              </w:rPr>
            </w:pPr>
            <w:r w:rsidRPr="00D92E20">
              <w:rPr>
                <w:rFonts w:cs="Arial"/>
                <w:sz w:val="16"/>
                <w:szCs w:val="16"/>
              </w:rPr>
              <w:t>0,82</w:t>
            </w:r>
          </w:p>
        </w:tc>
        <w:tc>
          <w:tcPr>
            <w:tcW w:w="907" w:type="dxa"/>
            <w:tcBorders>
              <w:top w:val="nil"/>
              <w:left w:val="nil"/>
              <w:bottom w:val="nil"/>
              <w:right w:val="nil"/>
            </w:tcBorders>
            <w:shd w:val="clear" w:color="auto" w:fill="auto"/>
            <w:noWrap/>
            <w:vAlign w:val="center"/>
            <w:hideMark/>
          </w:tcPr>
          <w:p w14:paraId="03CF210A" w14:textId="77777777" w:rsidR="00C13A9E" w:rsidRPr="00D92E20" w:rsidRDefault="00C13A9E" w:rsidP="00C13A9E">
            <w:pPr>
              <w:spacing w:after="0" w:line="240" w:lineRule="auto"/>
              <w:jc w:val="center"/>
              <w:rPr>
                <w:rFonts w:cs="Arial"/>
                <w:sz w:val="16"/>
                <w:szCs w:val="16"/>
              </w:rPr>
            </w:pPr>
            <w:r w:rsidRPr="00D92E20">
              <w:rPr>
                <w:rFonts w:cs="Arial"/>
                <w:sz w:val="16"/>
                <w:szCs w:val="16"/>
              </w:rPr>
              <w:t>7,60</w:t>
            </w:r>
          </w:p>
        </w:tc>
        <w:tc>
          <w:tcPr>
            <w:tcW w:w="907" w:type="dxa"/>
            <w:tcBorders>
              <w:top w:val="nil"/>
              <w:left w:val="nil"/>
              <w:bottom w:val="nil"/>
              <w:right w:val="nil"/>
            </w:tcBorders>
            <w:shd w:val="clear" w:color="auto" w:fill="auto"/>
            <w:noWrap/>
            <w:vAlign w:val="center"/>
            <w:hideMark/>
          </w:tcPr>
          <w:p w14:paraId="3C331DE7" w14:textId="77777777" w:rsidR="00C13A9E" w:rsidRPr="00D92E20" w:rsidRDefault="00C13A9E" w:rsidP="00C13A9E">
            <w:pPr>
              <w:spacing w:after="0" w:line="240" w:lineRule="auto"/>
              <w:jc w:val="center"/>
              <w:rPr>
                <w:rFonts w:cs="Arial"/>
                <w:sz w:val="16"/>
                <w:szCs w:val="16"/>
              </w:rPr>
            </w:pPr>
            <w:r w:rsidRPr="00D92E20">
              <w:rPr>
                <w:rFonts w:cs="Arial"/>
                <w:sz w:val="16"/>
                <w:szCs w:val="16"/>
              </w:rPr>
              <w:t>4,74</w:t>
            </w:r>
          </w:p>
        </w:tc>
        <w:tc>
          <w:tcPr>
            <w:tcW w:w="907" w:type="dxa"/>
            <w:tcBorders>
              <w:top w:val="nil"/>
              <w:left w:val="nil"/>
              <w:bottom w:val="nil"/>
              <w:right w:val="nil"/>
            </w:tcBorders>
            <w:shd w:val="clear" w:color="auto" w:fill="auto"/>
            <w:noWrap/>
            <w:vAlign w:val="center"/>
            <w:hideMark/>
          </w:tcPr>
          <w:p w14:paraId="100EF346" w14:textId="77777777" w:rsidR="00C13A9E" w:rsidRPr="00D92E20" w:rsidRDefault="00C13A9E" w:rsidP="00C13A9E">
            <w:pPr>
              <w:spacing w:after="0" w:line="240" w:lineRule="auto"/>
              <w:jc w:val="center"/>
              <w:rPr>
                <w:rFonts w:cs="Arial"/>
                <w:sz w:val="16"/>
                <w:szCs w:val="16"/>
              </w:rPr>
            </w:pPr>
            <w:r w:rsidRPr="00D92E20">
              <w:rPr>
                <w:rFonts w:cs="Arial"/>
                <w:sz w:val="16"/>
                <w:szCs w:val="16"/>
              </w:rPr>
              <w:t>4,63</w:t>
            </w:r>
          </w:p>
        </w:tc>
        <w:tc>
          <w:tcPr>
            <w:tcW w:w="907" w:type="dxa"/>
            <w:tcBorders>
              <w:top w:val="nil"/>
              <w:left w:val="nil"/>
              <w:bottom w:val="nil"/>
              <w:right w:val="nil"/>
            </w:tcBorders>
            <w:shd w:val="clear" w:color="auto" w:fill="auto"/>
            <w:noWrap/>
            <w:vAlign w:val="center"/>
            <w:hideMark/>
          </w:tcPr>
          <w:p w14:paraId="28977B6E" w14:textId="77777777" w:rsidR="00C13A9E" w:rsidRPr="00D92E20" w:rsidRDefault="00C13A9E" w:rsidP="00C13A9E">
            <w:pPr>
              <w:spacing w:after="0" w:line="240" w:lineRule="auto"/>
              <w:jc w:val="center"/>
              <w:rPr>
                <w:rFonts w:cs="Arial"/>
                <w:sz w:val="16"/>
                <w:szCs w:val="16"/>
              </w:rPr>
            </w:pPr>
            <w:r w:rsidRPr="00D92E20">
              <w:rPr>
                <w:rFonts w:cs="Arial"/>
                <w:sz w:val="16"/>
                <w:szCs w:val="16"/>
              </w:rPr>
              <w:t>3,48</w:t>
            </w:r>
          </w:p>
        </w:tc>
        <w:tc>
          <w:tcPr>
            <w:tcW w:w="907" w:type="dxa"/>
            <w:tcBorders>
              <w:top w:val="nil"/>
              <w:left w:val="nil"/>
              <w:bottom w:val="nil"/>
              <w:right w:val="nil"/>
            </w:tcBorders>
            <w:shd w:val="clear" w:color="auto" w:fill="auto"/>
            <w:noWrap/>
            <w:vAlign w:val="center"/>
            <w:hideMark/>
          </w:tcPr>
          <w:p w14:paraId="5666EAE0" w14:textId="77777777" w:rsidR="00C13A9E" w:rsidRPr="00D92E20" w:rsidRDefault="00C13A9E" w:rsidP="00C13A9E">
            <w:pPr>
              <w:spacing w:after="0" w:line="240" w:lineRule="auto"/>
              <w:jc w:val="center"/>
              <w:rPr>
                <w:rFonts w:cs="Arial"/>
                <w:sz w:val="16"/>
                <w:szCs w:val="16"/>
              </w:rPr>
            </w:pPr>
            <w:r w:rsidRPr="00D92E20">
              <w:rPr>
                <w:rFonts w:cs="Arial"/>
                <w:sz w:val="16"/>
                <w:szCs w:val="16"/>
              </w:rPr>
              <w:t>3,95</w:t>
            </w:r>
          </w:p>
        </w:tc>
        <w:tc>
          <w:tcPr>
            <w:tcW w:w="907" w:type="dxa"/>
            <w:tcBorders>
              <w:top w:val="nil"/>
              <w:left w:val="nil"/>
              <w:bottom w:val="nil"/>
              <w:right w:val="nil"/>
            </w:tcBorders>
            <w:shd w:val="clear" w:color="auto" w:fill="auto"/>
            <w:noWrap/>
            <w:vAlign w:val="center"/>
            <w:hideMark/>
          </w:tcPr>
          <w:p w14:paraId="454D6AE4" w14:textId="77777777" w:rsidR="00C13A9E" w:rsidRPr="00D92E20" w:rsidRDefault="00C13A9E" w:rsidP="00C13A9E">
            <w:pPr>
              <w:spacing w:after="0" w:line="240" w:lineRule="auto"/>
              <w:jc w:val="center"/>
              <w:rPr>
                <w:rFonts w:cs="Arial"/>
                <w:sz w:val="16"/>
                <w:szCs w:val="16"/>
              </w:rPr>
            </w:pPr>
            <w:r w:rsidRPr="00D92E20">
              <w:rPr>
                <w:rFonts w:cs="Arial"/>
                <w:sz w:val="16"/>
                <w:szCs w:val="16"/>
              </w:rPr>
              <w:t>0,57</w:t>
            </w:r>
          </w:p>
        </w:tc>
        <w:tc>
          <w:tcPr>
            <w:tcW w:w="907" w:type="dxa"/>
            <w:tcBorders>
              <w:top w:val="nil"/>
              <w:left w:val="nil"/>
              <w:bottom w:val="nil"/>
              <w:right w:val="nil"/>
            </w:tcBorders>
            <w:shd w:val="clear" w:color="auto" w:fill="auto"/>
            <w:noWrap/>
            <w:vAlign w:val="center"/>
            <w:hideMark/>
          </w:tcPr>
          <w:p w14:paraId="460A8CA9" w14:textId="77777777" w:rsidR="00C13A9E" w:rsidRPr="00D92E20" w:rsidRDefault="00C13A9E" w:rsidP="00C13A9E">
            <w:pPr>
              <w:spacing w:after="0" w:line="240" w:lineRule="auto"/>
              <w:jc w:val="center"/>
              <w:rPr>
                <w:rFonts w:cs="Arial"/>
                <w:sz w:val="16"/>
                <w:szCs w:val="16"/>
              </w:rPr>
            </w:pPr>
            <w:r w:rsidRPr="00D92E20">
              <w:rPr>
                <w:rFonts w:cs="Arial"/>
                <w:sz w:val="16"/>
                <w:szCs w:val="16"/>
              </w:rPr>
              <w:t>2,31</w:t>
            </w:r>
          </w:p>
        </w:tc>
      </w:tr>
      <w:tr w:rsidR="00C13A9E" w:rsidRPr="00D92E20" w14:paraId="4F431F71"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601A9F63"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Německo</w:t>
            </w:r>
          </w:p>
        </w:tc>
        <w:tc>
          <w:tcPr>
            <w:tcW w:w="907" w:type="dxa"/>
            <w:tcBorders>
              <w:top w:val="nil"/>
              <w:left w:val="nil"/>
              <w:bottom w:val="nil"/>
              <w:right w:val="nil"/>
            </w:tcBorders>
            <w:shd w:val="clear" w:color="auto" w:fill="auto"/>
            <w:noWrap/>
            <w:vAlign w:val="center"/>
            <w:hideMark/>
          </w:tcPr>
          <w:p w14:paraId="78618528" w14:textId="77777777" w:rsidR="00C13A9E" w:rsidRPr="00D92E20" w:rsidRDefault="00C13A9E" w:rsidP="00C13A9E">
            <w:pPr>
              <w:spacing w:after="0" w:line="240" w:lineRule="auto"/>
              <w:jc w:val="center"/>
              <w:rPr>
                <w:rFonts w:cs="Arial"/>
                <w:sz w:val="16"/>
                <w:szCs w:val="16"/>
              </w:rPr>
            </w:pPr>
            <w:r w:rsidRPr="00D92E20">
              <w:rPr>
                <w:rFonts w:cs="Arial"/>
                <w:sz w:val="16"/>
                <w:szCs w:val="16"/>
              </w:rPr>
              <w:t>1,60</w:t>
            </w:r>
          </w:p>
        </w:tc>
        <w:tc>
          <w:tcPr>
            <w:tcW w:w="907" w:type="dxa"/>
            <w:tcBorders>
              <w:top w:val="nil"/>
              <w:left w:val="nil"/>
              <w:bottom w:val="nil"/>
              <w:right w:val="nil"/>
            </w:tcBorders>
            <w:shd w:val="clear" w:color="auto" w:fill="auto"/>
            <w:noWrap/>
            <w:vAlign w:val="center"/>
            <w:hideMark/>
          </w:tcPr>
          <w:p w14:paraId="503E5AD3" w14:textId="77777777" w:rsidR="00C13A9E" w:rsidRPr="00D92E20" w:rsidRDefault="00C13A9E" w:rsidP="00C13A9E">
            <w:pPr>
              <w:spacing w:after="0" w:line="240" w:lineRule="auto"/>
              <w:jc w:val="center"/>
              <w:rPr>
                <w:rFonts w:cs="Arial"/>
                <w:sz w:val="16"/>
                <w:szCs w:val="16"/>
              </w:rPr>
            </w:pPr>
            <w:r w:rsidRPr="00D92E20">
              <w:rPr>
                <w:rFonts w:cs="Arial"/>
                <w:sz w:val="16"/>
                <w:szCs w:val="16"/>
              </w:rPr>
              <w:t>1,52</w:t>
            </w:r>
          </w:p>
        </w:tc>
        <w:tc>
          <w:tcPr>
            <w:tcW w:w="907" w:type="dxa"/>
            <w:tcBorders>
              <w:top w:val="nil"/>
              <w:left w:val="nil"/>
              <w:bottom w:val="nil"/>
              <w:right w:val="nil"/>
            </w:tcBorders>
            <w:shd w:val="clear" w:color="auto" w:fill="auto"/>
            <w:noWrap/>
            <w:vAlign w:val="center"/>
            <w:hideMark/>
          </w:tcPr>
          <w:p w14:paraId="032F1DE8" w14:textId="77777777" w:rsidR="00C13A9E" w:rsidRPr="00D92E20" w:rsidRDefault="00C13A9E" w:rsidP="00C13A9E">
            <w:pPr>
              <w:spacing w:after="0" w:line="240" w:lineRule="auto"/>
              <w:jc w:val="center"/>
              <w:rPr>
                <w:rFonts w:cs="Arial"/>
                <w:sz w:val="16"/>
                <w:szCs w:val="16"/>
              </w:rPr>
            </w:pPr>
            <w:r w:rsidRPr="00D92E20">
              <w:rPr>
                <w:rFonts w:cs="Arial"/>
                <w:sz w:val="16"/>
                <w:szCs w:val="16"/>
              </w:rPr>
              <w:t>1,47</w:t>
            </w:r>
          </w:p>
        </w:tc>
        <w:tc>
          <w:tcPr>
            <w:tcW w:w="907" w:type="dxa"/>
            <w:tcBorders>
              <w:top w:val="nil"/>
              <w:left w:val="nil"/>
              <w:bottom w:val="nil"/>
              <w:right w:val="nil"/>
            </w:tcBorders>
            <w:shd w:val="clear" w:color="auto" w:fill="auto"/>
            <w:noWrap/>
            <w:vAlign w:val="center"/>
            <w:hideMark/>
          </w:tcPr>
          <w:p w14:paraId="419B0B2C" w14:textId="77777777" w:rsidR="00C13A9E" w:rsidRPr="00D92E20" w:rsidRDefault="00C13A9E" w:rsidP="00C13A9E">
            <w:pPr>
              <w:spacing w:after="0" w:line="240" w:lineRule="auto"/>
              <w:jc w:val="center"/>
              <w:rPr>
                <w:rFonts w:cs="Arial"/>
                <w:sz w:val="16"/>
                <w:szCs w:val="16"/>
              </w:rPr>
            </w:pPr>
            <w:r w:rsidRPr="00D92E20">
              <w:rPr>
                <w:rFonts w:cs="Arial"/>
                <w:sz w:val="16"/>
                <w:szCs w:val="16"/>
              </w:rPr>
              <w:t>1,26</w:t>
            </w:r>
          </w:p>
        </w:tc>
        <w:tc>
          <w:tcPr>
            <w:tcW w:w="907" w:type="dxa"/>
            <w:tcBorders>
              <w:top w:val="nil"/>
              <w:left w:val="nil"/>
              <w:bottom w:val="nil"/>
              <w:right w:val="nil"/>
            </w:tcBorders>
            <w:shd w:val="clear" w:color="auto" w:fill="auto"/>
            <w:noWrap/>
            <w:vAlign w:val="center"/>
            <w:hideMark/>
          </w:tcPr>
          <w:p w14:paraId="7408722C" w14:textId="77777777" w:rsidR="00C13A9E" w:rsidRPr="00D92E20" w:rsidRDefault="00C13A9E" w:rsidP="00C13A9E">
            <w:pPr>
              <w:spacing w:after="0" w:line="240" w:lineRule="auto"/>
              <w:jc w:val="center"/>
              <w:rPr>
                <w:rFonts w:cs="Arial"/>
                <w:sz w:val="16"/>
                <w:szCs w:val="16"/>
              </w:rPr>
            </w:pPr>
            <w:r w:rsidRPr="00D92E20">
              <w:rPr>
                <w:rFonts w:cs="Arial"/>
                <w:sz w:val="16"/>
                <w:szCs w:val="16"/>
              </w:rPr>
              <w:t>1,43</w:t>
            </w:r>
          </w:p>
        </w:tc>
        <w:tc>
          <w:tcPr>
            <w:tcW w:w="907" w:type="dxa"/>
            <w:tcBorders>
              <w:top w:val="nil"/>
              <w:left w:val="nil"/>
              <w:bottom w:val="nil"/>
              <w:right w:val="nil"/>
            </w:tcBorders>
            <w:shd w:val="clear" w:color="auto" w:fill="auto"/>
            <w:noWrap/>
            <w:vAlign w:val="center"/>
            <w:hideMark/>
          </w:tcPr>
          <w:p w14:paraId="0310F501" w14:textId="77777777" w:rsidR="00C13A9E" w:rsidRPr="00D92E20" w:rsidRDefault="00C13A9E" w:rsidP="00C13A9E">
            <w:pPr>
              <w:spacing w:after="0" w:line="240" w:lineRule="auto"/>
              <w:jc w:val="center"/>
              <w:rPr>
                <w:rFonts w:cs="Arial"/>
                <w:sz w:val="16"/>
                <w:szCs w:val="16"/>
              </w:rPr>
            </w:pPr>
            <w:r w:rsidRPr="00D92E20">
              <w:rPr>
                <w:rFonts w:cs="Arial"/>
                <w:sz w:val="16"/>
                <w:szCs w:val="16"/>
              </w:rPr>
              <w:t>1,27</w:t>
            </w:r>
          </w:p>
        </w:tc>
        <w:tc>
          <w:tcPr>
            <w:tcW w:w="907" w:type="dxa"/>
            <w:tcBorders>
              <w:top w:val="nil"/>
              <w:left w:val="nil"/>
              <w:bottom w:val="nil"/>
              <w:right w:val="nil"/>
            </w:tcBorders>
            <w:shd w:val="clear" w:color="auto" w:fill="auto"/>
            <w:noWrap/>
            <w:vAlign w:val="center"/>
            <w:hideMark/>
          </w:tcPr>
          <w:p w14:paraId="3C93D3F2" w14:textId="77777777" w:rsidR="00C13A9E" w:rsidRPr="00D92E20" w:rsidRDefault="00C13A9E" w:rsidP="00C13A9E">
            <w:pPr>
              <w:spacing w:after="0" w:line="240" w:lineRule="auto"/>
              <w:jc w:val="center"/>
              <w:rPr>
                <w:rFonts w:cs="Arial"/>
                <w:sz w:val="16"/>
                <w:szCs w:val="16"/>
              </w:rPr>
            </w:pPr>
            <w:r w:rsidRPr="00D92E20">
              <w:rPr>
                <w:rFonts w:cs="Arial"/>
                <w:sz w:val="16"/>
                <w:szCs w:val="16"/>
              </w:rPr>
              <w:t>1,12</w:t>
            </w:r>
          </w:p>
        </w:tc>
        <w:tc>
          <w:tcPr>
            <w:tcW w:w="907" w:type="dxa"/>
            <w:tcBorders>
              <w:top w:val="nil"/>
              <w:left w:val="nil"/>
              <w:bottom w:val="nil"/>
              <w:right w:val="nil"/>
            </w:tcBorders>
            <w:shd w:val="clear" w:color="auto" w:fill="auto"/>
            <w:noWrap/>
            <w:vAlign w:val="center"/>
            <w:hideMark/>
          </w:tcPr>
          <w:p w14:paraId="0E36C7AE" w14:textId="77777777" w:rsidR="00C13A9E" w:rsidRPr="00D92E20" w:rsidRDefault="00C13A9E" w:rsidP="00C13A9E">
            <w:pPr>
              <w:spacing w:after="0" w:line="240" w:lineRule="auto"/>
              <w:jc w:val="center"/>
              <w:rPr>
                <w:rFonts w:cs="Arial"/>
                <w:sz w:val="16"/>
                <w:szCs w:val="16"/>
              </w:rPr>
            </w:pPr>
            <w:r w:rsidRPr="00D92E20">
              <w:rPr>
                <w:rFonts w:cs="Arial"/>
                <w:sz w:val="16"/>
                <w:szCs w:val="16"/>
              </w:rPr>
              <w:t>1,19</w:t>
            </w:r>
          </w:p>
        </w:tc>
        <w:tc>
          <w:tcPr>
            <w:tcW w:w="907" w:type="dxa"/>
            <w:tcBorders>
              <w:top w:val="nil"/>
              <w:left w:val="nil"/>
              <w:bottom w:val="nil"/>
              <w:right w:val="nil"/>
            </w:tcBorders>
            <w:shd w:val="clear" w:color="auto" w:fill="auto"/>
            <w:noWrap/>
            <w:vAlign w:val="center"/>
            <w:hideMark/>
          </w:tcPr>
          <w:p w14:paraId="669723BE" w14:textId="77777777" w:rsidR="00C13A9E" w:rsidRPr="00D92E20" w:rsidRDefault="00C13A9E" w:rsidP="00C13A9E">
            <w:pPr>
              <w:spacing w:after="0" w:line="240" w:lineRule="auto"/>
              <w:jc w:val="center"/>
              <w:rPr>
                <w:rFonts w:cs="Arial"/>
                <w:sz w:val="16"/>
                <w:szCs w:val="16"/>
              </w:rPr>
            </w:pPr>
            <w:r w:rsidRPr="00D92E20">
              <w:rPr>
                <w:rFonts w:cs="Arial"/>
                <w:sz w:val="16"/>
                <w:szCs w:val="16"/>
              </w:rPr>
              <w:t>1,00</w:t>
            </w:r>
          </w:p>
        </w:tc>
      </w:tr>
      <w:tr w:rsidR="00C13A9E" w:rsidRPr="00D92E20" w14:paraId="1B4DF2B1"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5D1A0FB6"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Nizozemsko</w:t>
            </w:r>
          </w:p>
        </w:tc>
        <w:tc>
          <w:tcPr>
            <w:tcW w:w="907" w:type="dxa"/>
            <w:tcBorders>
              <w:top w:val="nil"/>
              <w:left w:val="nil"/>
              <w:bottom w:val="nil"/>
              <w:right w:val="nil"/>
            </w:tcBorders>
            <w:shd w:val="clear" w:color="auto" w:fill="auto"/>
            <w:noWrap/>
            <w:vAlign w:val="center"/>
            <w:hideMark/>
          </w:tcPr>
          <w:p w14:paraId="4BD994E7" w14:textId="77777777" w:rsidR="00C13A9E" w:rsidRPr="00D92E20" w:rsidRDefault="00C13A9E" w:rsidP="00C13A9E">
            <w:pPr>
              <w:spacing w:after="0" w:line="240" w:lineRule="auto"/>
              <w:jc w:val="center"/>
              <w:rPr>
                <w:rFonts w:cs="Arial"/>
                <w:sz w:val="16"/>
                <w:szCs w:val="16"/>
              </w:rPr>
            </w:pPr>
            <w:r w:rsidRPr="00D92E20">
              <w:rPr>
                <w:rFonts w:cs="Arial"/>
                <w:sz w:val="16"/>
                <w:szCs w:val="16"/>
              </w:rPr>
              <w:t>1,63</w:t>
            </w:r>
          </w:p>
        </w:tc>
        <w:tc>
          <w:tcPr>
            <w:tcW w:w="907" w:type="dxa"/>
            <w:tcBorders>
              <w:top w:val="nil"/>
              <w:left w:val="nil"/>
              <w:bottom w:val="nil"/>
              <w:right w:val="nil"/>
            </w:tcBorders>
            <w:shd w:val="clear" w:color="auto" w:fill="auto"/>
            <w:noWrap/>
            <w:vAlign w:val="center"/>
            <w:hideMark/>
          </w:tcPr>
          <w:p w14:paraId="75324F4F" w14:textId="77777777" w:rsidR="00C13A9E" w:rsidRPr="00D92E20" w:rsidRDefault="00C13A9E" w:rsidP="00C13A9E">
            <w:pPr>
              <w:spacing w:after="0" w:line="240" w:lineRule="auto"/>
              <w:jc w:val="center"/>
              <w:rPr>
                <w:rFonts w:cs="Arial"/>
                <w:sz w:val="16"/>
                <w:szCs w:val="16"/>
              </w:rPr>
            </w:pPr>
            <w:r w:rsidRPr="00D92E20">
              <w:rPr>
                <w:rFonts w:cs="Arial"/>
                <w:sz w:val="16"/>
                <w:szCs w:val="16"/>
              </w:rPr>
              <w:t>0,74</w:t>
            </w:r>
          </w:p>
        </w:tc>
        <w:tc>
          <w:tcPr>
            <w:tcW w:w="907" w:type="dxa"/>
            <w:tcBorders>
              <w:top w:val="nil"/>
              <w:left w:val="nil"/>
              <w:bottom w:val="nil"/>
              <w:right w:val="nil"/>
            </w:tcBorders>
            <w:shd w:val="clear" w:color="auto" w:fill="auto"/>
            <w:noWrap/>
            <w:vAlign w:val="center"/>
            <w:hideMark/>
          </w:tcPr>
          <w:p w14:paraId="26199165" w14:textId="77777777" w:rsidR="00C13A9E" w:rsidRPr="00D92E20" w:rsidRDefault="00C13A9E" w:rsidP="00C13A9E">
            <w:pPr>
              <w:spacing w:after="0" w:line="240" w:lineRule="auto"/>
              <w:jc w:val="center"/>
              <w:rPr>
                <w:rFonts w:cs="Arial"/>
                <w:sz w:val="16"/>
                <w:szCs w:val="16"/>
              </w:rPr>
            </w:pPr>
            <w:r w:rsidRPr="00D92E20">
              <w:rPr>
                <w:rFonts w:cs="Arial"/>
                <w:sz w:val="16"/>
                <w:szCs w:val="16"/>
              </w:rPr>
              <w:t>0,74</w:t>
            </w:r>
          </w:p>
        </w:tc>
        <w:tc>
          <w:tcPr>
            <w:tcW w:w="907" w:type="dxa"/>
            <w:tcBorders>
              <w:top w:val="nil"/>
              <w:left w:val="nil"/>
              <w:bottom w:val="nil"/>
              <w:right w:val="nil"/>
            </w:tcBorders>
            <w:shd w:val="clear" w:color="auto" w:fill="auto"/>
            <w:noWrap/>
            <w:vAlign w:val="center"/>
            <w:hideMark/>
          </w:tcPr>
          <w:p w14:paraId="3DEBA7BC" w14:textId="77777777" w:rsidR="00C13A9E" w:rsidRPr="00D92E20" w:rsidRDefault="00C13A9E" w:rsidP="00C13A9E">
            <w:pPr>
              <w:spacing w:after="0" w:line="240" w:lineRule="auto"/>
              <w:jc w:val="center"/>
              <w:rPr>
                <w:rFonts w:cs="Arial"/>
                <w:sz w:val="16"/>
                <w:szCs w:val="16"/>
              </w:rPr>
            </w:pPr>
            <w:r w:rsidRPr="00D92E20">
              <w:rPr>
                <w:rFonts w:cs="Arial"/>
                <w:sz w:val="16"/>
                <w:szCs w:val="16"/>
              </w:rPr>
              <w:t>0,77</w:t>
            </w:r>
          </w:p>
        </w:tc>
        <w:tc>
          <w:tcPr>
            <w:tcW w:w="907" w:type="dxa"/>
            <w:tcBorders>
              <w:top w:val="nil"/>
              <w:left w:val="nil"/>
              <w:bottom w:val="nil"/>
              <w:right w:val="nil"/>
            </w:tcBorders>
            <w:shd w:val="clear" w:color="000000" w:fill="D9D9D9"/>
            <w:noWrap/>
            <w:vAlign w:val="center"/>
            <w:hideMark/>
          </w:tcPr>
          <w:p w14:paraId="148E9B2F" w14:textId="77777777" w:rsidR="00C13A9E" w:rsidRPr="00D92E20" w:rsidRDefault="00C13A9E" w:rsidP="00C13A9E">
            <w:pPr>
              <w:spacing w:after="0" w:line="240" w:lineRule="auto"/>
              <w:jc w:val="center"/>
              <w:rPr>
                <w:rFonts w:cs="Arial"/>
                <w:sz w:val="16"/>
                <w:szCs w:val="16"/>
              </w:rPr>
            </w:pPr>
            <w:r w:rsidRPr="00D92E20">
              <w:rPr>
                <w:rFonts w:cs="Arial"/>
                <w:sz w:val="16"/>
                <w:szCs w:val="16"/>
              </w:rPr>
              <w:t>1,01</w:t>
            </w:r>
          </w:p>
        </w:tc>
        <w:tc>
          <w:tcPr>
            <w:tcW w:w="907" w:type="dxa"/>
            <w:tcBorders>
              <w:top w:val="nil"/>
              <w:left w:val="nil"/>
              <w:bottom w:val="nil"/>
              <w:right w:val="nil"/>
            </w:tcBorders>
            <w:shd w:val="clear" w:color="auto" w:fill="auto"/>
            <w:noWrap/>
            <w:vAlign w:val="center"/>
            <w:hideMark/>
          </w:tcPr>
          <w:p w14:paraId="3DE42348" w14:textId="77777777" w:rsidR="00C13A9E" w:rsidRPr="00D92E20" w:rsidRDefault="00C13A9E" w:rsidP="00C13A9E">
            <w:pPr>
              <w:spacing w:after="0" w:line="240" w:lineRule="auto"/>
              <w:jc w:val="center"/>
              <w:rPr>
                <w:rFonts w:cs="Arial"/>
                <w:sz w:val="16"/>
                <w:szCs w:val="16"/>
              </w:rPr>
            </w:pPr>
            <w:r w:rsidRPr="00D92E20">
              <w:rPr>
                <w:rFonts w:cs="Arial"/>
                <w:sz w:val="16"/>
                <w:szCs w:val="16"/>
              </w:rPr>
              <w:t>0,76</w:t>
            </w:r>
          </w:p>
        </w:tc>
        <w:tc>
          <w:tcPr>
            <w:tcW w:w="907" w:type="dxa"/>
            <w:tcBorders>
              <w:top w:val="nil"/>
              <w:left w:val="nil"/>
              <w:bottom w:val="nil"/>
              <w:right w:val="nil"/>
            </w:tcBorders>
            <w:shd w:val="clear" w:color="auto" w:fill="auto"/>
            <w:noWrap/>
            <w:vAlign w:val="center"/>
            <w:hideMark/>
          </w:tcPr>
          <w:p w14:paraId="742A4663" w14:textId="77777777" w:rsidR="00C13A9E" w:rsidRPr="00D92E20" w:rsidRDefault="00C13A9E" w:rsidP="00C13A9E">
            <w:pPr>
              <w:spacing w:after="0" w:line="240" w:lineRule="auto"/>
              <w:jc w:val="center"/>
              <w:rPr>
                <w:rFonts w:cs="Arial"/>
                <w:sz w:val="16"/>
                <w:szCs w:val="16"/>
              </w:rPr>
            </w:pPr>
            <w:r w:rsidRPr="00D92E20">
              <w:rPr>
                <w:rFonts w:cs="Arial"/>
                <w:sz w:val="16"/>
                <w:szCs w:val="16"/>
              </w:rPr>
              <w:t>0,71</w:t>
            </w:r>
          </w:p>
        </w:tc>
        <w:tc>
          <w:tcPr>
            <w:tcW w:w="907" w:type="dxa"/>
            <w:tcBorders>
              <w:top w:val="nil"/>
              <w:left w:val="nil"/>
              <w:bottom w:val="nil"/>
              <w:right w:val="nil"/>
            </w:tcBorders>
            <w:shd w:val="clear" w:color="auto" w:fill="auto"/>
            <w:noWrap/>
            <w:vAlign w:val="center"/>
            <w:hideMark/>
          </w:tcPr>
          <w:p w14:paraId="14DB3DE0" w14:textId="77777777" w:rsidR="00C13A9E" w:rsidRPr="00D92E20" w:rsidRDefault="00C13A9E" w:rsidP="00C13A9E">
            <w:pPr>
              <w:spacing w:after="0" w:line="240" w:lineRule="auto"/>
              <w:jc w:val="center"/>
              <w:rPr>
                <w:rFonts w:cs="Arial"/>
                <w:sz w:val="16"/>
                <w:szCs w:val="16"/>
              </w:rPr>
            </w:pPr>
            <w:r w:rsidRPr="00D92E20">
              <w:rPr>
                <w:rFonts w:cs="Arial"/>
                <w:sz w:val="16"/>
                <w:szCs w:val="16"/>
              </w:rPr>
              <w:t>0,78</w:t>
            </w:r>
          </w:p>
        </w:tc>
        <w:tc>
          <w:tcPr>
            <w:tcW w:w="907" w:type="dxa"/>
            <w:tcBorders>
              <w:top w:val="nil"/>
              <w:left w:val="nil"/>
              <w:bottom w:val="nil"/>
              <w:right w:val="nil"/>
            </w:tcBorders>
            <w:shd w:val="clear" w:color="auto" w:fill="auto"/>
            <w:noWrap/>
            <w:vAlign w:val="center"/>
            <w:hideMark/>
          </w:tcPr>
          <w:p w14:paraId="39E1823B" w14:textId="77777777" w:rsidR="00C13A9E" w:rsidRPr="00D92E20" w:rsidRDefault="00C13A9E" w:rsidP="00C13A9E">
            <w:pPr>
              <w:spacing w:after="0" w:line="240" w:lineRule="auto"/>
              <w:jc w:val="center"/>
              <w:rPr>
                <w:rFonts w:cs="Arial"/>
                <w:sz w:val="16"/>
                <w:szCs w:val="16"/>
              </w:rPr>
            </w:pPr>
            <w:r w:rsidRPr="00D92E20">
              <w:rPr>
                <w:rFonts w:cs="Arial"/>
                <w:sz w:val="16"/>
                <w:szCs w:val="16"/>
              </w:rPr>
              <w:t>0,87</w:t>
            </w:r>
          </w:p>
        </w:tc>
      </w:tr>
      <w:tr w:rsidR="00C13A9E" w:rsidRPr="00D92E20" w14:paraId="0BB673F4"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1864414D"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Polsko</w:t>
            </w:r>
          </w:p>
        </w:tc>
        <w:tc>
          <w:tcPr>
            <w:tcW w:w="907" w:type="dxa"/>
            <w:tcBorders>
              <w:top w:val="nil"/>
              <w:left w:val="nil"/>
              <w:bottom w:val="nil"/>
              <w:right w:val="nil"/>
            </w:tcBorders>
            <w:shd w:val="clear" w:color="auto" w:fill="auto"/>
            <w:noWrap/>
            <w:vAlign w:val="center"/>
            <w:hideMark/>
          </w:tcPr>
          <w:p w14:paraId="5929E802" w14:textId="77777777" w:rsidR="00C13A9E" w:rsidRPr="00D92E20" w:rsidRDefault="00C13A9E" w:rsidP="00C13A9E">
            <w:pPr>
              <w:spacing w:after="0" w:line="240" w:lineRule="auto"/>
              <w:jc w:val="center"/>
              <w:rPr>
                <w:rFonts w:cs="Arial"/>
                <w:sz w:val="16"/>
                <w:szCs w:val="16"/>
              </w:rPr>
            </w:pPr>
            <w:r w:rsidRPr="00D92E20">
              <w:rPr>
                <w:rFonts w:cs="Arial"/>
                <w:sz w:val="16"/>
                <w:szCs w:val="16"/>
              </w:rPr>
              <w:t>3,95</w:t>
            </w:r>
          </w:p>
        </w:tc>
        <w:tc>
          <w:tcPr>
            <w:tcW w:w="907" w:type="dxa"/>
            <w:tcBorders>
              <w:top w:val="nil"/>
              <w:left w:val="nil"/>
              <w:bottom w:val="nil"/>
              <w:right w:val="nil"/>
            </w:tcBorders>
            <w:shd w:val="clear" w:color="auto" w:fill="auto"/>
            <w:noWrap/>
            <w:vAlign w:val="center"/>
            <w:hideMark/>
          </w:tcPr>
          <w:p w14:paraId="37B6880B" w14:textId="77777777" w:rsidR="00C13A9E" w:rsidRPr="00D92E20" w:rsidRDefault="00C13A9E" w:rsidP="00C13A9E">
            <w:pPr>
              <w:spacing w:after="0" w:line="240" w:lineRule="auto"/>
              <w:jc w:val="center"/>
              <w:rPr>
                <w:rFonts w:cs="Arial"/>
                <w:sz w:val="16"/>
                <w:szCs w:val="16"/>
              </w:rPr>
            </w:pPr>
            <w:r w:rsidRPr="00D92E20">
              <w:rPr>
                <w:rFonts w:cs="Arial"/>
                <w:sz w:val="16"/>
                <w:szCs w:val="16"/>
              </w:rPr>
              <w:t>2,68</w:t>
            </w:r>
          </w:p>
        </w:tc>
        <w:tc>
          <w:tcPr>
            <w:tcW w:w="907" w:type="dxa"/>
            <w:tcBorders>
              <w:top w:val="nil"/>
              <w:left w:val="nil"/>
              <w:bottom w:val="nil"/>
              <w:right w:val="nil"/>
            </w:tcBorders>
            <w:shd w:val="clear" w:color="auto" w:fill="auto"/>
            <w:noWrap/>
            <w:vAlign w:val="center"/>
            <w:hideMark/>
          </w:tcPr>
          <w:p w14:paraId="708DD660" w14:textId="77777777" w:rsidR="00C13A9E" w:rsidRPr="00D92E20" w:rsidRDefault="00C13A9E" w:rsidP="00C13A9E">
            <w:pPr>
              <w:spacing w:after="0" w:line="240" w:lineRule="auto"/>
              <w:jc w:val="center"/>
              <w:rPr>
                <w:rFonts w:cs="Arial"/>
                <w:sz w:val="16"/>
                <w:szCs w:val="16"/>
              </w:rPr>
            </w:pPr>
            <w:r w:rsidRPr="00D92E20">
              <w:rPr>
                <w:rFonts w:cs="Arial"/>
                <w:sz w:val="16"/>
                <w:szCs w:val="16"/>
              </w:rPr>
              <w:t>2,55</w:t>
            </w:r>
          </w:p>
        </w:tc>
        <w:tc>
          <w:tcPr>
            <w:tcW w:w="907" w:type="dxa"/>
            <w:tcBorders>
              <w:top w:val="nil"/>
              <w:left w:val="nil"/>
              <w:bottom w:val="nil"/>
              <w:right w:val="nil"/>
            </w:tcBorders>
            <w:shd w:val="clear" w:color="auto" w:fill="auto"/>
            <w:noWrap/>
            <w:vAlign w:val="center"/>
            <w:hideMark/>
          </w:tcPr>
          <w:p w14:paraId="0C660C8D" w14:textId="77777777" w:rsidR="00C13A9E" w:rsidRPr="00D92E20" w:rsidRDefault="00C13A9E" w:rsidP="00C13A9E">
            <w:pPr>
              <w:spacing w:after="0" w:line="240" w:lineRule="auto"/>
              <w:jc w:val="center"/>
              <w:rPr>
                <w:rFonts w:cs="Arial"/>
                <w:sz w:val="16"/>
                <w:szCs w:val="16"/>
              </w:rPr>
            </w:pPr>
            <w:r w:rsidRPr="00D92E20">
              <w:rPr>
                <w:rFonts w:cs="Arial"/>
                <w:sz w:val="16"/>
                <w:szCs w:val="16"/>
              </w:rPr>
              <w:t>1,93</w:t>
            </w:r>
          </w:p>
        </w:tc>
        <w:tc>
          <w:tcPr>
            <w:tcW w:w="907" w:type="dxa"/>
            <w:tcBorders>
              <w:top w:val="nil"/>
              <w:left w:val="nil"/>
              <w:bottom w:val="nil"/>
              <w:right w:val="nil"/>
            </w:tcBorders>
            <w:shd w:val="clear" w:color="auto" w:fill="auto"/>
            <w:noWrap/>
            <w:vAlign w:val="center"/>
            <w:hideMark/>
          </w:tcPr>
          <w:p w14:paraId="41FC3173" w14:textId="77777777" w:rsidR="00C13A9E" w:rsidRPr="00D92E20" w:rsidRDefault="00C13A9E" w:rsidP="00C13A9E">
            <w:pPr>
              <w:spacing w:after="0" w:line="240" w:lineRule="auto"/>
              <w:jc w:val="center"/>
              <w:rPr>
                <w:rFonts w:cs="Arial"/>
                <w:sz w:val="16"/>
                <w:szCs w:val="16"/>
              </w:rPr>
            </w:pPr>
            <w:r w:rsidRPr="00D92E20">
              <w:rPr>
                <w:rFonts w:cs="Arial"/>
                <w:sz w:val="16"/>
                <w:szCs w:val="16"/>
              </w:rPr>
              <w:t>1,91</w:t>
            </w:r>
          </w:p>
        </w:tc>
        <w:tc>
          <w:tcPr>
            <w:tcW w:w="907" w:type="dxa"/>
            <w:tcBorders>
              <w:top w:val="nil"/>
              <w:left w:val="nil"/>
              <w:bottom w:val="nil"/>
              <w:right w:val="nil"/>
            </w:tcBorders>
            <w:shd w:val="clear" w:color="auto" w:fill="auto"/>
            <w:noWrap/>
            <w:vAlign w:val="center"/>
            <w:hideMark/>
          </w:tcPr>
          <w:p w14:paraId="0301D369" w14:textId="77777777" w:rsidR="00C13A9E" w:rsidRPr="00D92E20" w:rsidRDefault="00C13A9E" w:rsidP="00C13A9E">
            <w:pPr>
              <w:spacing w:after="0" w:line="240" w:lineRule="auto"/>
              <w:jc w:val="center"/>
              <w:rPr>
                <w:rFonts w:cs="Arial"/>
                <w:sz w:val="16"/>
                <w:szCs w:val="16"/>
              </w:rPr>
            </w:pPr>
            <w:r w:rsidRPr="00D92E20">
              <w:rPr>
                <w:rFonts w:cs="Arial"/>
                <w:sz w:val="16"/>
                <w:szCs w:val="16"/>
              </w:rPr>
              <w:t>2,02</w:t>
            </w:r>
          </w:p>
        </w:tc>
        <w:tc>
          <w:tcPr>
            <w:tcW w:w="907" w:type="dxa"/>
            <w:tcBorders>
              <w:top w:val="nil"/>
              <w:left w:val="nil"/>
              <w:bottom w:val="nil"/>
              <w:right w:val="nil"/>
            </w:tcBorders>
            <w:shd w:val="clear" w:color="auto" w:fill="auto"/>
            <w:noWrap/>
            <w:vAlign w:val="center"/>
            <w:hideMark/>
          </w:tcPr>
          <w:p w14:paraId="78181352" w14:textId="77777777" w:rsidR="00C13A9E" w:rsidRPr="00D92E20" w:rsidRDefault="00C13A9E" w:rsidP="00C13A9E">
            <w:pPr>
              <w:spacing w:after="0" w:line="240" w:lineRule="auto"/>
              <w:jc w:val="center"/>
              <w:rPr>
                <w:rFonts w:cs="Arial"/>
                <w:sz w:val="16"/>
                <w:szCs w:val="16"/>
              </w:rPr>
            </w:pPr>
            <w:r w:rsidRPr="00D92E20">
              <w:rPr>
                <w:rFonts w:cs="Arial"/>
                <w:sz w:val="16"/>
                <w:szCs w:val="16"/>
              </w:rPr>
              <w:t>1,61</w:t>
            </w:r>
          </w:p>
        </w:tc>
        <w:tc>
          <w:tcPr>
            <w:tcW w:w="907" w:type="dxa"/>
            <w:tcBorders>
              <w:top w:val="nil"/>
              <w:left w:val="nil"/>
              <w:bottom w:val="nil"/>
              <w:right w:val="nil"/>
            </w:tcBorders>
            <w:shd w:val="clear" w:color="auto" w:fill="auto"/>
            <w:noWrap/>
            <w:vAlign w:val="center"/>
            <w:hideMark/>
          </w:tcPr>
          <w:p w14:paraId="4EAA2920" w14:textId="77777777" w:rsidR="00C13A9E" w:rsidRPr="00D92E20" w:rsidRDefault="00C13A9E" w:rsidP="00C13A9E">
            <w:pPr>
              <w:spacing w:after="0" w:line="240" w:lineRule="auto"/>
              <w:jc w:val="center"/>
              <w:rPr>
                <w:rFonts w:cs="Arial"/>
                <w:sz w:val="16"/>
                <w:szCs w:val="16"/>
              </w:rPr>
            </w:pPr>
            <w:r w:rsidRPr="00D92E20">
              <w:rPr>
                <w:rFonts w:cs="Arial"/>
                <w:sz w:val="16"/>
                <w:szCs w:val="16"/>
              </w:rPr>
              <w:t>1,84</w:t>
            </w:r>
          </w:p>
        </w:tc>
        <w:tc>
          <w:tcPr>
            <w:tcW w:w="907" w:type="dxa"/>
            <w:tcBorders>
              <w:top w:val="nil"/>
              <w:left w:val="nil"/>
              <w:bottom w:val="nil"/>
              <w:right w:val="nil"/>
            </w:tcBorders>
            <w:shd w:val="clear" w:color="auto" w:fill="auto"/>
            <w:noWrap/>
            <w:vAlign w:val="center"/>
            <w:hideMark/>
          </w:tcPr>
          <w:p w14:paraId="70F8969A" w14:textId="77777777" w:rsidR="00C13A9E" w:rsidRPr="00D92E20" w:rsidRDefault="00C13A9E" w:rsidP="00C13A9E">
            <w:pPr>
              <w:spacing w:after="0" w:line="240" w:lineRule="auto"/>
              <w:jc w:val="center"/>
              <w:rPr>
                <w:rFonts w:cs="Arial"/>
                <w:sz w:val="16"/>
                <w:szCs w:val="16"/>
              </w:rPr>
            </w:pPr>
            <w:r w:rsidRPr="00D92E20">
              <w:rPr>
                <w:rFonts w:cs="Arial"/>
                <w:sz w:val="16"/>
                <w:szCs w:val="16"/>
              </w:rPr>
              <w:t>1,76</w:t>
            </w:r>
          </w:p>
        </w:tc>
      </w:tr>
      <w:tr w:rsidR="00C13A9E" w:rsidRPr="00D92E20" w14:paraId="265B04F4"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718B2198"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Portugalsko</w:t>
            </w:r>
          </w:p>
        </w:tc>
        <w:tc>
          <w:tcPr>
            <w:tcW w:w="907" w:type="dxa"/>
            <w:tcBorders>
              <w:top w:val="nil"/>
              <w:left w:val="nil"/>
              <w:bottom w:val="nil"/>
              <w:right w:val="nil"/>
            </w:tcBorders>
            <w:shd w:val="clear" w:color="auto" w:fill="auto"/>
            <w:noWrap/>
            <w:vAlign w:val="center"/>
            <w:hideMark/>
          </w:tcPr>
          <w:p w14:paraId="0194A8C7" w14:textId="77777777" w:rsidR="00C13A9E" w:rsidRPr="00D92E20" w:rsidRDefault="00C13A9E" w:rsidP="00C13A9E">
            <w:pPr>
              <w:spacing w:after="0" w:line="240" w:lineRule="auto"/>
              <w:jc w:val="center"/>
              <w:rPr>
                <w:rFonts w:cs="Arial"/>
                <w:sz w:val="16"/>
                <w:szCs w:val="16"/>
              </w:rPr>
            </w:pPr>
            <w:r w:rsidRPr="00D92E20">
              <w:rPr>
                <w:rFonts w:cs="Arial"/>
                <w:sz w:val="16"/>
                <w:szCs w:val="16"/>
              </w:rPr>
              <w:t>5,26</w:t>
            </w:r>
          </w:p>
        </w:tc>
        <w:tc>
          <w:tcPr>
            <w:tcW w:w="907" w:type="dxa"/>
            <w:tcBorders>
              <w:top w:val="nil"/>
              <w:left w:val="nil"/>
              <w:bottom w:val="nil"/>
              <w:right w:val="nil"/>
            </w:tcBorders>
            <w:shd w:val="clear" w:color="auto" w:fill="auto"/>
            <w:noWrap/>
            <w:vAlign w:val="center"/>
            <w:hideMark/>
          </w:tcPr>
          <w:p w14:paraId="3F1B84C7" w14:textId="77777777" w:rsidR="00C13A9E" w:rsidRPr="00D92E20" w:rsidRDefault="00C13A9E" w:rsidP="00C13A9E">
            <w:pPr>
              <w:spacing w:after="0" w:line="240" w:lineRule="auto"/>
              <w:jc w:val="center"/>
              <w:rPr>
                <w:rFonts w:cs="Arial"/>
                <w:sz w:val="16"/>
                <w:szCs w:val="16"/>
              </w:rPr>
            </w:pPr>
            <w:r w:rsidRPr="00D92E20">
              <w:rPr>
                <w:rFonts w:cs="Arial"/>
                <w:sz w:val="16"/>
                <w:szCs w:val="16"/>
              </w:rPr>
              <w:t>4,94</w:t>
            </w:r>
          </w:p>
        </w:tc>
        <w:tc>
          <w:tcPr>
            <w:tcW w:w="907" w:type="dxa"/>
            <w:tcBorders>
              <w:top w:val="nil"/>
              <w:left w:val="nil"/>
              <w:bottom w:val="nil"/>
              <w:right w:val="nil"/>
            </w:tcBorders>
            <w:shd w:val="clear" w:color="auto" w:fill="auto"/>
            <w:noWrap/>
            <w:vAlign w:val="center"/>
            <w:hideMark/>
          </w:tcPr>
          <w:p w14:paraId="1DC19FC3" w14:textId="77777777" w:rsidR="00C13A9E" w:rsidRPr="00D92E20" w:rsidRDefault="00C13A9E" w:rsidP="00C13A9E">
            <w:pPr>
              <w:spacing w:after="0" w:line="240" w:lineRule="auto"/>
              <w:jc w:val="center"/>
              <w:rPr>
                <w:rFonts w:cs="Arial"/>
                <w:sz w:val="16"/>
                <w:szCs w:val="16"/>
              </w:rPr>
            </w:pPr>
            <w:r w:rsidRPr="00D92E20">
              <w:rPr>
                <w:rFonts w:cs="Arial"/>
                <w:sz w:val="16"/>
                <w:szCs w:val="16"/>
              </w:rPr>
              <w:t>4,81</w:t>
            </w:r>
          </w:p>
        </w:tc>
        <w:tc>
          <w:tcPr>
            <w:tcW w:w="907" w:type="dxa"/>
            <w:tcBorders>
              <w:top w:val="nil"/>
              <w:left w:val="nil"/>
              <w:bottom w:val="nil"/>
              <w:right w:val="nil"/>
            </w:tcBorders>
            <w:shd w:val="clear" w:color="auto" w:fill="auto"/>
            <w:noWrap/>
            <w:vAlign w:val="center"/>
            <w:hideMark/>
          </w:tcPr>
          <w:p w14:paraId="281AB623" w14:textId="77777777" w:rsidR="00C13A9E" w:rsidRPr="00D92E20" w:rsidRDefault="00C13A9E" w:rsidP="00C13A9E">
            <w:pPr>
              <w:spacing w:after="0" w:line="240" w:lineRule="auto"/>
              <w:jc w:val="center"/>
              <w:rPr>
                <w:rFonts w:cs="Arial"/>
                <w:sz w:val="16"/>
                <w:szCs w:val="16"/>
              </w:rPr>
            </w:pPr>
            <w:r w:rsidRPr="00D92E20">
              <w:rPr>
                <w:rFonts w:cs="Arial"/>
                <w:sz w:val="16"/>
                <w:szCs w:val="16"/>
              </w:rPr>
              <w:t>4,48</w:t>
            </w:r>
          </w:p>
        </w:tc>
        <w:tc>
          <w:tcPr>
            <w:tcW w:w="907" w:type="dxa"/>
            <w:tcBorders>
              <w:top w:val="nil"/>
              <w:left w:val="nil"/>
              <w:bottom w:val="nil"/>
              <w:right w:val="nil"/>
            </w:tcBorders>
            <w:shd w:val="clear" w:color="auto" w:fill="auto"/>
            <w:noWrap/>
            <w:vAlign w:val="center"/>
            <w:hideMark/>
          </w:tcPr>
          <w:p w14:paraId="23CA1C55" w14:textId="77777777" w:rsidR="00C13A9E" w:rsidRPr="00D92E20" w:rsidRDefault="00C13A9E" w:rsidP="00C13A9E">
            <w:pPr>
              <w:spacing w:after="0" w:line="240" w:lineRule="auto"/>
              <w:jc w:val="center"/>
              <w:rPr>
                <w:rFonts w:cs="Arial"/>
                <w:sz w:val="16"/>
                <w:szCs w:val="16"/>
              </w:rPr>
            </w:pPr>
            <w:r w:rsidRPr="00D92E20">
              <w:rPr>
                <w:rFonts w:cs="Arial"/>
                <w:sz w:val="16"/>
                <w:szCs w:val="16"/>
              </w:rPr>
              <w:t>4,72</w:t>
            </w:r>
          </w:p>
        </w:tc>
        <w:tc>
          <w:tcPr>
            <w:tcW w:w="907" w:type="dxa"/>
            <w:tcBorders>
              <w:top w:val="nil"/>
              <w:left w:val="nil"/>
              <w:bottom w:val="nil"/>
              <w:right w:val="nil"/>
            </w:tcBorders>
            <w:shd w:val="clear" w:color="auto" w:fill="auto"/>
            <w:noWrap/>
            <w:vAlign w:val="center"/>
            <w:hideMark/>
          </w:tcPr>
          <w:p w14:paraId="1BADA486" w14:textId="77777777" w:rsidR="00C13A9E" w:rsidRPr="00D92E20" w:rsidRDefault="00C13A9E" w:rsidP="00C13A9E">
            <w:pPr>
              <w:spacing w:after="0" w:line="240" w:lineRule="auto"/>
              <w:jc w:val="center"/>
              <w:rPr>
                <w:rFonts w:cs="Arial"/>
                <w:sz w:val="16"/>
                <w:szCs w:val="16"/>
              </w:rPr>
            </w:pPr>
            <w:r w:rsidRPr="00D92E20">
              <w:rPr>
                <w:rFonts w:cs="Arial"/>
                <w:sz w:val="16"/>
                <w:szCs w:val="16"/>
              </w:rPr>
              <w:t>4,62</w:t>
            </w:r>
          </w:p>
        </w:tc>
        <w:tc>
          <w:tcPr>
            <w:tcW w:w="907" w:type="dxa"/>
            <w:tcBorders>
              <w:top w:val="nil"/>
              <w:left w:val="nil"/>
              <w:bottom w:val="nil"/>
              <w:right w:val="nil"/>
            </w:tcBorders>
            <w:shd w:val="clear" w:color="auto" w:fill="auto"/>
            <w:noWrap/>
            <w:vAlign w:val="center"/>
            <w:hideMark/>
          </w:tcPr>
          <w:p w14:paraId="6F8D72A2" w14:textId="77777777" w:rsidR="00C13A9E" w:rsidRPr="00D92E20" w:rsidRDefault="00C13A9E" w:rsidP="00C13A9E">
            <w:pPr>
              <w:spacing w:after="0" w:line="240" w:lineRule="auto"/>
              <w:jc w:val="center"/>
              <w:rPr>
                <w:rFonts w:cs="Arial"/>
                <w:sz w:val="16"/>
                <w:szCs w:val="16"/>
              </w:rPr>
            </w:pPr>
            <w:r w:rsidRPr="00D92E20">
              <w:rPr>
                <w:rFonts w:cs="Arial"/>
                <w:sz w:val="16"/>
                <w:szCs w:val="16"/>
              </w:rPr>
              <w:t>3,96</w:t>
            </w:r>
          </w:p>
        </w:tc>
        <w:tc>
          <w:tcPr>
            <w:tcW w:w="907" w:type="dxa"/>
            <w:tcBorders>
              <w:top w:val="nil"/>
              <w:left w:val="nil"/>
              <w:bottom w:val="nil"/>
              <w:right w:val="nil"/>
            </w:tcBorders>
            <w:shd w:val="clear" w:color="auto" w:fill="auto"/>
            <w:noWrap/>
            <w:vAlign w:val="center"/>
            <w:hideMark/>
          </w:tcPr>
          <w:p w14:paraId="20739568" w14:textId="77777777" w:rsidR="00C13A9E" w:rsidRPr="00D92E20" w:rsidRDefault="00C13A9E" w:rsidP="00C13A9E">
            <w:pPr>
              <w:spacing w:after="0" w:line="240" w:lineRule="auto"/>
              <w:jc w:val="center"/>
              <w:rPr>
                <w:rFonts w:cs="Arial"/>
                <w:sz w:val="16"/>
                <w:szCs w:val="16"/>
              </w:rPr>
            </w:pPr>
            <w:r w:rsidRPr="00D92E20">
              <w:rPr>
                <w:rFonts w:cs="Arial"/>
                <w:sz w:val="16"/>
                <w:szCs w:val="16"/>
              </w:rPr>
              <w:t>3,86</w:t>
            </w:r>
          </w:p>
        </w:tc>
        <w:tc>
          <w:tcPr>
            <w:tcW w:w="907" w:type="dxa"/>
            <w:tcBorders>
              <w:top w:val="nil"/>
              <w:left w:val="nil"/>
              <w:bottom w:val="nil"/>
              <w:right w:val="nil"/>
            </w:tcBorders>
            <w:shd w:val="clear" w:color="auto" w:fill="auto"/>
            <w:noWrap/>
            <w:vAlign w:val="center"/>
            <w:hideMark/>
          </w:tcPr>
          <w:p w14:paraId="0D3787A2" w14:textId="77777777" w:rsidR="00C13A9E" w:rsidRPr="00D92E20" w:rsidRDefault="00C13A9E" w:rsidP="00C13A9E">
            <w:pPr>
              <w:spacing w:after="0" w:line="240" w:lineRule="auto"/>
              <w:jc w:val="center"/>
              <w:rPr>
                <w:rFonts w:cs="Arial"/>
                <w:sz w:val="16"/>
                <w:szCs w:val="16"/>
              </w:rPr>
            </w:pPr>
            <w:r w:rsidRPr="00D92E20">
              <w:rPr>
                <w:rFonts w:cs="Arial"/>
                <w:sz w:val="16"/>
                <w:szCs w:val="16"/>
              </w:rPr>
              <w:t>2,69</w:t>
            </w:r>
          </w:p>
        </w:tc>
      </w:tr>
      <w:tr w:rsidR="00C13A9E" w:rsidRPr="00D92E20" w14:paraId="6DF31E15"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0CD9D9D6"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Rakousko</w:t>
            </w:r>
          </w:p>
        </w:tc>
        <w:tc>
          <w:tcPr>
            <w:tcW w:w="907" w:type="dxa"/>
            <w:tcBorders>
              <w:top w:val="nil"/>
              <w:left w:val="nil"/>
              <w:bottom w:val="nil"/>
              <w:right w:val="nil"/>
            </w:tcBorders>
            <w:shd w:val="clear" w:color="auto" w:fill="auto"/>
            <w:noWrap/>
            <w:vAlign w:val="center"/>
            <w:hideMark/>
          </w:tcPr>
          <w:p w14:paraId="1C86AE60" w14:textId="77777777" w:rsidR="00C13A9E" w:rsidRPr="00D92E20" w:rsidRDefault="00C13A9E" w:rsidP="00C13A9E">
            <w:pPr>
              <w:spacing w:after="0" w:line="240" w:lineRule="auto"/>
              <w:jc w:val="center"/>
              <w:rPr>
                <w:rFonts w:cs="Arial"/>
                <w:sz w:val="16"/>
                <w:szCs w:val="16"/>
              </w:rPr>
            </w:pPr>
            <w:r w:rsidRPr="00D92E20">
              <w:rPr>
                <w:rFonts w:cs="Arial"/>
                <w:sz w:val="16"/>
                <w:szCs w:val="16"/>
              </w:rPr>
              <w:t>6,20</w:t>
            </w:r>
          </w:p>
        </w:tc>
        <w:tc>
          <w:tcPr>
            <w:tcW w:w="907" w:type="dxa"/>
            <w:tcBorders>
              <w:top w:val="nil"/>
              <w:left w:val="nil"/>
              <w:bottom w:val="nil"/>
              <w:right w:val="nil"/>
            </w:tcBorders>
            <w:shd w:val="clear" w:color="auto" w:fill="auto"/>
            <w:noWrap/>
            <w:vAlign w:val="center"/>
            <w:hideMark/>
          </w:tcPr>
          <w:p w14:paraId="75DC6539" w14:textId="77777777" w:rsidR="00C13A9E" w:rsidRPr="00D92E20" w:rsidRDefault="00C13A9E" w:rsidP="00C13A9E">
            <w:pPr>
              <w:spacing w:after="0" w:line="240" w:lineRule="auto"/>
              <w:jc w:val="center"/>
              <w:rPr>
                <w:rFonts w:cs="Arial"/>
                <w:sz w:val="16"/>
                <w:szCs w:val="16"/>
              </w:rPr>
            </w:pPr>
            <w:r w:rsidRPr="00D92E20">
              <w:rPr>
                <w:rFonts w:cs="Arial"/>
                <w:sz w:val="16"/>
                <w:szCs w:val="16"/>
              </w:rPr>
              <w:t>3,61</w:t>
            </w:r>
          </w:p>
        </w:tc>
        <w:tc>
          <w:tcPr>
            <w:tcW w:w="907" w:type="dxa"/>
            <w:tcBorders>
              <w:top w:val="nil"/>
              <w:left w:val="nil"/>
              <w:bottom w:val="nil"/>
              <w:right w:val="nil"/>
            </w:tcBorders>
            <w:shd w:val="clear" w:color="auto" w:fill="auto"/>
            <w:noWrap/>
            <w:vAlign w:val="center"/>
            <w:hideMark/>
          </w:tcPr>
          <w:p w14:paraId="23243F6F" w14:textId="77777777" w:rsidR="00C13A9E" w:rsidRPr="00D92E20" w:rsidRDefault="00C13A9E" w:rsidP="00C13A9E">
            <w:pPr>
              <w:spacing w:after="0" w:line="240" w:lineRule="auto"/>
              <w:jc w:val="center"/>
              <w:rPr>
                <w:rFonts w:cs="Arial"/>
                <w:sz w:val="16"/>
                <w:szCs w:val="16"/>
              </w:rPr>
            </w:pPr>
            <w:r w:rsidRPr="00D92E20">
              <w:rPr>
                <w:rFonts w:cs="Arial"/>
                <w:sz w:val="16"/>
                <w:szCs w:val="16"/>
              </w:rPr>
              <w:t>4,42</w:t>
            </w:r>
          </w:p>
        </w:tc>
        <w:tc>
          <w:tcPr>
            <w:tcW w:w="907" w:type="dxa"/>
            <w:tcBorders>
              <w:top w:val="nil"/>
              <w:left w:val="nil"/>
              <w:bottom w:val="nil"/>
              <w:right w:val="nil"/>
            </w:tcBorders>
            <w:shd w:val="clear" w:color="auto" w:fill="auto"/>
            <w:noWrap/>
            <w:vAlign w:val="center"/>
            <w:hideMark/>
          </w:tcPr>
          <w:p w14:paraId="40A24563" w14:textId="77777777" w:rsidR="00C13A9E" w:rsidRPr="00D92E20" w:rsidRDefault="00C13A9E" w:rsidP="00C13A9E">
            <w:pPr>
              <w:spacing w:after="0" w:line="240" w:lineRule="auto"/>
              <w:jc w:val="center"/>
              <w:rPr>
                <w:rFonts w:cs="Arial"/>
                <w:sz w:val="16"/>
                <w:szCs w:val="16"/>
              </w:rPr>
            </w:pPr>
            <w:r w:rsidRPr="00D92E20">
              <w:rPr>
                <w:rFonts w:cs="Arial"/>
                <w:sz w:val="16"/>
                <w:szCs w:val="16"/>
              </w:rPr>
              <w:t>4,23</w:t>
            </w:r>
          </w:p>
        </w:tc>
        <w:tc>
          <w:tcPr>
            <w:tcW w:w="907" w:type="dxa"/>
            <w:tcBorders>
              <w:top w:val="nil"/>
              <w:left w:val="nil"/>
              <w:bottom w:val="nil"/>
              <w:right w:val="nil"/>
            </w:tcBorders>
            <w:shd w:val="clear" w:color="auto" w:fill="auto"/>
            <w:noWrap/>
            <w:vAlign w:val="center"/>
            <w:hideMark/>
          </w:tcPr>
          <w:p w14:paraId="2C4CCC6B" w14:textId="77777777" w:rsidR="00C13A9E" w:rsidRPr="00D92E20" w:rsidRDefault="00C13A9E" w:rsidP="00C13A9E">
            <w:pPr>
              <w:spacing w:after="0" w:line="240" w:lineRule="auto"/>
              <w:jc w:val="center"/>
              <w:rPr>
                <w:rFonts w:cs="Arial"/>
                <w:sz w:val="16"/>
                <w:szCs w:val="16"/>
              </w:rPr>
            </w:pPr>
            <w:r w:rsidRPr="00D92E20">
              <w:rPr>
                <w:rFonts w:cs="Arial"/>
                <w:sz w:val="16"/>
                <w:szCs w:val="16"/>
              </w:rPr>
              <w:t>3,96</w:t>
            </w:r>
          </w:p>
        </w:tc>
        <w:tc>
          <w:tcPr>
            <w:tcW w:w="907" w:type="dxa"/>
            <w:tcBorders>
              <w:top w:val="nil"/>
              <w:left w:val="nil"/>
              <w:bottom w:val="nil"/>
              <w:right w:val="nil"/>
            </w:tcBorders>
            <w:shd w:val="clear" w:color="auto" w:fill="auto"/>
            <w:noWrap/>
            <w:vAlign w:val="center"/>
            <w:hideMark/>
          </w:tcPr>
          <w:p w14:paraId="194AFC77" w14:textId="77777777" w:rsidR="00C13A9E" w:rsidRPr="00D92E20" w:rsidRDefault="00C13A9E" w:rsidP="00C13A9E">
            <w:pPr>
              <w:spacing w:after="0" w:line="240" w:lineRule="auto"/>
              <w:jc w:val="center"/>
              <w:rPr>
                <w:rFonts w:cs="Arial"/>
                <w:sz w:val="16"/>
                <w:szCs w:val="16"/>
              </w:rPr>
            </w:pPr>
            <w:r w:rsidRPr="00D92E20">
              <w:rPr>
                <w:rFonts w:cs="Arial"/>
                <w:sz w:val="16"/>
                <w:szCs w:val="16"/>
              </w:rPr>
              <w:t>4,23</w:t>
            </w:r>
          </w:p>
        </w:tc>
        <w:tc>
          <w:tcPr>
            <w:tcW w:w="907" w:type="dxa"/>
            <w:tcBorders>
              <w:top w:val="nil"/>
              <w:left w:val="nil"/>
              <w:bottom w:val="nil"/>
              <w:right w:val="nil"/>
            </w:tcBorders>
            <w:shd w:val="clear" w:color="auto" w:fill="auto"/>
            <w:noWrap/>
            <w:vAlign w:val="center"/>
            <w:hideMark/>
          </w:tcPr>
          <w:p w14:paraId="6CC421AB" w14:textId="77777777" w:rsidR="00C13A9E" w:rsidRPr="00D92E20" w:rsidRDefault="00C13A9E" w:rsidP="00C13A9E">
            <w:pPr>
              <w:spacing w:after="0" w:line="240" w:lineRule="auto"/>
              <w:jc w:val="center"/>
              <w:rPr>
                <w:rFonts w:cs="Arial"/>
                <w:sz w:val="16"/>
                <w:szCs w:val="16"/>
              </w:rPr>
            </w:pPr>
            <w:r w:rsidRPr="00D92E20">
              <w:rPr>
                <w:rFonts w:cs="Arial"/>
                <w:sz w:val="16"/>
                <w:szCs w:val="16"/>
              </w:rPr>
              <w:t>5,44</w:t>
            </w:r>
          </w:p>
        </w:tc>
        <w:tc>
          <w:tcPr>
            <w:tcW w:w="907" w:type="dxa"/>
            <w:tcBorders>
              <w:top w:val="nil"/>
              <w:left w:val="nil"/>
              <w:bottom w:val="nil"/>
              <w:right w:val="nil"/>
            </w:tcBorders>
            <w:shd w:val="clear" w:color="auto" w:fill="auto"/>
            <w:noWrap/>
            <w:vAlign w:val="center"/>
            <w:hideMark/>
          </w:tcPr>
          <w:p w14:paraId="3B4C7F0E" w14:textId="77777777" w:rsidR="00C13A9E" w:rsidRPr="00D92E20" w:rsidRDefault="00C13A9E" w:rsidP="00C13A9E">
            <w:pPr>
              <w:spacing w:after="0" w:line="240" w:lineRule="auto"/>
              <w:jc w:val="center"/>
              <w:rPr>
                <w:rFonts w:cs="Arial"/>
                <w:sz w:val="16"/>
                <w:szCs w:val="16"/>
              </w:rPr>
            </w:pPr>
            <w:r w:rsidRPr="00D92E20">
              <w:rPr>
                <w:rFonts w:cs="Arial"/>
                <w:sz w:val="16"/>
                <w:szCs w:val="16"/>
              </w:rPr>
              <w:t>4,11</w:t>
            </w:r>
          </w:p>
        </w:tc>
        <w:tc>
          <w:tcPr>
            <w:tcW w:w="907" w:type="dxa"/>
            <w:tcBorders>
              <w:top w:val="nil"/>
              <w:left w:val="nil"/>
              <w:bottom w:val="nil"/>
              <w:right w:val="nil"/>
            </w:tcBorders>
            <w:shd w:val="clear" w:color="auto" w:fill="auto"/>
            <w:noWrap/>
            <w:vAlign w:val="center"/>
            <w:hideMark/>
          </w:tcPr>
          <w:p w14:paraId="00B2FF27" w14:textId="77777777" w:rsidR="00C13A9E" w:rsidRPr="00D92E20" w:rsidRDefault="00C13A9E" w:rsidP="00C13A9E">
            <w:pPr>
              <w:spacing w:after="0" w:line="240" w:lineRule="auto"/>
              <w:jc w:val="center"/>
              <w:rPr>
                <w:rFonts w:cs="Arial"/>
                <w:sz w:val="16"/>
                <w:szCs w:val="16"/>
              </w:rPr>
            </w:pPr>
            <w:r w:rsidRPr="00D92E20">
              <w:rPr>
                <w:rFonts w:cs="Arial"/>
                <w:sz w:val="16"/>
                <w:szCs w:val="16"/>
              </w:rPr>
              <w:t>4,31</w:t>
            </w:r>
          </w:p>
        </w:tc>
      </w:tr>
      <w:tr w:rsidR="00C13A9E" w:rsidRPr="00D92E20" w14:paraId="7B533AFD"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22D5FE33"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Rumunsko</w:t>
            </w:r>
          </w:p>
        </w:tc>
        <w:tc>
          <w:tcPr>
            <w:tcW w:w="907" w:type="dxa"/>
            <w:tcBorders>
              <w:top w:val="nil"/>
              <w:left w:val="nil"/>
              <w:bottom w:val="nil"/>
              <w:right w:val="nil"/>
            </w:tcBorders>
            <w:shd w:val="clear" w:color="auto" w:fill="auto"/>
            <w:noWrap/>
            <w:vAlign w:val="center"/>
            <w:hideMark/>
          </w:tcPr>
          <w:p w14:paraId="06859F35" w14:textId="77777777" w:rsidR="00C13A9E" w:rsidRPr="00D92E20" w:rsidRDefault="00C13A9E" w:rsidP="00C13A9E">
            <w:pPr>
              <w:spacing w:after="0" w:line="240" w:lineRule="auto"/>
              <w:jc w:val="center"/>
              <w:rPr>
                <w:rFonts w:cs="Arial"/>
                <w:sz w:val="16"/>
                <w:szCs w:val="16"/>
              </w:rPr>
            </w:pPr>
            <w:r w:rsidRPr="00D92E20">
              <w:rPr>
                <w:rFonts w:cs="Arial"/>
                <w:sz w:val="16"/>
                <w:szCs w:val="16"/>
              </w:rPr>
              <w:t>6,44</w:t>
            </w:r>
          </w:p>
        </w:tc>
        <w:tc>
          <w:tcPr>
            <w:tcW w:w="907" w:type="dxa"/>
            <w:tcBorders>
              <w:top w:val="nil"/>
              <w:left w:val="nil"/>
              <w:bottom w:val="nil"/>
              <w:right w:val="nil"/>
            </w:tcBorders>
            <w:shd w:val="clear" w:color="auto" w:fill="auto"/>
            <w:noWrap/>
            <w:vAlign w:val="center"/>
            <w:hideMark/>
          </w:tcPr>
          <w:p w14:paraId="4F395BF7" w14:textId="77777777" w:rsidR="00C13A9E" w:rsidRPr="00D92E20" w:rsidRDefault="00C13A9E" w:rsidP="00C13A9E">
            <w:pPr>
              <w:spacing w:after="0" w:line="240" w:lineRule="auto"/>
              <w:jc w:val="center"/>
              <w:rPr>
                <w:rFonts w:cs="Arial"/>
                <w:sz w:val="16"/>
                <w:szCs w:val="16"/>
              </w:rPr>
            </w:pPr>
            <w:r w:rsidRPr="00D92E20">
              <w:rPr>
                <w:rFonts w:cs="Arial"/>
                <w:sz w:val="16"/>
                <w:szCs w:val="16"/>
              </w:rPr>
              <w:t>8,67</w:t>
            </w:r>
          </w:p>
        </w:tc>
        <w:tc>
          <w:tcPr>
            <w:tcW w:w="907" w:type="dxa"/>
            <w:tcBorders>
              <w:top w:val="nil"/>
              <w:left w:val="nil"/>
              <w:bottom w:val="nil"/>
              <w:right w:val="nil"/>
            </w:tcBorders>
            <w:shd w:val="clear" w:color="auto" w:fill="auto"/>
            <w:noWrap/>
            <w:vAlign w:val="center"/>
            <w:hideMark/>
          </w:tcPr>
          <w:p w14:paraId="6689F6E8" w14:textId="77777777" w:rsidR="00C13A9E" w:rsidRPr="00D92E20" w:rsidRDefault="00C13A9E" w:rsidP="00C13A9E">
            <w:pPr>
              <w:spacing w:after="0" w:line="240" w:lineRule="auto"/>
              <w:jc w:val="center"/>
              <w:rPr>
                <w:rFonts w:cs="Arial"/>
                <w:sz w:val="16"/>
                <w:szCs w:val="16"/>
              </w:rPr>
            </w:pPr>
            <w:r w:rsidRPr="00D92E20">
              <w:rPr>
                <w:rFonts w:cs="Arial"/>
                <w:sz w:val="16"/>
                <w:szCs w:val="16"/>
              </w:rPr>
              <w:t>7,57</w:t>
            </w:r>
          </w:p>
        </w:tc>
        <w:tc>
          <w:tcPr>
            <w:tcW w:w="907" w:type="dxa"/>
            <w:tcBorders>
              <w:top w:val="nil"/>
              <w:left w:val="nil"/>
              <w:bottom w:val="nil"/>
              <w:right w:val="nil"/>
            </w:tcBorders>
            <w:shd w:val="clear" w:color="auto" w:fill="auto"/>
            <w:noWrap/>
            <w:vAlign w:val="center"/>
            <w:hideMark/>
          </w:tcPr>
          <w:p w14:paraId="55D21CDD" w14:textId="77777777" w:rsidR="00C13A9E" w:rsidRPr="00D92E20" w:rsidRDefault="00C13A9E" w:rsidP="00C13A9E">
            <w:pPr>
              <w:spacing w:after="0" w:line="240" w:lineRule="auto"/>
              <w:jc w:val="center"/>
              <w:rPr>
                <w:rFonts w:cs="Arial"/>
                <w:sz w:val="16"/>
                <w:szCs w:val="16"/>
              </w:rPr>
            </w:pPr>
            <w:r w:rsidRPr="00D92E20">
              <w:rPr>
                <w:rFonts w:cs="Arial"/>
                <w:sz w:val="16"/>
                <w:szCs w:val="16"/>
              </w:rPr>
              <w:t>6,90</w:t>
            </w:r>
          </w:p>
        </w:tc>
        <w:tc>
          <w:tcPr>
            <w:tcW w:w="907" w:type="dxa"/>
            <w:tcBorders>
              <w:top w:val="nil"/>
              <w:left w:val="nil"/>
              <w:bottom w:val="nil"/>
              <w:right w:val="nil"/>
            </w:tcBorders>
            <w:shd w:val="clear" w:color="auto" w:fill="auto"/>
            <w:noWrap/>
            <w:vAlign w:val="center"/>
            <w:hideMark/>
          </w:tcPr>
          <w:p w14:paraId="78AA2A6A" w14:textId="77777777" w:rsidR="00C13A9E" w:rsidRPr="00D92E20" w:rsidRDefault="00C13A9E" w:rsidP="00C13A9E">
            <w:pPr>
              <w:spacing w:after="0" w:line="240" w:lineRule="auto"/>
              <w:jc w:val="center"/>
              <w:rPr>
                <w:rFonts w:cs="Arial"/>
                <w:sz w:val="16"/>
                <w:szCs w:val="16"/>
              </w:rPr>
            </w:pPr>
            <w:r w:rsidRPr="00D92E20">
              <w:rPr>
                <w:rFonts w:cs="Arial"/>
                <w:sz w:val="16"/>
                <w:szCs w:val="16"/>
              </w:rPr>
              <w:t>7,13</w:t>
            </w:r>
          </w:p>
        </w:tc>
        <w:tc>
          <w:tcPr>
            <w:tcW w:w="907" w:type="dxa"/>
            <w:tcBorders>
              <w:top w:val="nil"/>
              <w:left w:val="nil"/>
              <w:bottom w:val="nil"/>
              <w:right w:val="nil"/>
            </w:tcBorders>
            <w:shd w:val="clear" w:color="auto" w:fill="auto"/>
            <w:noWrap/>
            <w:vAlign w:val="center"/>
            <w:hideMark/>
          </w:tcPr>
          <w:p w14:paraId="332A266F" w14:textId="77777777" w:rsidR="00C13A9E" w:rsidRPr="00D92E20" w:rsidRDefault="00C13A9E" w:rsidP="00C13A9E">
            <w:pPr>
              <w:spacing w:after="0" w:line="240" w:lineRule="auto"/>
              <w:jc w:val="center"/>
              <w:rPr>
                <w:rFonts w:cs="Arial"/>
                <w:sz w:val="16"/>
                <w:szCs w:val="16"/>
              </w:rPr>
            </w:pPr>
            <w:r w:rsidRPr="00D92E20">
              <w:rPr>
                <w:rFonts w:cs="Arial"/>
                <w:sz w:val="16"/>
                <w:szCs w:val="16"/>
              </w:rPr>
              <w:t>7,49</w:t>
            </w:r>
          </w:p>
        </w:tc>
        <w:tc>
          <w:tcPr>
            <w:tcW w:w="907" w:type="dxa"/>
            <w:tcBorders>
              <w:top w:val="nil"/>
              <w:left w:val="nil"/>
              <w:bottom w:val="nil"/>
              <w:right w:val="nil"/>
            </w:tcBorders>
            <w:shd w:val="clear" w:color="auto" w:fill="auto"/>
            <w:noWrap/>
            <w:vAlign w:val="center"/>
            <w:hideMark/>
          </w:tcPr>
          <w:p w14:paraId="731148F6" w14:textId="77777777" w:rsidR="00C13A9E" w:rsidRPr="00D92E20" w:rsidRDefault="00C13A9E" w:rsidP="00C13A9E">
            <w:pPr>
              <w:spacing w:after="0" w:line="240" w:lineRule="auto"/>
              <w:jc w:val="center"/>
              <w:rPr>
                <w:rFonts w:cs="Arial"/>
                <w:sz w:val="16"/>
                <w:szCs w:val="16"/>
              </w:rPr>
            </w:pPr>
            <w:r w:rsidRPr="00D92E20">
              <w:rPr>
                <w:rFonts w:cs="Arial"/>
                <w:sz w:val="16"/>
                <w:szCs w:val="16"/>
              </w:rPr>
              <w:t>6,11</w:t>
            </w:r>
          </w:p>
        </w:tc>
        <w:tc>
          <w:tcPr>
            <w:tcW w:w="907" w:type="dxa"/>
            <w:tcBorders>
              <w:top w:val="nil"/>
              <w:left w:val="nil"/>
              <w:bottom w:val="nil"/>
              <w:right w:val="nil"/>
            </w:tcBorders>
            <w:shd w:val="clear" w:color="auto" w:fill="auto"/>
            <w:noWrap/>
            <w:vAlign w:val="center"/>
            <w:hideMark/>
          </w:tcPr>
          <w:p w14:paraId="792900FF" w14:textId="77777777" w:rsidR="00C13A9E" w:rsidRPr="00D92E20" w:rsidRDefault="00C13A9E" w:rsidP="00C13A9E">
            <w:pPr>
              <w:spacing w:after="0" w:line="240" w:lineRule="auto"/>
              <w:jc w:val="center"/>
              <w:rPr>
                <w:rFonts w:cs="Arial"/>
                <w:sz w:val="16"/>
                <w:szCs w:val="16"/>
              </w:rPr>
            </w:pPr>
            <w:r w:rsidRPr="00D92E20">
              <w:rPr>
                <w:rFonts w:cs="Arial"/>
                <w:sz w:val="16"/>
                <w:szCs w:val="16"/>
              </w:rPr>
              <w:t>5,72</w:t>
            </w:r>
          </w:p>
        </w:tc>
        <w:tc>
          <w:tcPr>
            <w:tcW w:w="907" w:type="dxa"/>
            <w:tcBorders>
              <w:top w:val="nil"/>
              <w:left w:val="nil"/>
              <w:bottom w:val="nil"/>
              <w:right w:val="nil"/>
            </w:tcBorders>
            <w:shd w:val="clear" w:color="auto" w:fill="auto"/>
            <w:noWrap/>
            <w:vAlign w:val="center"/>
            <w:hideMark/>
          </w:tcPr>
          <w:p w14:paraId="35182BC0" w14:textId="77777777" w:rsidR="00C13A9E" w:rsidRPr="00D92E20" w:rsidRDefault="00C13A9E" w:rsidP="00C13A9E">
            <w:pPr>
              <w:spacing w:after="0" w:line="240" w:lineRule="auto"/>
              <w:jc w:val="center"/>
              <w:rPr>
                <w:rFonts w:cs="Arial"/>
                <w:sz w:val="16"/>
                <w:szCs w:val="16"/>
              </w:rPr>
            </w:pPr>
            <w:r w:rsidRPr="00D92E20">
              <w:rPr>
                <w:rFonts w:cs="Arial"/>
                <w:sz w:val="16"/>
                <w:szCs w:val="16"/>
              </w:rPr>
              <w:t>5,27</w:t>
            </w:r>
          </w:p>
        </w:tc>
      </w:tr>
      <w:tr w:rsidR="00C13A9E" w:rsidRPr="00D92E20" w14:paraId="13AB1523"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430AFEBC"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Řecko</w:t>
            </w:r>
          </w:p>
        </w:tc>
        <w:tc>
          <w:tcPr>
            <w:tcW w:w="907" w:type="dxa"/>
            <w:tcBorders>
              <w:top w:val="nil"/>
              <w:left w:val="nil"/>
              <w:bottom w:val="nil"/>
              <w:right w:val="nil"/>
            </w:tcBorders>
            <w:shd w:val="clear" w:color="auto" w:fill="auto"/>
            <w:noWrap/>
            <w:vAlign w:val="center"/>
            <w:hideMark/>
          </w:tcPr>
          <w:p w14:paraId="17DB51D5" w14:textId="77777777" w:rsidR="00C13A9E" w:rsidRPr="00D92E20" w:rsidRDefault="00C13A9E" w:rsidP="00C13A9E">
            <w:pPr>
              <w:spacing w:after="0" w:line="240" w:lineRule="auto"/>
              <w:jc w:val="center"/>
              <w:rPr>
                <w:rFonts w:cs="Arial"/>
                <w:sz w:val="16"/>
                <w:szCs w:val="16"/>
              </w:rPr>
            </w:pPr>
            <w:r w:rsidRPr="00D92E20">
              <w:rPr>
                <w:rFonts w:cs="Arial"/>
                <w:sz w:val="16"/>
                <w:szCs w:val="16"/>
              </w:rPr>
              <w:t>0,94</w:t>
            </w:r>
          </w:p>
        </w:tc>
        <w:tc>
          <w:tcPr>
            <w:tcW w:w="907" w:type="dxa"/>
            <w:tcBorders>
              <w:top w:val="nil"/>
              <w:left w:val="nil"/>
              <w:bottom w:val="nil"/>
              <w:right w:val="nil"/>
            </w:tcBorders>
            <w:shd w:val="clear" w:color="auto" w:fill="auto"/>
            <w:noWrap/>
            <w:vAlign w:val="center"/>
            <w:hideMark/>
          </w:tcPr>
          <w:p w14:paraId="53DF228F" w14:textId="77777777" w:rsidR="00C13A9E" w:rsidRPr="00D92E20" w:rsidRDefault="00C13A9E" w:rsidP="00C13A9E">
            <w:pPr>
              <w:spacing w:after="0" w:line="240" w:lineRule="auto"/>
              <w:jc w:val="center"/>
              <w:rPr>
                <w:rFonts w:cs="Arial"/>
                <w:sz w:val="16"/>
                <w:szCs w:val="16"/>
              </w:rPr>
            </w:pPr>
            <w:r w:rsidRPr="00D92E20">
              <w:rPr>
                <w:rFonts w:cs="Arial"/>
                <w:sz w:val="16"/>
                <w:szCs w:val="16"/>
              </w:rPr>
              <w:t>1,39</w:t>
            </w:r>
          </w:p>
        </w:tc>
        <w:tc>
          <w:tcPr>
            <w:tcW w:w="907" w:type="dxa"/>
            <w:tcBorders>
              <w:top w:val="nil"/>
              <w:left w:val="nil"/>
              <w:bottom w:val="nil"/>
              <w:right w:val="nil"/>
            </w:tcBorders>
            <w:shd w:val="clear" w:color="auto" w:fill="auto"/>
            <w:noWrap/>
            <w:vAlign w:val="center"/>
            <w:hideMark/>
          </w:tcPr>
          <w:p w14:paraId="323D9B0C" w14:textId="77777777" w:rsidR="00C13A9E" w:rsidRPr="00D92E20" w:rsidRDefault="00C13A9E" w:rsidP="00C13A9E">
            <w:pPr>
              <w:spacing w:after="0" w:line="240" w:lineRule="auto"/>
              <w:jc w:val="center"/>
              <w:rPr>
                <w:rFonts w:cs="Arial"/>
                <w:sz w:val="16"/>
                <w:szCs w:val="16"/>
              </w:rPr>
            </w:pPr>
            <w:r w:rsidRPr="00D92E20">
              <w:rPr>
                <w:rFonts w:cs="Arial"/>
                <w:sz w:val="16"/>
                <w:szCs w:val="16"/>
              </w:rPr>
              <w:t>1,33</w:t>
            </w:r>
          </w:p>
        </w:tc>
        <w:tc>
          <w:tcPr>
            <w:tcW w:w="907" w:type="dxa"/>
            <w:tcBorders>
              <w:top w:val="nil"/>
              <w:left w:val="nil"/>
              <w:bottom w:val="nil"/>
              <w:right w:val="nil"/>
            </w:tcBorders>
            <w:shd w:val="clear" w:color="auto" w:fill="auto"/>
            <w:noWrap/>
            <w:vAlign w:val="center"/>
            <w:hideMark/>
          </w:tcPr>
          <w:p w14:paraId="0071DFB3" w14:textId="77777777" w:rsidR="00C13A9E" w:rsidRPr="00D92E20" w:rsidRDefault="00C13A9E" w:rsidP="00C13A9E">
            <w:pPr>
              <w:spacing w:after="0" w:line="240" w:lineRule="auto"/>
              <w:jc w:val="center"/>
              <w:rPr>
                <w:rFonts w:cs="Arial"/>
                <w:sz w:val="16"/>
                <w:szCs w:val="16"/>
              </w:rPr>
            </w:pPr>
            <w:r w:rsidRPr="00D92E20">
              <w:rPr>
                <w:rFonts w:cs="Arial"/>
                <w:sz w:val="16"/>
                <w:szCs w:val="16"/>
              </w:rPr>
              <w:t>1,19</w:t>
            </w:r>
          </w:p>
        </w:tc>
        <w:tc>
          <w:tcPr>
            <w:tcW w:w="907" w:type="dxa"/>
            <w:tcBorders>
              <w:top w:val="nil"/>
              <w:left w:val="nil"/>
              <w:bottom w:val="nil"/>
              <w:right w:val="nil"/>
            </w:tcBorders>
            <w:shd w:val="clear" w:color="000000" w:fill="D9D9D9"/>
            <w:noWrap/>
            <w:vAlign w:val="center"/>
            <w:hideMark/>
          </w:tcPr>
          <w:p w14:paraId="2B9F7C51" w14:textId="77777777" w:rsidR="00C13A9E" w:rsidRPr="00D92E20" w:rsidRDefault="00C13A9E" w:rsidP="00C13A9E">
            <w:pPr>
              <w:spacing w:after="0" w:line="240" w:lineRule="auto"/>
              <w:jc w:val="center"/>
              <w:rPr>
                <w:rFonts w:cs="Arial"/>
                <w:sz w:val="16"/>
                <w:szCs w:val="16"/>
              </w:rPr>
            </w:pPr>
            <w:r w:rsidRPr="00D92E20">
              <w:rPr>
                <w:rFonts w:cs="Arial"/>
                <w:sz w:val="16"/>
                <w:szCs w:val="16"/>
              </w:rPr>
              <w:t>1,18</w:t>
            </w:r>
          </w:p>
        </w:tc>
        <w:tc>
          <w:tcPr>
            <w:tcW w:w="907" w:type="dxa"/>
            <w:tcBorders>
              <w:top w:val="nil"/>
              <w:left w:val="nil"/>
              <w:bottom w:val="nil"/>
              <w:right w:val="nil"/>
            </w:tcBorders>
            <w:shd w:val="clear" w:color="auto" w:fill="auto"/>
            <w:noWrap/>
            <w:vAlign w:val="center"/>
            <w:hideMark/>
          </w:tcPr>
          <w:p w14:paraId="2071024D" w14:textId="77777777" w:rsidR="00C13A9E" w:rsidRPr="00D92E20" w:rsidRDefault="00C13A9E" w:rsidP="00C13A9E">
            <w:pPr>
              <w:spacing w:after="0" w:line="240" w:lineRule="auto"/>
              <w:jc w:val="center"/>
              <w:rPr>
                <w:rFonts w:cs="Arial"/>
                <w:sz w:val="16"/>
                <w:szCs w:val="16"/>
              </w:rPr>
            </w:pPr>
            <w:r w:rsidRPr="00D92E20">
              <w:rPr>
                <w:rFonts w:cs="Arial"/>
                <w:sz w:val="16"/>
                <w:szCs w:val="16"/>
              </w:rPr>
              <w:t>2,44</w:t>
            </w:r>
          </w:p>
        </w:tc>
        <w:tc>
          <w:tcPr>
            <w:tcW w:w="907" w:type="dxa"/>
            <w:tcBorders>
              <w:top w:val="nil"/>
              <w:left w:val="nil"/>
              <w:bottom w:val="nil"/>
              <w:right w:val="nil"/>
            </w:tcBorders>
            <w:shd w:val="clear" w:color="auto" w:fill="auto"/>
            <w:noWrap/>
            <w:vAlign w:val="center"/>
            <w:hideMark/>
          </w:tcPr>
          <w:p w14:paraId="2A71FEE8" w14:textId="77777777" w:rsidR="00C13A9E" w:rsidRPr="00D92E20" w:rsidRDefault="00C13A9E" w:rsidP="00C13A9E">
            <w:pPr>
              <w:spacing w:after="0" w:line="240" w:lineRule="auto"/>
              <w:jc w:val="center"/>
              <w:rPr>
                <w:rFonts w:cs="Arial"/>
                <w:sz w:val="16"/>
                <w:szCs w:val="16"/>
              </w:rPr>
            </w:pPr>
            <w:r w:rsidRPr="00D92E20">
              <w:rPr>
                <w:rFonts w:cs="Arial"/>
                <w:sz w:val="16"/>
                <w:szCs w:val="16"/>
              </w:rPr>
              <w:t>1,93</w:t>
            </w:r>
          </w:p>
        </w:tc>
        <w:tc>
          <w:tcPr>
            <w:tcW w:w="907" w:type="dxa"/>
            <w:tcBorders>
              <w:top w:val="nil"/>
              <w:left w:val="nil"/>
              <w:bottom w:val="nil"/>
              <w:right w:val="nil"/>
            </w:tcBorders>
            <w:shd w:val="clear" w:color="auto" w:fill="auto"/>
            <w:noWrap/>
            <w:vAlign w:val="center"/>
            <w:hideMark/>
          </w:tcPr>
          <w:p w14:paraId="724CCB94" w14:textId="77777777" w:rsidR="00C13A9E" w:rsidRPr="00D92E20" w:rsidRDefault="00C13A9E" w:rsidP="00C13A9E">
            <w:pPr>
              <w:spacing w:after="0" w:line="240" w:lineRule="auto"/>
              <w:jc w:val="center"/>
              <w:rPr>
                <w:rFonts w:cs="Arial"/>
                <w:sz w:val="16"/>
                <w:szCs w:val="16"/>
              </w:rPr>
            </w:pPr>
            <w:r w:rsidRPr="00D92E20">
              <w:rPr>
                <w:rFonts w:cs="Arial"/>
                <w:sz w:val="16"/>
                <w:szCs w:val="16"/>
              </w:rPr>
              <w:t>1,96</w:t>
            </w:r>
          </w:p>
        </w:tc>
        <w:tc>
          <w:tcPr>
            <w:tcW w:w="907" w:type="dxa"/>
            <w:tcBorders>
              <w:top w:val="nil"/>
              <w:left w:val="nil"/>
              <w:bottom w:val="nil"/>
              <w:right w:val="nil"/>
            </w:tcBorders>
            <w:shd w:val="clear" w:color="auto" w:fill="auto"/>
            <w:noWrap/>
            <w:vAlign w:val="center"/>
            <w:hideMark/>
          </w:tcPr>
          <w:p w14:paraId="072AE54B" w14:textId="77777777" w:rsidR="00C13A9E" w:rsidRPr="00D92E20" w:rsidRDefault="00C13A9E" w:rsidP="00C13A9E">
            <w:pPr>
              <w:spacing w:after="0" w:line="240" w:lineRule="auto"/>
              <w:jc w:val="center"/>
              <w:rPr>
                <w:rFonts w:cs="Arial"/>
                <w:sz w:val="16"/>
                <w:szCs w:val="16"/>
              </w:rPr>
            </w:pPr>
            <w:r w:rsidRPr="00D92E20">
              <w:rPr>
                <w:rFonts w:cs="Arial"/>
                <w:sz w:val="16"/>
                <w:szCs w:val="16"/>
              </w:rPr>
              <w:t>1,69</w:t>
            </w:r>
          </w:p>
        </w:tc>
      </w:tr>
      <w:tr w:rsidR="00C13A9E" w:rsidRPr="00D92E20" w14:paraId="118E4D01"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25569D9C"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Slovensko</w:t>
            </w:r>
          </w:p>
        </w:tc>
        <w:tc>
          <w:tcPr>
            <w:tcW w:w="907" w:type="dxa"/>
            <w:tcBorders>
              <w:top w:val="nil"/>
              <w:left w:val="nil"/>
              <w:bottom w:val="nil"/>
              <w:right w:val="nil"/>
            </w:tcBorders>
            <w:shd w:val="clear" w:color="auto" w:fill="auto"/>
            <w:noWrap/>
            <w:vAlign w:val="center"/>
            <w:hideMark/>
          </w:tcPr>
          <w:p w14:paraId="06E91E80" w14:textId="77777777" w:rsidR="00C13A9E" w:rsidRPr="00D92E20" w:rsidRDefault="00C13A9E" w:rsidP="00C13A9E">
            <w:pPr>
              <w:spacing w:after="0" w:line="240" w:lineRule="auto"/>
              <w:jc w:val="center"/>
              <w:rPr>
                <w:rFonts w:cs="Arial"/>
                <w:sz w:val="16"/>
                <w:szCs w:val="16"/>
              </w:rPr>
            </w:pPr>
            <w:r w:rsidRPr="00D92E20">
              <w:rPr>
                <w:rFonts w:cs="Arial"/>
                <w:sz w:val="16"/>
                <w:szCs w:val="16"/>
              </w:rPr>
              <w:t>2,70</w:t>
            </w:r>
          </w:p>
        </w:tc>
        <w:tc>
          <w:tcPr>
            <w:tcW w:w="907" w:type="dxa"/>
            <w:tcBorders>
              <w:top w:val="nil"/>
              <w:left w:val="nil"/>
              <w:bottom w:val="nil"/>
              <w:right w:val="nil"/>
            </w:tcBorders>
            <w:shd w:val="clear" w:color="auto" w:fill="auto"/>
            <w:noWrap/>
            <w:vAlign w:val="center"/>
            <w:hideMark/>
          </w:tcPr>
          <w:p w14:paraId="3843CA26" w14:textId="77777777" w:rsidR="00C13A9E" w:rsidRPr="00D92E20" w:rsidRDefault="00C13A9E" w:rsidP="00C13A9E">
            <w:pPr>
              <w:spacing w:after="0" w:line="240" w:lineRule="auto"/>
              <w:jc w:val="center"/>
              <w:rPr>
                <w:rFonts w:cs="Arial"/>
                <w:sz w:val="16"/>
                <w:szCs w:val="16"/>
              </w:rPr>
            </w:pPr>
            <w:r w:rsidRPr="00D92E20">
              <w:rPr>
                <w:rFonts w:cs="Arial"/>
                <w:sz w:val="16"/>
                <w:szCs w:val="16"/>
              </w:rPr>
              <w:t>2,26</w:t>
            </w:r>
          </w:p>
        </w:tc>
        <w:tc>
          <w:tcPr>
            <w:tcW w:w="907" w:type="dxa"/>
            <w:tcBorders>
              <w:top w:val="nil"/>
              <w:left w:val="nil"/>
              <w:bottom w:val="nil"/>
              <w:right w:val="nil"/>
            </w:tcBorders>
            <w:shd w:val="clear" w:color="auto" w:fill="auto"/>
            <w:noWrap/>
            <w:vAlign w:val="center"/>
            <w:hideMark/>
          </w:tcPr>
          <w:p w14:paraId="1BAEEFBF" w14:textId="77777777" w:rsidR="00C13A9E" w:rsidRPr="00D92E20" w:rsidRDefault="00C13A9E" w:rsidP="00C13A9E">
            <w:pPr>
              <w:spacing w:after="0" w:line="240" w:lineRule="auto"/>
              <w:jc w:val="center"/>
              <w:rPr>
                <w:rFonts w:cs="Arial"/>
                <w:sz w:val="16"/>
                <w:szCs w:val="16"/>
              </w:rPr>
            </w:pPr>
            <w:r w:rsidRPr="00D92E20">
              <w:rPr>
                <w:rFonts w:cs="Arial"/>
                <w:sz w:val="16"/>
                <w:szCs w:val="16"/>
              </w:rPr>
              <w:t>3,14</w:t>
            </w:r>
          </w:p>
        </w:tc>
        <w:tc>
          <w:tcPr>
            <w:tcW w:w="907" w:type="dxa"/>
            <w:tcBorders>
              <w:top w:val="nil"/>
              <w:left w:val="nil"/>
              <w:bottom w:val="nil"/>
              <w:right w:val="nil"/>
            </w:tcBorders>
            <w:shd w:val="clear" w:color="auto" w:fill="auto"/>
            <w:noWrap/>
            <w:vAlign w:val="center"/>
            <w:hideMark/>
          </w:tcPr>
          <w:p w14:paraId="213020FF" w14:textId="77777777" w:rsidR="00C13A9E" w:rsidRPr="00D92E20" w:rsidRDefault="00C13A9E" w:rsidP="00C13A9E">
            <w:pPr>
              <w:spacing w:after="0" w:line="240" w:lineRule="auto"/>
              <w:jc w:val="center"/>
              <w:rPr>
                <w:rFonts w:cs="Arial"/>
                <w:sz w:val="16"/>
                <w:szCs w:val="16"/>
              </w:rPr>
            </w:pPr>
            <w:r w:rsidRPr="00D92E20">
              <w:rPr>
                <w:rFonts w:cs="Arial"/>
                <w:sz w:val="16"/>
                <w:szCs w:val="16"/>
              </w:rPr>
              <w:t>3,33</w:t>
            </w:r>
          </w:p>
        </w:tc>
        <w:tc>
          <w:tcPr>
            <w:tcW w:w="907" w:type="dxa"/>
            <w:tcBorders>
              <w:top w:val="nil"/>
              <w:left w:val="nil"/>
              <w:bottom w:val="nil"/>
              <w:right w:val="nil"/>
            </w:tcBorders>
            <w:shd w:val="clear" w:color="auto" w:fill="auto"/>
            <w:noWrap/>
            <w:vAlign w:val="center"/>
            <w:hideMark/>
          </w:tcPr>
          <w:p w14:paraId="4E6E895D" w14:textId="77777777" w:rsidR="00C13A9E" w:rsidRPr="00D92E20" w:rsidRDefault="00C13A9E" w:rsidP="00C13A9E">
            <w:pPr>
              <w:spacing w:after="0" w:line="240" w:lineRule="auto"/>
              <w:jc w:val="center"/>
              <w:rPr>
                <w:rFonts w:cs="Arial"/>
                <w:sz w:val="16"/>
                <w:szCs w:val="16"/>
              </w:rPr>
            </w:pPr>
            <w:r w:rsidRPr="00D92E20">
              <w:rPr>
                <w:rFonts w:cs="Arial"/>
                <w:sz w:val="16"/>
                <w:szCs w:val="16"/>
              </w:rPr>
              <w:t>2,31</w:t>
            </w:r>
          </w:p>
        </w:tc>
        <w:tc>
          <w:tcPr>
            <w:tcW w:w="907" w:type="dxa"/>
            <w:tcBorders>
              <w:top w:val="nil"/>
              <w:left w:val="nil"/>
              <w:bottom w:val="nil"/>
              <w:right w:val="nil"/>
            </w:tcBorders>
            <w:shd w:val="clear" w:color="auto" w:fill="auto"/>
            <w:noWrap/>
            <w:vAlign w:val="center"/>
            <w:hideMark/>
          </w:tcPr>
          <w:p w14:paraId="01988D81" w14:textId="77777777" w:rsidR="00C13A9E" w:rsidRPr="00D92E20" w:rsidRDefault="00C13A9E" w:rsidP="00C13A9E">
            <w:pPr>
              <w:spacing w:after="0" w:line="240" w:lineRule="auto"/>
              <w:jc w:val="center"/>
              <w:rPr>
                <w:rFonts w:cs="Arial"/>
                <w:sz w:val="16"/>
                <w:szCs w:val="16"/>
              </w:rPr>
            </w:pPr>
            <w:r w:rsidRPr="00D92E20">
              <w:rPr>
                <w:rFonts w:cs="Arial"/>
                <w:sz w:val="16"/>
                <w:szCs w:val="16"/>
              </w:rPr>
              <w:t>3,63</w:t>
            </w:r>
          </w:p>
        </w:tc>
        <w:tc>
          <w:tcPr>
            <w:tcW w:w="907" w:type="dxa"/>
            <w:tcBorders>
              <w:top w:val="nil"/>
              <w:left w:val="nil"/>
              <w:bottom w:val="nil"/>
              <w:right w:val="nil"/>
            </w:tcBorders>
            <w:shd w:val="clear" w:color="auto" w:fill="auto"/>
            <w:noWrap/>
            <w:vAlign w:val="center"/>
            <w:hideMark/>
          </w:tcPr>
          <w:p w14:paraId="547943BC" w14:textId="77777777" w:rsidR="00C13A9E" w:rsidRPr="00D92E20" w:rsidRDefault="00C13A9E" w:rsidP="00C13A9E">
            <w:pPr>
              <w:spacing w:after="0" w:line="240" w:lineRule="auto"/>
              <w:jc w:val="center"/>
              <w:rPr>
                <w:rFonts w:cs="Arial"/>
                <w:sz w:val="16"/>
                <w:szCs w:val="16"/>
              </w:rPr>
            </w:pPr>
            <w:r w:rsidRPr="00D92E20">
              <w:rPr>
                <w:rFonts w:cs="Arial"/>
                <w:sz w:val="16"/>
                <w:szCs w:val="16"/>
              </w:rPr>
              <w:t>2,72</w:t>
            </w:r>
          </w:p>
        </w:tc>
        <w:tc>
          <w:tcPr>
            <w:tcW w:w="907" w:type="dxa"/>
            <w:tcBorders>
              <w:top w:val="nil"/>
              <w:left w:val="nil"/>
              <w:bottom w:val="nil"/>
              <w:right w:val="nil"/>
            </w:tcBorders>
            <w:shd w:val="clear" w:color="auto" w:fill="auto"/>
            <w:noWrap/>
            <w:vAlign w:val="center"/>
            <w:hideMark/>
          </w:tcPr>
          <w:p w14:paraId="4B287424" w14:textId="77777777" w:rsidR="00C13A9E" w:rsidRPr="00D92E20" w:rsidRDefault="00C13A9E" w:rsidP="00C13A9E">
            <w:pPr>
              <w:spacing w:after="0" w:line="240" w:lineRule="auto"/>
              <w:jc w:val="center"/>
              <w:rPr>
                <w:rFonts w:cs="Arial"/>
                <w:sz w:val="16"/>
                <w:szCs w:val="16"/>
              </w:rPr>
            </w:pPr>
            <w:r w:rsidRPr="00D92E20">
              <w:rPr>
                <w:rFonts w:cs="Arial"/>
                <w:sz w:val="16"/>
                <w:szCs w:val="16"/>
              </w:rPr>
              <w:t>2,78</w:t>
            </w:r>
          </w:p>
        </w:tc>
        <w:tc>
          <w:tcPr>
            <w:tcW w:w="907" w:type="dxa"/>
            <w:tcBorders>
              <w:top w:val="nil"/>
              <w:left w:val="nil"/>
              <w:bottom w:val="nil"/>
              <w:right w:val="nil"/>
            </w:tcBorders>
            <w:shd w:val="clear" w:color="auto" w:fill="auto"/>
            <w:noWrap/>
            <w:vAlign w:val="center"/>
            <w:hideMark/>
          </w:tcPr>
          <w:p w14:paraId="69FC5D25" w14:textId="77777777" w:rsidR="00C13A9E" w:rsidRPr="00D92E20" w:rsidRDefault="00C13A9E" w:rsidP="00C13A9E">
            <w:pPr>
              <w:spacing w:after="0" w:line="240" w:lineRule="auto"/>
              <w:jc w:val="center"/>
              <w:rPr>
                <w:rFonts w:cs="Arial"/>
                <w:sz w:val="16"/>
                <w:szCs w:val="16"/>
              </w:rPr>
            </w:pPr>
            <w:r w:rsidRPr="00D92E20">
              <w:rPr>
                <w:rFonts w:cs="Arial"/>
                <w:sz w:val="16"/>
                <w:szCs w:val="16"/>
              </w:rPr>
              <w:t>2,57</w:t>
            </w:r>
          </w:p>
        </w:tc>
      </w:tr>
      <w:tr w:rsidR="00C13A9E" w:rsidRPr="00D92E20" w14:paraId="5315B83E"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1B2CDCCF"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Slovinsko</w:t>
            </w:r>
          </w:p>
        </w:tc>
        <w:tc>
          <w:tcPr>
            <w:tcW w:w="907" w:type="dxa"/>
            <w:tcBorders>
              <w:top w:val="nil"/>
              <w:left w:val="nil"/>
              <w:bottom w:val="nil"/>
              <w:right w:val="nil"/>
            </w:tcBorders>
            <w:shd w:val="clear" w:color="auto" w:fill="auto"/>
            <w:noWrap/>
            <w:vAlign w:val="center"/>
            <w:hideMark/>
          </w:tcPr>
          <w:p w14:paraId="231FA294" w14:textId="77777777" w:rsidR="00C13A9E" w:rsidRPr="00D92E20" w:rsidRDefault="00C13A9E" w:rsidP="00C13A9E">
            <w:pPr>
              <w:spacing w:after="0" w:line="240" w:lineRule="auto"/>
              <w:jc w:val="center"/>
              <w:rPr>
                <w:rFonts w:cs="Arial"/>
                <w:sz w:val="16"/>
                <w:szCs w:val="16"/>
              </w:rPr>
            </w:pPr>
            <w:r w:rsidRPr="00D92E20">
              <w:rPr>
                <w:rFonts w:cs="Arial"/>
                <w:sz w:val="16"/>
                <w:szCs w:val="16"/>
              </w:rPr>
              <w:t>3,46</w:t>
            </w:r>
          </w:p>
        </w:tc>
        <w:tc>
          <w:tcPr>
            <w:tcW w:w="907" w:type="dxa"/>
            <w:tcBorders>
              <w:top w:val="nil"/>
              <w:left w:val="nil"/>
              <w:bottom w:val="nil"/>
              <w:right w:val="nil"/>
            </w:tcBorders>
            <w:shd w:val="clear" w:color="auto" w:fill="auto"/>
            <w:noWrap/>
            <w:vAlign w:val="center"/>
            <w:hideMark/>
          </w:tcPr>
          <w:p w14:paraId="0FACD625" w14:textId="77777777" w:rsidR="00C13A9E" w:rsidRPr="00D92E20" w:rsidRDefault="00C13A9E" w:rsidP="00C13A9E">
            <w:pPr>
              <w:spacing w:after="0" w:line="240" w:lineRule="auto"/>
              <w:jc w:val="center"/>
              <w:rPr>
                <w:rFonts w:cs="Arial"/>
                <w:sz w:val="16"/>
                <w:szCs w:val="16"/>
              </w:rPr>
            </w:pPr>
            <w:r w:rsidRPr="00D92E20">
              <w:rPr>
                <w:rFonts w:cs="Arial"/>
                <w:sz w:val="16"/>
                <w:szCs w:val="16"/>
              </w:rPr>
              <w:t>4,15</w:t>
            </w:r>
          </w:p>
        </w:tc>
        <w:tc>
          <w:tcPr>
            <w:tcW w:w="907" w:type="dxa"/>
            <w:tcBorders>
              <w:top w:val="nil"/>
              <w:left w:val="nil"/>
              <w:bottom w:val="nil"/>
              <w:right w:val="nil"/>
            </w:tcBorders>
            <w:shd w:val="clear" w:color="auto" w:fill="auto"/>
            <w:noWrap/>
            <w:vAlign w:val="center"/>
            <w:hideMark/>
          </w:tcPr>
          <w:p w14:paraId="749FFCC4" w14:textId="77777777" w:rsidR="00C13A9E" w:rsidRPr="00D92E20" w:rsidRDefault="00C13A9E" w:rsidP="00C13A9E">
            <w:pPr>
              <w:spacing w:after="0" w:line="240" w:lineRule="auto"/>
              <w:jc w:val="center"/>
              <w:rPr>
                <w:rFonts w:cs="Arial"/>
                <w:sz w:val="16"/>
                <w:szCs w:val="16"/>
              </w:rPr>
            </w:pPr>
            <w:r w:rsidRPr="00D92E20">
              <w:rPr>
                <w:rFonts w:cs="Arial"/>
                <w:sz w:val="16"/>
                <w:szCs w:val="16"/>
              </w:rPr>
              <w:t>3,19</w:t>
            </w:r>
          </w:p>
        </w:tc>
        <w:tc>
          <w:tcPr>
            <w:tcW w:w="907" w:type="dxa"/>
            <w:tcBorders>
              <w:top w:val="nil"/>
              <w:left w:val="nil"/>
              <w:bottom w:val="nil"/>
              <w:right w:val="nil"/>
            </w:tcBorders>
            <w:shd w:val="clear" w:color="auto" w:fill="auto"/>
            <w:noWrap/>
            <w:vAlign w:val="center"/>
            <w:hideMark/>
          </w:tcPr>
          <w:p w14:paraId="38B0D54D" w14:textId="77777777" w:rsidR="00C13A9E" w:rsidRPr="00D92E20" w:rsidRDefault="00C13A9E" w:rsidP="00C13A9E">
            <w:pPr>
              <w:spacing w:after="0" w:line="240" w:lineRule="auto"/>
              <w:jc w:val="center"/>
              <w:rPr>
                <w:rFonts w:cs="Arial"/>
                <w:sz w:val="16"/>
                <w:szCs w:val="16"/>
              </w:rPr>
            </w:pPr>
            <w:r w:rsidRPr="00D92E20">
              <w:rPr>
                <w:rFonts w:cs="Arial"/>
                <w:sz w:val="16"/>
                <w:szCs w:val="16"/>
              </w:rPr>
              <w:t>2,96</w:t>
            </w:r>
          </w:p>
        </w:tc>
        <w:tc>
          <w:tcPr>
            <w:tcW w:w="907" w:type="dxa"/>
            <w:tcBorders>
              <w:top w:val="nil"/>
              <w:left w:val="nil"/>
              <w:bottom w:val="nil"/>
              <w:right w:val="nil"/>
            </w:tcBorders>
            <w:shd w:val="clear" w:color="auto" w:fill="auto"/>
            <w:noWrap/>
            <w:vAlign w:val="center"/>
            <w:hideMark/>
          </w:tcPr>
          <w:p w14:paraId="72F3CC9A" w14:textId="77777777" w:rsidR="00C13A9E" w:rsidRPr="00D92E20" w:rsidRDefault="00C13A9E" w:rsidP="00C13A9E">
            <w:pPr>
              <w:spacing w:after="0" w:line="240" w:lineRule="auto"/>
              <w:jc w:val="center"/>
              <w:rPr>
                <w:rFonts w:cs="Arial"/>
                <w:sz w:val="16"/>
                <w:szCs w:val="16"/>
              </w:rPr>
            </w:pPr>
            <w:r w:rsidRPr="00D92E20">
              <w:rPr>
                <w:rFonts w:cs="Arial"/>
                <w:sz w:val="16"/>
                <w:szCs w:val="16"/>
              </w:rPr>
              <w:t>3,97</w:t>
            </w:r>
          </w:p>
        </w:tc>
        <w:tc>
          <w:tcPr>
            <w:tcW w:w="907" w:type="dxa"/>
            <w:tcBorders>
              <w:top w:val="nil"/>
              <w:left w:val="nil"/>
              <w:bottom w:val="nil"/>
              <w:right w:val="nil"/>
            </w:tcBorders>
            <w:shd w:val="clear" w:color="auto" w:fill="auto"/>
            <w:noWrap/>
            <w:vAlign w:val="center"/>
            <w:hideMark/>
          </w:tcPr>
          <w:p w14:paraId="0DFD23CA" w14:textId="77777777" w:rsidR="00C13A9E" w:rsidRPr="00D92E20" w:rsidRDefault="00C13A9E" w:rsidP="00C13A9E">
            <w:pPr>
              <w:spacing w:after="0" w:line="240" w:lineRule="auto"/>
              <w:jc w:val="center"/>
              <w:rPr>
                <w:rFonts w:cs="Arial"/>
                <w:sz w:val="16"/>
                <w:szCs w:val="16"/>
              </w:rPr>
            </w:pPr>
            <w:r w:rsidRPr="00D92E20">
              <w:rPr>
                <w:rFonts w:cs="Arial"/>
                <w:sz w:val="16"/>
                <w:szCs w:val="16"/>
              </w:rPr>
              <w:t>3,55</w:t>
            </w:r>
          </w:p>
        </w:tc>
        <w:tc>
          <w:tcPr>
            <w:tcW w:w="907" w:type="dxa"/>
            <w:tcBorders>
              <w:top w:val="nil"/>
              <w:left w:val="nil"/>
              <w:bottom w:val="nil"/>
              <w:right w:val="nil"/>
            </w:tcBorders>
            <w:shd w:val="clear" w:color="auto" w:fill="auto"/>
            <w:noWrap/>
            <w:vAlign w:val="center"/>
            <w:hideMark/>
          </w:tcPr>
          <w:p w14:paraId="4352A8F7" w14:textId="77777777" w:rsidR="00C13A9E" w:rsidRPr="00D92E20" w:rsidRDefault="00C13A9E" w:rsidP="00C13A9E">
            <w:pPr>
              <w:spacing w:after="0" w:line="240" w:lineRule="auto"/>
              <w:jc w:val="center"/>
              <w:rPr>
                <w:rFonts w:cs="Arial"/>
                <w:sz w:val="16"/>
                <w:szCs w:val="16"/>
              </w:rPr>
            </w:pPr>
            <w:r w:rsidRPr="00D92E20">
              <w:rPr>
                <w:rFonts w:cs="Arial"/>
                <w:sz w:val="16"/>
                <w:szCs w:val="16"/>
              </w:rPr>
              <w:t>2,23</w:t>
            </w:r>
          </w:p>
        </w:tc>
        <w:tc>
          <w:tcPr>
            <w:tcW w:w="907" w:type="dxa"/>
            <w:tcBorders>
              <w:top w:val="nil"/>
              <w:left w:val="nil"/>
              <w:bottom w:val="nil"/>
              <w:right w:val="nil"/>
            </w:tcBorders>
            <w:shd w:val="clear" w:color="auto" w:fill="auto"/>
            <w:noWrap/>
            <w:vAlign w:val="center"/>
            <w:hideMark/>
          </w:tcPr>
          <w:p w14:paraId="5528E87E" w14:textId="77777777" w:rsidR="00C13A9E" w:rsidRPr="00D92E20" w:rsidRDefault="00C13A9E" w:rsidP="00C13A9E">
            <w:pPr>
              <w:spacing w:after="0" w:line="240" w:lineRule="auto"/>
              <w:jc w:val="center"/>
              <w:rPr>
                <w:rFonts w:cs="Arial"/>
                <w:sz w:val="16"/>
                <w:szCs w:val="16"/>
              </w:rPr>
            </w:pPr>
            <w:r w:rsidRPr="00D92E20">
              <w:rPr>
                <w:rFonts w:cs="Arial"/>
                <w:sz w:val="16"/>
                <w:szCs w:val="16"/>
              </w:rPr>
              <w:t>2,76</w:t>
            </w:r>
          </w:p>
        </w:tc>
        <w:tc>
          <w:tcPr>
            <w:tcW w:w="907" w:type="dxa"/>
            <w:tcBorders>
              <w:top w:val="nil"/>
              <w:left w:val="nil"/>
              <w:bottom w:val="nil"/>
              <w:right w:val="nil"/>
            </w:tcBorders>
            <w:shd w:val="clear" w:color="auto" w:fill="auto"/>
            <w:noWrap/>
            <w:vAlign w:val="center"/>
            <w:hideMark/>
          </w:tcPr>
          <w:p w14:paraId="1D6BFEAB" w14:textId="77777777" w:rsidR="00C13A9E" w:rsidRPr="00D92E20" w:rsidRDefault="00C13A9E" w:rsidP="00C13A9E">
            <w:pPr>
              <w:spacing w:after="0" w:line="240" w:lineRule="auto"/>
              <w:jc w:val="center"/>
              <w:rPr>
                <w:rFonts w:cs="Arial"/>
                <w:sz w:val="16"/>
                <w:szCs w:val="16"/>
              </w:rPr>
            </w:pPr>
            <w:r w:rsidRPr="00D92E20">
              <w:rPr>
                <w:rFonts w:cs="Arial"/>
                <w:sz w:val="16"/>
                <w:szCs w:val="16"/>
              </w:rPr>
              <w:t>2,12</w:t>
            </w:r>
          </w:p>
        </w:tc>
      </w:tr>
      <w:tr w:rsidR="00C13A9E" w:rsidRPr="00D92E20" w14:paraId="6A04D3EA"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0349FF5D"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Španělsko</w:t>
            </w:r>
          </w:p>
        </w:tc>
        <w:tc>
          <w:tcPr>
            <w:tcW w:w="907" w:type="dxa"/>
            <w:tcBorders>
              <w:top w:val="nil"/>
              <w:left w:val="nil"/>
              <w:bottom w:val="nil"/>
              <w:right w:val="nil"/>
            </w:tcBorders>
            <w:shd w:val="clear" w:color="auto" w:fill="auto"/>
            <w:noWrap/>
            <w:vAlign w:val="center"/>
            <w:hideMark/>
          </w:tcPr>
          <w:p w14:paraId="48D64849" w14:textId="77777777" w:rsidR="00C13A9E" w:rsidRPr="00D92E20" w:rsidRDefault="00C13A9E" w:rsidP="00C13A9E">
            <w:pPr>
              <w:spacing w:after="0" w:line="240" w:lineRule="auto"/>
              <w:jc w:val="center"/>
              <w:rPr>
                <w:rFonts w:cs="Arial"/>
                <w:sz w:val="16"/>
                <w:szCs w:val="16"/>
              </w:rPr>
            </w:pPr>
            <w:r w:rsidRPr="00D92E20">
              <w:rPr>
                <w:rFonts w:cs="Arial"/>
                <w:sz w:val="16"/>
                <w:szCs w:val="16"/>
              </w:rPr>
              <w:t>2,89</w:t>
            </w:r>
          </w:p>
        </w:tc>
        <w:tc>
          <w:tcPr>
            <w:tcW w:w="907" w:type="dxa"/>
            <w:tcBorders>
              <w:top w:val="nil"/>
              <w:left w:val="nil"/>
              <w:bottom w:val="nil"/>
              <w:right w:val="nil"/>
            </w:tcBorders>
            <w:shd w:val="clear" w:color="000000" w:fill="D9D9D9"/>
            <w:noWrap/>
            <w:vAlign w:val="center"/>
            <w:hideMark/>
          </w:tcPr>
          <w:p w14:paraId="5F9FE685" w14:textId="77777777" w:rsidR="00C13A9E" w:rsidRPr="00D92E20" w:rsidRDefault="00C13A9E" w:rsidP="00C13A9E">
            <w:pPr>
              <w:spacing w:after="0" w:line="240" w:lineRule="auto"/>
              <w:jc w:val="center"/>
              <w:rPr>
                <w:rFonts w:cs="Arial"/>
                <w:sz w:val="16"/>
                <w:szCs w:val="16"/>
              </w:rPr>
            </w:pPr>
            <w:r w:rsidRPr="00D92E20">
              <w:rPr>
                <w:rFonts w:cs="Arial"/>
                <w:sz w:val="16"/>
                <w:szCs w:val="16"/>
              </w:rPr>
              <w:t>3,24</w:t>
            </w:r>
          </w:p>
        </w:tc>
        <w:tc>
          <w:tcPr>
            <w:tcW w:w="907" w:type="dxa"/>
            <w:tcBorders>
              <w:top w:val="nil"/>
              <w:left w:val="nil"/>
              <w:bottom w:val="nil"/>
              <w:right w:val="nil"/>
            </w:tcBorders>
            <w:shd w:val="clear" w:color="auto" w:fill="auto"/>
            <w:noWrap/>
            <w:vAlign w:val="center"/>
            <w:hideMark/>
          </w:tcPr>
          <w:p w14:paraId="145B7088" w14:textId="77777777" w:rsidR="00C13A9E" w:rsidRPr="00D92E20" w:rsidRDefault="00C13A9E" w:rsidP="00C13A9E">
            <w:pPr>
              <w:spacing w:after="0" w:line="240" w:lineRule="auto"/>
              <w:jc w:val="center"/>
              <w:rPr>
                <w:rFonts w:cs="Arial"/>
                <w:sz w:val="16"/>
                <w:szCs w:val="16"/>
              </w:rPr>
            </w:pPr>
            <w:r w:rsidRPr="00D92E20">
              <w:rPr>
                <w:rFonts w:cs="Arial"/>
                <w:sz w:val="16"/>
                <w:szCs w:val="16"/>
              </w:rPr>
              <w:t>3,03</w:t>
            </w:r>
          </w:p>
        </w:tc>
        <w:tc>
          <w:tcPr>
            <w:tcW w:w="907" w:type="dxa"/>
            <w:tcBorders>
              <w:top w:val="nil"/>
              <w:left w:val="nil"/>
              <w:bottom w:val="nil"/>
              <w:right w:val="nil"/>
            </w:tcBorders>
            <w:shd w:val="clear" w:color="auto" w:fill="auto"/>
            <w:noWrap/>
            <w:vAlign w:val="center"/>
            <w:hideMark/>
          </w:tcPr>
          <w:p w14:paraId="12F8E0AF" w14:textId="77777777" w:rsidR="00C13A9E" w:rsidRPr="00D92E20" w:rsidRDefault="00C13A9E" w:rsidP="00C13A9E">
            <w:pPr>
              <w:spacing w:after="0" w:line="240" w:lineRule="auto"/>
              <w:jc w:val="center"/>
              <w:rPr>
                <w:rFonts w:cs="Arial"/>
                <w:sz w:val="16"/>
                <w:szCs w:val="16"/>
              </w:rPr>
            </w:pPr>
            <w:r w:rsidRPr="00D92E20">
              <w:rPr>
                <w:rFonts w:cs="Arial"/>
                <w:sz w:val="16"/>
                <w:szCs w:val="16"/>
              </w:rPr>
              <w:t>2,69</w:t>
            </w:r>
          </w:p>
        </w:tc>
        <w:tc>
          <w:tcPr>
            <w:tcW w:w="907" w:type="dxa"/>
            <w:tcBorders>
              <w:top w:val="nil"/>
              <w:left w:val="nil"/>
              <w:bottom w:val="nil"/>
              <w:right w:val="nil"/>
            </w:tcBorders>
            <w:shd w:val="clear" w:color="auto" w:fill="auto"/>
            <w:noWrap/>
            <w:vAlign w:val="center"/>
            <w:hideMark/>
          </w:tcPr>
          <w:p w14:paraId="70D053CA" w14:textId="77777777" w:rsidR="00C13A9E" w:rsidRPr="00D92E20" w:rsidRDefault="00C13A9E" w:rsidP="00C13A9E">
            <w:pPr>
              <w:spacing w:after="0" w:line="240" w:lineRule="auto"/>
              <w:jc w:val="center"/>
              <w:rPr>
                <w:rFonts w:cs="Arial"/>
                <w:sz w:val="16"/>
                <w:szCs w:val="16"/>
              </w:rPr>
            </w:pPr>
            <w:r w:rsidRPr="00D92E20">
              <w:rPr>
                <w:rFonts w:cs="Arial"/>
                <w:sz w:val="16"/>
                <w:szCs w:val="16"/>
              </w:rPr>
              <w:t>3,11</w:t>
            </w:r>
          </w:p>
        </w:tc>
        <w:tc>
          <w:tcPr>
            <w:tcW w:w="907" w:type="dxa"/>
            <w:tcBorders>
              <w:top w:val="nil"/>
              <w:left w:val="nil"/>
              <w:bottom w:val="nil"/>
              <w:right w:val="nil"/>
            </w:tcBorders>
            <w:shd w:val="clear" w:color="auto" w:fill="auto"/>
            <w:noWrap/>
            <w:vAlign w:val="center"/>
            <w:hideMark/>
          </w:tcPr>
          <w:p w14:paraId="032B71C2" w14:textId="77777777" w:rsidR="00C13A9E" w:rsidRPr="00D92E20" w:rsidRDefault="00C13A9E" w:rsidP="00C13A9E">
            <w:pPr>
              <w:spacing w:after="0" w:line="240" w:lineRule="auto"/>
              <w:jc w:val="center"/>
              <w:rPr>
                <w:rFonts w:cs="Arial"/>
                <w:sz w:val="16"/>
                <w:szCs w:val="16"/>
              </w:rPr>
            </w:pPr>
            <w:r w:rsidRPr="00D92E20">
              <w:rPr>
                <w:rFonts w:cs="Arial"/>
                <w:sz w:val="16"/>
                <w:szCs w:val="16"/>
              </w:rPr>
              <w:t>3,54</w:t>
            </w:r>
          </w:p>
        </w:tc>
        <w:tc>
          <w:tcPr>
            <w:tcW w:w="907" w:type="dxa"/>
            <w:tcBorders>
              <w:top w:val="nil"/>
              <w:left w:val="nil"/>
              <w:bottom w:val="nil"/>
              <w:right w:val="nil"/>
            </w:tcBorders>
            <w:shd w:val="clear" w:color="auto" w:fill="auto"/>
            <w:noWrap/>
            <w:vAlign w:val="center"/>
            <w:hideMark/>
          </w:tcPr>
          <w:p w14:paraId="34B7DF3E" w14:textId="77777777" w:rsidR="00C13A9E" w:rsidRPr="00D92E20" w:rsidRDefault="00C13A9E" w:rsidP="00C13A9E">
            <w:pPr>
              <w:spacing w:after="0" w:line="240" w:lineRule="auto"/>
              <w:jc w:val="center"/>
              <w:rPr>
                <w:rFonts w:cs="Arial"/>
                <w:sz w:val="16"/>
                <w:szCs w:val="16"/>
              </w:rPr>
            </w:pPr>
            <w:r w:rsidRPr="00D92E20">
              <w:rPr>
                <w:rFonts w:cs="Arial"/>
                <w:sz w:val="16"/>
                <w:szCs w:val="16"/>
              </w:rPr>
              <w:t>2,89</w:t>
            </w:r>
          </w:p>
        </w:tc>
        <w:tc>
          <w:tcPr>
            <w:tcW w:w="907" w:type="dxa"/>
            <w:tcBorders>
              <w:top w:val="nil"/>
              <w:left w:val="nil"/>
              <w:bottom w:val="nil"/>
              <w:right w:val="nil"/>
            </w:tcBorders>
            <w:shd w:val="clear" w:color="auto" w:fill="auto"/>
            <w:noWrap/>
            <w:vAlign w:val="center"/>
            <w:hideMark/>
          </w:tcPr>
          <w:p w14:paraId="0CFC171C" w14:textId="77777777" w:rsidR="00C13A9E" w:rsidRPr="00D92E20" w:rsidRDefault="00C13A9E" w:rsidP="00C13A9E">
            <w:pPr>
              <w:spacing w:after="0" w:line="240" w:lineRule="auto"/>
              <w:jc w:val="center"/>
              <w:rPr>
                <w:rFonts w:cs="Arial"/>
                <w:sz w:val="16"/>
                <w:szCs w:val="16"/>
              </w:rPr>
            </w:pPr>
            <w:r w:rsidRPr="00D92E20">
              <w:rPr>
                <w:rFonts w:cs="Arial"/>
                <w:sz w:val="16"/>
                <w:szCs w:val="16"/>
              </w:rPr>
              <w:t>2,89</w:t>
            </w:r>
          </w:p>
        </w:tc>
        <w:tc>
          <w:tcPr>
            <w:tcW w:w="907" w:type="dxa"/>
            <w:tcBorders>
              <w:top w:val="nil"/>
              <w:left w:val="nil"/>
              <w:bottom w:val="nil"/>
              <w:right w:val="nil"/>
            </w:tcBorders>
            <w:shd w:val="clear" w:color="auto" w:fill="auto"/>
            <w:noWrap/>
            <w:vAlign w:val="center"/>
            <w:hideMark/>
          </w:tcPr>
          <w:p w14:paraId="3E0F3F86" w14:textId="77777777" w:rsidR="00C13A9E" w:rsidRPr="00D92E20" w:rsidRDefault="00C13A9E" w:rsidP="00C13A9E">
            <w:pPr>
              <w:spacing w:after="0" w:line="240" w:lineRule="auto"/>
              <w:jc w:val="center"/>
              <w:rPr>
                <w:rFonts w:cs="Arial"/>
                <w:sz w:val="16"/>
                <w:szCs w:val="16"/>
              </w:rPr>
            </w:pPr>
            <w:r w:rsidRPr="00D92E20">
              <w:rPr>
                <w:rFonts w:cs="Arial"/>
                <w:sz w:val="16"/>
                <w:szCs w:val="16"/>
              </w:rPr>
              <w:t>2,84</w:t>
            </w:r>
          </w:p>
        </w:tc>
      </w:tr>
      <w:tr w:rsidR="00C13A9E" w:rsidRPr="00D92E20" w14:paraId="57FCE4C9"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5642A8D9"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Švédsko</w:t>
            </w:r>
          </w:p>
        </w:tc>
        <w:tc>
          <w:tcPr>
            <w:tcW w:w="907" w:type="dxa"/>
            <w:tcBorders>
              <w:top w:val="nil"/>
              <w:left w:val="nil"/>
              <w:bottom w:val="nil"/>
              <w:right w:val="nil"/>
            </w:tcBorders>
            <w:shd w:val="clear" w:color="auto" w:fill="auto"/>
            <w:noWrap/>
            <w:vAlign w:val="center"/>
            <w:hideMark/>
          </w:tcPr>
          <w:p w14:paraId="56547BCD" w14:textId="77777777" w:rsidR="00C13A9E" w:rsidRPr="00D92E20" w:rsidRDefault="00C13A9E" w:rsidP="00C13A9E">
            <w:pPr>
              <w:spacing w:after="0" w:line="240" w:lineRule="auto"/>
              <w:jc w:val="center"/>
              <w:rPr>
                <w:rFonts w:cs="Arial"/>
                <w:sz w:val="16"/>
                <w:szCs w:val="16"/>
              </w:rPr>
            </w:pPr>
            <w:r w:rsidRPr="00D92E20">
              <w:rPr>
                <w:rFonts w:cs="Arial"/>
                <w:sz w:val="16"/>
                <w:szCs w:val="16"/>
              </w:rPr>
              <w:t>2,15</w:t>
            </w:r>
          </w:p>
        </w:tc>
        <w:tc>
          <w:tcPr>
            <w:tcW w:w="907" w:type="dxa"/>
            <w:tcBorders>
              <w:top w:val="nil"/>
              <w:left w:val="nil"/>
              <w:bottom w:val="nil"/>
              <w:right w:val="nil"/>
            </w:tcBorders>
            <w:shd w:val="clear" w:color="auto" w:fill="auto"/>
            <w:noWrap/>
            <w:vAlign w:val="center"/>
            <w:hideMark/>
          </w:tcPr>
          <w:p w14:paraId="021E41B1" w14:textId="77777777" w:rsidR="00C13A9E" w:rsidRPr="00D92E20" w:rsidRDefault="00C13A9E" w:rsidP="00C13A9E">
            <w:pPr>
              <w:spacing w:after="0" w:line="240" w:lineRule="auto"/>
              <w:jc w:val="center"/>
              <w:rPr>
                <w:rFonts w:cs="Arial"/>
                <w:sz w:val="16"/>
                <w:szCs w:val="16"/>
              </w:rPr>
            </w:pPr>
            <w:r w:rsidRPr="00D92E20">
              <w:rPr>
                <w:rFonts w:cs="Arial"/>
                <w:sz w:val="16"/>
                <w:szCs w:val="16"/>
              </w:rPr>
              <w:t>2,33</w:t>
            </w:r>
          </w:p>
        </w:tc>
        <w:tc>
          <w:tcPr>
            <w:tcW w:w="907" w:type="dxa"/>
            <w:tcBorders>
              <w:top w:val="nil"/>
              <w:left w:val="nil"/>
              <w:bottom w:val="nil"/>
              <w:right w:val="nil"/>
            </w:tcBorders>
            <w:shd w:val="clear" w:color="auto" w:fill="auto"/>
            <w:noWrap/>
            <w:vAlign w:val="center"/>
            <w:hideMark/>
          </w:tcPr>
          <w:p w14:paraId="5DCACB16" w14:textId="77777777" w:rsidR="00C13A9E" w:rsidRPr="00D92E20" w:rsidRDefault="00C13A9E" w:rsidP="00C13A9E">
            <w:pPr>
              <w:spacing w:after="0" w:line="240" w:lineRule="auto"/>
              <w:jc w:val="center"/>
              <w:rPr>
                <w:rFonts w:cs="Arial"/>
                <w:sz w:val="16"/>
                <w:szCs w:val="16"/>
              </w:rPr>
            </w:pPr>
            <w:r w:rsidRPr="00D92E20">
              <w:rPr>
                <w:rFonts w:cs="Arial"/>
                <w:sz w:val="16"/>
                <w:szCs w:val="16"/>
              </w:rPr>
              <w:t>1,37</w:t>
            </w:r>
          </w:p>
        </w:tc>
        <w:tc>
          <w:tcPr>
            <w:tcW w:w="907" w:type="dxa"/>
            <w:tcBorders>
              <w:top w:val="nil"/>
              <w:left w:val="nil"/>
              <w:bottom w:val="nil"/>
              <w:right w:val="nil"/>
            </w:tcBorders>
            <w:shd w:val="clear" w:color="auto" w:fill="auto"/>
            <w:noWrap/>
            <w:vAlign w:val="center"/>
            <w:hideMark/>
          </w:tcPr>
          <w:p w14:paraId="47DDF624" w14:textId="77777777" w:rsidR="00C13A9E" w:rsidRPr="00D92E20" w:rsidRDefault="00C13A9E" w:rsidP="00C13A9E">
            <w:pPr>
              <w:spacing w:after="0" w:line="240" w:lineRule="auto"/>
              <w:jc w:val="center"/>
              <w:rPr>
                <w:rFonts w:cs="Arial"/>
                <w:sz w:val="16"/>
                <w:szCs w:val="16"/>
              </w:rPr>
            </w:pPr>
            <w:r w:rsidRPr="00D92E20">
              <w:rPr>
                <w:rFonts w:cs="Arial"/>
                <w:sz w:val="16"/>
                <w:szCs w:val="16"/>
              </w:rPr>
              <w:t>1,24</w:t>
            </w:r>
          </w:p>
        </w:tc>
        <w:tc>
          <w:tcPr>
            <w:tcW w:w="907" w:type="dxa"/>
            <w:tcBorders>
              <w:top w:val="nil"/>
              <w:left w:val="nil"/>
              <w:bottom w:val="nil"/>
              <w:right w:val="nil"/>
            </w:tcBorders>
            <w:shd w:val="clear" w:color="auto" w:fill="auto"/>
            <w:noWrap/>
            <w:vAlign w:val="center"/>
            <w:hideMark/>
          </w:tcPr>
          <w:p w14:paraId="2938AA2E" w14:textId="77777777" w:rsidR="00C13A9E" w:rsidRPr="00D92E20" w:rsidRDefault="00C13A9E" w:rsidP="00C13A9E">
            <w:pPr>
              <w:spacing w:after="0" w:line="240" w:lineRule="auto"/>
              <w:jc w:val="center"/>
              <w:rPr>
                <w:rFonts w:cs="Arial"/>
                <w:sz w:val="16"/>
                <w:szCs w:val="16"/>
              </w:rPr>
            </w:pPr>
            <w:r w:rsidRPr="00D92E20">
              <w:rPr>
                <w:rFonts w:cs="Arial"/>
                <w:sz w:val="16"/>
                <w:szCs w:val="16"/>
              </w:rPr>
              <w:t>1,49</w:t>
            </w:r>
          </w:p>
        </w:tc>
        <w:tc>
          <w:tcPr>
            <w:tcW w:w="907" w:type="dxa"/>
            <w:tcBorders>
              <w:top w:val="nil"/>
              <w:left w:val="nil"/>
              <w:bottom w:val="nil"/>
              <w:right w:val="nil"/>
            </w:tcBorders>
            <w:shd w:val="clear" w:color="auto" w:fill="auto"/>
            <w:noWrap/>
            <w:vAlign w:val="center"/>
            <w:hideMark/>
          </w:tcPr>
          <w:p w14:paraId="7DE57E26" w14:textId="77777777" w:rsidR="00C13A9E" w:rsidRPr="00D92E20" w:rsidRDefault="00C13A9E" w:rsidP="00C13A9E">
            <w:pPr>
              <w:spacing w:after="0" w:line="240" w:lineRule="auto"/>
              <w:jc w:val="center"/>
              <w:rPr>
                <w:rFonts w:cs="Arial"/>
                <w:sz w:val="16"/>
                <w:szCs w:val="16"/>
              </w:rPr>
            </w:pPr>
            <w:r w:rsidRPr="00D92E20">
              <w:rPr>
                <w:rFonts w:cs="Arial"/>
                <w:sz w:val="16"/>
                <w:szCs w:val="16"/>
              </w:rPr>
              <w:t>1,15</w:t>
            </w:r>
          </w:p>
        </w:tc>
        <w:tc>
          <w:tcPr>
            <w:tcW w:w="907" w:type="dxa"/>
            <w:tcBorders>
              <w:top w:val="nil"/>
              <w:left w:val="nil"/>
              <w:bottom w:val="nil"/>
              <w:right w:val="nil"/>
            </w:tcBorders>
            <w:shd w:val="clear" w:color="auto" w:fill="auto"/>
            <w:noWrap/>
            <w:vAlign w:val="center"/>
            <w:hideMark/>
          </w:tcPr>
          <w:p w14:paraId="68257708" w14:textId="77777777" w:rsidR="00C13A9E" w:rsidRPr="00D92E20" w:rsidRDefault="00C13A9E" w:rsidP="00C13A9E">
            <w:pPr>
              <w:spacing w:after="0" w:line="240" w:lineRule="auto"/>
              <w:jc w:val="center"/>
              <w:rPr>
                <w:rFonts w:cs="Arial"/>
                <w:sz w:val="16"/>
                <w:szCs w:val="16"/>
              </w:rPr>
            </w:pPr>
            <w:r w:rsidRPr="00D92E20">
              <w:rPr>
                <w:rFonts w:cs="Arial"/>
                <w:sz w:val="16"/>
                <w:szCs w:val="16"/>
              </w:rPr>
              <w:t>1,21</w:t>
            </w:r>
          </w:p>
        </w:tc>
        <w:tc>
          <w:tcPr>
            <w:tcW w:w="907" w:type="dxa"/>
            <w:tcBorders>
              <w:top w:val="nil"/>
              <w:left w:val="nil"/>
              <w:bottom w:val="nil"/>
              <w:right w:val="nil"/>
            </w:tcBorders>
            <w:shd w:val="clear" w:color="auto" w:fill="auto"/>
            <w:noWrap/>
            <w:vAlign w:val="center"/>
            <w:hideMark/>
          </w:tcPr>
          <w:p w14:paraId="0054583C" w14:textId="77777777" w:rsidR="00C13A9E" w:rsidRPr="00D92E20" w:rsidRDefault="00C13A9E" w:rsidP="00C13A9E">
            <w:pPr>
              <w:spacing w:after="0" w:line="240" w:lineRule="auto"/>
              <w:jc w:val="center"/>
              <w:rPr>
                <w:rFonts w:cs="Arial"/>
                <w:sz w:val="16"/>
                <w:szCs w:val="16"/>
              </w:rPr>
            </w:pPr>
            <w:r w:rsidRPr="00D92E20">
              <w:rPr>
                <w:rFonts w:cs="Arial"/>
                <w:sz w:val="16"/>
                <w:szCs w:val="16"/>
              </w:rPr>
              <w:t>1,70</w:t>
            </w:r>
          </w:p>
        </w:tc>
        <w:tc>
          <w:tcPr>
            <w:tcW w:w="907" w:type="dxa"/>
            <w:tcBorders>
              <w:top w:val="nil"/>
              <w:left w:val="nil"/>
              <w:bottom w:val="nil"/>
              <w:right w:val="nil"/>
            </w:tcBorders>
            <w:shd w:val="clear" w:color="auto" w:fill="auto"/>
            <w:noWrap/>
            <w:vAlign w:val="center"/>
            <w:hideMark/>
          </w:tcPr>
          <w:p w14:paraId="3EC99F9B" w14:textId="77777777" w:rsidR="00C13A9E" w:rsidRPr="00D92E20" w:rsidRDefault="00C13A9E" w:rsidP="00C13A9E">
            <w:pPr>
              <w:spacing w:after="0" w:line="240" w:lineRule="auto"/>
              <w:jc w:val="center"/>
              <w:rPr>
                <w:rFonts w:cs="Arial"/>
                <w:sz w:val="16"/>
                <w:szCs w:val="16"/>
              </w:rPr>
            </w:pPr>
            <w:r w:rsidRPr="00D92E20">
              <w:rPr>
                <w:rFonts w:cs="Arial"/>
                <w:sz w:val="16"/>
                <w:szCs w:val="16"/>
              </w:rPr>
              <w:t>1,66</w:t>
            </w:r>
          </w:p>
        </w:tc>
      </w:tr>
      <w:tr w:rsidR="00C13A9E" w:rsidRPr="00D92E20" w14:paraId="4445D8A8" w14:textId="77777777" w:rsidTr="00C13A9E">
        <w:trPr>
          <w:trHeight w:val="300"/>
        </w:trPr>
        <w:tc>
          <w:tcPr>
            <w:tcW w:w="1417" w:type="dxa"/>
            <w:tcBorders>
              <w:top w:val="nil"/>
              <w:left w:val="nil"/>
              <w:bottom w:val="nil"/>
              <w:right w:val="single" w:sz="4" w:space="0" w:color="auto"/>
            </w:tcBorders>
            <w:shd w:val="clear" w:color="auto" w:fill="auto"/>
            <w:noWrap/>
            <w:vAlign w:val="center"/>
            <w:hideMark/>
          </w:tcPr>
          <w:p w14:paraId="1BE1D554" w14:textId="77777777" w:rsidR="00C13A9E" w:rsidRPr="00D92E20" w:rsidRDefault="00C13A9E" w:rsidP="00C13A9E">
            <w:pPr>
              <w:spacing w:after="0" w:line="240" w:lineRule="auto"/>
              <w:ind w:firstLineChars="100" w:firstLine="160"/>
              <w:rPr>
                <w:rFonts w:cs="Arial"/>
                <w:sz w:val="16"/>
                <w:szCs w:val="16"/>
              </w:rPr>
            </w:pPr>
            <w:r w:rsidRPr="00D92E20">
              <w:rPr>
                <w:rFonts w:cs="Arial"/>
                <w:sz w:val="16"/>
                <w:szCs w:val="16"/>
              </w:rPr>
              <w:t>Velká Británie</w:t>
            </w:r>
          </w:p>
        </w:tc>
        <w:tc>
          <w:tcPr>
            <w:tcW w:w="907" w:type="dxa"/>
            <w:tcBorders>
              <w:top w:val="nil"/>
              <w:left w:val="nil"/>
              <w:bottom w:val="nil"/>
              <w:right w:val="nil"/>
            </w:tcBorders>
            <w:shd w:val="clear" w:color="auto" w:fill="auto"/>
            <w:noWrap/>
            <w:vAlign w:val="center"/>
            <w:hideMark/>
          </w:tcPr>
          <w:p w14:paraId="41C1B6FB" w14:textId="77777777" w:rsidR="00C13A9E" w:rsidRPr="00D92E20" w:rsidRDefault="00C13A9E" w:rsidP="00C13A9E">
            <w:pPr>
              <w:spacing w:after="0" w:line="240" w:lineRule="auto"/>
              <w:jc w:val="center"/>
              <w:rPr>
                <w:rFonts w:cs="Arial"/>
                <w:sz w:val="16"/>
                <w:szCs w:val="16"/>
              </w:rPr>
            </w:pPr>
            <w:r w:rsidRPr="00D92E20">
              <w:rPr>
                <w:rFonts w:cs="Arial"/>
                <w:sz w:val="16"/>
                <w:szCs w:val="16"/>
              </w:rPr>
              <w:t>1,69</w:t>
            </w:r>
          </w:p>
        </w:tc>
        <w:tc>
          <w:tcPr>
            <w:tcW w:w="907" w:type="dxa"/>
            <w:tcBorders>
              <w:top w:val="nil"/>
              <w:left w:val="nil"/>
              <w:bottom w:val="nil"/>
              <w:right w:val="nil"/>
            </w:tcBorders>
            <w:shd w:val="clear" w:color="auto" w:fill="auto"/>
            <w:noWrap/>
            <w:vAlign w:val="center"/>
            <w:hideMark/>
          </w:tcPr>
          <w:p w14:paraId="3F958F41" w14:textId="77777777" w:rsidR="00C13A9E" w:rsidRPr="00D92E20" w:rsidRDefault="00C13A9E" w:rsidP="00C13A9E">
            <w:pPr>
              <w:spacing w:after="0" w:line="240" w:lineRule="auto"/>
              <w:jc w:val="center"/>
              <w:rPr>
                <w:rFonts w:cs="Arial"/>
                <w:sz w:val="16"/>
                <w:szCs w:val="16"/>
              </w:rPr>
            </w:pPr>
            <w:r w:rsidRPr="00D92E20">
              <w:rPr>
                <w:rFonts w:cs="Arial"/>
                <w:sz w:val="16"/>
                <w:szCs w:val="16"/>
              </w:rPr>
              <w:t>1,80</w:t>
            </w:r>
          </w:p>
        </w:tc>
        <w:tc>
          <w:tcPr>
            <w:tcW w:w="907" w:type="dxa"/>
            <w:tcBorders>
              <w:top w:val="nil"/>
              <w:left w:val="nil"/>
              <w:bottom w:val="nil"/>
              <w:right w:val="nil"/>
            </w:tcBorders>
            <w:shd w:val="clear" w:color="auto" w:fill="auto"/>
            <w:noWrap/>
            <w:vAlign w:val="center"/>
            <w:hideMark/>
          </w:tcPr>
          <w:p w14:paraId="67A582CF" w14:textId="77777777" w:rsidR="00C13A9E" w:rsidRPr="00D92E20" w:rsidRDefault="00C13A9E" w:rsidP="00C13A9E">
            <w:pPr>
              <w:spacing w:after="0" w:line="240" w:lineRule="auto"/>
              <w:jc w:val="center"/>
              <w:rPr>
                <w:rFonts w:cs="Arial"/>
                <w:sz w:val="16"/>
                <w:szCs w:val="16"/>
              </w:rPr>
            </w:pPr>
            <w:r w:rsidRPr="00D92E20">
              <w:rPr>
                <w:rFonts w:cs="Arial"/>
                <w:sz w:val="16"/>
                <w:szCs w:val="16"/>
              </w:rPr>
              <w:t>1,37</w:t>
            </w:r>
          </w:p>
        </w:tc>
        <w:tc>
          <w:tcPr>
            <w:tcW w:w="907" w:type="dxa"/>
            <w:tcBorders>
              <w:top w:val="nil"/>
              <w:left w:val="nil"/>
              <w:bottom w:val="nil"/>
              <w:right w:val="nil"/>
            </w:tcBorders>
            <w:shd w:val="clear" w:color="auto" w:fill="auto"/>
            <w:noWrap/>
            <w:vAlign w:val="center"/>
            <w:hideMark/>
          </w:tcPr>
          <w:p w14:paraId="53982301" w14:textId="77777777" w:rsidR="00C13A9E" w:rsidRPr="00D92E20" w:rsidRDefault="00C13A9E" w:rsidP="00C13A9E">
            <w:pPr>
              <w:spacing w:after="0" w:line="240" w:lineRule="auto"/>
              <w:jc w:val="center"/>
              <w:rPr>
                <w:rFonts w:cs="Arial"/>
                <w:sz w:val="16"/>
                <w:szCs w:val="16"/>
              </w:rPr>
            </w:pPr>
            <w:r w:rsidRPr="00D92E20">
              <w:rPr>
                <w:rFonts w:cs="Arial"/>
                <w:sz w:val="16"/>
                <w:szCs w:val="16"/>
              </w:rPr>
              <w:t>1,86</w:t>
            </w:r>
          </w:p>
        </w:tc>
        <w:tc>
          <w:tcPr>
            <w:tcW w:w="907" w:type="dxa"/>
            <w:tcBorders>
              <w:top w:val="nil"/>
              <w:left w:val="nil"/>
              <w:bottom w:val="nil"/>
              <w:right w:val="nil"/>
            </w:tcBorders>
            <w:shd w:val="clear" w:color="auto" w:fill="auto"/>
            <w:noWrap/>
            <w:vAlign w:val="center"/>
            <w:hideMark/>
          </w:tcPr>
          <w:p w14:paraId="0E83B51C" w14:textId="77777777" w:rsidR="00C13A9E" w:rsidRPr="00D92E20" w:rsidRDefault="00C13A9E" w:rsidP="00C13A9E">
            <w:pPr>
              <w:spacing w:after="0" w:line="240" w:lineRule="auto"/>
              <w:jc w:val="center"/>
              <w:rPr>
                <w:rFonts w:cs="Arial"/>
                <w:sz w:val="16"/>
                <w:szCs w:val="16"/>
              </w:rPr>
            </w:pPr>
            <w:r w:rsidRPr="00D92E20">
              <w:rPr>
                <w:rFonts w:cs="Arial"/>
                <w:sz w:val="16"/>
                <w:szCs w:val="16"/>
              </w:rPr>
              <w:t>1,62</w:t>
            </w:r>
          </w:p>
        </w:tc>
        <w:tc>
          <w:tcPr>
            <w:tcW w:w="907" w:type="dxa"/>
            <w:tcBorders>
              <w:top w:val="nil"/>
              <w:left w:val="nil"/>
              <w:bottom w:val="nil"/>
              <w:right w:val="nil"/>
            </w:tcBorders>
            <w:shd w:val="clear" w:color="auto" w:fill="auto"/>
            <w:noWrap/>
            <w:vAlign w:val="center"/>
            <w:hideMark/>
          </w:tcPr>
          <w:p w14:paraId="6DC79B2E" w14:textId="77777777" w:rsidR="00C13A9E" w:rsidRPr="00D92E20" w:rsidRDefault="00C13A9E" w:rsidP="00C13A9E">
            <w:pPr>
              <w:spacing w:after="0" w:line="240" w:lineRule="auto"/>
              <w:jc w:val="center"/>
              <w:rPr>
                <w:rFonts w:cs="Arial"/>
                <w:sz w:val="16"/>
                <w:szCs w:val="16"/>
              </w:rPr>
            </w:pPr>
            <w:r w:rsidRPr="00D92E20">
              <w:rPr>
                <w:rFonts w:cs="Arial"/>
                <w:sz w:val="16"/>
                <w:szCs w:val="16"/>
              </w:rPr>
              <w:t>1,59</w:t>
            </w:r>
          </w:p>
        </w:tc>
        <w:tc>
          <w:tcPr>
            <w:tcW w:w="907" w:type="dxa"/>
            <w:tcBorders>
              <w:top w:val="nil"/>
              <w:left w:val="nil"/>
              <w:bottom w:val="nil"/>
              <w:right w:val="nil"/>
            </w:tcBorders>
            <w:shd w:val="clear" w:color="auto" w:fill="auto"/>
            <w:noWrap/>
            <w:vAlign w:val="center"/>
            <w:hideMark/>
          </w:tcPr>
          <w:p w14:paraId="1D9933C4" w14:textId="77777777" w:rsidR="00C13A9E" w:rsidRPr="00D92E20" w:rsidRDefault="00C13A9E" w:rsidP="00C13A9E">
            <w:pPr>
              <w:spacing w:after="0" w:line="240" w:lineRule="auto"/>
              <w:jc w:val="center"/>
              <w:rPr>
                <w:rFonts w:cs="Arial"/>
                <w:sz w:val="16"/>
                <w:szCs w:val="16"/>
              </w:rPr>
            </w:pPr>
            <w:r w:rsidRPr="00D92E20">
              <w:rPr>
                <w:rFonts w:cs="Arial"/>
                <w:sz w:val="16"/>
                <w:szCs w:val="16"/>
              </w:rPr>
              <w:t>1,46</w:t>
            </w:r>
          </w:p>
        </w:tc>
        <w:tc>
          <w:tcPr>
            <w:tcW w:w="907" w:type="dxa"/>
            <w:tcBorders>
              <w:top w:val="nil"/>
              <w:left w:val="nil"/>
              <w:bottom w:val="nil"/>
              <w:right w:val="nil"/>
            </w:tcBorders>
            <w:shd w:val="clear" w:color="auto" w:fill="auto"/>
            <w:noWrap/>
            <w:vAlign w:val="center"/>
            <w:hideMark/>
          </w:tcPr>
          <w:p w14:paraId="1963AA04" w14:textId="77777777" w:rsidR="00C13A9E" w:rsidRPr="00D92E20" w:rsidRDefault="00C13A9E" w:rsidP="00C13A9E">
            <w:pPr>
              <w:spacing w:after="0" w:line="240" w:lineRule="auto"/>
              <w:jc w:val="center"/>
              <w:rPr>
                <w:rFonts w:cs="Arial"/>
                <w:sz w:val="16"/>
                <w:szCs w:val="16"/>
              </w:rPr>
            </w:pPr>
            <w:r w:rsidRPr="00D92E20">
              <w:rPr>
                <w:rFonts w:cs="Arial"/>
                <w:sz w:val="16"/>
                <w:szCs w:val="16"/>
              </w:rPr>
              <w:t>1,65</w:t>
            </w:r>
          </w:p>
        </w:tc>
        <w:tc>
          <w:tcPr>
            <w:tcW w:w="907" w:type="dxa"/>
            <w:tcBorders>
              <w:top w:val="nil"/>
              <w:left w:val="nil"/>
              <w:bottom w:val="nil"/>
              <w:right w:val="nil"/>
            </w:tcBorders>
            <w:shd w:val="clear" w:color="auto" w:fill="auto"/>
            <w:noWrap/>
            <w:vAlign w:val="center"/>
            <w:hideMark/>
          </w:tcPr>
          <w:p w14:paraId="1F7E1DB1" w14:textId="77777777" w:rsidR="00C13A9E" w:rsidRPr="00D92E20" w:rsidRDefault="00C13A9E" w:rsidP="00C13A9E">
            <w:pPr>
              <w:spacing w:after="0" w:line="240" w:lineRule="auto"/>
              <w:jc w:val="center"/>
              <w:rPr>
                <w:rFonts w:cs="Arial"/>
                <w:sz w:val="16"/>
                <w:szCs w:val="16"/>
              </w:rPr>
            </w:pPr>
            <w:r w:rsidRPr="00D92E20">
              <w:rPr>
                <w:rFonts w:cs="Arial"/>
                <w:sz w:val="16"/>
                <w:szCs w:val="16"/>
              </w:rPr>
              <w:t>1,60</w:t>
            </w:r>
          </w:p>
        </w:tc>
      </w:tr>
    </w:tbl>
    <w:p w14:paraId="46957834" w14:textId="77777777" w:rsidR="00C13A9E" w:rsidRPr="00D92E20" w:rsidRDefault="00C13A9E" w:rsidP="00C13A9E">
      <w:pPr>
        <w:spacing w:after="120"/>
        <w:jc w:val="both"/>
        <w:rPr>
          <w:sz w:val="16"/>
        </w:rPr>
      </w:pPr>
    </w:p>
    <w:p w14:paraId="6F312E31" w14:textId="77777777" w:rsidR="00C13A9E" w:rsidRPr="00D92E20" w:rsidRDefault="00C13A9E" w:rsidP="00C13A9E">
      <w:pPr>
        <w:spacing w:after="120"/>
        <w:jc w:val="both"/>
        <w:rPr>
          <w:sz w:val="16"/>
        </w:rPr>
      </w:pPr>
      <w:r w:rsidRPr="00D92E20">
        <w:rPr>
          <w:sz w:val="16"/>
        </w:rPr>
        <w:t>Přerušení v časové řadě</w:t>
      </w:r>
    </w:p>
    <w:p w14:paraId="4CC5FCB2" w14:textId="77777777" w:rsidR="00C13A9E" w:rsidRPr="00D92E20" w:rsidRDefault="00C13A9E" w:rsidP="00C13A9E">
      <w:pPr>
        <w:spacing w:after="120"/>
        <w:jc w:val="both"/>
        <w:rPr>
          <w:sz w:val="16"/>
        </w:rPr>
      </w:pPr>
      <w:r w:rsidRPr="00D92E20">
        <w:rPr>
          <w:sz w:val="16"/>
        </w:rPr>
        <w:t>Zdroj: Eurostat (ESAW)</w:t>
      </w:r>
    </w:p>
    <w:p w14:paraId="627C0BE8" w14:textId="77777777" w:rsidR="00B608FE" w:rsidRPr="00D92E20" w:rsidRDefault="00B608FE">
      <w:pPr>
        <w:spacing w:after="0" w:line="240" w:lineRule="auto"/>
        <w:rPr>
          <w:rFonts w:eastAsia="MS Gothic"/>
          <w:b/>
          <w:bCs/>
          <w:color w:val="BC091B"/>
          <w:sz w:val="24"/>
        </w:rPr>
      </w:pPr>
      <w:bookmarkStart w:id="30" w:name="_Toc54262807"/>
      <w:r w:rsidRPr="00D92E20">
        <w:br w:type="page"/>
      </w:r>
    </w:p>
    <w:p w14:paraId="4BE1BBEA" w14:textId="77777777" w:rsidR="00B608FE" w:rsidRPr="00D92E20" w:rsidRDefault="00B608FE" w:rsidP="00277304">
      <w:pPr>
        <w:pStyle w:val="Nadpis3"/>
        <w:numPr>
          <w:ilvl w:val="1"/>
          <w:numId w:val="5"/>
        </w:numPr>
        <w:spacing w:after="100"/>
        <w:ind w:left="284" w:hanging="403"/>
      </w:pPr>
      <w:bookmarkStart w:id="31" w:name="_Toc70950137"/>
      <w:r w:rsidRPr="00D92E20">
        <w:lastRenderedPageBreak/>
        <w:t>Závěrečné shrnutí</w:t>
      </w:r>
      <w:bookmarkEnd w:id="30"/>
      <w:bookmarkEnd w:id="31"/>
    </w:p>
    <w:p w14:paraId="4C4E5F78" w14:textId="4579178B" w:rsidR="00483E6B" w:rsidRPr="00D92E20" w:rsidRDefault="0087102D" w:rsidP="00483E6B">
      <w:pPr>
        <w:pStyle w:val="Odstavecseseznamem"/>
        <w:numPr>
          <w:ilvl w:val="0"/>
          <w:numId w:val="23"/>
        </w:numPr>
        <w:spacing w:after="120"/>
        <w:ind w:left="283" w:hanging="357"/>
        <w:contextualSpacing w:val="0"/>
        <w:jc w:val="both"/>
      </w:pPr>
      <w:r w:rsidRPr="00D92E20">
        <w:t xml:space="preserve">V roce 2020 </w:t>
      </w:r>
      <w:r w:rsidR="00C0303E" w:rsidRPr="00D92E20">
        <w:t>bylo v Česku</w:t>
      </w:r>
      <w:r w:rsidRPr="00D92E20">
        <w:rPr>
          <w:b/>
        </w:rPr>
        <w:t xml:space="preserve"> </w:t>
      </w:r>
      <w:r w:rsidR="000562AF" w:rsidRPr="00D92E20">
        <w:rPr>
          <w:b/>
        </w:rPr>
        <w:t xml:space="preserve">nemocensky pojištěno </w:t>
      </w:r>
      <w:r w:rsidR="000562AF" w:rsidRPr="00D92E20">
        <w:t>celkem</w:t>
      </w:r>
      <w:r w:rsidR="000562AF" w:rsidRPr="00D92E20">
        <w:rPr>
          <w:b/>
        </w:rPr>
        <w:t xml:space="preserve"> </w:t>
      </w:r>
      <w:r w:rsidR="00C0303E" w:rsidRPr="00D92E20">
        <w:rPr>
          <w:b/>
        </w:rPr>
        <w:t>4 690 tis.</w:t>
      </w:r>
      <w:r w:rsidR="00C0303E" w:rsidRPr="00D92E20">
        <w:t xml:space="preserve"> </w:t>
      </w:r>
      <w:r w:rsidRPr="00D92E20">
        <w:rPr>
          <w:b/>
        </w:rPr>
        <w:t>osob</w:t>
      </w:r>
      <w:r w:rsidRPr="00D92E20">
        <w:t xml:space="preserve">, tedy téměř o 43 tis. </w:t>
      </w:r>
      <w:r w:rsidR="007C22C0" w:rsidRPr="00D92E20">
        <w:rPr>
          <w:szCs w:val="20"/>
        </w:rPr>
        <w:t>(</w:t>
      </w:r>
      <w:r w:rsidRPr="00D92E20">
        <w:rPr>
          <w:szCs w:val="20"/>
        </w:rPr>
        <w:t>tj. o</w:t>
      </w:r>
      <w:r w:rsidR="005A3E66" w:rsidRPr="00D92E20">
        <w:rPr>
          <w:szCs w:val="20"/>
        </w:rPr>
        <w:t> </w:t>
      </w:r>
      <w:r w:rsidR="007C22C0" w:rsidRPr="00D92E20">
        <w:rPr>
          <w:szCs w:val="20"/>
        </w:rPr>
        <w:t>1</w:t>
      </w:r>
      <w:r w:rsidR="00C0303E" w:rsidRPr="00D92E20">
        <w:rPr>
          <w:szCs w:val="20"/>
        </w:rPr>
        <w:t> </w:t>
      </w:r>
      <w:r w:rsidRPr="00D92E20">
        <w:rPr>
          <w:szCs w:val="20"/>
        </w:rPr>
        <w:t>%) méně než před rokem.</w:t>
      </w:r>
      <w:r w:rsidR="00C0303E" w:rsidRPr="00D92E20">
        <w:rPr>
          <w:szCs w:val="20"/>
        </w:rPr>
        <w:t xml:space="preserve"> </w:t>
      </w:r>
      <w:r w:rsidR="000562AF" w:rsidRPr="00D92E20">
        <w:rPr>
          <w:szCs w:val="20"/>
        </w:rPr>
        <w:t>Meziročně n</w:t>
      </w:r>
      <w:r w:rsidR="00C0303E" w:rsidRPr="00D92E20">
        <w:rPr>
          <w:szCs w:val="20"/>
        </w:rPr>
        <w:t xml:space="preserve">ejvýrazněji vzrostl počet nemocensky pojištěných </w:t>
      </w:r>
      <w:r w:rsidR="000562AF" w:rsidRPr="00D92E20">
        <w:rPr>
          <w:szCs w:val="20"/>
        </w:rPr>
        <w:t xml:space="preserve">zaměstnanců </w:t>
      </w:r>
      <w:r w:rsidR="00C0303E" w:rsidRPr="00D92E20">
        <w:rPr>
          <w:szCs w:val="20"/>
        </w:rPr>
        <w:t>v oblasti Zdravotní a</w:t>
      </w:r>
      <w:r w:rsidR="00483E6B" w:rsidRPr="00D92E20">
        <w:rPr>
          <w:szCs w:val="20"/>
        </w:rPr>
        <w:t> </w:t>
      </w:r>
      <w:r w:rsidR="00C0303E" w:rsidRPr="00D92E20">
        <w:rPr>
          <w:szCs w:val="20"/>
        </w:rPr>
        <w:t xml:space="preserve">sociální péče </w:t>
      </w:r>
      <w:r w:rsidR="00483E6B" w:rsidRPr="00D92E20">
        <w:rPr>
          <w:szCs w:val="20"/>
        </w:rPr>
        <w:t xml:space="preserve">a Vzdělávání </w:t>
      </w:r>
      <w:r w:rsidR="00C0303E" w:rsidRPr="00D92E20">
        <w:rPr>
          <w:szCs w:val="20"/>
        </w:rPr>
        <w:t>(3 %).</w:t>
      </w:r>
      <w:r w:rsidR="00483E6B" w:rsidRPr="00D92E20">
        <w:rPr>
          <w:szCs w:val="20"/>
        </w:rPr>
        <w:t xml:space="preserve"> Naopak největší pokles (8 %) byl zaznamenán v oblasti Ubytování, stravování a pohostinství.</w:t>
      </w:r>
    </w:p>
    <w:p w14:paraId="5B25CE46" w14:textId="4AC73CD6" w:rsidR="0087102D" w:rsidRPr="00D92E20" w:rsidRDefault="00483E6B" w:rsidP="008B7D64">
      <w:pPr>
        <w:pStyle w:val="Odstavecseseznamem"/>
        <w:numPr>
          <w:ilvl w:val="0"/>
          <w:numId w:val="23"/>
        </w:numPr>
        <w:spacing w:after="120"/>
        <w:ind w:left="283" w:hanging="357"/>
        <w:contextualSpacing w:val="0"/>
        <w:jc w:val="both"/>
      </w:pPr>
      <w:r w:rsidRPr="00D92E20">
        <w:t xml:space="preserve">V minulém roce </w:t>
      </w:r>
      <w:r w:rsidR="00D45F63" w:rsidRPr="00D92E20">
        <w:t xml:space="preserve">bylo nahlášeno </w:t>
      </w:r>
      <w:r w:rsidRPr="00D92E20">
        <w:t xml:space="preserve">celkem </w:t>
      </w:r>
      <w:r w:rsidR="00D45F63" w:rsidRPr="00D92E20">
        <w:rPr>
          <w:b/>
        </w:rPr>
        <w:t>2 391 tis.</w:t>
      </w:r>
      <w:r w:rsidR="00D45F63" w:rsidRPr="00D92E20">
        <w:t xml:space="preserve"> </w:t>
      </w:r>
      <w:r w:rsidR="00D45F63" w:rsidRPr="00D92E20">
        <w:rPr>
          <w:b/>
        </w:rPr>
        <w:t>případů dočasné pracovní neschopnosti</w:t>
      </w:r>
      <w:r w:rsidR="00D45F63" w:rsidRPr="00D92E20">
        <w:t xml:space="preserve">. Meziročně </w:t>
      </w:r>
      <w:r w:rsidRPr="00D92E20">
        <w:t xml:space="preserve">jejich </w:t>
      </w:r>
      <w:r w:rsidR="00D45F63" w:rsidRPr="00D92E20">
        <w:t>počet vzrostl o čtvrtinu (+476 tis.).</w:t>
      </w:r>
      <w:r w:rsidR="00BF0828" w:rsidRPr="00D92E20">
        <w:t xml:space="preserve"> Případů </w:t>
      </w:r>
      <w:r w:rsidR="00BF0828" w:rsidRPr="00D92E20">
        <w:rPr>
          <w:b/>
        </w:rPr>
        <w:t>pro nemoc</w:t>
      </w:r>
      <w:r w:rsidR="00BF0828" w:rsidRPr="00D92E20">
        <w:t xml:space="preserve"> bylo nahlášeno 2,2 milionu, téměř o 500 tis. více než v roce 2019</w:t>
      </w:r>
      <w:r w:rsidRPr="00D92E20">
        <w:t xml:space="preserve"> a o milion více v porovnání s rokem 2010</w:t>
      </w:r>
      <w:r w:rsidR="00BF0828" w:rsidRPr="00D92E20">
        <w:t>.</w:t>
      </w:r>
    </w:p>
    <w:p w14:paraId="5875B987" w14:textId="2EF74595" w:rsidR="00483E6B" w:rsidRPr="00D92E20" w:rsidRDefault="00483E6B" w:rsidP="008B7D64">
      <w:pPr>
        <w:pStyle w:val="Odstavecseseznamem"/>
        <w:numPr>
          <w:ilvl w:val="0"/>
          <w:numId w:val="23"/>
        </w:numPr>
        <w:spacing w:after="120"/>
        <w:ind w:left="283" w:hanging="357"/>
        <w:contextualSpacing w:val="0"/>
        <w:jc w:val="both"/>
      </w:pPr>
      <w:r w:rsidRPr="00D92E20">
        <w:rPr>
          <w:rFonts w:cs="Arial"/>
        </w:rPr>
        <w:t>Rychleji rostl počet neschopenek u mužů než u žen. Co se týče neschopností pro nemoc, v</w:t>
      </w:r>
      <w:r w:rsidRPr="00D92E20">
        <w:rPr>
          <w:bCs/>
        </w:rPr>
        <w:t xml:space="preserve"> případě </w:t>
      </w:r>
      <w:r w:rsidRPr="00D92E20">
        <w:rPr>
          <w:b/>
          <w:bCs/>
        </w:rPr>
        <w:t>mužů</w:t>
      </w:r>
      <w:r w:rsidRPr="00D92E20">
        <w:rPr>
          <w:bCs/>
        </w:rPr>
        <w:t xml:space="preserve"> jejich počet v roce 2020 meziročně vzrostl téměř o třetinu (250 tis.), u </w:t>
      </w:r>
      <w:r w:rsidRPr="00D92E20">
        <w:rPr>
          <w:b/>
          <w:bCs/>
        </w:rPr>
        <w:t>žen</w:t>
      </w:r>
      <w:r w:rsidRPr="00D92E20">
        <w:rPr>
          <w:bCs/>
        </w:rPr>
        <w:t xml:space="preserve"> to bylo přibližně o čtvrtinu</w:t>
      </w:r>
      <w:r w:rsidR="000562AF" w:rsidRPr="00D92E20">
        <w:rPr>
          <w:bCs/>
        </w:rPr>
        <w:t xml:space="preserve"> (242 tis.)</w:t>
      </w:r>
      <w:r w:rsidRPr="00D92E20">
        <w:rPr>
          <w:bCs/>
        </w:rPr>
        <w:t>.</w:t>
      </w:r>
    </w:p>
    <w:p w14:paraId="0245EC0F" w14:textId="1E9C4562" w:rsidR="00AB10AA" w:rsidRPr="00D92E20" w:rsidRDefault="00483E6B" w:rsidP="008B7D64">
      <w:pPr>
        <w:pStyle w:val="Odstavecseseznamem"/>
        <w:numPr>
          <w:ilvl w:val="0"/>
          <w:numId w:val="23"/>
        </w:numPr>
        <w:spacing w:after="120"/>
        <w:ind w:left="283" w:hanging="357"/>
        <w:contextualSpacing w:val="0"/>
        <w:jc w:val="both"/>
      </w:pPr>
      <w:r w:rsidRPr="00D92E20">
        <w:t xml:space="preserve">V porovnání s druhým pololetím roku 2018 vzrostl počet neschopenek z důvodu nemoci ve stejném období roku 2020 o 72 %. </w:t>
      </w:r>
      <w:r w:rsidR="00D45F63" w:rsidRPr="00D92E20">
        <w:t xml:space="preserve">Za </w:t>
      </w:r>
      <w:r w:rsidRPr="00D92E20">
        <w:t xml:space="preserve">tímto výrazným </w:t>
      </w:r>
      <w:r w:rsidR="00D45F63" w:rsidRPr="00D92E20">
        <w:t xml:space="preserve">nárůstem </w:t>
      </w:r>
      <w:r w:rsidR="00AB10AA" w:rsidRPr="00D92E20">
        <w:t>bylo</w:t>
      </w:r>
      <w:r w:rsidR="00D45F63" w:rsidRPr="00D92E20">
        <w:t xml:space="preserve"> patrně </w:t>
      </w:r>
      <w:r w:rsidR="00D45F63" w:rsidRPr="00D92E20">
        <w:rPr>
          <w:b/>
        </w:rPr>
        <w:t>zrušení karenční doby</w:t>
      </w:r>
      <w:r w:rsidR="00855978" w:rsidRPr="00D92E20">
        <w:rPr>
          <w:b/>
        </w:rPr>
        <w:t xml:space="preserve"> </w:t>
      </w:r>
      <w:r w:rsidR="00855978" w:rsidRPr="00D92E20">
        <w:t>v roce 2019</w:t>
      </w:r>
      <w:r w:rsidR="00D45F63" w:rsidRPr="00D92E20">
        <w:t xml:space="preserve">, kdy zaměstnanec dostává náhradu mzdy již od prvního, a nikoliv až od čtvrtého dne. </w:t>
      </w:r>
    </w:p>
    <w:p w14:paraId="5467488B" w14:textId="1C62060C" w:rsidR="00D45F63" w:rsidRPr="00D92E20" w:rsidRDefault="00D45F63" w:rsidP="008B7D64">
      <w:pPr>
        <w:pStyle w:val="Odstavecseseznamem"/>
        <w:numPr>
          <w:ilvl w:val="0"/>
          <w:numId w:val="23"/>
        </w:numPr>
        <w:spacing w:after="120"/>
        <w:ind w:left="283" w:hanging="357"/>
        <w:contextualSpacing w:val="0"/>
        <w:jc w:val="both"/>
      </w:pPr>
      <w:r w:rsidRPr="00D92E20">
        <w:t>Významn</w:t>
      </w:r>
      <w:r w:rsidR="00840277" w:rsidRPr="00D92E20">
        <w:t>ým</w:t>
      </w:r>
      <w:r w:rsidRPr="00D92E20">
        <w:t xml:space="preserve"> faktorem</w:t>
      </w:r>
      <w:r w:rsidR="00392130" w:rsidRPr="00D92E20">
        <w:t>, který stojí</w:t>
      </w:r>
      <w:r w:rsidRPr="00D92E20">
        <w:t xml:space="preserve"> </w:t>
      </w:r>
      <w:r w:rsidR="00AB10AA" w:rsidRPr="00D92E20">
        <w:t xml:space="preserve">za nárůstem v roce 2020 </w:t>
      </w:r>
      <w:r w:rsidRPr="00D92E20">
        <w:t xml:space="preserve">je </w:t>
      </w:r>
      <w:r w:rsidRPr="00D92E20">
        <w:rPr>
          <w:b/>
        </w:rPr>
        <w:t>pandemie nemoci Covid-19</w:t>
      </w:r>
      <w:r w:rsidRPr="00D92E20">
        <w:t xml:space="preserve">. Celkový počet nahlášených případů totiž nezahrnuje pouze pracovní neschopnosti pro nemoc jako takové, ale </w:t>
      </w:r>
      <w:r w:rsidR="00392130" w:rsidRPr="00D92E20">
        <w:t>i </w:t>
      </w:r>
      <w:r w:rsidR="00392130" w:rsidRPr="00D92E20">
        <w:rPr>
          <w:b/>
        </w:rPr>
        <w:t>karantény</w:t>
      </w:r>
      <w:r w:rsidR="00392130" w:rsidRPr="00D92E20">
        <w:t>, při nichž mají pojištěnci rovněž nárok na nemocenské, a které byly poprvé v historii vystavovány v nebývalém množství.</w:t>
      </w:r>
    </w:p>
    <w:p w14:paraId="1956D2AB" w14:textId="7131495E" w:rsidR="00D45F63" w:rsidRPr="00D92E20" w:rsidRDefault="00AB10AA" w:rsidP="008B7D64">
      <w:pPr>
        <w:pStyle w:val="Odstavecseseznamem"/>
        <w:numPr>
          <w:ilvl w:val="0"/>
          <w:numId w:val="23"/>
        </w:numPr>
        <w:spacing w:after="120"/>
        <w:ind w:left="283" w:hanging="357"/>
        <w:contextualSpacing w:val="0"/>
        <w:jc w:val="both"/>
      </w:pPr>
      <w:r w:rsidRPr="00D92E20">
        <w:t xml:space="preserve">Ve 4. čtvrtletí roku 2020 bylo vydáno </w:t>
      </w:r>
      <w:r w:rsidRPr="00D92E20">
        <w:rPr>
          <w:b/>
        </w:rPr>
        <w:t>237 tis. neschopenek z důvodu karantény</w:t>
      </w:r>
      <w:r w:rsidRPr="00D92E20">
        <w:t>, tj. čtvrtina všech neschopenek vydaných v tomto období.</w:t>
      </w:r>
    </w:p>
    <w:p w14:paraId="32DC9941" w14:textId="2E621C13" w:rsidR="00D45F63" w:rsidRPr="00D92E20" w:rsidRDefault="00392130" w:rsidP="008B7D64">
      <w:pPr>
        <w:pStyle w:val="Odstavecseseznamem"/>
        <w:numPr>
          <w:ilvl w:val="0"/>
          <w:numId w:val="23"/>
        </w:numPr>
        <w:spacing w:after="120"/>
        <w:ind w:left="283" w:hanging="357"/>
        <w:contextualSpacing w:val="0"/>
        <w:jc w:val="both"/>
      </w:pPr>
      <w:r w:rsidRPr="00D92E20">
        <w:t>Na rozdíl od pracovní neschopnosti z důvodu nemoci bylo hlášeno m</w:t>
      </w:r>
      <w:r w:rsidR="00AB10AA" w:rsidRPr="00D92E20">
        <w:t>éně</w:t>
      </w:r>
      <w:r w:rsidR="00D45F63" w:rsidRPr="00D92E20">
        <w:t xml:space="preserve"> </w:t>
      </w:r>
      <w:r w:rsidRPr="00D92E20">
        <w:t xml:space="preserve">neschopností pro </w:t>
      </w:r>
      <w:r w:rsidR="00AB10AA" w:rsidRPr="00D92E20">
        <w:rPr>
          <w:b/>
        </w:rPr>
        <w:t>úraz</w:t>
      </w:r>
      <w:r w:rsidR="00D45F63" w:rsidRPr="00D92E20">
        <w:t>.</w:t>
      </w:r>
      <w:r w:rsidR="00BF0828" w:rsidRPr="00D92E20">
        <w:t xml:space="preserve"> Meziročně </w:t>
      </w:r>
      <w:r w:rsidR="00AB10AA" w:rsidRPr="00D92E20">
        <w:t>u</w:t>
      </w:r>
      <w:r w:rsidR="00BF0828" w:rsidRPr="00D92E20">
        <w:t xml:space="preserve">bylo 3,2 tis. </w:t>
      </w:r>
      <w:r w:rsidR="00AB10AA" w:rsidRPr="00D92E20">
        <w:t>pracovních úrazů na</w:t>
      </w:r>
      <w:r w:rsidR="00BF0828" w:rsidRPr="00D92E20">
        <w:t xml:space="preserve"> 41 tis. </w:t>
      </w:r>
      <w:r w:rsidR="00AB10AA" w:rsidRPr="00D92E20">
        <w:t xml:space="preserve">v roce 2020. </w:t>
      </w:r>
      <w:r w:rsidR="00BF0828" w:rsidRPr="00D92E20">
        <w:t>Po</w:t>
      </w:r>
      <w:r w:rsidR="00AB10AA" w:rsidRPr="00D92E20">
        <w:t>klesl i počet nepracovních úraz</w:t>
      </w:r>
      <w:r w:rsidR="00855978" w:rsidRPr="00D92E20">
        <w:t>ů</w:t>
      </w:r>
      <w:r w:rsidR="00BF0828" w:rsidRPr="00D92E20">
        <w:t xml:space="preserve">. V relativním vyjádření došlo </w:t>
      </w:r>
      <w:r w:rsidR="00AB10AA" w:rsidRPr="00D92E20">
        <w:t>meziročně ke snížení počtu případů dočasné pracovní neschopnosti z důvodu</w:t>
      </w:r>
      <w:r w:rsidR="00BF0828" w:rsidRPr="00D92E20">
        <w:t xml:space="preserve"> úraz</w:t>
      </w:r>
      <w:r w:rsidR="00855978" w:rsidRPr="00D92E20">
        <w:t>u</w:t>
      </w:r>
      <w:r w:rsidR="00BF0828" w:rsidRPr="00D92E20">
        <w:t xml:space="preserve"> o</w:t>
      </w:r>
      <w:r w:rsidR="00EC525E" w:rsidRPr="00D92E20">
        <w:t> </w:t>
      </w:r>
      <w:r w:rsidR="00BF0828" w:rsidRPr="00D92E20">
        <w:t>8</w:t>
      </w:r>
      <w:r w:rsidR="00EC525E" w:rsidRPr="00D92E20">
        <w:t> </w:t>
      </w:r>
      <w:r w:rsidR="00BF0828" w:rsidRPr="00D92E20">
        <w:t>%.</w:t>
      </w:r>
    </w:p>
    <w:p w14:paraId="53F00FC1" w14:textId="44789808" w:rsidR="00BF0828" w:rsidRPr="00D92E20" w:rsidRDefault="00AB10AA" w:rsidP="008B7D64">
      <w:pPr>
        <w:pStyle w:val="Odstavecseseznamem"/>
        <w:numPr>
          <w:ilvl w:val="0"/>
          <w:numId w:val="23"/>
        </w:numPr>
        <w:spacing w:after="120"/>
        <w:ind w:left="283" w:hanging="357"/>
        <w:contextualSpacing w:val="0"/>
        <w:jc w:val="both"/>
      </w:pPr>
      <w:r w:rsidRPr="00D92E20">
        <w:t>V roce 2020</w:t>
      </w:r>
      <w:r w:rsidRPr="00D92E20">
        <w:rPr>
          <w:b/>
        </w:rPr>
        <w:t xml:space="preserve"> n</w:t>
      </w:r>
      <w:r w:rsidR="0038632C" w:rsidRPr="00D92E20">
        <w:rPr>
          <w:b/>
        </w:rPr>
        <w:t>a 100 pojištěnců</w:t>
      </w:r>
      <w:r w:rsidR="0038632C" w:rsidRPr="00D92E20">
        <w:t xml:space="preserve"> připadalo </w:t>
      </w:r>
      <w:r w:rsidR="0038632C" w:rsidRPr="00D92E20">
        <w:rPr>
          <w:b/>
        </w:rPr>
        <w:t>51</w:t>
      </w:r>
      <w:r w:rsidR="0038632C" w:rsidRPr="00D92E20">
        <w:t xml:space="preserve"> nově hlášených </w:t>
      </w:r>
      <w:r w:rsidR="0038632C" w:rsidRPr="00D92E20">
        <w:rPr>
          <w:b/>
        </w:rPr>
        <w:t>případů</w:t>
      </w:r>
      <w:r w:rsidR="0038632C" w:rsidRPr="00D92E20">
        <w:t xml:space="preserve"> dočasné </w:t>
      </w:r>
      <w:r w:rsidR="0038632C" w:rsidRPr="00D92E20">
        <w:rPr>
          <w:b/>
        </w:rPr>
        <w:t>pracovní neschopnosti</w:t>
      </w:r>
      <w:r w:rsidR="0038632C" w:rsidRPr="00D92E20">
        <w:t>. To je o</w:t>
      </w:r>
      <w:r w:rsidR="00C02C40" w:rsidRPr="00D92E20">
        <w:t> </w:t>
      </w:r>
      <w:r w:rsidR="0038632C" w:rsidRPr="00D92E20">
        <w:t>10,5</w:t>
      </w:r>
      <w:r w:rsidR="00C02C40" w:rsidRPr="00D92E20">
        <w:t> </w:t>
      </w:r>
      <w:r w:rsidR="0038632C" w:rsidRPr="00D92E20">
        <w:t xml:space="preserve">více než v roce 2019. Nejvíce případů </w:t>
      </w:r>
      <w:r w:rsidRPr="00D92E20">
        <w:t xml:space="preserve">na 100 pojištěnců </w:t>
      </w:r>
      <w:r w:rsidR="0038632C" w:rsidRPr="00D92E20">
        <w:t>bylo v</w:t>
      </w:r>
      <w:r w:rsidRPr="00D92E20">
        <w:t> roce 2020 zaznamenáno v odvětvové sekci</w:t>
      </w:r>
      <w:r w:rsidR="0038632C" w:rsidRPr="00D92E20">
        <w:t xml:space="preserve"> Těžba a dobývání (71). Následoval Zpracovatelský průmysl (67) a Zdravotní a sociální péče (60).</w:t>
      </w:r>
      <w:r w:rsidRPr="00D92E20">
        <w:t xml:space="preserve"> V</w:t>
      </w:r>
      <w:r w:rsidR="001C0B68" w:rsidRPr="00D92E20">
        <w:t xml:space="preserve"> sekci Zdravotní a sociální péče </w:t>
      </w:r>
      <w:r w:rsidRPr="00D92E20">
        <w:t>tento poměrový ukazatel meziročně vzrostl o 2</w:t>
      </w:r>
      <w:r w:rsidR="006F11B0" w:rsidRPr="00D92E20">
        <w:t>4</w:t>
      </w:r>
      <w:r w:rsidRPr="00D92E20">
        <w:t xml:space="preserve"> případů.</w:t>
      </w:r>
    </w:p>
    <w:p w14:paraId="3B994158" w14:textId="293CDA57" w:rsidR="0044667F" w:rsidRPr="00D92E20" w:rsidRDefault="0044667F" w:rsidP="008B7D64">
      <w:pPr>
        <w:pStyle w:val="Odstavecseseznamem"/>
        <w:numPr>
          <w:ilvl w:val="0"/>
          <w:numId w:val="23"/>
        </w:numPr>
        <w:spacing w:after="120"/>
        <w:ind w:left="283" w:hanging="357"/>
        <w:contextualSpacing w:val="0"/>
        <w:jc w:val="both"/>
      </w:pPr>
      <w:r w:rsidRPr="00D92E20">
        <w:t>Nejvíce případů pracovní neschopnosti na 100 pojištěnců</w:t>
      </w:r>
      <w:r w:rsidR="00F12400" w:rsidRPr="00D92E20">
        <w:t xml:space="preserve"> v </w:t>
      </w:r>
      <w:r w:rsidR="00F12400" w:rsidRPr="00D92E20">
        <w:rPr>
          <w:b/>
        </w:rPr>
        <w:t>krajském srovnání</w:t>
      </w:r>
      <w:r w:rsidR="00F12400" w:rsidRPr="00D92E20">
        <w:t xml:space="preserve"> </w:t>
      </w:r>
      <w:r w:rsidR="007C22C0" w:rsidRPr="00D92E20">
        <w:t xml:space="preserve">bylo </w:t>
      </w:r>
      <w:r w:rsidRPr="00D92E20">
        <w:t>hlášeno v Libereckém (64), Moravskoslezském (60) a Zlínském kraji (59). Podprůměrné hodnoty vykazovala Praha (39) a</w:t>
      </w:r>
      <w:r w:rsidR="00C02C40" w:rsidRPr="00D92E20">
        <w:t> </w:t>
      </w:r>
      <w:r w:rsidRPr="00D92E20">
        <w:t xml:space="preserve">Jihomoravský kraj (49). </w:t>
      </w:r>
    </w:p>
    <w:p w14:paraId="016CABD5" w14:textId="79040CB1" w:rsidR="00671EEE" w:rsidRPr="00D92E20" w:rsidRDefault="0038632C" w:rsidP="008B7D64">
      <w:pPr>
        <w:pStyle w:val="Odstavecseseznamem"/>
        <w:numPr>
          <w:ilvl w:val="0"/>
          <w:numId w:val="23"/>
        </w:numPr>
        <w:spacing w:after="120"/>
        <w:ind w:left="283" w:hanging="357"/>
        <w:contextualSpacing w:val="0"/>
        <w:jc w:val="both"/>
      </w:pPr>
      <w:r w:rsidRPr="00D92E20">
        <w:t xml:space="preserve">Celkově strávili pojištěnci v roce 2020 </w:t>
      </w:r>
      <w:r w:rsidRPr="00D92E20">
        <w:rPr>
          <w:b/>
        </w:rPr>
        <w:t>v pracovní neschopnosti 94 246 tis. dnů</w:t>
      </w:r>
      <w:r w:rsidRPr="00D92E20">
        <w:t>, což je o 16 % více než před rokem. Nárůst ve výši 13 mil. dnů je nebývalý.</w:t>
      </w:r>
    </w:p>
    <w:p w14:paraId="4108BC35" w14:textId="77777777" w:rsidR="00671EEE" w:rsidRPr="00D92E20" w:rsidRDefault="00671EEE" w:rsidP="008B7D64">
      <w:pPr>
        <w:pStyle w:val="Odstavecseseznamem"/>
        <w:numPr>
          <w:ilvl w:val="0"/>
          <w:numId w:val="23"/>
        </w:numPr>
        <w:spacing w:after="120"/>
        <w:ind w:left="283" w:hanging="357"/>
        <w:contextualSpacing w:val="0"/>
        <w:jc w:val="both"/>
      </w:pPr>
      <w:r w:rsidRPr="00D92E20">
        <w:rPr>
          <w:b/>
        </w:rPr>
        <w:t>Průměrná délka</w:t>
      </w:r>
      <w:r w:rsidRPr="00D92E20">
        <w:t xml:space="preserve"> trvání pracovní neschopnosti meziročně klesla ze 42,4 dne v roce 2019 na 39,4 dne v roce 2020. Jedná se o nejkratší dobu za posledních 10 let. Dá se říci, že přibylo krátkodobých neschopností z důvodu nemoci.</w:t>
      </w:r>
    </w:p>
    <w:p w14:paraId="07290F15" w14:textId="298B94EA" w:rsidR="00671EEE" w:rsidRPr="00D92E20" w:rsidRDefault="00671EEE" w:rsidP="008B7D64">
      <w:pPr>
        <w:pStyle w:val="Odstavecseseznamem"/>
        <w:numPr>
          <w:ilvl w:val="0"/>
          <w:numId w:val="23"/>
        </w:numPr>
        <w:spacing w:after="120"/>
        <w:ind w:left="283" w:hanging="357"/>
        <w:contextualSpacing w:val="0"/>
        <w:jc w:val="both"/>
      </w:pPr>
      <w:r w:rsidRPr="00D92E20">
        <w:rPr>
          <w:b/>
        </w:rPr>
        <w:t>Ženy</w:t>
      </w:r>
      <w:r w:rsidRPr="00D92E20">
        <w:t xml:space="preserve"> strávily </w:t>
      </w:r>
      <w:r w:rsidR="00392130" w:rsidRPr="00D92E20">
        <w:t xml:space="preserve">v pracovní neschopnosti v průměru na 1 případ </w:t>
      </w:r>
      <w:r w:rsidRPr="00D92E20">
        <w:t>40,9 dne, muži 37,8 dne.</w:t>
      </w:r>
    </w:p>
    <w:p w14:paraId="6855F0A1" w14:textId="0EC5225F" w:rsidR="00671EEE" w:rsidRPr="00D92E20" w:rsidRDefault="00671EEE" w:rsidP="00AB10AA">
      <w:pPr>
        <w:pStyle w:val="Odstavecseseznamem"/>
        <w:numPr>
          <w:ilvl w:val="0"/>
          <w:numId w:val="23"/>
        </w:numPr>
        <w:spacing w:after="120"/>
        <w:ind w:left="283" w:hanging="357"/>
        <w:contextualSpacing w:val="0"/>
        <w:jc w:val="both"/>
      </w:pPr>
      <w:r w:rsidRPr="00D92E20">
        <w:t xml:space="preserve">Ve většině </w:t>
      </w:r>
      <w:r w:rsidRPr="00D92E20">
        <w:rPr>
          <w:b/>
        </w:rPr>
        <w:t>odvětví</w:t>
      </w:r>
      <w:r w:rsidRPr="00D92E20">
        <w:t xml:space="preserve"> došlo meziročně ke </w:t>
      </w:r>
      <w:r w:rsidR="00126E91" w:rsidRPr="00D92E20">
        <w:t>zkrácení</w:t>
      </w:r>
      <w:r w:rsidRPr="00D92E20">
        <w:t xml:space="preserve"> pracovní neschopnosti. Výjimku tvořila sekce Ubytování, stravování a pohostinství kde se průměrná doba neschopenky prodloužila o 2,6 dne (o 5 %).</w:t>
      </w:r>
      <w:r w:rsidR="00AB10AA" w:rsidRPr="00D92E20">
        <w:t xml:space="preserve"> </w:t>
      </w:r>
      <w:r w:rsidRPr="00D92E20">
        <w:t>K největšímu meziročnímu poklesu – o 10 dnů (o pětinu) – došlo v odvětví Zdravotní a sociální péče. Průměrná délka trvání pracovní neschopnosti zde činila 36 dnů.</w:t>
      </w:r>
    </w:p>
    <w:p w14:paraId="216ACF13" w14:textId="77777777" w:rsidR="00096B50" w:rsidRPr="00D92E20" w:rsidRDefault="00671EEE" w:rsidP="006655D4">
      <w:pPr>
        <w:pStyle w:val="Odstavecseseznamem"/>
        <w:numPr>
          <w:ilvl w:val="0"/>
          <w:numId w:val="23"/>
        </w:numPr>
        <w:spacing w:after="120"/>
        <w:ind w:left="283" w:hanging="357"/>
        <w:contextualSpacing w:val="0"/>
        <w:jc w:val="both"/>
      </w:pPr>
      <w:r w:rsidRPr="00D92E20">
        <w:rPr>
          <w:b/>
        </w:rPr>
        <w:t xml:space="preserve">Průměrné procento dočasné pracovní neschopnosti </w:t>
      </w:r>
      <w:r w:rsidRPr="00D92E20">
        <w:t xml:space="preserve">v roce 2020 dosáhlo 5,5 %. V případě mužů činila hodnota </w:t>
      </w:r>
      <w:r w:rsidR="008769E4" w:rsidRPr="00D92E20">
        <w:t>5</w:t>
      </w:r>
      <w:r w:rsidRPr="00D92E20">
        <w:t xml:space="preserve"> %, u žen </w:t>
      </w:r>
      <w:r w:rsidR="008769E4" w:rsidRPr="00D92E20">
        <w:t>6</w:t>
      </w:r>
      <w:r w:rsidRPr="00D92E20">
        <w:t xml:space="preserve"> %. Průměrné procento se meziročně zvýšilo o 0,8 p. b.</w:t>
      </w:r>
    </w:p>
    <w:p w14:paraId="638CBBD5" w14:textId="39C6F9D2" w:rsidR="00671EEE" w:rsidRPr="00D92E20" w:rsidRDefault="00671EEE" w:rsidP="006655D4">
      <w:pPr>
        <w:pStyle w:val="Odstavecseseznamem"/>
        <w:numPr>
          <w:ilvl w:val="0"/>
          <w:numId w:val="23"/>
        </w:numPr>
        <w:spacing w:after="120"/>
        <w:ind w:left="283" w:hanging="357"/>
        <w:contextualSpacing w:val="0"/>
        <w:jc w:val="both"/>
      </w:pPr>
      <w:r w:rsidRPr="00D92E20">
        <w:lastRenderedPageBreak/>
        <w:t xml:space="preserve">V roce 2020 v České republice </w:t>
      </w:r>
      <w:r w:rsidR="007C22C0" w:rsidRPr="00D92E20">
        <w:t>kvůli</w:t>
      </w:r>
      <w:r w:rsidRPr="00D92E20">
        <w:t xml:space="preserve"> dočasné pracovní neschopnosti způsobené nemocí či úrazem </w:t>
      </w:r>
      <w:r w:rsidRPr="00D92E20">
        <w:rPr>
          <w:b/>
        </w:rPr>
        <w:t xml:space="preserve">denně chybělo na pracovištích </w:t>
      </w:r>
      <w:r w:rsidR="008769E4" w:rsidRPr="00D92E20">
        <w:rPr>
          <w:b/>
        </w:rPr>
        <w:t>257 503</w:t>
      </w:r>
      <w:r w:rsidRPr="00D92E20">
        <w:rPr>
          <w:b/>
        </w:rPr>
        <w:t xml:space="preserve"> nemocensky pojištěných osob</w:t>
      </w:r>
      <w:r w:rsidRPr="00D92E20">
        <w:t>, což bylo ve srovnání s rokem 2019 o</w:t>
      </w:r>
      <w:r w:rsidR="007C22C0" w:rsidRPr="00D92E20">
        <w:t> </w:t>
      </w:r>
      <w:r w:rsidR="00FE69C1" w:rsidRPr="00D92E20">
        <w:t>16 % (35 tis.) více.</w:t>
      </w:r>
    </w:p>
    <w:p w14:paraId="290EB6B1" w14:textId="77777777" w:rsidR="0044667F" w:rsidRPr="00D92E20" w:rsidRDefault="0044667F" w:rsidP="008B7D64">
      <w:pPr>
        <w:pStyle w:val="Odstavecseseznamem"/>
        <w:numPr>
          <w:ilvl w:val="0"/>
          <w:numId w:val="23"/>
        </w:numPr>
        <w:spacing w:after="120"/>
        <w:ind w:left="283" w:hanging="357"/>
        <w:contextualSpacing w:val="0"/>
        <w:jc w:val="both"/>
      </w:pPr>
      <w:r w:rsidRPr="00D92E20">
        <w:t xml:space="preserve">Nejčastějším důvodem pracovní neschopnosti jsou dlouhodobě </w:t>
      </w:r>
      <w:r w:rsidRPr="00D92E20">
        <w:rPr>
          <w:b/>
        </w:rPr>
        <w:t>nemoci dýchací soustavy</w:t>
      </w:r>
      <w:r w:rsidRPr="00D92E20">
        <w:t>, které v roce 2020 způsobily 29 % všech případů. Obdobný po</w:t>
      </w:r>
      <w:r w:rsidR="007C22C0" w:rsidRPr="00D92E20">
        <w:t>díl v roce 2020</w:t>
      </w:r>
      <w:r w:rsidRPr="00D92E20">
        <w:t xml:space="preserve"> zaujímaly ostatní nemoci, kam patří i</w:t>
      </w:r>
      <w:r w:rsidR="007C22C0" w:rsidRPr="00D92E20">
        <w:t> </w:t>
      </w:r>
      <w:r w:rsidRPr="00D92E20">
        <w:t xml:space="preserve">neschopenky vydané pro případ karantény. Šestina neschopenek byla vydána kvůli nemocem </w:t>
      </w:r>
      <w:r w:rsidRPr="00D92E20">
        <w:rPr>
          <w:b/>
        </w:rPr>
        <w:t>pohybové soustavy</w:t>
      </w:r>
      <w:r w:rsidRPr="00D92E20">
        <w:t>.</w:t>
      </w:r>
    </w:p>
    <w:p w14:paraId="7CF380F8" w14:textId="35AA638F" w:rsidR="00FE69C1" w:rsidRPr="00D92E20" w:rsidRDefault="00451F24" w:rsidP="00622511">
      <w:pPr>
        <w:pStyle w:val="Odstavecseseznamem"/>
        <w:numPr>
          <w:ilvl w:val="0"/>
          <w:numId w:val="23"/>
        </w:numPr>
        <w:spacing w:after="120"/>
        <w:ind w:left="283" w:hanging="357"/>
        <w:contextualSpacing w:val="0"/>
        <w:jc w:val="both"/>
      </w:pPr>
      <w:r w:rsidRPr="00D92E20">
        <w:t xml:space="preserve">Za rok 2020 bylo pojištěncům vyplaceno </w:t>
      </w:r>
      <w:r w:rsidRPr="00D92E20">
        <w:rPr>
          <w:b/>
        </w:rPr>
        <w:t>nemocenské ve výši 33 mld. Kč</w:t>
      </w:r>
      <w:r w:rsidRPr="00D92E20">
        <w:t xml:space="preserve">. Meziročně </w:t>
      </w:r>
      <w:r w:rsidR="007C22C0" w:rsidRPr="00D92E20">
        <w:t xml:space="preserve">výdaje </w:t>
      </w:r>
      <w:r w:rsidRPr="00D92E20">
        <w:t>vzrostly o</w:t>
      </w:r>
      <w:r w:rsidR="007C22C0" w:rsidRPr="00D92E20">
        <w:t> </w:t>
      </w:r>
      <w:r w:rsidRPr="00D92E20">
        <w:t>6</w:t>
      </w:r>
      <w:r w:rsidR="007C22C0" w:rsidRPr="00D92E20">
        <w:t> </w:t>
      </w:r>
      <w:r w:rsidRPr="00D92E20">
        <w:t>mld.</w:t>
      </w:r>
      <w:r w:rsidR="0044667F" w:rsidRPr="00D92E20">
        <w:t> </w:t>
      </w:r>
      <w:r w:rsidRPr="00D92E20">
        <w:t xml:space="preserve">Kč, tj. o 23 %. </w:t>
      </w:r>
      <w:r w:rsidR="008B7D64" w:rsidRPr="00D92E20">
        <w:t>Výdaje na nemocenské v přepočtu na jednoho pojištěnce se v roce 2020 blížily 7</w:t>
      </w:r>
      <w:r w:rsidR="00392130" w:rsidRPr="00D92E20">
        <w:t> </w:t>
      </w:r>
      <w:r w:rsidR="008B7D64" w:rsidRPr="00D92E20">
        <w:t xml:space="preserve">tis. Kč. </w:t>
      </w:r>
      <w:r w:rsidRPr="00D92E20">
        <w:t xml:space="preserve">Vlivem zavedení opatření proti šíření pandemie </w:t>
      </w:r>
      <w:r w:rsidR="00415A36" w:rsidRPr="00D92E20">
        <w:t>nemoci</w:t>
      </w:r>
      <w:r w:rsidRPr="00D92E20">
        <w:t xml:space="preserve"> Covid-19 vzrostly výdaje i na další dávku nemocenského pojištění, a sice ošetřovné. V roce 2019 byly ve výši 1,7 mld. Kč, zat</w:t>
      </w:r>
      <w:r w:rsidR="00C97CF3" w:rsidRPr="00D92E20">
        <w:t>ímc</w:t>
      </w:r>
      <w:r w:rsidRPr="00D92E20">
        <w:t>o v roce 2020 vzrostly na rekordních 11,4 mld. Kč</w:t>
      </w:r>
      <w:r w:rsidR="00572177" w:rsidRPr="00D92E20">
        <w:t>.</w:t>
      </w:r>
    </w:p>
    <w:sectPr w:rsidR="00FE69C1" w:rsidRPr="00D92E20" w:rsidSect="00622511">
      <w:headerReference w:type="even" r:id="rId37"/>
      <w:headerReference w:type="default" r:id="rId38"/>
      <w:footerReference w:type="even" r:id="rId39"/>
      <w:footerReference w:type="default" r:id="rId40"/>
      <w:pgSz w:w="11906" w:h="16838" w:code="9"/>
      <w:pgMar w:top="1134" w:right="1134" w:bottom="1418" w:left="1134" w:header="680" w:footer="680" w:gutter="0"/>
      <w:pgNumType w:start="1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BF127D" w14:textId="77777777" w:rsidR="009C11CB" w:rsidRDefault="009C11CB" w:rsidP="00E71A58">
      <w:r>
        <w:separator/>
      </w:r>
    </w:p>
  </w:endnote>
  <w:endnote w:type="continuationSeparator" w:id="0">
    <w:p w14:paraId="31722F9A" w14:textId="77777777" w:rsidR="009C11CB" w:rsidRDefault="009C11CB" w:rsidP="00E71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3" w:usb1="00000000" w:usb2="00000000" w:usb3="00000000" w:csb0="00000001" w:csb1="00000000"/>
  </w:font>
  <w:font w:name="MS Mincho">
    <w:altName w:val="Yu Gothic UI"/>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A58D08" w14:textId="605FBF01" w:rsidR="005E46F7" w:rsidRPr="00932443" w:rsidRDefault="005E46F7" w:rsidP="00A418BC">
    <w:pPr>
      <w:pStyle w:val="Zpat"/>
      <w:rPr>
        <w:szCs w:val="16"/>
      </w:rPr>
    </w:pPr>
    <w:r>
      <w:rPr>
        <w:szCs w:val="16"/>
        <w:lang w:eastAsia="cs-CZ"/>
      </w:rPr>
      <w:drawing>
        <wp:anchor distT="0" distB="0" distL="114300" distR="114300" simplePos="0" relativeHeight="251658240" behindDoc="0" locked="0" layoutInCell="1" allowOverlap="1" wp14:anchorId="0EEF2B1A" wp14:editId="08552C16">
          <wp:simplePos x="0" y="0"/>
          <wp:positionH relativeFrom="column">
            <wp:align>right</wp:align>
          </wp:positionH>
          <wp:positionV relativeFrom="paragraph">
            <wp:posOffset>-64770</wp:posOffset>
          </wp:positionV>
          <wp:extent cx="428625" cy="201295"/>
          <wp:effectExtent l="0" t="0" r="3175" b="1905"/>
          <wp:wrapNone/>
          <wp:docPr id="11" name="Picture 11" descr="CSU RGB CZ 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SU RGB CZ logo-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8625" cy="201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fldChar w:fldCharType="begin"/>
    </w:r>
    <w:r w:rsidRPr="00932443">
      <w:rPr>
        <w:szCs w:val="16"/>
      </w:rPr>
      <w:instrText>PAGE   \* MERGEFORMAT</w:instrText>
    </w:r>
    <w:r w:rsidRPr="00932443">
      <w:rPr>
        <w:szCs w:val="16"/>
      </w:rPr>
      <w:fldChar w:fldCharType="separate"/>
    </w:r>
    <w:r w:rsidR="00622511">
      <w:rPr>
        <w:szCs w:val="16"/>
      </w:rPr>
      <w:t>14</w:t>
    </w:r>
    <w:r w:rsidRPr="00932443">
      <w:rPr>
        <w:szCs w:val="16"/>
      </w:rPr>
      <w:fldChar w:fldCharType="end"/>
    </w:r>
    <w:r w:rsidRPr="00932443">
      <w:rPr>
        <w:szCs w:val="16"/>
      </w:rPr>
      <w:tab/>
    </w:r>
    <w:r>
      <w:rPr>
        <w:szCs w:val="16"/>
      </w:rPr>
      <w:t>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0DF3B" w14:textId="0E052897" w:rsidR="005E46F7" w:rsidRPr="00932443" w:rsidRDefault="005E46F7" w:rsidP="00A418BC">
    <w:pPr>
      <w:pStyle w:val="Zpat"/>
      <w:rPr>
        <w:szCs w:val="16"/>
      </w:rPr>
    </w:pPr>
    <w:r>
      <w:rPr>
        <w:szCs w:val="16"/>
        <w:lang w:eastAsia="cs-CZ"/>
      </w:rPr>
      <w:drawing>
        <wp:anchor distT="0" distB="0" distL="114300" distR="114300" simplePos="0" relativeHeight="251657216" behindDoc="0" locked="0" layoutInCell="1" allowOverlap="1" wp14:anchorId="4688FED7" wp14:editId="10A55673">
          <wp:simplePos x="0" y="0"/>
          <wp:positionH relativeFrom="column">
            <wp:align>left</wp:align>
          </wp:positionH>
          <wp:positionV relativeFrom="paragraph">
            <wp:posOffset>-122555</wp:posOffset>
          </wp:positionV>
          <wp:extent cx="510540" cy="272415"/>
          <wp:effectExtent l="0" t="0" r="0" b="6985"/>
          <wp:wrapNone/>
          <wp:docPr id="10" name="Picture 10" descr="CSU RGB CZ logo-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SU RGB CZ logo-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054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2443">
      <w:rPr>
        <w:szCs w:val="16"/>
      </w:rPr>
      <w:tab/>
    </w:r>
    <w:r>
      <w:rPr>
        <w:rStyle w:val="ZpatChar"/>
        <w:szCs w:val="16"/>
      </w:rPr>
      <w:t>2020</w:t>
    </w:r>
    <w:r w:rsidRPr="00932443">
      <w:rPr>
        <w:szCs w:val="16"/>
      </w:rPr>
      <w:tab/>
    </w:r>
    <w:r w:rsidRPr="00932443">
      <w:rPr>
        <w:rStyle w:val="ZpatChar"/>
        <w:szCs w:val="16"/>
      </w:rPr>
      <w:fldChar w:fldCharType="begin"/>
    </w:r>
    <w:r w:rsidRPr="00932443">
      <w:rPr>
        <w:rStyle w:val="ZpatChar"/>
        <w:szCs w:val="16"/>
      </w:rPr>
      <w:instrText>PAGE   \* MERGEFORMAT</w:instrText>
    </w:r>
    <w:r w:rsidRPr="00932443">
      <w:rPr>
        <w:rStyle w:val="ZpatChar"/>
        <w:szCs w:val="16"/>
      </w:rPr>
      <w:fldChar w:fldCharType="separate"/>
    </w:r>
    <w:r w:rsidR="00622511">
      <w:rPr>
        <w:rStyle w:val="ZpatChar"/>
        <w:szCs w:val="16"/>
      </w:rPr>
      <w:t>29</w:t>
    </w:r>
    <w:r w:rsidRPr="00932443">
      <w:rPr>
        <w:rStyle w:val="ZpatCha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9EE0D8" w14:textId="77777777" w:rsidR="009C11CB" w:rsidRDefault="009C11CB" w:rsidP="00E71A58">
      <w:r>
        <w:separator/>
      </w:r>
    </w:p>
  </w:footnote>
  <w:footnote w:type="continuationSeparator" w:id="0">
    <w:p w14:paraId="7C3E9D01" w14:textId="77777777" w:rsidR="009C11CB" w:rsidRDefault="009C11CB" w:rsidP="00E71A58">
      <w:r>
        <w:continuationSeparator/>
      </w:r>
    </w:p>
  </w:footnote>
  <w:footnote w:id="1">
    <w:p w14:paraId="489C1EF9" w14:textId="77777777" w:rsidR="005E46F7" w:rsidRDefault="005E46F7" w:rsidP="00E03972">
      <w:pPr>
        <w:pStyle w:val="Textpoznpodarou"/>
        <w:jc w:val="both"/>
      </w:pPr>
      <w:r w:rsidRPr="000547B7">
        <w:rPr>
          <w:rStyle w:val="Znakapoznpodarou"/>
          <w:sz w:val="16"/>
        </w:rPr>
        <w:footnoteRef/>
      </w:r>
      <w:r w:rsidRPr="000547B7">
        <w:rPr>
          <w:sz w:val="16"/>
        </w:rPr>
        <w:t xml:space="preserve"> Uvedený podíl nezahrnuje vojáky z povolání, příslušníky Policie ČR, Hasičského záchranného sboru ČR, Celní správy ČR, Vězeňské služby ČR, Generální inspekce bezpečnostních sborů, Bezpečnostní informační služby a Úřadu pro zahraniční styky a informace.</w:t>
      </w:r>
    </w:p>
  </w:footnote>
  <w:footnote w:id="2">
    <w:p w14:paraId="285D04FC" w14:textId="77777777" w:rsidR="005E46F7" w:rsidRDefault="005E46F7" w:rsidP="00FF5F37">
      <w:pPr>
        <w:pStyle w:val="Textpoznpodarou"/>
        <w:jc w:val="both"/>
      </w:pPr>
      <w:r w:rsidRPr="003E42A9">
        <w:rPr>
          <w:rStyle w:val="Znakapoznpodarou"/>
          <w:sz w:val="16"/>
        </w:rPr>
        <w:footnoteRef/>
      </w:r>
      <w:r w:rsidRPr="003E42A9">
        <w:rPr>
          <w:sz w:val="16"/>
        </w:rPr>
        <w:t xml:space="preserve"> V Jeseníku se nachází referát účtárny pěstounské péče pro profesionální pěstouny v ČR. Profesionální pěstouni zpravidla na neschopenku nechodí, protože i po dobu pracovní neschopnosti musí pečovat o svěřené dítě. Jsou však zahrnuti do jmenovatele </w:t>
      </w:r>
      <w:r>
        <w:rPr>
          <w:sz w:val="16"/>
        </w:rPr>
        <w:t xml:space="preserve">v rámci </w:t>
      </w:r>
      <w:r w:rsidRPr="003E42A9">
        <w:rPr>
          <w:sz w:val="16"/>
        </w:rPr>
        <w:t>počt</w:t>
      </w:r>
      <w:r>
        <w:rPr>
          <w:sz w:val="16"/>
        </w:rPr>
        <w:t>u</w:t>
      </w:r>
      <w:r w:rsidRPr="003E42A9">
        <w:rPr>
          <w:sz w:val="16"/>
        </w:rPr>
        <w:t xml:space="preserve"> pojištěnců v okrese.</w:t>
      </w:r>
    </w:p>
  </w:footnote>
  <w:footnote w:id="3">
    <w:p w14:paraId="1394F8D0" w14:textId="0B27402F" w:rsidR="005E46F7" w:rsidRDefault="005E46F7">
      <w:pPr>
        <w:pStyle w:val="Textpoznpodarou"/>
      </w:pPr>
      <w:r w:rsidRPr="00B67A38">
        <w:rPr>
          <w:rStyle w:val="Znakapoznpodarou"/>
          <w:sz w:val="16"/>
        </w:rPr>
        <w:footnoteRef/>
      </w:r>
      <w:r>
        <w:t xml:space="preserve"> </w:t>
      </w:r>
      <w:r w:rsidRPr="00B67A38">
        <w:rPr>
          <w:sz w:val="16"/>
        </w:rPr>
        <w:t>Na jaře 2021 se</w:t>
      </w:r>
      <w:r w:rsidR="00F27CE9">
        <w:rPr>
          <w:sz w:val="16"/>
        </w:rPr>
        <w:t xml:space="preserve"> podíl</w:t>
      </w:r>
      <w:r w:rsidRPr="00B67A38">
        <w:rPr>
          <w:sz w:val="16"/>
        </w:rPr>
        <w:t xml:space="preserve"> zvýšil na 80 %.</w:t>
      </w:r>
    </w:p>
  </w:footnote>
  <w:footnote w:id="4">
    <w:p w14:paraId="5519FF0E" w14:textId="77777777" w:rsidR="005E46F7" w:rsidRPr="00DC6AB9" w:rsidRDefault="005E46F7" w:rsidP="00AF2FBF">
      <w:pPr>
        <w:pStyle w:val="Textpoznpodarou"/>
        <w:rPr>
          <w:sz w:val="18"/>
        </w:rPr>
      </w:pPr>
      <w:r w:rsidRPr="00DC6AB9">
        <w:rPr>
          <w:rStyle w:val="Znakapoznpodarou"/>
          <w:sz w:val="16"/>
        </w:rPr>
        <w:footnoteRef/>
      </w:r>
      <w:r w:rsidRPr="00DC6AB9">
        <w:rPr>
          <w:sz w:val="16"/>
        </w:rPr>
        <w:t xml:space="preserve"> Platí pro ni stejné podmínky jako pro běžnou pracovní neschopnost z důvodu nemoci či úrazu.</w:t>
      </w:r>
      <w:r>
        <w:rPr>
          <w:sz w:val="16"/>
        </w:rPr>
        <w:t xml:space="preserve"> Tato publikace nezahrnuje mimořádný karanténní příspěvek (tzv. izolačku) zavedenou v roce 2021.</w:t>
      </w:r>
    </w:p>
  </w:footnote>
  <w:footnote w:id="5">
    <w:p w14:paraId="615A9E77" w14:textId="77777777" w:rsidR="005E46F7" w:rsidRPr="008A15C0" w:rsidRDefault="005E46F7" w:rsidP="000B3C40">
      <w:pPr>
        <w:pStyle w:val="Textpoznpodarou"/>
        <w:jc w:val="both"/>
        <w:rPr>
          <w:sz w:val="18"/>
          <w:szCs w:val="18"/>
        </w:rPr>
      </w:pPr>
      <w:r w:rsidRPr="008A15C0">
        <w:rPr>
          <w:rStyle w:val="Znakapoznpodarou"/>
          <w:sz w:val="18"/>
          <w:szCs w:val="18"/>
        </w:rPr>
        <w:footnoteRef/>
      </w:r>
      <w:r w:rsidRPr="008A15C0">
        <w:rPr>
          <w:sz w:val="18"/>
          <w:szCs w:val="18"/>
        </w:rPr>
        <w:t xml:space="preserve"> </w:t>
      </w:r>
      <w:r w:rsidRPr="00EA2DCF">
        <w:rPr>
          <w:sz w:val="16"/>
          <w:szCs w:val="16"/>
        </w:rPr>
        <w:t xml:space="preserve">Poslední dostupná data s mezinárodním srovnáním za členské státy EU28 byla v době zpracování této publikace </w:t>
      </w:r>
      <w:r w:rsidRPr="00EA2DCF">
        <w:rPr>
          <w:spacing w:val="-3"/>
          <w:sz w:val="16"/>
          <w:szCs w:val="16"/>
        </w:rPr>
        <w:t xml:space="preserve">za rok 2018. Jejich zdrojem je databáze Eurostatu: </w:t>
      </w:r>
      <w:hyperlink r:id="rId1" w:history="1">
        <w:r w:rsidRPr="00EA2DCF">
          <w:rPr>
            <w:rStyle w:val="Hypertextovodkaz"/>
            <w:sz w:val="16"/>
            <w:szCs w:val="16"/>
          </w:rPr>
          <w:t>https://ec.europa.eu/eurostat/web/health/data/database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4D4B7" w14:textId="77777777" w:rsidR="005E46F7" w:rsidRPr="007241C5" w:rsidRDefault="005E46F7" w:rsidP="007241C5">
    <w:pPr>
      <w:pStyle w:val="Zhlav"/>
    </w:pPr>
    <w:r>
      <w:t>Pracovní neschopnost pro nemoc a úraz v České republice za rok 2020</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A4919" w14:textId="77777777" w:rsidR="005E46F7" w:rsidRPr="006F5416" w:rsidRDefault="005E46F7" w:rsidP="00937AE2">
    <w:pPr>
      <w:pStyle w:val="Zhlav"/>
    </w:pPr>
    <w:r>
      <w:t>Pracovní neschopnost pro nemoc a úraz v České republice za rok 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E1470"/>
    <w:multiLevelType w:val="hybridMultilevel"/>
    <w:tmpl w:val="5C96561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3746EB"/>
    <w:multiLevelType w:val="hybridMultilevel"/>
    <w:tmpl w:val="D616BA42"/>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84E4415"/>
    <w:multiLevelType w:val="hybridMultilevel"/>
    <w:tmpl w:val="189A16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0FF2955"/>
    <w:multiLevelType w:val="hybridMultilevel"/>
    <w:tmpl w:val="D6BA33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D394626"/>
    <w:multiLevelType w:val="hybridMultilevel"/>
    <w:tmpl w:val="C29C83B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02556A7"/>
    <w:multiLevelType w:val="hybridMultilevel"/>
    <w:tmpl w:val="3F36775C"/>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6" w15:restartNumberingAfterBreak="0">
    <w:nsid w:val="23C9092A"/>
    <w:multiLevelType w:val="hybridMultilevel"/>
    <w:tmpl w:val="6106A15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726B5B"/>
    <w:multiLevelType w:val="multilevel"/>
    <w:tmpl w:val="70A84550"/>
    <w:lvl w:ilvl="0">
      <w:start w:val="1"/>
      <w:numFmt w:val="decimal"/>
      <w:lvlText w:val="%1."/>
      <w:lvlJc w:val="left"/>
      <w:pPr>
        <w:ind w:left="720" w:hanging="360"/>
      </w:pPr>
      <w:rPr>
        <w:rFonts w:hint="default"/>
      </w:rPr>
    </w:lvl>
    <w:lvl w:ilvl="1">
      <w:start w:val="2"/>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8AA48F6"/>
    <w:multiLevelType w:val="hybridMultilevel"/>
    <w:tmpl w:val="89FE51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B8016D3"/>
    <w:multiLevelType w:val="hybridMultilevel"/>
    <w:tmpl w:val="C9B24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ECC156E"/>
    <w:multiLevelType w:val="hybridMultilevel"/>
    <w:tmpl w:val="7EECABD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36BA2AA4"/>
    <w:multiLevelType w:val="multilevel"/>
    <w:tmpl w:val="615EED7A"/>
    <w:lvl w:ilvl="0">
      <w:start w:val="1"/>
      <w:numFmt w:val="none"/>
      <w:suff w:val="space"/>
      <w:lvlText w:val="6."/>
      <w:lvlJc w:val="left"/>
      <w:pPr>
        <w:ind w:left="720" w:hanging="360"/>
      </w:pPr>
      <w:rPr>
        <w:rFonts w:hint="default"/>
      </w:rPr>
    </w:lvl>
    <w:lvl w:ilvl="1">
      <w:start w:val="1"/>
      <w:numFmt w:val="none"/>
      <w:isLgl/>
      <w:suff w:val="space"/>
      <w:lvlText w:val="4.7"/>
      <w:lvlJc w:val="left"/>
      <w:pPr>
        <w:ind w:left="720" w:hanging="360"/>
      </w:pPr>
      <w:rPr>
        <w:rFonts w:hint="default"/>
      </w:rPr>
    </w:lvl>
    <w:lvl w:ilvl="2">
      <w:start w:val="1"/>
      <w:numFmt w:val="decimal"/>
      <w:isLgl/>
      <w:suff w:val="space"/>
      <w:lvlText w:val="%1.4%2.%3"/>
      <w:lvlJc w:val="left"/>
      <w:pPr>
        <w:ind w:left="1080" w:hanging="720"/>
      </w:pPr>
      <w:rPr>
        <w:rFonts w:hint="default"/>
      </w:rPr>
    </w:lvl>
    <w:lvl w:ilvl="3">
      <w:start w:val="1"/>
      <w:numFmt w:val="none"/>
      <w:isLgl/>
      <w:suff w:val="space"/>
      <w:lvlText w:val="4.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43AF4090"/>
    <w:multiLevelType w:val="hybridMultilevel"/>
    <w:tmpl w:val="0F5452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55363618"/>
    <w:multiLevelType w:val="hybridMultilevel"/>
    <w:tmpl w:val="E3E8EB9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90017F3"/>
    <w:multiLevelType w:val="hybridMultilevel"/>
    <w:tmpl w:val="D4C400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BA16842"/>
    <w:multiLevelType w:val="multilevel"/>
    <w:tmpl w:val="3A2CFECA"/>
    <w:lvl w:ilvl="0">
      <w:start w:val="1"/>
      <w:numFmt w:val="none"/>
      <w:suff w:val="space"/>
      <w:lvlText w:val="5."/>
      <w:lvlJc w:val="left"/>
      <w:pPr>
        <w:ind w:left="720" w:hanging="360"/>
      </w:pPr>
      <w:rPr>
        <w:rFonts w:hint="default"/>
      </w:rPr>
    </w:lvl>
    <w:lvl w:ilvl="1">
      <w:start w:val="1"/>
      <w:numFmt w:val="none"/>
      <w:isLgl/>
      <w:suff w:val="space"/>
      <w:lvlText w:val="4.7"/>
      <w:lvlJc w:val="left"/>
      <w:pPr>
        <w:ind w:left="720" w:hanging="360"/>
      </w:pPr>
      <w:rPr>
        <w:rFonts w:hint="default"/>
      </w:rPr>
    </w:lvl>
    <w:lvl w:ilvl="2">
      <w:start w:val="1"/>
      <w:numFmt w:val="decimal"/>
      <w:isLgl/>
      <w:suff w:val="space"/>
      <w:lvlText w:val="%1.4%2.%3"/>
      <w:lvlJc w:val="left"/>
      <w:pPr>
        <w:ind w:left="1080" w:hanging="720"/>
      </w:pPr>
      <w:rPr>
        <w:rFonts w:hint="default"/>
      </w:rPr>
    </w:lvl>
    <w:lvl w:ilvl="3">
      <w:start w:val="1"/>
      <w:numFmt w:val="none"/>
      <w:isLgl/>
      <w:suff w:val="space"/>
      <w:lvlText w:val="4.4.1"/>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5DD50F1A"/>
    <w:multiLevelType w:val="hybridMultilevel"/>
    <w:tmpl w:val="1410E9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5FD41ECA"/>
    <w:multiLevelType w:val="multilevel"/>
    <w:tmpl w:val="24FE976E"/>
    <w:lvl w:ilvl="0">
      <w:start w:val="1"/>
      <w:numFmt w:val="decimal"/>
      <w:lvlText w:val="%1."/>
      <w:lvlJc w:val="left"/>
      <w:pPr>
        <w:ind w:left="720" w:hanging="360"/>
      </w:pPr>
      <w:rPr>
        <w:rFonts w:hint="default"/>
      </w:rPr>
    </w:lvl>
    <w:lvl w:ilvl="1">
      <w:start w:val="1"/>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6AA503E"/>
    <w:multiLevelType w:val="multilevel"/>
    <w:tmpl w:val="2688BBDA"/>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decimal"/>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686C4312"/>
    <w:multiLevelType w:val="multilevel"/>
    <w:tmpl w:val="A544AB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A157FE1"/>
    <w:multiLevelType w:val="multilevel"/>
    <w:tmpl w:val="EFEA78A6"/>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none"/>
      <w:isLgl/>
      <w:suff w:val="space"/>
      <w:lvlText w:val="4.2.2"/>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6CE71B0D"/>
    <w:multiLevelType w:val="multilevel"/>
    <w:tmpl w:val="5EE4B558"/>
    <w:lvl w:ilvl="0">
      <w:start w:val="1"/>
      <w:numFmt w:val="decimal"/>
      <w:lvlText w:val="%1."/>
      <w:lvlJc w:val="left"/>
      <w:pPr>
        <w:ind w:left="720" w:hanging="360"/>
      </w:pPr>
      <w:rPr>
        <w:rFonts w:hint="default"/>
      </w:rPr>
    </w:lvl>
    <w:lvl w:ilvl="1">
      <w:start w:val="3"/>
      <w:numFmt w:val="decimal"/>
      <w:isLgl/>
      <w:suff w:val="space"/>
      <w:lvlText w:val="4.%2"/>
      <w:lvlJc w:val="left"/>
      <w:pPr>
        <w:ind w:left="720" w:hanging="360"/>
      </w:pPr>
      <w:rPr>
        <w:rFonts w:hint="default"/>
      </w:rPr>
    </w:lvl>
    <w:lvl w:ilvl="2">
      <w:start w:val="1"/>
      <w:numFmt w:val="none"/>
      <w:isLgl/>
      <w:suff w:val="space"/>
      <w:lvlText w:val="4.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71FB04D0"/>
    <w:multiLevelType w:val="hybridMultilevel"/>
    <w:tmpl w:val="A5FC219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7747833"/>
    <w:multiLevelType w:val="multilevel"/>
    <w:tmpl w:val="F802EFEC"/>
    <w:lvl w:ilvl="0">
      <w:start w:val="4"/>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decimal"/>
      <w:isLgl/>
      <w:suff w:val="space"/>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7FEF4B85"/>
    <w:multiLevelType w:val="hybridMultilevel"/>
    <w:tmpl w:val="E4FC5E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8"/>
  </w:num>
  <w:num w:numId="3">
    <w:abstractNumId w:val="16"/>
  </w:num>
  <w:num w:numId="4">
    <w:abstractNumId w:val="22"/>
  </w:num>
  <w:num w:numId="5">
    <w:abstractNumId w:val="18"/>
  </w:num>
  <w:num w:numId="6">
    <w:abstractNumId w:val="2"/>
  </w:num>
  <w:num w:numId="7">
    <w:abstractNumId w:val="9"/>
  </w:num>
  <w:num w:numId="8">
    <w:abstractNumId w:val="14"/>
  </w:num>
  <w:num w:numId="9">
    <w:abstractNumId w:val="4"/>
  </w:num>
  <w:num w:numId="10">
    <w:abstractNumId w:val="19"/>
  </w:num>
  <w:num w:numId="11">
    <w:abstractNumId w:val="10"/>
  </w:num>
  <w:num w:numId="12">
    <w:abstractNumId w:val="5"/>
  </w:num>
  <w:num w:numId="13">
    <w:abstractNumId w:val="13"/>
  </w:num>
  <w:num w:numId="14">
    <w:abstractNumId w:val="1"/>
  </w:num>
  <w:num w:numId="15">
    <w:abstractNumId w:val="0"/>
  </w:num>
  <w:num w:numId="16">
    <w:abstractNumId w:val="15"/>
  </w:num>
  <w:num w:numId="17">
    <w:abstractNumId w:val="11"/>
  </w:num>
  <w:num w:numId="18">
    <w:abstractNumId w:val="23"/>
  </w:num>
  <w:num w:numId="19">
    <w:abstractNumId w:val="7"/>
  </w:num>
  <w:num w:numId="20">
    <w:abstractNumId w:val="17"/>
  </w:num>
  <w:num w:numId="21">
    <w:abstractNumId w:val="20"/>
  </w:num>
  <w:num w:numId="22">
    <w:abstractNumId w:val="21"/>
  </w:num>
  <w:num w:numId="23">
    <w:abstractNumId w:val="12"/>
  </w:num>
  <w:num w:numId="24">
    <w:abstractNumId w:val="3"/>
  </w:num>
  <w:num w:numId="25">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4"/>
  <w:defaultTabStop w:val="708"/>
  <w:hyphenationZone w:val="425"/>
  <w:evenAndOddHeaders/>
  <w:drawingGridHorizontalSpacing w:val="110"/>
  <w:displayHorizontalDrawingGridEvery w:val="2"/>
  <w:characterSpacingControl w:val="doNotCompress"/>
  <w:hdrShapeDefaults>
    <o:shapedefaults v:ext="edit" spidmax="2049">
      <o:colormru v:ext="edit" colors="#ecf4dd,#eaecee,#fcec0a,#fcecdb,#f1daf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6DC0"/>
    <w:rsid w:val="00000A90"/>
    <w:rsid w:val="0000209D"/>
    <w:rsid w:val="00002D3C"/>
    <w:rsid w:val="00004D5A"/>
    <w:rsid w:val="000056D5"/>
    <w:rsid w:val="0000767A"/>
    <w:rsid w:val="00010702"/>
    <w:rsid w:val="000107D3"/>
    <w:rsid w:val="00013A43"/>
    <w:rsid w:val="00014366"/>
    <w:rsid w:val="00016392"/>
    <w:rsid w:val="00016992"/>
    <w:rsid w:val="00023479"/>
    <w:rsid w:val="000234D6"/>
    <w:rsid w:val="00023D29"/>
    <w:rsid w:val="00026389"/>
    <w:rsid w:val="000273BE"/>
    <w:rsid w:val="00027E79"/>
    <w:rsid w:val="00031AE0"/>
    <w:rsid w:val="000322EF"/>
    <w:rsid w:val="00032C2E"/>
    <w:rsid w:val="00033735"/>
    <w:rsid w:val="00033FCD"/>
    <w:rsid w:val="0003626A"/>
    <w:rsid w:val="00041CEC"/>
    <w:rsid w:val="0004694F"/>
    <w:rsid w:val="0004774F"/>
    <w:rsid w:val="000522E4"/>
    <w:rsid w:val="00052498"/>
    <w:rsid w:val="000562AF"/>
    <w:rsid w:val="000610E1"/>
    <w:rsid w:val="0006277C"/>
    <w:rsid w:val="00062EC5"/>
    <w:rsid w:val="00062F22"/>
    <w:rsid w:val="000652B4"/>
    <w:rsid w:val="000675AD"/>
    <w:rsid w:val="000712B3"/>
    <w:rsid w:val="00073AC2"/>
    <w:rsid w:val="0008263E"/>
    <w:rsid w:val="00082C19"/>
    <w:rsid w:val="00085395"/>
    <w:rsid w:val="00087634"/>
    <w:rsid w:val="00087F2B"/>
    <w:rsid w:val="00096B50"/>
    <w:rsid w:val="000974A8"/>
    <w:rsid w:val="000974D1"/>
    <w:rsid w:val="0009799E"/>
    <w:rsid w:val="000A1183"/>
    <w:rsid w:val="000A256D"/>
    <w:rsid w:val="000A3A2C"/>
    <w:rsid w:val="000B30FA"/>
    <w:rsid w:val="000B3C40"/>
    <w:rsid w:val="000C3408"/>
    <w:rsid w:val="000C6AFD"/>
    <w:rsid w:val="000D5637"/>
    <w:rsid w:val="000D642E"/>
    <w:rsid w:val="000D6CFA"/>
    <w:rsid w:val="000E0772"/>
    <w:rsid w:val="000E6FBD"/>
    <w:rsid w:val="00100F5C"/>
    <w:rsid w:val="0010437D"/>
    <w:rsid w:val="00104C4C"/>
    <w:rsid w:val="0012192F"/>
    <w:rsid w:val="00125D69"/>
    <w:rsid w:val="00126E91"/>
    <w:rsid w:val="001377CB"/>
    <w:rsid w:val="001405FA"/>
    <w:rsid w:val="001425C3"/>
    <w:rsid w:val="00155829"/>
    <w:rsid w:val="0016256B"/>
    <w:rsid w:val="00163793"/>
    <w:rsid w:val="001706D6"/>
    <w:rsid w:val="001714F2"/>
    <w:rsid w:val="00174F62"/>
    <w:rsid w:val="001771EA"/>
    <w:rsid w:val="00180D78"/>
    <w:rsid w:val="00184B08"/>
    <w:rsid w:val="00184B5C"/>
    <w:rsid w:val="00185010"/>
    <w:rsid w:val="0018528F"/>
    <w:rsid w:val="00192BCA"/>
    <w:rsid w:val="001A552F"/>
    <w:rsid w:val="001A7621"/>
    <w:rsid w:val="001B2CA9"/>
    <w:rsid w:val="001B3110"/>
    <w:rsid w:val="001B4729"/>
    <w:rsid w:val="001B6C09"/>
    <w:rsid w:val="001C05CD"/>
    <w:rsid w:val="001C0B68"/>
    <w:rsid w:val="001D68B2"/>
    <w:rsid w:val="001E0E41"/>
    <w:rsid w:val="001E2AAB"/>
    <w:rsid w:val="001E3265"/>
    <w:rsid w:val="001E4CA4"/>
    <w:rsid w:val="001E57EE"/>
    <w:rsid w:val="001F4597"/>
    <w:rsid w:val="0021138F"/>
    <w:rsid w:val="002118B9"/>
    <w:rsid w:val="00216AD5"/>
    <w:rsid w:val="00217C5B"/>
    <w:rsid w:val="0022139E"/>
    <w:rsid w:val="002252E0"/>
    <w:rsid w:val="002255F6"/>
    <w:rsid w:val="00227850"/>
    <w:rsid w:val="00227A53"/>
    <w:rsid w:val="00230C6E"/>
    <w:rsid w:val="00236048"/>
    <w:rsid w:val="00236443"/>
    <w:rsid w:val="002436BA"/>
    <w:rsid w:val="00244A15"/>
    <w:rsid w:val="00245A36"/>
    <w:rsid w:val="00247319"/>
    <w:rsid w:val="0024799E"/>
    <w:rsid w:val="00253C0F"/>
    <w:rsid w:val="00253D4C"/>
    <w:rsid w:val="00257036"/>
    <w:rsid w:val="0026728F"/>
    <w:rsid w:val="00270278"/>
    <w:rsid w:val="00271465"/>
    <w:rsid w:val="00277304"/>
    <w:rsid w:val="002773F6"/>
    <w:rsid w:val="0028392B"/>
    <w:rsid w:val="00285412"/>
    <w:rsid w:val="002A00BE"/>
    <w:rsid w:val="002A16D4"/>
    <w:rsid w:val="002A1A8B"/>
    <w:rsid w:val="002A1CEC"/>
    <w:rsid w:val="002A230C"/>
    <w:rsid w:val="002C05CC"/>
    <w:rsid w:val="002C43BD"/>
    <w:rsid w:val="002D0E59"/>
    <w:rsid w:val="002D1B28"/>
    <w:rsid w:val="002E02A1"/>
    <w:rsid w:val="002E3A02"/>
    <w:rsid w:val="002E4CAA"/>
    <w:rsid w:val="002E4E4C"/>
    <w:rsid w:val="002F0504"/>
    <w:rsid w:val="002F607D"/>
    <w:rsid w:val="00304771"/>
    <w:rsid w:val="003052D4"/>
    <w:rsid w:val="00306C5B"/>
    <w:rsid w:val="00311390"/>
    <w:rsid w:val="0031487B"/>
    <w:rsid w:val="003209D6"/>
    <w:rsid w:val="00321924"/>
    <w:rsid w:val="0032235A"/>
    <w:rsid w:val="00324EEC"/>
    <w:rsid w:val="0032656E"/>
    <w:rsid w:val="00330CDD"/>
    <w:rsid w:val="00332190"/>
    <w:rsid w:val="00344668"/>
    <w:rsid w:val="003462D9"/>
    <w:rsid w:val="00347261"/>
    <w:rsid w:val="0035096A"/>
    <w:rsid w:val="0036076A"/>
    <w:rsid w:val="00360C86"/>
    <w:rsid w:val="00361B7D"/>
    <w:rsid w:val="003657F3"/>
    <w:rsid w:val="003657FA"/>
    <w:rsid w:val="00370BD6"/>
    <w:rsid w:val="00370D31"/>
    <w:rsid w:val="00374543"/>
    <w:rsid w:val="0037686D"/>
    <w:rsid w:val="003818DC"/>
    <w:rsid w:val="0038272E"/>
    <w:rsid w:val="00384289"/>
    <w:rsid w:val="00384327"/>
    <w:rsid w:val="00385D98"/>
    <w:rsid w:val="0038632C"/>
    <w:rsid w:val="0038725E"/>
    <w:rsid w:val="00391FBE"/>
    <w:rsid w:val="00392130"/>
    <w:rsid w:val="00394C23"/>
    <w:rsid w:val="00396FAF"/>
    <w:rsid w:val="003A2B4D"/>
    <w:rsid w:val="003A478C"/>
    <w:rsid w:val="003A5525"/>
    <w:rsid w:val="003A6B38"/>
    <w:rsid w:val="003A78FF"/>
    <w:rsid w:val="003B04F2"/>
    <w:rsid w:val="003B5A32"/>
    <w:rsid w:val="003B64A7"/>
    <w:rsid w:val="003C3490"/>
    <w:rsid w:val="003C601B"/>
    <w:rsid w:val="003C6B69"/>
    <w:rsid w:val="003D6920"/>
    <w:rsid w:val="003E4C91"/>
    <w:rsid w:val="003F1873"/>
    <w:rsid w:val="003F313C"/>
    <w:rsid w:val="003F4B2C"/>
    <w:rsid w:val="003F551C"/>
    <w:rsid w:val="003F7D23"/>
    <w:rsid w:val="003F7F34"/>
    <w:rsid w:val="004022D8"/>
    <w:rsid w:val="004066CC"/>
    <w:rsid w:val="00407C13"/>
    <w:rsid w:val="00410638"/>
    <w:rsid w:val="00413923"/>
    <w:rsid w:val="00415731"/>
    <w:rsid w:val="00415A36"/>
    <w:rsid w:val="00417B81"/>
    <w:rsid w:val="00425CDF"/>
    <w:rsid w:val="00432A58"/>
    <w:rsid w:val="00434617"/>
    <w:rsid w:val="004373DF"/>
    <w:rsid w:val="00437453"/>
    <w:rsid w:val="00440900"/>
    <w:rsid w:val="0044223A"/>
    <w:rsid w:val="004440FE"/>
    <w:rsid w:val="004441A0"/>
    <w:rsid w:val="004453B9"/>
    <w:rsid w:val="0044667F"/>
    <w:rsid w:val="00447329"/>
    <w:rsid w:val="00451F24"/>
    <w:rsid w:val="00460FB3"/>
    <w:rsid w:val="00461B62"/>
    <w:rsid w:val="00467F89"/>
    <w:rsid w:val="00471D3F"/>
    <w:rsid w:val="00476240"/>
    <w:rsid w:val="00476439"/>
    <w:rsid w:val="0047735C"/>
    <w:rsid w:val="004776BC"/>
    <w:rsid w:val="0048139F"/>
    <w:rsid w:val="00481E40"/>
    <w:rsid w:val="0048385E"/>
    <w:rsid w:val="00483E6B"/>
    <w:rsid w:val="00484D52"/>
    <w:rsid w:val="00484ECE"/>
    <w:rsid w:val="004900FF"/>
    <w:rsid w:val="004907AB"/>
    <w:rsid w:val="004915CB"/>
    <w:rsid w:val="004924DC"/>
    <w:rsid w:val="004A14E4"/>
    <w:rsid w:val="004A3212"/>
    <w:rsid w:val="004A37F3"/>
    <w:rsid w:val="004A61C5"/>
    <w:rsid w:val="004A77DF"/>
    <w:rsid w:val="004B0288"/>
    <w:rsid w:val="004B1417"/>
    <w:rsid w:val="004B55B7"/>
    <w:rsid w:val="004B6468"/>
    <w:rsid w:val="004B79E8"/>
    <w:rsid w:val="004C0F5E"/>
    <w:rsid w:val="004C36AF"/>
    <w:rsid w:val="004C384C"/>
    <w:rsid w:val="004C3867"/>
    <w:rsid w:val="004C4CD0"/>
    <w:rsid w:val="004C5ABF"/>
    <w:rsid w:val="004C70DC"/>
    <w:rsid w:val="004D0211"/>
    <w:rsid w:val="004D0233"/>
    <w:rsid w:val="004D0495"/>
    <w:rsid w:val="004D0794"/>
    <w:rsid w:val="004D1BAD"/>
    <w:rsid w:val="004E3132"/>
    <w:rsid w:val="004F06F5"/>
    <w:rsid w:val="004F33A0"/>
    <w:rsid w:val="00500A8A"/>
    <w:rsid w:val="00502EDF"/>
    <w:rsid w:val="005108C0"/>
    <w:rsid w:val="00511873"/>
    <w:rsid w:val="00512A2F"/>
    <w:rsid w:val="00513B7E"/>
    <w:rsid w:val="00515C74"/>
    <w:rsid w:val="00517A58"/>
    <w:rsid w:val="0052007E"/>
    <w:rsid w:val="0052337A"/>
    <w:rsid w:val="00525137"/>
    <w:rsid w:val="005251DD"/>
    <w:rsid w:val="00532CE7"/>
    <w:rsid w:val="0053324C"/>
    <w:rsid w:val="00534A28"/>
    <w:rsid w:val="005377DA"/>
    <w:rsid w:val="00537BCC"/>
    <w:rsid w:val="00541508"/>
    <w:rsid w:val="00543CC2"/>
    <w:rsid w:val="00551C14"/>
    <w:rsid w:val="0055599F"/>
    <w:rsid w:val="00556D68"/>
    <w:rsid w:val="00561055"/>
    <w:rsid w:val="005647BF"/>
    <w:rsid w:val="00572177"/>
    <w:rsid w:val="0057364B"/>
    <w:rsid w:val="00574773"/>
    <w:rsid w:val="00583FFD"/>
    <w:rsid w:val="005911BE"/>
    <w:rsid w:val="00593152"/>
    <w:rsid w:val="005A10F2"/>
    <w:rsid w:val="005A1638"/>
    <w:rsid w:val="005A21E0"/>
    <w:rsid w:val="005A28FF"/>
    <w:rsid w:val="005A3DF8"/>
    <w:rsid w:val="005A3E66"/>
    <w:rsid w:val="005A5549"/>
    <w:rsid w:val="005A63A4"/>
    <w:rsid w:val="005A73C5"/>
    <w:rsid w:val="005B121D"/>
    <w:rsid w:val="005C06ED"/>
    <w:rsid w:val="005D14C3"/>
    <w:rsid w:val="005D5802"/>
    <w:rsid w:val="005D5A37"/>
    <w:rsid w:val="005D7890"/>
    <w:rsid w:val="005E46F7"/>
    <w:rsid w:val="005E7C78"/>
    <w:rsid w:val="005F3EB1"/>
    <w:rsid w:val="005F5469"/>
    <w:rsid w:val="00604307"/>
    <w:rsid w:val="0060487F"/>
    <w:rsid w:val="00604EAD"/>
    <w:rsid w:val="006104FB"/>
    <w:rsid w:val="00610CD5"/>
    <w:rsid w:val="00612A2F"/>
    <w:rsid w:val="006145A9"/>
    <w:rsid w:val="00616E05"/>
    <w:rsid w:val="00617700"/>
    <w:rsid w:val="00622511"/>
    <w:rsid w:val="00624093"/>
    <w:rsid w:val="00631FED"/>
    <w:rsid w:val="006404A7"/>
    <w:rsid w:val="0064464A"/>
    <w:rsid w:val="006451E4"/>
    <w:rsid w:val="00645B33"/>
    <w:rsid w:val="006516CB"/>
    <w:rsid w:val="006575B3"/>
    <w:rsid w:val="00657E87"/>
    <w:rsid w:val="0066068F"/>
    <w:rsid w:val="00664803"/>
    <w:rsid w:val="006655D4"/>
    <w:rsid w:val="00665BA4"/>
    <w:rsid w:val="006662CA"/>
    <w:rsid w:val="00667AF2"/>
    <w:rsid w:val="006710C9"/>
    <w:rsid w:val="00671EEE"/>
    <w:rsid w:val="00674D89"/>
    <w:rsid w:val="00675E37"/>
    <w:rsid w:val="00676201"/>
    <w:rsid w:val="0068174E"/>
    <w:rsid w:val="00681DCE"/>
    <w:rsid w:val="0068260E"/>
    <w:rsid w:val="00684AA4"/>
    <w:rsid w:val="006878BE"/>
    <w:rsid w:val="00693023"/>
    <w:rsid w:val="00695BEF"/>
    <w:rsid w:val="006977F6"/>
    <w:rsid w:val="00697A13"/>
    <w:rsid w:val="006A109C"/>
    <w:rsid w:val="006A14BB"/>
    <w:rsid w:val="006B344A"/>
    <w:rsid w:val="006B6D44"/>
    <w:rsid w:val="006B78D8"/>
    <w:rsid w:val="006C113F"/>
    <w:rsid w:val="006C123E"/>
    <w:rsid w:val="006C42D5"/>
    <w:rsid w:val="006C56D4"/>
    <w:rsid w:val="006C6924"/>
    <w:rsid w:val="006C7CA6"/>
    <w:rsid w:val="006D3E8A"/>
    <w:rsid w:val="006D61F6"/>
    <w:rsid w:val="006E279A"/>
    <w:rsid w:val="006E313B"/>
    <w:rsid w:val="006E3982"/>
    <w:rsid w:val="006F113C"/>
    <w:rsid w:val="006F11B0"/>
    <w:rsid w:val="006F40AA"/>
    <w:rsid w:val="006F5416"/>
    <w:rsid w:val="006F7137"/>
    <w:rsid w:val="00700B3E"/>
    <w:rsid w:val="00700CEF"/>
    <w:rsid w:val="0070383F"/>
    <w:rsid w:val="00703854"/>
    <w:rsid w:val="00705162"/>
    <w:rsid w:val="00706AD4"/>
    <w:rsid w:val="007140BE"/>
    <w:rsid w:val="007211F5"/>
    <w:rsid w:val="007241C5"/>
    <w:rsid w:val="00724D4A"/>
    <w:rsid w:val="00725BB5"/>
    <w:rsid w:val="00730AE8"/>
    <w:rsid w:val="00741493"/>
    <w:rsid w:val="00752180"/>
    <w:rsid w:val="00755202"/>
    <w:rsid w:val="00755D3A"/>
    <w:rsid w:val="007578D3"/>
    <w:rsid w:val="007609C6"/>
    <w:rsid w:val="0076175D"/>
    <w:rsid w:val="0076521E"/>
    <w:rsid w:val="007661E9"/>
    <w:rsid w:val="00767C3C"/>
    <w:rsid w:val="0077346A"/>
    <w:rsid w:val="00776169"/>
    <w:rsid w:val="00776527"/>
    <w:rsid w:val="00780EF1"/>
    <w:rsid w:val="00790764"/>
    <w:rsid w:val="0079453C"/>
    <w:rsid w:val="00794677"/>
    <w:rsid w:val="007960ED"/>
    <w:rsid w:val="007A4D36"/>
    <w:rsid w:val="007B03FA"/>
    <w:rsid w:val="007B0701"/>
    <w:rsid w:val="007B6689"/>
    <w:rsid w:val="007C22C0"/>
    <w:rsid w:val="007D2E78"/>
    <w:rsid w:val="007D40DF"/>
    <w:rsid w:val="007D615C"/>
    <w:rsid w:val="007E06C7"/>
    <w:rsid w:val="007E08BA"/>
    <w:rsid w:val="007E7E61"/>
    <w:rsid w:val="007F0845"/>
    <w:rsid w:val="007F4035"/>
    <w:rsid w:val="00807C82"/>
    <w:rsid w:val="008126FD"/>
    <w:rsid w:val="00816905"/>
    <w:rsid w:val="00821BA1"/>
    <w:rsid w:val="00821FF6"/>
    <w:rsid w:val="00825C4D"/>
    <w:rsid w:val="0083143E"/>
    <w:rsid w:val="00831CDE"/>
    <w:rsid w:val="00834304"/>
    <w:rsid w:val="00834FAA"/>
    <w:rsid w:val="00836086"/>
    <w:rsid w:val="00840277"/>
    <w:rsid w:val="00844690"/>
    <w:rsid w:val="0084708F"/>
    <w:rsid w:val="008477C8"/>
    <w:rsid w:val="00850A1B"/>
    <w:rsid w:val="0085114D"/>
    <w:rsid w:val="00852217"/>
    <w:rsid w:val="00855408"/>
    <w:rsid w:val="00855978"/>
    <w:rsid w:val="00856D65"/>
    <w:rsid w:val="00861B41"/>
    <w:rsid w:val="00863434"/>
    <w:rsid w:val="00865E4C"/>
    <w:rsid w:val="00867F67"/>
    <w:rsid w:val="008701E4"/>
    <w:rsid w:val="0087102D"/>
    <w:rsid w:val="00875A32"/>
    <w:rsid w:val="00876086"/>
    <w:rsid w:val="008769E4"/>
    <w:rsid w:val="008873D4"/>
    <w:rsid w:val="00893E85"/>
    <w:rsid w:val="00894031"/>
    <w:rsid w:val="008B4180"/>
    <w:rsid w:val="008B62E3"/>
    <w:rsid w:val="008B7C02"/>
    <w:rsid w:val="008B7D2B"/>
    <w:rsid w:val="008B7D64"/>
    <w:rsid w:val="008C0049"/>
    <w:rsid w:val="008C0E88"/>
    <w:rsid w:val="008D1E6A"/>
    <w:rsid w:val="008D2A16"/>
    <w:rsid w:val="008D40A9"/>
    <w:rsid w:val="008D7B44"/>
    <w:rsid w:val="008E2C57"/>
    <w:rsid w:val="008E31FF"/>
    <w:rsid w:val="008E6F06"/>
    <w:rsid w:val="008E73DA"/>
    <w:rsid w:val="008F029B"/>
    <w:rsid w:val="008F3FC9"/>
    <w:rsid w:val="008F585B"/>
    <w:rsid w:val="009003A8"/>
    <w:rsid w:val="00902500"/>
    <w:rsid w:val="00902EFF"/>
    <w:rsid w:val="00903C13"/>
    <w:rsid w:val="00906401"/>
    <w:rsid w:val="0091155E"/>
    <w:rsid w:val="0091261F"/>
    <w:rsid w:val="00912A92"/>
    <w:rsid w:val="00913648"/>
    <w:rsid w:val="00916F74"/>
    <w:rsid w:val="0091728D"/>
    <w:rsid w:val="009208D0"/>
    <w:rsid w:val="0092180B"/>
    <w:rsid w:val="00921F14"/>
    <w:rsid w:val="00924AC8"/>
    <w:rsid w:val="0092597A"/>
    <w:rsid w:val="00932443"/>
    <w:rsid w:val="00937AE2"/>
    <w:rsid w:val="0094191B"/>
    <w:rsid w:val="0094427A"/>
    <w:rsid w:val="00945181"/>
    <w:rsid w:val="009562CF"/>
    <w:rsid w:val="009627E0"/>
    <w:rsid w:val="00974923"/>
    <w:rsid w:val="00980D3D"/>
    <w:rsid w:val="00982C1D"/>
    <w:rsid w:val="00987A30"/>
    <w:rsid w:val="00987D5E"/>
    <w:rsid w:val="00991A19"/>
    <w:rsid w:val="00992CF3"/>
    <w:rsid w:val="009968D6"/>
    <w:rsid w:val="009A1CAB"/>
    <w:rsid w:val="009A60D1"/>
    <w:rsid w:val="009B37AD"/>
    <w:rsid w:val="009B6FD3"/>
    <w:rsid w:val="009C11CB"/>
    <w:rsid w:val="009C1750"/>
    <w:rsid w:val="009C2E29"/>
    <w:rsid w:val="009C3182"/>
    <w:rsid w:val="009C554B"/>
    <w:rsid w:val="009C719E"/>
    <w:rsid w:val="009D3ACD"/>
    <w:rsid w:val="009E4AAB"/>
    <w:rsid w:val="009E5273"/>
    <w:rsid w:val="009E5DDB"/>
    <w:rsid w:val="009F0058"/>
    <w:rsid w:val="009F0B87"/>
    <w:rsid w:val="009F4CA7"/>
    <w:rsid w:val="009F67D0"/>
    <w:rsid w:val="00A10D66"/>
    <w:rsid w:val="00A14114"/>
    <w:rsid w:val="00A16413"/>
    <w:rsid w:val="00A23E43"/>
    <w:rsid w:val="00A26AF3"/>
    <w:rsid w:val="00A30F65"/>
    <w:rsid w:val="00A416CF"/>
    <w:rsid w:val="00A418BC"/>
    <w:rsid w:val="00A46DE0"/>
    <w:rsid w:val="00A50D73"/>
    <w:rsid w:val="00A52CAD"/>
    <w:rsid w:val="00A53FC7"/>
    <w:rsid w:val="00A62CE1"/>
    <w:rsid w:val="00A6741E"/>
    <w:rsid w:val="00A71AB2"/>
    <w:rsid w:val="00A75E40"/>
    <w:rsid w:val="00A77D1D"/>
    <w:rsid w:val="00A81B9F"/>
    <w:rsid w:val="00A83569"/>
    <w:rsid w:val="00A83595"/>
    <w:rsid w:val="00A857C0"/>
    <w:rsid w:val="00A9119B"/>
    <w:rsid w:val="00AA0B8D"/>
    <w:rsid w:val="00AA1E11"/>
    <w:rsid w:val="00AA2996"/>
    <w:rsid w:val="00AA52BF"/>
    <w:rsid w:val="00AA559A"/>
    <w:rsid w:val="00AB10AA"/>
    <w:rsid w:val="00AB2AF1"/>
    <w:rsid w:val="00AC6D21"/>
    <w:rsid w:val="00AC7EEB"/>
    <w:rsid w:val="00AD306C"/>
    <w:rsid w:val="00AE09B3"/>
    <w:rsid w:val="00AE1A83"/>
    <w:rsid w:val="00AE3DD0"/>
    <w:rsid w:val="00AF2FBF"/>
    <w:rsid w:val="00B00913"/>
    <w:rsid w:val="00B0095F"/>
    <w:rsid w:val="00B01593"/>
    <w:rsid w:val="00B10A4D"/>
    <w:rsid w:val="00B12C5F"/>
    <w:rsid w:val="00B17E71"/>
    <w:rsid w:val="00B17FDE"/>
    <w:rsid w:val="00B212D5"/>
    <w:rsid w:val="00B2379C"/>
    <w:rsid w:val="00B2687D"/>
    <w:rsid w:val="00B32DDB"/>
    <w:rsid w:val="00B34528"/>
    <w:rsid w:val="00B402FC"/>
    <w:rsid w:val="00B414A5"/>
    <w:rsid w:val="00B44634"/>
    <w:rsid w:val="00B46604"/>
    <w:rsid w:val="00B527E8"/>
    <w:rsid w:val="00B530CD"/>
    <w:rsid w:val="00B55F5E"/>
    <w:rsid w:val="00B5752E"/>
    <w:rsid w:val="00B606BA"/>
    <w:rsid w:val="00B608FE"/>
    <w:rsid w:val="00B63A11"/>
    <w:rsid w:val="00B64C24"/>
    <w:rsid w:val="00B6608F"/>
    <w:rsid w:val="00B679FB"/>
    <w:rsid w:val="00B67A38"/>
    <w:rsid w:val="00B71CB0"/>
    <w:rsid w:val="00B71F7A"/>
    <w:rsid w:val="00B74855"/>
    <w:rsid w:val="00B76D1E"/>
    <w:rsid w:val="00B80EC6"/>
    <w:rsid w:val="00B9122C"/>
    <w:rsid w:val="00B92D1D"/>
    <w:rsid w:val="00B938C5"/>
    <w:rsid w:val="00B95940"/>
    <w:rsid w:val="00B97091"/>
    <w:rsid w:val="00BA6B4E"/>
    <w:rsid w:val="00BB46F3"/>
    <w:rsid w:val="00BB4CB1"/>
    <w:rsid w:val="00BB4F98"/>
    <w:rsid w:val="00BC7154"/>
    <w:rsid w:val="00BD366B"/>
    <w:rsid w:val="00BD6D50"/>
    <w:rsid w:val="00BE18B9"/>
    <w:rsid w:val="00BE2495"/>
    <w:rsid w:val="00BF0828"/>
    <w:rsid w:val="00BF1578"/>
    <w:rsid w:val="00BF4256"/>
    <w:rsid w:val="00BF6635"/>
    <w:rsid w:val="00C02C40"/>
    <w:rsid w:val="00C0303E"/>
    <w:rsid w:val="00C035D0"/>
    <w:rsid w:val="00C112EA"/>
    <w:rsid w:val="00C13A9E"/>
    <w:rsid w:val="00C15989"/>
    <w:rsid w:val="00C21F94"/>
    <w:rsid w:val="00C22014"/>
    <w:rsid w:val="00C24683"/>
    <w:rsid w:val="00C27913"/>
    <w:rsid w:val="00C27ECC"/>
    <w:rsid w:val="00C33B68"/>
    <w:rsid w:val="00C34A10"/>
    <w:rsid w:val="00C36A79"/>
    <w:rsid w:val="00C371A5"/>
    <w:rsid w:val="00C405D4"/>
    <w:rsid w:val="00C43670"/>
    <w:rsid w:val="00C44482"/>
    <w:rsid w:val="00C4513B"/>
    <w:rsid w:val="00C5419A"/>
    <w:rsid w:val="00C54697"/>
    <w:rsid w:val="00C5499E"/>
    <w:rsid w:val="00C56C80"/>
    <w:rsid w:val="00C577E3"/>
    <w:rsid w:val="00C6313F"/>
    <w:rsid w:val="00C73885"/>
    <w:rsid w:val="00C747B1"/>
    <w:rsid w:val="00C7753B"/>
    <w:rsid w:val="00C82191"/>
    <w:rsid w:val="00C90CF4"/>
    <w:rsid w:val="00C92EB6"/>
    <w:rsid w:val="00C93050"/>
    <w:rsid w:val="00C93389"/>
    <w:rsid w:val="00C96C0D"/>
    <w:rsid w:val="00C97CF3"/>
    <w:rsid w:val="00CA3130"/>
    <w:rsid w:val="00CA3FFD"/>
    <w:rsid w:val="00CB1614"/>
    <w:rsid w:val="00CB4930"/>
    <w:rsid w:val="00CC2E7D"/>
    <w:rsid w:val="00CD10A5"/>
    <w:rsid w:val="00CD2076"/>
    <w:rsid w:val="00CD287A"/>
    <w:rsid w:val="00CD7B6E"/>
    <w:rsid w:val="00CE1E85"/>
    <w:rsid w:val="00CE2C2A"/>
    <w:rsid w:val="00CE670B"/>
    <w:rsid w:val="00CF05FA"/>
    <w:rsid w:val="00CF2EE9"/>
    <w:rsid w:val="00CF51EC"/>
    <w:rsid w:val="00CF6DC0"/>
    <w:rsid w:val="00CF73AE"/>
    <w:rsid w:val="00D040DD"/>
    <w:rsid w:val="00D042B7"/>
    <w:rsid w:val="00D12BE0"/>
    <w:rsid w:val="00D13986"/>
    <w:rsid w:val="00D235B7"/>
    <w:rsid w:val="00D25F28"/>
    <w:rsid w:val="00D27973"/>
    <w:rsid w:val="00D3132C"/>
    <w:rsid w:val="00D35F0C"/>
    <w:rsid w:val="00D45F63"/>
    <w:rsid w:val="00D50F46"/>
    <w:rsid w:val="00D60D97"/>
    <w:rsid w:val="00D63625"/>
    <w:rsid w:val="00D66223"/>
    <w:rsid w:val="00D8084C"/>
    <w:rsid w:val="00D92E20"/>
    <w:rsid w:val="00D93ABC"/>
    <w:rsid w:val="00DA5329"/>
    <w:rsid w:val="00DA7C0C"/>
    <w:rsid w:val="00DB2EC8"/>
    <w:rsid w:val="00DC4ACC"/>
    <w:rsid w:val="00DC5B3B"/>
    <w:rsid w:val="00DD129F"/>
    <w:rsid w:val="00DD31CC"/>
    <w:rsid w:val="00DE263C"/>
    <w:rsid w:val="00DF42FF"/>
    <w:rsid w:val="00E01C0E"/>
    <w:rsid w:val="00E03841"/>
    <w:rsid w:val="00E03972"/>
    <w:rsid w:val="00E03F9A"/>
    <w:rsid w:val="00E04694"/>
    <w:rsid w:val="00E12B1E"/>
    <w:rsid w:val="00E17262"/>
    <w:rsid w:val="00E253A2"/>
    <w:rsid w:val="00E3309D"/>
    <w:rsid w:val="00E404AC"/>
    <w:rsid w:val="00E44890"/>
    <w:rsid w:val="00E454C5"/>
    <w:rsid w:val="00E50156"/>
    <w:rsid w:val="00E53470"/>
    <w:rsid w:val="00E539F6"/>
    <w:rsid w:val="00E6519D"/>
    <w:rsid w:val="00E67696"/>
    <w:rsid w:val="00E71A58"/>
    <w:rsid w:val="00E72A7A"/>
    <w:rsid w:val="00E73F0C"/>
    <w:rsid w:val="00E75C94"/>
    <w:rsid w:val="00E9284B"/>
    <w:rsid w:val="00E93820"/>
    <w:rsid w:val="00EA098E"/>
    <w:rsid w:val="00EA0C68"/>
    <w:rsid w:val="00EA0F31"/>
    <w:rsid w:val="00EA2DCF"/>
    <w:rsid w:val="00EA32BC"/>
    <w:rsid w:val="00EA5FF4"/>
    <w:rsid w:val="00EB4511"/>
    <w:rsid w:val="00EB48F6"/>
    <w:rsid w:val="00EB5555"/>
    <w:rsid w:val="00EC03D7"/>
    <w:rsid w:val="00EC21A5"/>
    <w:rsid w:val="00EC525E"/>
    <w:rsid w:val="00ED103E"/>
    <w:rsid w:val="00ED62C6"/>
    <w:rsid w:val="00ED64C1"/>
    <w:rsid w:val="00EE3446"/>
    <w:rsid w:val="00EE3E78"/>
    <w:rsid w:val="00EE4B1B"/>
    <w:rsid w:val="00EF150D"/>
    <w:rsid w:val="00EF1F5A"/>
    <w:rsid w:val="00EF47BF"/>
    <w:rsid w:val="00F00430"/>
    <w:rsid w:val="00F04811"/>
    <w:rsid w:val="00F0488C"/>
    <w:rsid w:val="00F05F5E"/>
    <w:rsid w:val="00F10F11"/>
    <w:rsid w:val="00F12400"/>
    <w:rsid w:val="00F15AAA"/>
    <w:rsid w:val="00F15BEF"/>
    <w:rsid w:val="00F20CF3"/>
    <w:rsid w:val="00F24407"/>
    <w:rsid w:val="00F24FAA"/>
    <w:rsid w:val="00F25CD1"/>
    <w:rsid w:val="00F27CE9"/>
    <w:rsid w:val="00F3364D"/>
    <w:rsid w:val="00F437CC"/>
    <w:rsid w:val="00F47067"/>
    <w:rsid w:val="00F525EB"/>
    <w:rsid w:val="00F63DDE"/>
    <w:rsid w:val="00F63FB7"/>
    <w:rsid w:val="00F649D2"/>
    <w:rsid w:val="00F6602B"/>
    <w:rsid w:val="00F71B6A"/>
    <w:rsid w:val="00F7260E"/>
    <w:rsid w:val="00F73A0C"/>
    <w:rsid w:val="00F756DB"/>
    <w:rsid w:val="00F85066"/>
    <w:rsid w:val="00FA5D4D"/>
    <w:rsid w:val="00FB0EE2"/>
    <w:rsid w:val="00FB19E5"/>
    <w:rsid w:val="00FB3501"/>
    <w:rsid w:val="00FB50FB"/>
    <w:rsid w:val="00FB542E"/>
    <w:rsid w:val="00FB73B2"/>
    <w:rsid w:val="00FC0E5F"/>
    <w:rsid w:val="00FC1A95"/>
    <w:rsid w:val="00FC56DE"/>
    <w:rsid w:val="00FC684B"/>
    <w:rsid w:val="00FD3265"/>
    <w:rsid w:val="00FE2F78"/>
    <w:rsid w:val="00FE69C1"/>
    <w:rsid w:val="00FF302A"/>
    <w:rsid w:val="00FF3D8E"/>
    <w:rsid w:val="00FF5F37"/>
    <w:rsid w:val="00FF6E1B"/>
    <w:rsid w:val="00FF7B96"/>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ecf4dd,#eaecee,#fcec0a,#fcecdb,#f1daf5"/>
    </o:shapedefaults>
    <o:shapelayout v:ext="edit">
      <o:idmap v:ext="edit" data="1"/>
    </o:shapelayout>
  </w:shapeDefaults>
  <w:decimalSymbol w:val=","/>
  <w:listSeparator w:val=";"/>
  <w14:docId w14:val="18BFED52"/>
  <w15:docId w15:val="{8339DFA1-D011-4BFC-92C4-5BFAFF0DC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F42FF"/>
    <w:pPr>
      <w:spacing w:after="240" w:line="288" w:lineRule="auto"/>
    </w:pPr>
    <w:rPr>
      <w:rFonts w:ascii="Arial" w:eastAsia="Times New Roman" w:hAnsi="Arial"/>
      <w:szCs w:val="24"/>
      <w:lang w:eastAsia="cs-CZ"/>
    </w:rPr>
  </w:style>
  <w:style w:type="paragraph" w:styleId="Nadpis1">
    <w:name w:val="heading 1"/>
    <w:next w:val="Normln"/>
    <w:link w:val="Nadpis1Char"/>
    <w:uiPriority w:val="9"/>
    <w:qFormat/>
    <w:rsid w:val="004900FF"/>
    <w:pPr>
      <w:keepNext/>
      <w:keepLines/>
      <w:spacing w:after="100" w:line="288" w:lineRule="auto"/>
      <w:contextualSpacing/>
      <w:outlineLvl w:val="0"/>
    </w:pPr>
    <w:rPr>
      <w:rFonts w:ascii="Arial" w:eastAsia="MS Gothic" w:hAnsi="Arial"/>
      <w:b/>
      <w:bCs/>
      <w:color w:val="C00000"/>
      <w:sz w:val="32"/>
      <w:szCs w:val="28"/>
      <w:lang w:eastAsia="cs-CZ"/>
    </w:rPr>
  </w:style>
  <w:style w:type="paragraph" w:styleId="Nadpis2">
    <w:name w:val="heading 2"/>
    <w:next w:val="Normln"/>
    <w:link w:val="Nadpis2Char"/>
    <w:uiPriority w:val="9"/>
    <w:qFormat/>
    <w:rsid w:val="004900FF"/>
    <w:pPr>
      <w:keepNext/>
      <w:keepLines/>
      <w:spacing w:line="288" w:lineRule="auto"/>
      <w:outlineLvl w:val="1"/>
    </w:pPr>
    <w:rPr>
      <w:rFonts w:ascii="Arial" w:eastAsia="MS Gothic" w:hAnsi="Arial"/>
      <w:b/>
      <w:bCs/>
      <w:color w:val="BC091B"/>
      <w:sz w:val="28"/>
      <w:szCs w:val="26"/>
      <w:lang w:eastAsia="cs-CZ"/>
    </w:rPr>
  </w:style>
  <w:style w:type="paragraph" w:styleId="Nadpis3">
    <w:name w:val="heading 3"/>
    <w:next w:val="Normln"/>
    <w:link w:val="Nadpis3Char"/>
    <w:uiPriority w:val="9"/>
    <w:qFormat/>
    <w:rsid w:val="004900FF"/>
    <w:pPr>
      <w:keepNext/>
      <w:keepLines/>
      <w:spacing w:line="288" w:lineRule="auto"/>
      <w:outlineLvl w:val="2"/>
    </w:pPr>
    <w:rPr>
      <w:rFonts w:ascii="Arial" w:eastAsia="MS Gothic" w:hAnsi="Arial"/>
      <w:b/>
      <w:bCs/>
      <w:color w:val="BC091B"/>
      <w:sz w:val="24"/>
      <w:szCs w:val="24"/>
      <w:lang w:eastAsia="cs-CZ"/>
    </w:rPr>
  </w:style>
  <w:style w:type="paragraph" w:styleId="Nadpis4">
    <w:name w:val="heading 4"/>
    <w:next w:val="Normln"/>
    <w:link w:val="Nadpis4Char"/>
    <w:uiPriority w:val="9"/>
    <w:qFormat/>
    <w:rsid w:val="004900FF"/>
    <w:pPr>
      <w:keepNext/>
      <w:keepLines/>
      <w:spacing w:line="288" w:lineRule="auto"/>
      <w:outlineLvl w:val="3"/>
    </w:pPr>
    <w:rPr>
      <w:rFonts w:ascii="Arial" w:eastAsia="MS Gothic" w:hAnsi="Arial"/>
      <w:b/>
      <w:bCs/>
      <w:iCs/>
      <w:color w:val="BC091B"/>
      <w:szCs w:val="24"/>
      <w:lang w:eastAsia="cs-CZ"/>
    </w:rPr>
  </w:style>
  <w:style w:type="paragraph" w:styleId="Nadpis9">
    <w:name w:val="heading 9"/>
    <w:basedOn w:val="Normln"/>
    <w:next w:val="Normln"/>
    <w:link w:val="Nadpis9Char"/>
    <w:uiPriority w:val="9"/>
    <w:semiHidden/>
    <w:unhideWhenUsed/>
    <w:qFormat/>
    <w:rsid w:val="00A30F65"/>
    <w:pPr>
      <w:spacing w:before="240" w:after="60"/>
      <w:outlineLvl w:val="8"/>
    </w:pPr>
    <w:rPr>
      <w:rFonts w:ascii="Cambria" w:hAnsi="Cambria"/>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uiPriority w:val="9"/>
    <w:rsid w:val="004900FF"/>
    <w:rPr>
      <w:rFonts w:ascii="Arial" w:eastAsia="MS Gothic" w:hAnsi="Arial"/>
      <w:b/>
      <w:bCs/>
      <w:color w:val="C00000"/>
      <w:sz w:val="32"/>
      <w:szCs w:val="28"/>
    </w:rPr>
  </w:style>
  <w:style w:type="character" w:customStyle="1" w:styleId="Nadpis2Char">
    <w:name w:val="Nadpis 2 Char"/>
    <w:link w:val="Nadpis2"/>
    <w:uiPriority w:val="9"/>
    <w:rsid w:val="004900FF"/>
    <w:rPr>
      <w:rFonts w:ascii="Arial" w:eastAsia="MS Gothic" w:hAnsi="Arial"/>
      <w:b/>
      <w:bCs/>
      <w:color w:val="BC091B"/>
      <w:sz w:val="28"/>
      <w:szCs w:val="26"/>
    </w:rPr>
  </w:style>
  <w:style w:type="character" w:customStyle="1" w:styleId="Nadpis3Char">
    <w:name w:val="Nadpis 3 Char"/>
    <w:link w:val="Nadpis3"/>
    <w:uiPriority w:val="9"/>
    <w:rsid w:val="004900FF"/>
    <w:rPr>
      <w:rFonts w:ascii="Arial" w:eastAsia="MS Gothic" w:hAnsi="Arial"/>
      <w:b/>
      <w:bCs/>
      <w:color w:val="BC091B"/>
      <w:sz w:val="24"/>
      <w:szCs w:val="24"/>
    </w:rPr>
  </w:style>
  <w:style w:type="character" w:customStyle="1" w:styleId="Nadpis4Char">
    <w:name w:val="Nadpis 4 Char"/>
    <w:link w:val="Nadpis4"/>
    <w:uiPriority w:val="9"/>
    <w:rsid w:val="004900FF"/>
    <w:rPr>
      <w:rFonts w:ascii="Arial" w:eastAsia="MS Gothic" w:hAnsi="Arial"/>
      <w:b/>
      <w:bCs/>
      <w:iCs/>
      <w:color w:val="BC091B"/>
      <w:szCs w:val="24"/>
    </w:rPr>
  </w:style>
  <w:style w:type="character" w:customStyle="1" w:styleId="Nadpis9Char">
    <w:name w:val="Nadpis 9 Char"/>
    <w:link w:val="Nadpis9"/>
    <w:uiPriority w:val="9"/>
    <w:semiHidden/>
    <w:rsid w:val="00A30F65"/>
    <w:rPr>
      <w:rFonts w:ascii="Cambria" w:eastAsia="Times New Roman" w:hAnsi="Cambria" w:cs="Times New Roman"/>
      <w:sz w:val="22"/>
      <w:szCs w:val="22"/>
    </w:rPr>
  </w:style>
  <w:style w:type="character" w:styleId="Hypertextovodkaz">
    <w:name w:val="Hyperlink"/>
    <w:uiPriority w:val="99"/>
    <w:rsid w:val="00E71A58"/>
    <w:rPr>
      <w:color w:val="0000FF"/>
      <w:u w:val="single"/>
    </w:rPr>
  </w:style>
  <w:style w:type="paragraph" w:styleId="Zhlav">
    <w:name w:val="header"/>
    <w:link w:val="ZhlavChar"/>
    <w:uiPriority w:val="99"/>
    <w:unhideWhenUsed/>
    <w:qFormat/>
    <w:rsid w:val="00A418BC"/>
    <w:pPr>
      <w:spacing w:line="288" w:lineRule="auto"/>
    </w:pPr>
    <w:rPr>
      <w:rFonts w:ascii="Arial" w:hAnsi="Arial"/>
      <w:sz w:val="16"/>
      <w:szCs w:val="22"/>
    </w:rPr>
  </w:style>
  <w:style w:type="character" w:customStyle="1" w:styleId="ZhlavChar">
    <w:name w:val="Záhlaví Char"/>
    <w:link w:val="Zhlav"/>
    <w:uiPriority w:val="99"/>
    <w:rsid w:val="00A418BC"/>
    <w:rPr>
      <w:rFonts w:ascii="Arial" w:hAnsi="Arial"/>
      <w:sz w:val="16"/>
      <w:szCs w:val="22"/>
      <w:lang w:eastAsia="en-US"/>
    </w:rPr>
  </w:style>
  <w:style w:type="paragraph" w:styleId="Zpat">
    <w:name w:val="footer"/>
    <w:link w:val="ZpatChar"/>
    <w:uiPriority w:val="99"/>
    <w:unhideWhenUsed/>
    <w:qFormat/>
    <w:rsid w:val="00031AE0"/>
    <w:pPr>
      <w:tabs>
        <w:tab w:val="center" w:pos="4820"/>
        <w:tab w:val="right" w:pos="9639"/>
      </w:tabs>
    </w:pPr>
    <w:rPr>
      <w:rFonts w:ascii="Arial" w:hAnsi="Arial" w:cs="Arial"/>
      <w:noProof/>
      <w:sz w:val="16"/>
    </w:rPr>
  </w:style>
  <w:style w:type="character" w:customStyle="1" w:styleId="ZpatChar">
    <w:name w:val="Zápatí Char"/>
    <w:link w:val="Zpat"/>
    <w:uiPriority w:val="99"/>
    <w:rsid w:val="00031AE0"/>
    <w:rPr>
      <w:rFonts w:ascii="Arial" w:hAnsi="Arial" w:cs="Arial"/>
      <w:noProof/>
      <w:sz w:val="16"/>
      <w:lang w:eastAsia="en-US"/>
    </w:rPr>
  </w:style>
  <w:style w:type="paragraph" w:styleId="Textbubliny">
    <w:name w:val="Balloon Text"/>
    <w:basedOn w:val="Normln"/>
    <w:link w:val="TextbublinyChar"/>
    <w:uiPriority w:val="99"/>
    <w:semiHidden/>
    <w:unhideWhenUsed/>
    <w:rsid w:val="00E71A58"/>
    <w:rPr>
      <w:rFonts w:ascii="Tahoma" w:eastAsia="Calibri" w:hAnsi="Tahoma"/>
      <w:sz w:val="16"/>
      <w:szCs w:val="16"/>
      <w:lang w:val="x-none" w:eastAsia="x-none"/>
    </w:rPr>
  </w:style>
  <w:style w:type="character" w:customStyle="1" w:styleId="TextbublinyChar">
    <w:name w:val="Text bubliny Char"/>
    <w:link w:val="Textbubliny"/>
    <w:uiPriority w:val="99"/>
    <w:semiHidden/>
    <w:rsid w:val="00E71A58"/>
    <w:rPr>
      <w:rFonts w:ascii="Tahoma" w:hAnsi="Tahoma" w:cs="Tahoma"/>
      <w:sz w:val="16"/>
      <w:szCs w:val="16"/>
    </w:rPr>
  </w:style>
  <w:style w:type="paragraph" w:customStyle="1" w:styleId="Zkladnodstavec">
    <w:name w:val="[Základní odstavec]"/>
    <w:link w:val="ZkladnodstavecChar"/>
    <w:uiPriority w:val="99"/>
    <w:rsid w:val="0008263E"/>
    <w:pPr>
      <w:autoSpaceDE w:val="0"/>
      <w:autoSpaceDN w:val="0"/>
      <w:adjustRightInd w:val="0"/>
      <w:spacing w:line="276" w:lineRule="auto"/>
      <w:textAlignment w:val="center"/>
    </w:pPr>
    <w:rPr>
      <w:rFonts w:ascii="Arial" w:hAnsi="Arial" w:cs="Minion Pro"/>
      <w:color w:val="000000"/>
      <w:szCs w:val="24"/>
      <w:lang w:eastAsia="cs-CZ"/>
    </w:rPr>
  </w:style>
  <w:style w:type="character" w:customStyle="1" w:styleId="ZkladnodstavecChar">
    <w:name w:val="[Základní odstavec] Char"/>
    <w:link w:val="Zkladnodstavec"/>
    <w:uiPriority w:val="99"/>
    <w:rsid w:val="0008263E"/>
    <w:rPr>
      <w:rFonts w:ascii="Arial" w:hAnsi="Arial" w:cs="Minion Pro"/>
      <w:color w:val="000000"/>
      <w:szCs w:val="24"/>
    </w:rPr>
  </w:style>
  <w:style w:type="paragraph" w:styleId="Obsah1">
    <w:name w:val="toc 1"/>
    <w:basedOn w:val="Obsahpoloky"/>
    <w:next w:val="Obsahpoloky"/>
    <w:autoRedefine/>
    <w:uiPriority w:val="39"/>
    <w:unhideWhenUsed/>
    <w:rsid w:val="004B0288"/>
    <w:pPr>
      <w:tabs>
        <w:tab w:val="left" w:pos="400"/>
      </w:tabs>
      <w:ind w:left="142"/>
    </w:pPr>
  </w:style>
  <w:style w:type="paragraph" w:customStyle="1" w:styleId="TLIdentifikace-sted">
    <w:name w:val="TL Identifikace - střed"/>
    <w:qFormat/>
    <w:rsid w:val="009A60D1"/>
    <w:pPr>
      <w:spacing w:after="200" w:line="288" w:lineRule="auto"/>
    </w:pPr>
    <w:rPr>
      <w:rFonts w:ascii="Arial" w:eastAsia="Times New Roman" w:hAnsi="Arial"/>
      <w:sz w:val="24"/>
      <w:szCs w:val="24"/>
      <w:lang w:eastAsia="cs-CZ"/>
    </w:rPr>
  </w:style>
  <w:style w:type="paragraph" w:customStyle="1" w:styleId="Obsah">
    <w:name w:val="Obsah"/>
    <w:next w:val="Normln"/>
    <w:qFormat/>
    <w:rsid w:val="004900FF"/>
    <w:pPr>
      <w:spacing w:after="80" w:line="288" w:lineRule="auto"/>
    </w:pPr>
    <w:rPr>
      <w:rFonts w:ascii="Arial" w:eastAsia="Times New Roman" w:hAnsi="Arial"/>
      <w:b/>
      <w:color w:val="BC091B"/>
      <w:sz w:val="32"/>
      <w:szCs w:val="24"/>
      <w:lang w:eastAsia="cs-CZ"/>
    </w:rPr>
  </w:style>
  <w:style w:type="paragraph" w:customStyle="1" w:styleId="Obsahpoloky">
    <w:name w:val="Obsah položky"/>
    <w:qFormat/>
    <w:rsid w:val="00616E05"/>
    <w:pPr>
      <w:tabs>
        <w:tab w:val="right" w:leader="dot" w:pos="9639"/>
      </w:tabs>
      <w:spacing w:line="288" w:lineRule="auto"/>
    </w:pPr>
    <w:rPr>
      <w:rFonts w:ascii="Arial" w:eastAsia="Times New Roman" w:hAnsi="Arial"/>
      <w:szCs w:val="24"/>
      <w:lang w:eastAsia="cs-CZ"/>
    </w:rPr>
  </w:style>
  <w:style w:type="paragraph" w:customStyle="1" w:styleId="Box1">
    <w:name w:val="Box 1"/>
    <w:next w:val="Normln"/>
    <w:qFormat/>
    <w:rsid w:val="004900FF"/>
    <w:pPr>
      <w:shd w:val="clear" w:color="auto" w:fill="F5DADD"/>
      <w:spacing w:before="240" w:after="240" w:line="288" w:lineRule="auto"/>
      <w:ind w:left="709"/>
      <w:contextualSpacing/>
    </w:pPr>
    <w:rPr>
      <w:rFonts w:ascii="Arial" w:hAnsi="Arial" w:cs="Arial"/>
      <w:lang w:eastAsia="cs-CZ"/>
    </w:rPr>
  </w:style>
  <w:style w:type="paragraph" w:customStyle="1" w:styleId="Box2">
    <w:name w:val="Box 2"/>
    <w:qFormat/>
    <w:rsid w:val="004900FF"/>
    <w:pPr>
      <w:spacing w:before="240" w:after="240" w:line="288" w:lineRule="auto"/>
      <w:ind w:left="709"/>
      <w:contextualSpacing/>
    </w:pPr>
    <w:rPr>
      <w:rFonts w:ascii="Arial" w:hAnsi="Arial" w:cs="Arial"/>
      <w:color w:val="BC091B"/>
      <w:lang w:eastAsia="cs-CZ"/>
    </w:rPr>
  </w:style>
  <w:style w:type="paragraph" w:styleId="Seznam">
    <w:name w:val="List"/>
    <w:basedOn w:val="Normln"/>
    <w:uiPriority w:val="99"/>
    <w:unhideWhenUsed/>
    <w:qFormat/>
    <w:rsid w:val="00481E40"/>
    <w:pPr>
      <w:contextualSpacing/>
    </w:pPr>
  </w:style>
  <w:style w:type="character" w:styleId="Siln">
    <w:name w:val="Strong"/>
    <w:aliases w:val="Tučné"/>
    <w:uiPriority w:val="22"/>
    <w:qFormat/>
    <w:rsid w:val="00EC03D7"/>
    <w:rPr>
      <w:rFonts w:ascii="Arial" w:hAnsi="Arial"/>
      <w:b/>
      <w:bCs/>
      <w:sz w:val="20"/>
    </w:rPr>
  </w:style>
  <w:style w:type="paragraph" w:customStyle="1" w:styleId="TLKontaktyerven">
    <w:name w:val="TL Kontakty červené"/>
    <w:basedOn w:val="Normln"/>
    <w:qFormat/>
    <w:rsid w:val="00104C4C"/>
    <w:pPr>
      <w:spacing w:after="40"/>
      <w:contextualSpacing/>
    </w:pPr>
    <w:rPr>
      <w:b/>
      <w:caps/>
      <w:color w:val="BD1B21"/>
      <w:sz w:val="24"/>
    </w:rPr>
  </w:style>
  <w:style w:type="paragraph" w:customStyle="1" w:styleId="TLKontakty">
    <w:name w:val="TL Kontakty"/>
    <w:qFormat/>
    <w:rsid w:val="008E6F06"/>
    <w:pPr>
      <w:spacing w:after="160" w:line="259" w:lineRule="auto"/>
      <w:contextualSpacing/>
    </w:pPr>
    <w:rPr>
      <w:rFonts w:ascii="Arial" w:eastAsia="Times New Roman" w:hAnsi="Arial"/>
      <w:b/>
      <w:color w:val="0071BC"/>
      <w:lang w:eastAsia="cs-CZ"/>
    </w:rPr>
  </w:style>
  <w:style w:type="paragraph" w:styleId="Nzev">
    <w:name w:val="Title"/>
    <w:link w:val="NzevChar"/>
    <w:uiPriority w:val="10"/>
    <w:qFormat/>
    <w:rsid w:val="004900FF"/>
    <w:pPr>
      <w:spacing w:line="288" w:lineRule="auto"/>
    </w:pPr>
    <w:rPr>
      <w:rFonts w:ascii="Arial" w:eastAsia="Times New Roman" w:hAnsi="Arial"/>
      <w:b/>
      <w:bCs/>
      <w:caps/>
      <w:color w:val="BC091B"/>
      <w:kern w:val="28"/>
      <w:sz w:val="56"/>
      <w:szCs w:val="32"/>
      <w:lang w:eastAsia="cs-CZ"/>
    </w:rPr>
  </w:style>
  <w:style w:type="character" w:customStyle="1" w:styleId="NzevChar">
    <w:name w:val="Název Char"/>
    <w:link w:val="Nzev"/>
    <w:uiPriority w:val="10"/>
    <w:rsid w:val="004900FF"/>
    <w:rPr>
      <w:rFonts w:ascii="Arial" w:eastAsia="Times New Roman" w:hAnsi="Arial"/>
      <w:b/>
      <w:bCs/>
      <w:caps/>
      <w:color w:val="BC091B"/>
      <w:kern w:val="28"/>
      <w:sz w:val="56"/>
      <w:szCs w:val="32"/>
    </w:rPr>
  </w:style>
  <w:style w:type="paragraph" w:styleId="Podnadpis">
    <w:name w:val="Subtitle"/>
    <w:link w:val="PodnadpisChar"/>
    <w:uiPriority w:val="11"/>
    <w:qFormat/>
    <w:rsid w:val="004900FF"/>
    <w:pPr>
      <w:spacing w:line="288" w:lineRule="auto"/>
    </w:pPr>
    <w:rPr>
      <w:rFonts w:ascii="Arial" w:eastAsia="Times New Roman" w:hAnsi="Arial" w:cs="Arial"/>
      <w:b/>
      <w:color w:val="BC091B"/>
      <w:sz w:val="28"/>
      <w:szCs w:val="24"/>
      <w:lang w:eastAsia="cs-CZ"/>
    </w:rPr>
  </w:style>
  <w:style w:type="character" w:customStyle="1" w:styleId="PodnadpisChar">
    <w:name w:val="Podnadpis Char"/>
    <w:link w:val="Podnadpis"/>
    <w:uiPriority w:val="11"/>
    <w:rsid w:val="004900FF"/>
    <w:rPr>
      <w:rFonts w:ascii="Arial" w:eastAsia="Times New Roman" w:hAnsi="Arial" w:cs="Arial"/>
      <w:b/>
      <w:color w:val="BC091B"/>
      <w:sz w:val="28"/>
      <w:szCs w:val="24"/>
    </w:rPr>
  </w:style>
  <w:style w:type="paragraph" w:styleId="Obsah2">
    <w:name w:val="toc 2"/>
    <w:basedOn w:val="Obsahpoloky"/>
    <w:next w:val="Obsahpoloky"/>
    <w:autoRedefine/>
    <w:uiPriority w:val="39"/>
    <w:unhideWhenUsed/>
    <w:rsid w:val="004B0288"/>
    <w:pPr>
      <w:tabs>
        <w:tab w:val="left" w:pos="600"/>
      </w:tabs>
      <w:ind w:left="200"/>
    </w:pPr>
  </w:style>
  <w:style w:type="paragraph" w:styleId="Obsah3">
    <w:name w:val="toc 3"/>
    <w:basedOn w:val="Obsahpoloky"/>
    <w:next w:val="Obsahpoloky"/>
    <w:autoRedefine/>
    <w:uiPriority w:val="39"/>
    <w:unhideWhenUsed/>
    <w:rsid w:val="004B0288"/>
    <w:pPr>
      <w:tabs>
        <w:tab w:val="left" w:pos="1000"/>
      </w:tabs>
      <w:ind w:left="400"/>
    </w:pPr>
  </w:style>
  <w:style w:type="paragraph" w:styleId="Obsah4">
    <w:name w:val="toc 4"/>
    <w:basedOn w:val="Obsahpoloky"/>
    <w:next w:val="Obsahpoloky"/>
    <w:autoRedefine/>
    <w:uiPriority w:val="39"/>
    <w:unhideWhenUsed/>
    <w:rsid w:val="00FC1A95"/>
    <w:pPr>
      <w:ind w:left="600"/>
    </w:pPr>
  </w:style>
  <w:style w:type="paragraph" w:styleId="Obsah5">
    <w:name w:val="toc 5"/>
    <w:basedOn w:val="Obsahpoloky"/>
    <w:next w:val="Obsahpoloky"/>
    <w:autoRedefine/>
    <w:uiPriority w:val="39"/>
    <w:semiHidden/>
    <w:unhideWhenUsed/>
    <w:rsid w:val="00FC1A95"/>
    <w:pPr>
      <w:ind w:left="800"/>
    </w:pPr>
  </w:style>
  <w:style w:type="paragraph" w:styleId="Obsah6">
    <w:name w:val="toc 6"/>
    <w:basedOn w:val="Obsahpoloky"/>
    <w:next w:val="Obsahpoloky"/>
    <w:autoRedefine/>
    <w:uiPriority w:val="39"/>
    <w:semiHidden/>
    <w:unhideWhenUsed/>
    <w:rsid w:val="00FC1A95"/>
    <w:pPr>
      <w:ind w:left="1000"/>
    </w:pPr>
  </w:style>
  <w:style w:type="paragraph" w:styleId="Obsah7">
    <w:name w:val="toc 7"/>
    <w:basedOn w:val="Obsahpoloky"/>
    <w:next w:val="Obsahpoloky"/>
    <w:autoRedefine/>
    <w:uiPriority w:val="39"/>
    <w:semiHidden/>
    <w:unhideWhenUsed/>
    <w:rsid w:val="00FC1A95"/>
    <w:pPr>
      <w:ind w:left="1200"/>
    </w:pPr>
  </w:style>
  <w:style w:type="paragraph" w:styleId="Obsah8">
    <w:name w:val="toc 8"/>
    <w:basedOn w:val="Obsahpoloky"/>
    <w:next w:val="Obsahpoloky"/>
    <w:autoRedefine/>
    <w:uiPriority w:val="39"/>
    <w:semiHidden/>
    <w:unhideWhenUsed/>
    <w:rsid w:val="00FC1A95"/>
    <w:pPr>
      <w:ind w:left="1400"/>
    </w:pPr>
  </w:style>
  <w:style w:type="paragraph" w:styleId="Obsah9">
    <w:name w:val="toc 9"/>
    <w:basedOn w:val="Obsahpoloky"/>
    <w:next w:val="Obsahpoloky"/>
    <w:autoRedefine/>
    <w:uiPriority w:val="39"/>
    <w:semiHidden/>
    <w:unhideWhenUsed/>
    <w:rsid w:val="00924AC8"/>
    <w:pPr>
      <w:ind w:left="1600"/>
    </w:pPr>
  </w:style>
  <w:style w:type="character" w:styleId="Znakapoznpodarou">
    <w:name w:val="footnote reference"/>
    <w:rsid w:val="007241C5"/>
    <w:rPr>
      <w:vertAlign w:val="superscript"/>
    </w:rPr>
  </w:style>
  <w:style w:type="paragraph" w:styleId="Textpoznpodarou">
    <w:name w:val="footnote text"/>
    <w:basedOn w:val="Normln"/>
    <w:link w:val="TextpoznpodarouChar"/>
    <w:uiPriority w:val="99"/>
    <w:semiHidden/>
    <w:rsid w:val="007241C5"/>
    <w:pPr>
      <w:spacing w:after="0"/>
    </w:pPr>
    <w:rPr>
      <w:szCs w:val="20"/>
    </w:rPr>
  </w:style>
  <w:style w:type="character" w:customStyle="1" w:styleId="TextpoznpodarouChar">
    <w:name w:val="Text pozn. pod čarou Char"/>
    <w:basedOn w:val="Standardnpsmoodstavce"/>
    <w:link w:val="Textpoznpodarou"/>
    <w:uiPriority w:val="99"/>
    <w:semiHidden/>
    <w:rsid w:val="007241C5"/>
    <w:rPr>
      <w:rFonts w:ascii="Arial" w:eastAsia="Times New Roman" w:hAnsi="Arial"/>
      <w:lang w:eastAsia="cs-CZ"/>
    </w:rPr>
  </w:style>
  <w:style w:type="paragraph" w:styleId="Odstavecseseznamem">
    <w:name w:val="List Paragraph"/>
    <w:basedOn w:val="Normln"/>
    <w:uiPriority w:val="99"/>
    <w:qFormat/>
    <w:rsid w:val="007241C5"/>
    <w:pPr>
      <w:ind w:left="720"/>
      <w:contextualSpacing/>
    </w:pPr>
  </w:style>
  <w:style w:type="paragraph" w:styleId="Normlnweb">
    <w:name w:val="Normal (Web)"/>
    <w:basedOn w:val="Normln"/>
    <w:uiPriority w:val="99"/>
    <w:unhideWhenUsed/>
    <w:rsid w:val="0094191B"/>
    <w:pPr>
      <w:spacing w:before="100" w:beforeAutospacing="1" w:after="100" w:afterAutospacing="1" w:line="240" w:lineRule="auto"/>
    </w:pPr>
    <w:rPr>
      <w:rFonts w:ascii="Times New Roman" w:hAnsi="Times New Roman"/>
      <w:sz w:val="24"/>
    </w:rPr>
  </w:style>
  <w:style w:type="character" w:styleId="Sledovanodkaz">
    <w:name w:val="FollowedHyperlink"/>
    <w:basedOn w:val="Standardnpsmoodstavce"/>
    <w:uiPriority w:val="99"/>
    <w:semiHidden/>
    <w:unhideWhenUsed/>
    <w:rsid w:val="000E0772"/>
    <w:rPr>
      <w:color w:val="800080" w:themeColor="followedHyperlink"/>
      <w:u w:val="single"/>
    </w:rPr>
  </w:style>
  <w:style w:type="paragraph" w:customStyle="1" w:styleId="Default">
    <w:name w:val="Default"/>
    <w:rsid w:val="009F0B87"/>
    <w:pPr>
      <w:autoSpaceDE w:val="0"/>
      <w:autoSpaceDN w:val="0"/>
      <w:adjustRightInd w:val="0"/>
    </w:pPr>
    <w:rPr>
      <w:rFonts w:ascii="Arial" w:hAnsi="Arial" w:cs="Arial"/>
      <w:color w:val="000000"/>
      <w:sz w:val="24"/>
      <w:szCs w:val="24"/>
    </w:rPr>
  </w:style>
  <w:style w:type="paragraph" w:styleId="Zkladntextodsazen">
    <w:name w:val="Body Text Indent"/>
    <w:basedOn w:val="Normln"/>
    <w:link w:val="ZkladntextodsazenChar"/>
    <w:uiPriority w:val="99"/>
    <w:rsid w:val="00B608FE"/>
    <w:pPr>
      <w:spacing w:after="0" w:line="240" w:lineRule="auto"/>
      <w:ind w:left="360"/>
    </w:pPr>
    <w:rPr>
      <w:szCs w:val="20"/>
    </w:rPr>
  </w:style>
  <w:style w:type="character" w:customStyle="1" w:styleId="ZkladntextodsazenChar">
    <w:name w:val="Základní text odsazený Char"/>
    <w:basedOn w:val="Standardnpsmoodstavce"/>
    <w:link w:val="Zkladntextodsazen"/>
    <w:uiPriority w:val="99"/>
    <w:rsid w:val="00B608FE"/>
    <w:rPr>
      <w:rFonts w:ascii="Arial" w:eastAsia="Times New Roman" w:hAnsi="Arial"/>
      <w:lang w:eastAsia="cs-CZ"/>
    </w:rPr>
  </w:style>
  <w:style w:type="character" w:styleId="Odkaznakoment">
    <w:name w:val="annotation reference"/>
    <w:basedOn w:val="Standardnpsmoodstavce"/>
    <w:uiPriority w:val="99"/>
    <w:semiHidden/>
    <w:unhideWhenUsed/>
    <w:rsid w:val="00C577E3"/>
    <w:rPr>
      <w:sz w:val="16"/>
      <w:szCs w:val="16"/>
    </w:rPr>
  </w:style>
  <w:style w:type="paragraph" w:styleId="Textkomente">
    <w:name w:val="annotation text"/>
    <w:basedOn w:val="Normln"/>
    <w:link w:val="TextkomenteChar"/>
    <w:uiPriority w:val="99"/>
    <w:semiHidden/>
    <w:unhideWhenUsed/>
    <w:rsid w:val="00C577E3"/>
    <w:pPr>
      <w:spacing w:line="240" w:lineRule="auto"/>
    </w:pPr>
    <w:rPr>
      <w:szCs w:val="20"/>
    </w:rPr>
  </w:style>
  <w:style w:type="character" w:customStyle="1" w:styleId="TextkomenteChar">
    <w:name w:val="Text komentáře Char"/>
    <w:basedOn w:val="Standardnpsmoodstavce"/>
    <w:link w:val="Textkomente"/>
    <w:uiPriority w:val="99"/>
    <w:semiHidden/>
    <w:rsid w:val="00C577E3"/>
    <w:rPr>
      <w:rFonts w:ascii="Arial" w:eastAsia="Times New Roman" w:hAnsi="Arial"/>
      <w:lang w:eastAsia="cs-CZ"/>
    </w:rPr>
  </w:style>
  <w:style w:type="paragraph" w:styleId="Pedmtkomente">
    <w:name w:val="annotation subject"/>
    <w:basedOn w:val="Textkomente"/>
    <w:next w:val="Textkomente"/>
    <w:link w:val="PedmtkomenteChar"/>
    <w:uiPriority w:val="99"/>
    <w:semiHidden/>
    <w:unhideWhenUsed/>
    <w:rsid w:val="00C577E3"/>
    <w:rPr>
      <w:b/>
      <w:bCs/>
    </w:rPr>
  </w:style>
  <w:style w:type="character" w:customStyle="1" w:styleId="PedmtkomenteChar">
    <w:name w:val="Předmět komentáře Char"/>
    <w:basedOn w:val="TextkomenteChar"/>
    <w:link w:val="Pedmtkomente"/>
    <w:uiPriority w:val="99"/>
    <w:semiHidden/>
    <w:rsid w:val="00C577E3"/>
    <w:rPr>
      <w:rFonts w:ascii="Arial" w:eastAsia="Times New Roman" w:hAnsi="Arial"/>
      <w:b/>
      <w:bCs/>
      <w:lang w:eastAsia="cs-CZ"/>
    </w:rPr>
  </w:style>
  <w:style w:type="paragraph" w:styleId="Revize">
    <w:name w:val="Revision"/>
    <w:hidden/>
    <w:uiPriority w:val="99"/>
    <w:semiHidden/>
    <w:rsid w:val="00B71CB0"/>
    <w:rPr>
      <w:rFonts w:ascii="Arial" w:eastAsia="Times New Roman" w:hAnsi="Arial"/>
      <w:szCs w:val="24"/>
      <w:lang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86699">
      <w:bodyDiv w:val="1"/>
      <w:marLeft w:val="0"/>
      <w:marRight w:val="0"/>
      <w:marTop w:val="0"/>
      <w:marBottom w:val="0"/>
      <w:divBdr>
        <w:top w:val="none" w:sz="0" w:space="0" w:color="auto"/>
        <w:left w:val="none" w:sz="0" w:space="0" w:color="auto"/>
        <w:bottom w:val="none" w:sz="0" w:space="0" w:color="auto"/>
        <w:right w:val="none" w:sz="0" w:space="0" w:color="auto"/>
      </w:divBdr>
    </w:div>
    <w:div w:id="164168761">
      <w:bodyDiv w:val="1"/>
      <w:marLeft w:val="0"/>
      <w:marRight w:val="0"/>
      <w:marTop w:val="0"/>
      <w:marBottom w:val="0"/>
      <w:divBdr>
        <w:top w:val="none" w:sz="0" w:space="0" w:color="auto"/>
        <w:left w:val="none" w:sz="0" w:space="0" w:color="auto"/>
        <w:bottom w:val="none" w:sz="0" w:space="0" w:color="auto"/>
        <w:right w:val="none" w:sz="0" w:space="0" w:color="auto"/>
      </w:divBdr>
    </w:div>
    <w:div w:id="187254731">
      <w:bodyDiv w:val="1"/>
      <w:marLeft w:val="0"/>
      <w:marRight w:val="0"/>
      <w:marTop w:val="0"/>
      <w:marBottom w:val="0"/>
      <w:divBdr>
        <w:top w:val="none" w:sz="0" w:space="0" w:color="auto"/>
        <w:left w:val="none" w:sz="0" w:space="0" w:color="auto"/>
        <w:bottom w:val="none" w:sz="0" w:space="0" w:color="auto"/>
        <w:right w:val="none" w:sz="0" w:space="0" w:color="auto"/>
      </w:divBdr>
    </w:div>
    <w:div w:id="194389796">
      <w:bodyDiv w:val="1"/>
      <w:marLeft w:val="0"/>
      <w:marRight w:val="0"/>
      <w:marTop w:val="0"/>
      <w:marBottom w:val="0"/>
      <w:divBdr>
        <w:top w:val="none" w:sz="0" w:space="0" w:color="auto"/>
        <w:left w:val="none" w:sz="0" w:space="0" w:color="auto"/>
        <w:bottom w:val="none" w:sz="0" w:space="0" w:color="auto"/>
        <w:right w:val="none" w:sz="0" w:space="0" w:color="auto"/>
      </w:divBdr>
    </w:div>
    <w:div w:id="200362332">
      <w:bodyDiv w:val="1"/>
      <w:marLeft w:val="0"/>
      <w:marRight w:val="0"/>
      <w:marTop w:val="0"/>
      <w:marBottom w:val="0"/>
      <w:divBdr>
        <w:top w:val="none" w:sz="0" w:space="0" w:color="auto"/>
        <w:left w:val="none" w:sz="0" w:space="0" w:color="auto"/>
        <w:bottom w:val="none" w:sz="0" w:space="0" w:color="auto"/>
        <w:right w:val="none" w:sz="0" w:space="0" w:color="auto"/>
      </w:divBdr>
    </w:div>
    <w:div w:id="211164063">
      <w:bodyDiv w:val="1"/>
      <w:marLeft w:val="0"/>
      <w:marRight w:val="0"/>
      <w:marTop w:val="0"/>
      <w:marBottom w:val="0"/>
      <w:divBdr>
        <w:top w:val="none" w:sz="0" w:space="0" w:color="auto"/>
        <w:left w:val="none" w:sz="0" w:space="0" w:color="auto"/>
        <w:bottom w:val="none" w:sz="0" w:space="0" w:color="auto"/>
        <w:right w:val="none" w:sz="0" w:space="0" w:color="auto"/>
      </w:divBdr>
    </w:div>
    <w:div w:id="253560311">
      <w:bodyDiv w:val="1"/>
      <w:marLeft w:val="0"/>
      <w:marRight w:val="0"/>
      <w:marTop w:val="0"/>
      <w:marBottom w:val="0"/>
      <w:divBdr>
        <w:top w:val="none" w:sz="0" w:space="0" w:color="auto"/>
        <w:left w:val="none" w:sz="0" w:space="0" w:color="auto"/>
        <w:bottom w:val="none" w:sz="0" w:space="0" w:color="auto"/>
        <w:right w:val="none" w:sz="0" w:space="0" w:color="auto"/>
      </w:divBdr>
    </w:div>
    <w:div w:id="258635098">
      <w:bodyDiv w:val="1"/>
      <w:marLeft w:val="0"/>
      <w:marRight w:val="0"/>
      <w:marTop w:val="0"/>
      <w:marBottom w:val="0"/>
      <w:divBdr>
        <w:top w:val="none" w:sz="0" w:space="0" w:color="auto"/>
        <w:left w:val="none" w:sz="0" w:space="0" w:color="auto"/>
        <w:bottom w:val="none" w:sz="0" w:space="0" w:color="auto"/>
        <w:right w:val="none" w:sz="0" w:space="0" w:color="auto"/>
      </w:divBdr>
    </w:div>
    <w:div w:id="264115308">
      <w:bodyDiv w:val="1"/>
      <w:marLeft w:val="0"/>
      <w:marRight w:val="0"/>
      <w:marTop w:val="0"/>
      <w:marBottom w:val="0"/>
      <w:divBdr>
        <w:top w:val="none" w:sz="0" w:space="0" w:color="auto"/>
        <w:left w:val="none" w:sz="0" w:space="0" w:color="auto"/>
        <w:bottom w:val="none" w:sz="0" w:space="0" w:color="auto"/>
        <w:right w:val="none" w:sz="0" w:space="0" w:color="auto"/>
      </w:divBdr>
    </w:div>
    <w:div w:id="278606557">
      <w:bodyDiv w:val="1"/>
      <w:marLeft w:val="0"/>
      <w:marRight w:val="0"/>
      <w:marTop w:val="0"/>
      <w:marBottom w:val="0"/>
      <w:divBdr>
        <w:top w:val="none" w:sz="0" w:space="0" w:color="auto"/>
        <w:left w:val="none" w:sz="0" w:space="0" w:color="auto"/>
        <w:bottom w:val="none" w:sz="0" w:space="0" w:color="auto"/>
        <w:right w:val="none" w:sz="0" w:space="0" w:color="auto"/>
      </w:divBdr>
    </w:div>
    <w:div w:id="370963889">
      <w:bodyDiv w:val="1"/>
      <w:marLeft w:val="0"/>
      <w:marRight w:val="0"/>
      <w:marTop w:val="0"/>
      <w:marBottom w:val="0"/>
      <w:divBdr>
        <w:top w:val="none" w:sz="0" w:space="0" w:color="auto"/>
        <w:left w:val="none" w:sz="0" w:space="0" w:color="auto"/>
        <w:bottom w:val="none" w:sz="0" w:space="0" w:color="auto"/>
        <w:right w:val="none" w:sz="0" w:space="0" w:color="auto"/>
      </w:divBdr>
    </w:div>
    <w:div w:id="380594209">
      <w:bodyDiv w:val="1"/>
      <w:marLeft w:val="0"/>
      <w:marRight w:val="0"/>
      <w:marTop w:val="0"/>
      <w:marBottom w:val="0"/>
      <w:divBdr>
        <w:top w:val="none" w:sz="0" w:space="0" w:color="auto"/>
        <w:left w:val="none" w:sz="0" w:space="0" w:color="auto"/>
        <w:bottom w:val="none" w:sz="0" w:space="0" w:color="auto"/>
        <w:right w:val="none" w:sz="0" w:space="0" w:color="auto"/>
      </w:divBdr>
    </w:div>
    <w:div w:id="382171386">
      <w:bodyDiv w:val="1"/>
      <w:marLeft w:val="0"/>
      <w:marRight w:val="0"/>
      <w:marTop w:val="0"/>
      <w:marBottom w:val="0"/>
      <w:divBdr>
        <w:top w:val="none" w:sz="0" w:space="0" w:color="auto"/>
        <w:left w:val="none" w:sz="0" w:space="0" w:color="auto"/>
        <w:bottom w:val="none" w:sz="0" w:space="0" w:color="auto"/>
        <w:right w:val="none" w:sz="0" w:space="0" w:color="auto"/>
      </w:divBdr>
    </w:div>
    <w:div w:id="384379654">
      <w:bodyDiv w:val="1"/>
      <w:marLeft w:val="0"/>
      <w:marRight w:val="0"/>
      <w:marTop w:val="0"/>
      <w:marBottom w:val="0"/>
      <w:divBdr>
        <w:top w:val="none" w:sz="0" w:space="0" w:color="auto"/>
        <w:left w:val="none" w:sz="0" w:space="0" w:color="auto"/>
        <w:bottom w:val="none" w:sz="0" w:space="0" w:color="auto"/>
        <w:right w:val="none" w:sz="0" w:space="0" w:color="auto"/>
      </w:divBdr>
    </w:div>
    <w:div w:id="444927692">
      <w:bodyDiv w:val="1"/>
      <w:marLeft w:val="0"/>
      <w:marRight w:val="0"/>
      <w:marTop w:val="0"/>
      <w:marBottom w:val="0"/>
      <w:divBdr>
        <w:top w:val="none" w:sz="0" w:space="0" w:color="auto"/>
        <w:left w:val="none" w:sz="0" w:space="0" w:color="auto"/>
        <w:bottom w:val="none" w:sz="0" w:space="0" w:color="auto"/>
        <w:right w:val="none" w:sz="0" w:space="0" w:color="auto"/>
      </w:divBdr>
    </w:div>
    <w:div w:id="486241481">
      <w:bodyDiv w:val="1"/>
      <w:marLeft w:val="0"/>
      <w:marRight w:val="0"/>
      <w:marTop w:val="0"/>
      <w:marBottom w:val="0"/>
      <w:divBdr>
        <w:top w:val="none" w:sz="0" w:space="0" w:color="auto"/>
        <w:left w:val="none" w:sz="0" w:space="0" w:color="auto"/>
        <w:bottom w:val="none" w:sz="0" w:space="0" w:color="auto"/>
        <w:right w:val="none" w:sz="0" w:space="0" w:color="auto"/>
      </w:divBdr>
    </w:div>
    <w:div w:id="488714704">
      <w:bodyDiv w:val="1"/>
      <w:marLeft w:val="0"/>
      <w:marRight w:val="0"/>
      <w:marTop w:val="0"/>
      <w:marBottom w:val="0"/>
      <w:divBdr>
        <w:top w:val="none" w:sz="0" w:space="0" w:color="auto"/>
        <w:left w:val="none" w:sz="0" w:space="0" w:color="auto"/>
        <w:bottom w:val="none" w:sz="0" w:space="0" w:color="auto"/>
        <w:right w:val="none" w:sz="0" w:space="0" w:color="auto"/>
      </w:divBdr>
    </w:div>
    <w:div w:id="493226895">
      <w:bodyDiv w:val="1"/>
      <w:marLeft w:val="0"/>
      <w:marRight w:val="0"/>
      <w:marTop w:val="0"/>
      <w:marBottom w:val="0"/>
      <w:divBdr>
        <w:top w:val="none" w:sz="0" w:space="0" w:color="auto"/>
        <w:left w:val="none" w:sz="0" w:space="0" w:color="auto"/>
        <w:bottom w:val="none" w:sz="0" w:space="0" w:color="auto"/>
        <w:right w:val="none" w:sz="0" w:space="0" w:color="auto"/>
      </w:divBdr>
    </w:div>
    <w:div w:id="509567291">
      <w:bodyDiv w:val="1"/>
      <w:marLeft w:val="0"/>
      <w:marRight w:val="0"/>
      <w:marTop w:val="0"/>
      <w:marBottom w:val="0"/>
      <w:divBdr>
        <w:top w:val="none" w:sz="0" w:space="0" w:color="auto"/>
        <w:left w:val="none" w:sz="0" w:space="0" w:color="auto"/>
        <w:bottom w:val="none" w:sz="0" w:space="0" w:color="auto"/>
        <w:right w:val="none" w:sz="0" w:space="0" w:color="auto"/>
      </w:divBdr>
    </w:div>
    <w:div w:id="533806547">
      <w:bodyDiv w:val="1"/>
      <w:marLeft w:val="0"/>
      <w:marRight w:val="0"/>
      <w:marTop w:val="0"/>
      <w:marBottom w:val="0"/>
      <w:divBdr>
        <w:top w:val="none" w:sz="0" w:space="0" w:color="auto"/>
        <w:left w:val="none" w:sz="0" w:space="0" w:color="auto"/>
        <w:bottom w:val="none" w:sz="0" w:space="0" w:color="auto"/>
        <w:right w:val="none" w:sz="0" w:space="0" w:color="auto"/>
      </w:divBdr>
    </w:div>
    <w:div w:id="551356388">
      <w:bodyDiv w:val="1"/>
      <w:marLeft w:val="0"/>
      <w:marRight w:val="0"/>
      <w:marTop w:val="0"/>
      <w:marBottom w:val="0"/>
      <w:divBdr>
        <w:top w:val="none" w:sz="0" w:space="0" w:color="auto"/>
        <w:left w:val="none" w:sz="0" w:space="0" w:color="auto"/>
        <w:bottom w:val="none" w:sz="0" w:space="0" w:color="auto"/>
        <w:right w:val="none" w:sz="0" w:space="0" w:color="auto"/>
      </w:divBdr>
    </w:div>
    <w:div w:id="560288014">
      <w:bodyDiv w:val="1"/>
      <w:marLeft w:val="0"/>
      <w:marRight w:val="0"/>
      <w:marTop w:val="0"/>
      <w:marBottom w:val="0"/>
      <w:divBdr>
        <w:top w:val="none" w:sz="0" w:space="0" w:color="auto"/>
        <w:left w:val="none" w:sz="0" w:space="0" w:color="auto"/>
        <w:bottom w:val="none" w:sz="0" w:space="0" w:color="auto"/>
        <w:right w:val="none" w:sz="0" w:space="0" w:color="auto"/>
      </w:divBdr>
    </w:div>
    <w:div w:id="683020579">
      <w:bodyDiv w:val="1"/>
      <w:marLeft w:val="0"/>
      <w:marRight w:val="0"/>
      <w:marTop w:val="0"/>
      <w:marBottom w:val="0"/>
      <w:divBdr>
        <w:top w:val="none" w:sz="0" w:space="0" w:color="auto"/>
        <w:left w:val="none" w:sz="0" w:space="0" w:color="auto"/>
        <w:bottom w:val="none" w:sz="0" w:space="0" w:color="auto"/>
        <w:right w:val="none" w:sz="0" w:space="0" w:color="auto"/>
      </w:divBdr>
    </w:div>
    <w:div w:id="712848144">
      <w:bodyDiv w:val="1"/>
      <w:marLeft w:val="0"/>
      <w:marRight w:val="0"/>
      <w:marTop w:val="0"/>
      <w:marBottom w:val="0"/>
      <w:divBdr>
        <w:top w:val="none" w:sz="0" w:space="0" w:color="auto"/>
        <w:left w:val="none" w:sz="0" w:space="0" w:color="auto"/>
        <w:bottom w:val="none" w:sz="0" w:space="0" w:color="auto"/>
        <w:right w:val="none" w:sz="0" w:space="0" w:color="auto"/>
      </w:divBdr>
    </w:div>
    <w:div w:id="783690209">
      <w:bodyDiv w:val="1"/>
      <w:marLeft w:val="0"/>
      <w:marRight w:val="0"/>
      <w:marTop w:val="0"/>
      <w:marBottom w:val="0"/>
      <w:divBdr>
        <w:top w:val="none" w:sz="0" w:space="0" w:color="auto"/>
        <w:left w:val="none" w:sz="0" w:space="0" w:color="auto"/>
        <w:bottom w:val="none" w:sz="0" w:space="0" w:color="auto"/>
        <w:right w:val="none" w:sz="0" w:space="0" w:color="auto"/>
      </w:divBdr>
    </w:div>
    <w:div w:id="811364481">
      <w:bodyDiv w:val="1"/>
      <w:marLeft w:val="0"/>
      <w:marRight w:val="0"/>
      <w:marTop w:val="0"/>
      <w:marBottom w:val="0"/>
      <w:divBdr>
        <w:top w:val="none" w:sz="0" w:space="0" w:color="auto"/>
        <w:left w:val="none" w:sz="0" w:space="0" w:color="auto"/>
        <w:bottom w:val="none" w:sz="0" w:space="0" w:color="auto"/>
        <w:right w:val="none" w:sz="0" w:space="0" w:color="auto"/>
      </w:divBdr>
    </w:div>
    <w:div w:id="820735585">
      <w:bodyDiv w:val="1"/>
      <w:marLeft w:val="0"/>
      <w:marRight w:val="0"/>
      <w:marTop w:val="0"/>
      <w:marBottom w:val="0"/>
      <w:divBdr>
        <w:top w:val="none" w:sz="0" w:space="0" w:color="auto"/>
        <w:left w:val="none" w:sz="0" w:space="0" w:color="auto"/>
        <w:bottom w:val="none" w:sz="0" w:space="0" w:color="auto"/>
        <w:right w:val="none" w:sz="0" w:space="0" w:color="auto"/>
      </w:divBdr>
    </w:div>
    <w:div w:id="831411748">
      <w:bodyDiv w:val="1"/>
      <w:marLeft w:val="0"/>
      <w:marRight w:val="0"/>
      <w:marTop w:val="0"/>
      <w:marBottom w:val="0"/>
      <w:divBdr>
        <w:top w:val="none" w:sz="0" w:space="0" w:color="auto"/>
        <w:left w:val="none" w:sz="0" w:space="0" w:color="auto"/>
        <w:bottom w:val="none" w:sz="0" w:space="0" w:color="auto"/>
        <w:right w:val="none" w:sz="0" w:space="0" w:color="auto"/>
      </w:divBdr>
    </w:div>
    <w:div w:id="876547636">
      <w:bodyDiv w:val="1"/>
      <w:marLeft w:val="0"/>
      <w:marRight w:val="0"/>
      <w:marTop w:val="0"/>
      <w:marBottom w:val="0"/>
      <w:divBdr>
        <w:top w:val="none" w:sz="0" w:space="0" w:color="auto"/>
        <w:left w:val="none" w:sz="0" w:space="0" w:color="auto"/>
        <w:bottom w:val="none" w:sz="0" w:space="0" w:color="auto"/>
        <w:right w:val="none" w:sz="0" w:space="0" w:color="auto"/>
      </w:divBdr>
    </w:div>
    <w:div w:id="951015170">
      <w:bodyDiv w:val="1"/>
      <w:marLeft w:val="0"/>
      <w:marRight w:val="0"/>
      <w:marTop w:val="0"/>
      <w:marBottom w:val="0"/>
      <w:divBdr>
        <w:top w:val="none" w:sz="0" w:space="0" w:color="auto"/>
        <w:left w:val="none" w:sz="0" w:space="0" w:color="auto"/>
        <w:bottom w:val="none" w:sz="0" w:space="0" w:color="auto"/>
        <w:right w:val="none" w:sz="0" w:space="0" w:color="auto"/>
      </w:divBdr>
    </w:div>
    <w:div w:id="987176036">
      <w:bodyDiv w:val="1"/>
      <w:marLeft w:val="0"/>
      <w:marRight w:val="0"/>
      <w:marTop w:val="0"/>
      <w:marBottom w:val="0"/>
      <w:divBdr>
        <w:top w:val="none" w:sz="0" w:space="0" w:color="auto"/>
        <w:left w:val="none" w:sz="0" w:space="0" w:color="auto"/>
        <w:bottom w:val="none" w:sz="0" w:space="0" w:color="auto"/>
        <w:right w:val="none" w:sz="0" w:space="0" w:color="auto"/>
      </w:divBdr>
    </w:div>
    <w:div w:id="994381262">
      <w:bodyDiv w:val="1"/>
      <w:marLeft w:val="0"/>
      <w:marRight w:val="0"/>
      <w:marTop w:val="0"/>
      <w:marBottom w:val="0"/>
      <w:divBdr>
        <w:top w:val="none" w:sz="0" w:space="0" w:color="auto"/>
        <w:left w:val="none" w:sz="0" w:space="0" w:color="auto"/>
        <w:bottom w:val="none" w:sz="0" w:space="0" w:color="auto"/>
        <w:right w:val="none" w:sz="0" w:space="0" w:color="auto"/>
      </w:divBdr>
    </w:div>
    <w:div w:id="999040803">
      <w:bodyDiv w:val="1"/>
      <w:marLeft w:val="0"/>
      <w:marRight w:val="0"/>
      <w:marTop w:val="0"/>
      <w:marBottom w:val="0"/>
      <w:divBdr>
        <w:top w:val="none" w:sz="0" w:space="0" w:color="auto"/>
        <w:left w:val="none" w:sz="0" w:space="0" w:color="auto"/>
        <w:bottom w:val="none" w:sz="0" w:space="0" w:color="auto"/>
        <w:right w:val="none" w:sz="0" w:space="0" w:color="auto"/>
      </w:divBdr>
    </w:div>
    <w:div w:id="1031145681">
      <w:bodyDiv w:val="1"/>
      <w:marLeft w:val="0"/>
      <w:marRight w:val="0"/>
      <w:marTop w:val="0"/>
      <w:marBottom w:val="0"/>
      <w:divBdr>
        <w:top w:val="none" w:sz="0" w:space="0" w:color="auto"/>
        <w:left w:val="none" w:sz="0" w:space="0" w:color="auto"/>
        <w:bottom w:val="none" w:sz="0" w:space="0" w:color="auto"/>
        <w:right w:val="none" w:sz="0" w:space="0" w:color="auto"/>
      </w:divBdr>
    </w:div>
    <w:div w:id="1097210496">
      <w:bodyDiv w:val="1"/>
      <w:marLeft w:val="0"/>
      <w:marRight w:val="0"/>
      <w:marTop w:val="0"/>
      <w:marBottom w:val="0"/>
      <w:divBdr>
        <w:top w:val="none" w:sz="0" w:space="0" w:color="auto"/>
        <w:left w:val="none" w:sz="0" w:space="0" w:color="auto"/>
        <w:bottom w:val="none" w:sz="0" w:space="0" w:color="auto"/>
        <w:right w:val="none" w:sz="0" w:space="0" w:color="auto"/>
      </w:divBdr>
    </w:div>
    <w:div w:id="1101334648">
      <w:bodyDiv w:val="1"/>
      <w:marLeft w:val="0"/>
      <w:marRight w:val="0"/>
      <w:marTop w:val="0"/>
      <w:marBottom w:val="0"/>
      <w:divBdr>
        <w:top w:val="none" w:sz="0" w:space="0" w:color="auto"/>
        <w:left w:val="none" w:sz="0" w:space="0" w:color="auto"/>
        <w:bottom w:val="none" w:sz="0" w:space="0" w:color="auto"/>
        <w:right w:val="none" w:sz="0" w:space="0" w:color="auto"/>
      </w:divBdr>
    </w:div>
    <w:div w:id="1112943759">
      <w:bodyDiv w:val="1"/>
      <w:marLeft w:val="0"/>
      <w:marRight w:val="0"/>
      <w:marTop w:val="0"/>
      <w:marBottom w:val="0"/>
      <w:divBdr>
        <w:top w:val="none" w:sz="0" w:space="0" w:color="auto"/>
        <w:left w:val="none" w:sz="0" w:space="0" w:color="auto"/>
        <w:bottom w:val="none" w:sz="0" w:space="0" w:color="auto"/>
        <w:right w:val="none" w:sz="0" w:space="0" w:color="auto"/>
      </w:divBdr>
    </w:div>
    <w:div w:id="1138766779">
      <w:bodyDiv w:val="1"/>
      <w:marLeft w:val="0"/>
      <w:marRight w:val="0"/>
      <w:marTop w:val="0"/>
      <w:marBottom w:val="0"/>
      <w:divBdr>
        <w:top w:val="none" w:sz="0" w:space="0" w:color="auto"/>
        <w:left w:val="none" w:sz="0" w:space="0" w:color="auto"/>
        <w:bottom w:val="none" w:sz="0" w:space="0" w:color="auto"/>
        <w:right w:val="none" w:sz="0" w:space="0" w:color="auto"/>
      </w:divBdr>
    </w:div>
    <w:div w:id="1164587982">
      <w:bodyDiv w:val="1"/>
      <w:marLeft w:val="0"/>
      <w:marRight w:val="0"/>
      <w:marTop w:val="0"/>
      <w:marBottom w:val="0"/>
      <w:divBdr>
        <w:top w:val="none" w:sz="0" w:space="0" w:color="auto"/>
        <w:left w:val="none" w:sz="0" w:space="0" w:color="auto"/>
        <w:bottom w:val="none" w:sz="0" w:space="0" w:color="auto"/>
        <w:right w:val="none" w:sz="0" w:space="0" w:color="auto"/>
      </w:divBdr>
    </w:div>
    <w:div w:id="1177228853">
      <w:bodyDiv w:val="1"/>
      <w:marLeft w:val="0"/>
      <w:marRight w:val="0"/>
      <w:marTop w:val="0"/>
      <w:marBottom w:val="0"/>
      <w:divBdr>
        <w:top w:val="none" w:sz="0" w:space="0" w:color="auto"/>
        <w:left w:val="none" w:sz="0" w:space="0" w:color="auto"/>
        <w:bottom w:val="none" w:sz="0" w:space="0" w:color="auto"/>
        <w:right w:val="none" w:sz="0" w:space="0" w:color="auto"/>
      </w:divBdr>
    </w:div>
    <w:div w:id="1192185585">
      <w:bodyDiv w:val="1"/>
      <w:marLeft w:val="0"/>
      <w:marRight w:val="0"/>
      <w:marTop w:val="0"/>
      <w:marBottom w:val="0"/>
      <w:divBdr>
        <w:top w:val="none" w:sz="0" w:space="0" w:color="auto"/>
        <w:left w:val="none" w:sz="0" w:space="0" w:color="auto"/>
        <w:bottom w:val="none" w:sz="0" w:space="0" w:color="auto"/>
        <w:right w:val="none" w:sz="0" w:space="0" w:color="auto"/>
      </w:divBdr>
    </w:div>
    <w:div w:id="1197309826">
      <w:bodyDiv w:val="1"/>
      <w:marLeft w:val="0"/>
      <w:marRight w:val="0"/>
      <w:marTop w:val="0"/>
      <w:marBottom w:val="0"/>
      <w:divBdr>
        <w:top w:val="none" w:sz="0" w:space="0" w:color="auto"/>
        <w:left w:val="none" w:sz="0" w:space="0" w:color="auto"/>
        <w:bottom w:val="none" w:sz="0" w:space="0" w:color="auto"/>
        <w:right w:val="none" w:sz="0" w:space="0" w:color="auto"/>
      </w:divBdr>
    </w:div>
    <w:div w:id="1200317508">
      <w:bodyDiv w:val="1"/>
      <w:marLeft w:val="0"/>
      <w:marRight w:val="0"/>
      <w:marTop w:val="0"/>
      <w:marBottom w:val="0"/>
      <w:divBdr>
        <w:top w:val="none" w:sz="0" w:space="0" w:color="auto"/>
        <w:left w:val="none" w:sz="0" w:space="0" w:color="auto"/>
        <w:bottom w:val="none" w:sz="0" w:space="0" w:color="auto"/>
        <w:right w:val="none" w:sz="0" w:space="0" w:color="auto"/>
      </w:divBdr>
    </w:div>
    <w:div w:id="1208487203">
      <w:bodyDiv w:val="1"/>
      <w:marLeft w:val="0"/>
      <w:marRight w:val="0"/>
      <w:marTop w:val="0"/>
      <w:marBottom w:val="0"/>
      <w:divBdr>
        <w:top w:val="none" w:sz="0" w:space="0" w:color="auto"/>
        <w:left w:val="none" w:sz="0" w:space="0" w:color="auto"/>
        <w:bottom w:val="none" w:sz="0" w:space="0" w:color="auto"/>
        <w:right w:val="none" w:sz="0" w:space="0" w:color="auto"/>
      </w:divBdr>
    </w:div>
    <w:div w:id="1214080227">
      <w:bodyDiv w:val="1"/>
      <w:marLeft w:val="0"/>
      <w:marRight w:val="0"/>
      <w:marTop w:val="0"/>
      <w:marBottom w:val="0"/>
      <w:divBdr>
        <w:top w:val="none" w:sz="0" w:space="0" w:color="auto"/>
        <w:left w:val="none" w:sz="0" w:space="0" w:color="auto"/>
        <w:bottom w:val="none" w:sz="0" w:space="0" w:color="auto"/>
        <w:right w:val="none" w:sz="0" w:space="0" w:color="auto"/>
      </w:divBdr>
    </w:div>
    <w:div w:id="1273172406">
      <w:bodyDiv w:val="1"/>
      <w:marLeft w:val="0"/>
      <w:marRight w:val="0"/>
      <w:marTop w:val="0"/>
      <w:marBottom w:val="0"/>
      <w:divBdr>
        <w:top w:val="none" w:sz="0" w:space="0" w:color="auto"/>
        <w:left w:val="none" w:sz="0" w:space="0" w:color="auto"/>
        <w:bottom w:val="none" w:sz="0" w:space="0" w:color="auto"/>
        <w:right w:val="none" w:sz="0" w:space="0" w:color="auto"/>
      </w:divBdr>
    </w:div>
    <w:div w:id="1286547837">
      <w:bodyDiv w:val="1"/>
      <w:marLeft w:val="0"/>
      <w:marRight w:val="0"/>
      <w:marTop w:val="0"/>
      <w:marBottom w:val="0"/>
      <w:divBdr>
        <w:top w:val="none" w:sz="0" w:space="0" w:color="auto"/>
        <w:left w:val="none" w:sz="0" w:space="0" w:color="auto"/>
        <w:bottom w:val="none" w:sz="0" w:space="0" w:color="auto"/>
        <w:right w:val="none" w:sz="0" w:space="0" w:color="auto"/>
      </w:divBdr>
    </w:div>
    <w:div w:id="1292134449">
      <w:bodyDiv w:val="1"/>
      <w:marLeft w:val="0"/>
      <w:marRight w:val="0"/>
      <w:marTop w:val="0"/>
      <w:marBottom w:val="0"/>
      <w:divBdr>
        <w:top w:val="none" w:sz="0" w:space="0" w:color="auto"/>
        <w:left w:val="none" w:sz="0" w:space="0" w:color="auto"/>
        <w:bottom w:val="none" w:sz="0" w:space="0" w:color="auto"/>
        <w:right w:val="none" w:sz="0" w:space="0" w:color="auto"/>
      </w:divBdr>
    </w:div>
    <w:div w:id="1295715576">
      <w:bodyDiv w:val="1"/>
      <w:marLeft w:val="0"/>
      <w:marRight w:val="0"/>
      <w:marTop w:val="0"/>
      <w:marBottom w:val="0"/>
      <w:divBdr>
        <w:top w:val="none" w:sz="0" w:space="0" w:color="auto"/>
        <w:left w:val="none" w:sz="0" w:space="0" w:color="auto"/>
        <w:bottom w:val="none" w:sz="0" w:space="0" w:color="auto"/>
        <w:right w:val="none" w:sz="0" w:space="0" w:color="auto"/>
      </w:divBdr>
    </w:div>
    <w:div w:id="1350133187">
      <w:bodyDiv w:val="1"/>
      <w:marLeft w:val="0"/>
      <w:marRight w:val="0"/>
      <w:marTop w:val="0"/>
      <w:marBottom w:val="0"/>
      <w:divBdr>
        <w:top w:val="none" w:sz="0" w:space="0" w:color="auto"/>
        <w:left w:val="none" w:sz="0" w:space="0" w:color="auto"/>
        <w:bottom w:val="none" w:sz="0" w:space="0" w:color="auto"/>
        <w:right w:val="none" w:sz="0" w:space="0" w:color="auto"/>
      </w:divBdr>
    </w:div>
    <w:div w:id="1365205297">
      <w:bodyDiv w:val="1"/>
      <w:marLeft w:val="0"/>
      <w:marRight w:val="0"/>
      <w:marTop w:val="0"/>
      <w:marBottom w:val="0"/>
      <w:divBdr>
        <w:top w:val="none" w:sz="0" w:space="0" w:color="auto"/>
        <w:left w:val="none" w:sz="0" w:space="0" w:color="auto"/>
        <w:bottom w:val="none" w:sz="0" w:space="0" w:color="auto"/>
        <w:right w:val="none" w:sz="0" w:space="0" w:color="auto"/>
      </w:divBdr>
    </w:div>
    <w:div w:id="1405689476">
      <w:bodyDiv w:val="1"/>
      <w:marLeft w:val="0"/>
      <w:marRight w:val="0"/>
      <w:marTop w:val="0"/>
      <w:marBottom w:val="0"/>
      <w:divBdr>
        <w:top w:val="none" w:sz="0" w:space="0" w:color="auto"/>
        <w:left w:val="none" w:sz="0" w:space="0" w:color="auto"/>
        <w:bottom w:val="none" w:sz="0" w:space="0" w:color="auto"/>
        <w:right w:val="none" w:sz="0" w:space="0" w:color="auto"/>
      </w:divBdr>
    </w:div>
    <w:div w:id="1444500963">
      <w:bodyDiv w:val="1"/>
      <w:marLeft w:val="0"/>
      <w:marRight w:val="0"/>
      <w:marTop w:val="0"/>
      <w:marBottom w:val="0"/>
      <w:divBdr>
        <w:top w:val="none" w:sz="0" w:space="0" w:color="auto"/>
        <w:left w:val="none" w:sz="0" w:space="0" w:color="auto"/>
        <w:bottom w:val="none" w:sz="0" w:space="0" w:color="auto"/>
        <w:right w:val="none" w:sz="0" w:space="0" w:color="auto"/>
      </w:divBdr>
    </w:div>
    <w:div w:id="1457791053">
      <w:bodyDiv w:val="1"/>
      <w:marLeft w:val="0"/>
      <w:marRight w:val="0"/>
      <w:marTop w:val="0"/>
      <w:marBottom w:val="0"/>
      <w:divBdr>
        <w:top w:val="none" w:sz="0" w:space="0" w:color="auto"/>
        <w:left w:val="none" w:sz="0" w:space="0" w:color="auto"/>
        <w:bottom w:val="none" w:sz="0" w:space="0" w:color="auto"/>
        <w:right w:val="none" w:sz="0" w:space="0" w:color="auto"/>
      </w:divBdr>
    </w:div>
    <w:div w:id="1458794530">
      <w:bodyDiv w:val="1"/>
      <w:marLeft w:val="0"/>
      <w:marRight w:val="0"/>
      <w:marTop w:val="0"/>
      <w:marBottom w:val="0"/>
      <w:divBdr>
        <w:top w:val="none" w:sz="0" w:space="0" w:color="auto"/>
        <w:left w:val="none" w:sz="0" w:space="0" w:color="auto"/>
        <w:bottom w:val="none" w:sz="0" w:space="0" w:color="auto"/>
        <w:right w:val="none" w:sz="0" w:space="0" w:color="auto"/>
      </w:divBdr>
    </w:div>
    <w:div w:id="1474786422">
      <w:bodyDiv w:val="1"/>
      <w:marLeft w:val="0"/>
      <w:marRight w:val="0"/>
      <w:marTop w:val="0"/>
      <w:marBottom w:val="0"/>
      <w:divBdr>
        <w:top w:val="none" w:sz="0" w:space="0" w:color="auto"/>
        <w:left w:val="none" w:sz="0" w:space="0" w:color="auto"/>
        <w:bottom w:val="none" w:sz="0" w:space="0" w:color="auto"/>
        <w:right w:val="none" w:sz="0" w:space="0" w:color="auto"/>
      </w:divBdr>
    </w:div>
    <w:div w:id="1486582325">
      <w:bodyDiv w:val="1"/>
      <w:marLeft w:val="0"/>
      <w:marRight w:val="0"/>
      <w:marTop w:val="0"/>
      <w:marBottom w:val="0"/>
      <w:divBdr>
        <w:top w:val="none" w:sz="0" w:space="0" w:color="auto"/>
        <w:left w:val="none" w:sz="0" w:space="0" w:color="auto"/>
        <w:bottom w:val="none" w:sz="0" w:space="0" w:color="auto"/>
        <w:right w:val="none" w:sz="0" w:space="0" w:color="auto"/>
      </w:divBdr>
    </w:div>
    <w:div w:id="1507598354">
      <w:bodyDiv w:val="1"/>
      <w:marLeft w:val="0"/>
      <w:marRight w:val="0"/>
      <w:marTop w:val="0"/>
      <w:marBottom w:val="0"/>
      <w:divBdr>
        <w:top w:val="none" w:sz="0" w:space="0" w:color="auto"/>
        <w:left w:val="none" w:sz="0" w:space="0" w:color="auto"/>
        <w:bottom w:val="none" w:sz="0" w:space="0" w:color="auto"/>
        <w:right w:val="none" w:sz="0" w:space="0" w:color="auto"/>
      </w:divBdr>
    </w:div>
    <w:div w:id="1511480554">
      <w:bodyDiv w:val="1"/>
      <w:marLeft w:val="0"/>
      <w:marRight w:val="0"/>
      <w:marTop w:val="0"/>
      <w:marBottom w:val="0"/>
      <w:divBdr>
        <w:top w:val="none" w:sz="0" w:space="0" w:color="auto"/>
        <w:left w:val="none" w:sz="0" w:space="0" w:color="auto"/>
        <w:bottom w:val="none" w:sz="0" w:space="0" w:color="auto"/>
        <w:right w:val="none" w:sz="0" w:space="0" w:color="auto"/>
      </w:divBdr>
    </w:div>
    <w:div w:id="1529102467">
      <w:bodyDiv w:val="1"/>
      <w:marLeft w:val="0"/>
      <w:marRight w:val="0"/>
      <w:marTop w:val="0"/>
      <w:marBottom w:val="0"/>
      <w:divBdr>
        <w:top w:val="none" w:sz="0" w:space="0" w:color="auto"/>
        <w:left w:val="none" w:sz="0" w:space="0" w:color="auto"/>
        <w:bottom w:val="none" w:sz="0" w:space="0" w:color="auto"/>
        <w:right w:val="none" w:sz="0" w:space="0" w:color="auto"/>
      </w:divBdr>
    </w:div>
    <w:div w:id="1574117382">
      <w:bodyDiv w:val="1"/>
      <w:marLeft w:val="0"/>
      <w:marRight w:val="0"/>
      <w:marTop w:val="0"/>
      <w:marBottom w:val="0"/>
      <w:divBdr>
        <w:top w:val="none" w:sz="0" w:space="0" w:color="auto"/>
        <w:left w:val="none" w:sz="0" w:space="0" w:color="auto"/>
        <w:bottom w:val="none" w:sz="0" w:space="0" w:color="auto"/>
        <w:right w:val="none" w:sz="0" w:space="0" w:color="auto"/>
      </w:divBdr>
    </w:div>
    <w:div w:id="1585650562">
      <w:bodyDiv w:val="1"/>
      <w:marLeft w:val="0"/>
      <w:marRight w:val="0"/>
      <w:marTop w:val="0"/>
      <w:marBottom w:val="0"/>
      <w:divBdr>
        <w:top w:val="none" w:sz="0" w:space="0" w:color="auto"/>
        <w:left w:val="none" w:sz="0" w:space="0" w:color="auto"/>
        <w:bottom w:val="none" w:sz="0" w:space="0" w:color="auto"/>
        <w:right w:val="none" w:sz="0" w:space="0" w:color="auto"/>
      </w:divBdr>
    </w:div>
    <w:div w:id="1595016659">
      <w:bodyDiv w:val="1"/>
      <w:marLeft w:val="0"/>
      <w:marRight w:val="0"/>
      <w:marTop w:val="0"/>
      <w:marBottom w:val="0"/>
      <w:divBdr>
        <w:top w:val="none" w:sz="0" w:space="0" w:color="auto"/>
        <w:left w:val="none" w:sz="0" w:space="0" w:color="auto"/>
        <w:bottom w:val="none" w:sz="0" w:space="0" w:color="auto"/>
        <w:right w:val="none" w:sz="0" w:space="0" w:color="auto"/>
      </w:divBdr>
    </w:div>
    <w:div w:id="1602372653">
      <w:bodyDiv w:val="1"/>
      <w:marLeft w:val="0"/>
      <w:marRight w:val="0"/>
      <w:marTop w:val="0"/>
      <w:marBottom w:val="0"/>
      <w:divBdr>
        <w:top w:val="none" w:sz="0" w:space="0" w:color="auto"/>
        <w:left w:val="none" w:sz="0" w:space="0" w:color="auto"/>
        <w:bottom w:val="none" w:sz="0" w:space="0" w:color="auto"/>
        <w:right w:val="none" w:sz="0" w:space="0" w:color="auto"/>
      </w:divBdr>
    </w:div>
    <w:div w:id="1639409536">
      <w:bodyDiv w:val="1"/>
      <w:marLeft w:val="0"/>
      <w:marRight w:val="0"/>
      <w:marTop w:val="0"/>
      <w:marBottom w:val="0"/>
      <w:divBdr>
        <w:top w:val="none" w:sz="0" w:space="0" w:color="auto"/>
        <w:left w:val="none" w:sz="0" w:space="0" w:color="auto"/>
        <w:bottom w:val="none" w:sz="0" w:space="0" w:color="auto"/>
        <w:right w:val="none" w:sz="0" w:space="0" w:color="auto"/>
      </w:divBdr>
    </w:div>
    <w:div w:id="1744377146">
      <w:bodyDiv w:val="1"/>
      <w:marLeft w:val="0"/>
      <w:marRight w:val="0"/>
      <w:marTop w:val="0"/>
      <w:marBottom w:val="0"/>
      <w:divBdr>
        <w:top w:val="none" w:sz="0" w:space="0" w:color="auto"/>
        <w:left w:val="none" w:sz="0" w:space="0" w:color="auto"/>
        <w:bottom w:val="none" w:sz="0" w:space="0" w:color="auto"/>
        <w:right w:val="none" w:sz="0" w:space="0" w:color="auto"/>
      </w:divBdr>
    </w:div>
    <w:div w:id="1759209375">
      <w:bodyDiv w:val="1"/>
      <w:marLeft w:val="0"/>
      <w:marRight w:val="0"/>
      <w:marTop w:val="0"/>
      <w:marBottom w:val="0"/>
      <w:divBdr>
        <w:top w:val="none" w:sz="0" w:space="0" w:color="auto"/>
        <w:left w:val="none" w:sz="0" w:space="0" w:color="auto"/>
        <w:bottom w:val="none" w:sz="0" w:space="0" w:color="auto"/>
        <w:right w:val="none" w:sz="0" w:space="0" w:color="auto"/>
      </w:divBdr>
    </w:div>
    <w:div w:id="1761757049">
      <w:bodyDiv w:val="1"/>
      <w:marLeft w:val="0"/>
      <w:marRight w:val="0"/>
      <w:marTop w:val="0"/>
      <w:marBottom w:val="0"/>
      <w:divBdr>
        <w:top w:val="none" w:sz="0" w:space="0" w:color="auto"/>
        <w:left w:val="none" w:sz="0" w:space="0" w:color="auto"/>
        <w:bottom w:val="none" w:sz="0" w:space="0" w:color="auto"/>
        <w:right w:val="none" w:sz="0" w:space="0" w:color="auto"/>
      </w:divBdr>
    </w:div>
    <w:div w:id="1762674352">
      <w:bodyDiv w:val="1"/>
      <w:marLeft w:val="0"/>
      <w:marRight w:val="0"/>
      <w:marTop w:val="0"/>
      <w:marBottom w:val="0"/>
      <w:divBdr>
        <w:top w:val="none" w:sz="0" w:space="0" w:color="auto"/>
        <w:left w:val="none" w:sz="0" w:space="0" w:color="auto"/>
        <w:bottom w:val="none" w:sz="0" w:space="0" w:color="auto"/>
        <w:right w:val="none" w:sz="0" w:space="0" w:color="auto"/>
      </w:divBdr>
    </w:div>
    <w:div w:id="1799059453">
      <w:bodyDiv w:val="1"/>
      <w:marLeft w:val="0"/>
      <w:marRight w:val="0"/>
      <w:marTop w:val="0"/>
      <w:marBottom w:val="0"/>
      <w:divBdr>
        <w:top w:val="none" w:sz="0" w:space="0" w:color="auto"/>
        <w:left w:val="none" w:sz="0" w:space="0" w:color="auto"/>
        <w:bottom w:val="none" w:sz="0" w:space="0" w:color="auto"/>
        <w:right w:val="none" w:sz="0" w:space="0" w:color="auto"/>
      </w:divBdr>
    </w:div>
    <w:div w:id="1830437499">
      <w:bodyDiv w:val="1"/>
      <w:marLeft w:val="0"/>
      <w:marRight w:val="0"/>
      <w:marTop w:val="0"/>
      <w:marBottom w:val="0"/>
      <w:divBdr>
        <w:top w:val="none" w:sz="0" w:space="0" w:color="auto"/>
        <w:left w:val="none" w:sz="0" w:space="0" w:color="auto"/>
        <w:bottom w:val="none" w:sz="0" w:space="0" w:color="auto"/>
        <w:right w:val="none" w:sz="0" w:space="0" w:color="auto"/>
      </w:divBdr>
    </w:div>
    <w:div w:id="1837184548">
      <w:bodyDiv w:val="1"/>
      <w:marLeft w:val="0"/>
      <w:marRight w:val="0"/>
      <w:marTop w:val="0"/>
      <w:marBottom w:val="0"/>
      <w:divBdr>
        <w:top w:val="none" w:sz="0" w:space="0" w:color="auto"/>
        <w:left w:val="none" w:sz="0" w:space="0" w:color="auto"/>
        <w:bottom w:val="none" w:sz="0" w:space="0" w:color="auto"/>
        <w:right w:val="none" w:sz="0" w:space="0" w:color="auto"/>
      </w:divBdr>
    </w:div>
    <w:div w:id="1886402493">
      <w:bodyDiv w:val="1"/>
      <w:marLeft w:val="0"/>
      <w:marRight w:val="0"/>
      <w:marTop w:val="0"/>
      <w:marBottom w:val="0"/>
      <w:divBdr>
        <w:top w:val="none" w:sz="0" w:space="0" w:color="auto"/>
        <w:left w:val="none" w:sz="0" w:space="0" w:color="auto"/>
        <w:bottom w:val="none" w:sz="0" w:space="0" w:color="auto"/>
        <w:right w:val="none" w:sz="0" w:space="0" w:color="auto"/>
      </w:divBdr>
    </w:div>
    <w:div w:id="1893350832">
      <w:bodyDiv w:val="1"/>
      <w:marLeft w:val="0"/>
      <w:marRight w:val="0"/>
      <w:marTop w:val="0"/>
      <w:marBottom w:val="0"/>
      <w:divBdr>
        <w:top w:val="none" w:sz="0" w:space="0" w:color="auto"/>
        <w:left w:val="none" w:sz="0" w:space="0" w:color="auto"/>
        <w:bottom w:val="none" w:sz="0" w:space="0" w:color="auto"/>
        <w:right w:val="none" w:sz="0" w:space="0" w:color="auto"/>
      </w:divBdr>
    </w:div>
    <w:div w:id="1895046911">
      <w:bodyDiv w:val="1"/>
      <w:marLeft w:val="0"/>
      <w:marRight w:val="0"/>
      <w:marTop w:val="0"/>
      <w:marBottom w:val="0"/>
      <w:divBdr>
        <w:top w:val="none" w:sz="0" w:space="0" w:color="auto"/>
        <w:left w:val="none" w:sz="0" w:space="0" w:color="auto"/>
        <w:bottom w:val="none" w:sz="0" w:space="0" w:color="auto"/>
        <w:right w:val="none" w:sz="0" w:space="0" w:color="auto"/>
      </w:divBdr>
    </w:div>
    <w:div w:id="1909340369">
      <w:bodyDiv w:val="1"/>
      <w:marLeft w:val="0"/>
      <w:marRight w:val="0"/>
      <w:marTop w:val="0"/>
      <w:marBottom w:val="0"/>
      <w:divBdr>
        <w:top w:val="none" w:sz="0" w:space="0" w:color="auto"/>
        <w:left w:val="none" w:sz="0" w:space="0" w:color="auto"/>
        <w:bottom w:val="none" w:sz="0" w:space="0" w:color="auto"/>
        <w:right w:val="none" w:sz="0" w:space="0" w:color="auto"/>
      </w:divBdr>
    </w:div>
    <w:div w:id="1943872845">
      <w:bodyDiv w:val="1"/>
      <w:marLeft w:val="0"/>
      <w:marRight w:val="0"/>
      <w:marTop w:val="0"/>
      <w:marBottom w:val="0"/>
      <w:divBdr>
        <w:top w:val="none" w:sz="0" w:space="0" w:color="auto"/>
        <w:left w:val="none" w:sz="0" w:space="0" w:color="auto"/>
        <w:bottom w:val="none" w:sz="0" w:space="0" w:color="auto"/>
        <w:right w:val="none" w:sz="0" w:space="0" w:color="auto"/>
      </w:divBdr>
    </w:div>
    <w:div w:id="1961102858">
      <w:bodyDiv w:val="1"/>
      <w:marLeft w:val="0"/>
      <w:marRight w:val="0"/>
      <w:marTop w:val="0"/>
      <w:marBottom w:val="0"/>
      <w:divBdr>
        <w:top w:val="none" w:sz="0" w:space="0" w:color="auto"/>
        <w:left w:val="none" w:sz="0" w:space="0" w:color="auto"/>
        <w:bottom w:val="none" w:sz="0" w:space="0" w:color="auto"/>
        <w:right w:val="none" w:sz="0" w:space="0" w:color="auto"/>
      </w:divBdr>
    </w:div>
    <w:div w:id="2049333105">
      <w:bodyDiv w:val="1"/>
      <w:marLeft w:val="0"/>
      <w:marRight w:val="0"/>
      <w:marTop w:val="0"/>
      <w:marBottom w:val="0"/>
      <w:divBdr>
        <w:top w:val="none" w:sz="0" w:space="0" w:color="auto"/>
        <w:left w:val="none" w:sz="0" w:space="0" w:color="auto"/>
        <w:bottom w:val="none" w:sz="0" w:space="0" w:color="auto"/>
        <w:right w:val="none" w:sz="0" w:space="0" w:color="auto"/>
      </w:divBdr>
    </w:div>
    <w:div w:id="2079933287">
      <w:bodyDiv w:val="1"/>
      <w:marLeft w:val="0"/>
      <w:marRight w:val="0"/>
      <w:marTop w:val="0"/>
      <w:marBottom w:val="0"/>
      <w:divBdr>
        <w:top w:val="none" w:sz="0" w:space="0" w:color="auto"/>
        <w:left w:val="none" w:sz="0" w:space="0" w:color="auto"/>
        <w:bottom w:val="none" w:sz="0" w:space="0" w:color="auto"/>
        <w:right w:val="none" w:sz="0" w:space="0" w:color="auto"/>
      </w:divBdr>
    </w:div>
    <w:div w:id="2088262363">
      <w:bodyDiv w:val="1"/>
      <w:marLeft w:val="0"/>
      <w:marRight w:val="0"/>
      <w:marTop w:val="0"/>
      <w:marBottom w:val="0"/>
      <w:divBdr>
        <w:top w:val="none" w:sz="0" w:space="0" w:color="auto"/>
        <w:left w:val="none" w:sz="0" w:space="0" w:color="auto"/>
        <w:bottom w:val="none" w:sz="0" w:space="0" w:color="auto"/>
        <w:right w:val="none" w:sz="0" w:space="0" w:color="auto"/>
      </w:divBdr>
    </w:div>
    <w:div w:id="2094546436">
      <w:bodyDiv w:val="1"/>
      <w:marLeft w:val="0"/>
      <w:marRight w:val="0"/>
      <w:marTop w:val="0"/>
      <w:marBottom w:val="0"/>
      <w:divBdr>
        <w:top w:val="none" w:sz="0" w:space="0" w:color="auto"/>
        <w:left w:val="none" w:sz="0" w:space="0" w:color="auto"/>
        <w:bottom w:val="none" w:sz="0" w:space="0" w:color="auto"/>
        <w:right w:val="none" w:sz="0" w:space="0" w:color="auto"/>
      </w:divBdr>
    </w:div>
    <w:div w:id="21109235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chart" Target="charts/chart18.xml"/><Relationship Id="rId39" Type="http://schemas.openxmlformats.org/officeDocument/2006/relationships/footer" Target="footer1.xml"/><Relationship Id="rId21" Type="http://schemas.openxmlformats.org/officeDocument/2006/relationships/chart" Target="charts/chart14.xml"/><Relationship Id="rId34" Type="http://schemas.openxmlformats.org/officeDocument/2006/relationships/chart" Target="charts/chart25.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chart" Target="charts/chart2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3.xml"/><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1.png"/><Relationship Id="rId28" Type="http://schemas.openxmlformats.org/officeDocument/2006/relationships/chart" Target="charts/chart19.xml"/><Relationship Id="rId36" Type="http://schemas.openxmlformats.org/officeDocument/2006/relationships/chart" Target="charts/chart27.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chart" Target="charts/chart22.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2.png"/><Relationship Id="rId30" Type="http://schemas.openxmlformats.org/officeDocument/2006/relationships/chart" Target="charts/chart21.xml"/><Relationship Id="rId35" Type="http://schemas.openxmlformats.org/officeDocument/2006/relationships/chart" Target="charts/chart26.xml"/><Relationship Id="rId8"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7.xml"/><Relationship Id="rId33" Type="http://schemas.openxmlformats.org/officeDocument/2006/relationships/chart" Target="charts/chart24.xml"/><Relationship Id="rId38"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1" Type="http://schemas.openxmlformats.org/officeDocument/2006/relationships/hyperlink" Target="https://ec.europa.eu/eurostat/web/health/data/databas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ykysova23070\AppData\Local\Temp\Publikace%20bar%20CZ_lide%20a%20spolecnost_2017-08-14.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1" Type="http://schemas.openxmlformats.org/officeDocument/2006/relationships/oleObject" Target="file:///D:\hykysova23070\Documents\PN\2020\2.%20pol\publ\podklady\Tab%20a%20grafy%20do%20textu.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19.xml"/><Relationship Id="rId1" Type="http://schemas.microsoft.com/office/2011/relationships/chartStyle" Target="style19.xml"/></Relationships>
</file>

<file path=word/charts/_rels/chart21.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20.xml"/><Relationship Id="rId1" Type="http://schemas.microsoft.com/office/2011/relationships/chartStyle" Target="style20.xml"/></Relationships>
</file>

<file path=word/charts/_rels/chart22.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21.xml"/><Relationship Id="rId1" Type="http://schemas.microsoft.com/office/2011/relationships/chartStyle" Target="style21.xml"/></Relationships>
</file>

<file path=word/charts/_rels/chart23.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22.xml"/><Relationship Id="rId1" Type="http://schemas.microsoft.com/office/2011/relationships/chartStyle" Target="style22.xml"/></Relationships>
</file>

<file path=word/charts/_rels/chart24.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23.xml"/><Relationship Id="rId1" Type="http://schemas.microsoft.com/office/2011/relationships/chartStyle" Target="style23.xml"/></Relationships>
</file>

<file path=word/charts/_rels/chart25.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24.xml"/><Relationship Id="rId1" Type="http://schemas.microsoft.com/office/2011/relationships/chartStyle" Target="style24.xml"/></Relationships>
</file>

<file path=word/charts/_rels/chart26.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25.xml"/><Relationship Id="rId1" Type="http://schemas.microsoft.com/office/2011/relationships/chartStyle" Target="style25.xml"/></Relationships>
</file>

<file path=word/charts/_rels/chart27.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2.xml"/></Relationships>
</file>

<file path=word/charts/_rels/chart5.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3.xml"/></Relationships>
</file>

<file path=word/charts/_rels/chart6.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hykysova23070\Documents\PN\2020\2.%20pol\publ\podklady\Tab%20a%20grafy%20do%20textu.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27420914490952"/>
          <c:y val="5.0925925925925923E-2"/>
          <c:w val="0.6026965050421329"/>
          <c:h val="0.87378864100320797"/>
        </c:manualLayout>
      </c:layout>
      <c:barChart>
        <c:barDir val="col"/>
        <c:grouping val="percentStacked"/>
        <c:varyColors val="0"/>
        <c:ser>
          <c:idx val="0"/>
          <c:order val="0"/>
          <c:tx>
            <c:strRef>
              <c:f>'G1.1'!$F$30</c:f>
              <c:strCache>
                <c:ptCount val="1"/>
                <c:pt idx="0">
                  <c:v> 500 a více zaměstnanců</c:v>
                </c:pt>
              </c:strCache>
            </c:strRef>
          </c:tx>
          <c:spPr>
            <a:solidFill>
              <a:srgbClr val="E8C1BE"/>
            </a:solidFill>
            <a:ln>
              <a:noFill/>
            </a:ln>
            <a:effectLst/>
          </c:spPr>
          <c:invertIfNegative val="0"/>
          <c:dLbls>
            <c:dLbl>
              <c:idx val="0"/>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6="http://schemas.microsoft.com/office/drawing/2014/chart" uri="{C3380CC4-5D6E-409C-BE32-E72D297353CC}">
                  <c16:uniqueId val="{00000000-0BB1-4455-AAAC-B9FB1C672E69}"/>
                </c:ext>
              </c:extLst>
            </c:dLbl>
            <c:dLbl>
              <c:idx val="1"/>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6="http://schemas.microsoft.com/office/drawing/2014/chart" uri="{C3380CC4-5D6E-409C-BE32-E72D297353CC}">
                  <c16:uniqueId val="{00000001-0BB1-4455-AAAC-B9FB1C672E69}"/>
                </c:ext>
              </c:extLst>
            </c:dLbl>
            <c:dLbl>
              <c:idx val="2"/>
              <c:numFmt formatCode="0.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extLst>
                <c:ext xmlns:c16="http://schemas.microsoft.com/office/drawing/2014/chart" uri="{C3380CC4-5D6E-409C-BE32-E72D297353CC}">
                  <c16:uniqueId val="{00000002-0BB1-4455-AAAC-B9FB1C672E69}"/>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2010</c:v>
                </c:pt>
                <c:pt idx="1">
                  <c:v>2015</c:v>
                </c:pt>
                <c:pt idx="2">
                  <c:v>2020</c:v>
                </c:pt>
              </c:numCache>
            </c:numRef>
          </c:cat>
          <c:val>
            <c:numRef>
              <c:f>'G1.1'!$G$30:$I$30</c:f>
              <c:numCache>
                <c:formatCode>General</c:formatCode>
                <c:ptCount val="3"/>
                <c:pt idx="0">
                  <c:v>0.28212509510642642</c:v>
                </c:pt>
                <c:pt idx="1">
                  <c:v>0.32999002443303899</c:v>
                </c:pt>
                <c:pt idx="2">
                  <c:v>0.3270476247851094</c:v>
                </c:pt>
              </c:numCache>
            </c:numRef>
          </c:val>
          <c:extLst>
            <c:ext xmlns:c16="http://schemas.microsoft.com/office/drawing/2014/chart" uri="{C3380CC4-5D6E-409C-BE32-E72D297353CC}">
              <c16:uniqueId val="{00000000-BBB5-46D0-BE08-BD7D2059F06A}"/>
            </c:ext>
          </c:extLst>
        </c:ser>
        <c:ser>
          <c:idx val="1"/>
          <c:order val="1"/>
          <c:tx>
            <c:strRef>
              <c:f>'G1.1'!$F$31</c:f>
              <c:strCache>
                <c:ptCount val="1"/>
                <c:pt idx="0">
                  <c:v> 250–499 zaměstnanců</c:v>
                </c:pt>
              </c:strCache>
            </c:strRef>
          </c:tx>
          <c:spPr>
            <a:solidFill>
              <a:srgbClr val="F07373"/>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2010</c:v>
                </c:pt>
                <c:pt idx="1">
                  <c:v>2015</c:v>
                </c:pt>
                <c:pt idx="2">
                  <c:v>2020</c:v>
                </c:pt>
              </c:numCache>
            </c:numRef>
          </c:cat>
          <c:val>
            <c:numRef>
              <c:f>'G1.1'!$G$31:$I$31</c:f>
              <c:numCache>
                <c:formatCode>General</c:formatCode>
                <c:ptCount val="3"/>
                <c:pt idx="0">
                  <c:v>9.0871638799710511E-2</c:v>
                </c:pt>
                <c:pt idx="1">
                  <c:v>9.4426640088821595E-2</c:v>
                </c:pt>
                <c:pt idx="2">
                  <c:v>9.5982462987966657E-2</c:v>
                </c:pt>
              </c:numCache>
            </c:numRef>
          </c:val>
          <c:extLst>
            <c:ext xmlns:c16="http://schemas.microsoft.com/office/drawing/2014/chart" uri="{C3380CC4-5D6E-409C-BE32-E72D297353CC}">
              <c16:uniqueId val="{00000001-BBB5-46D0-BE08-BD7D2059F06A}"/>
            </c:ext>
          </c:extLst>
        </c:ser>
        <c:ser>
          <c:idx val="2"/>
          <c:order val="2"/>
          <c:tx>
            <c:strRef>
              <c:f>'G1.1'!$F$32</c:f>
              <c:strCache>
                <c:ptCount val="1"/>
                <c:pt idx="0">
                  <c:v> 50–249 zaměstnanců</c:v>
                </c:pt>
              </c:strCache>
            </c:strRef>
          </c:tx>
          <c:spPr>
            <a:solidFill>
              <a:srgbClr val="C36969"/>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2010</c:v>
                </c:pt>
                <c:pt idx="1">
                  <c:v>2015</c:v>
                </c:pt>
                <c:pt idx="2">
                  <c:v>2020</c:v>
                </c:pt>
              </c:numCache>
            </c:numRef>
          </c:cat>
          <c:val>
            <c:numRef>
              <c:f>'G1.1'!$G$32:$I$32</c:f>
              <c:numCache>
                <c:formatCode>General</c:formatCode>
                <c:ptCount val="3"/>
                <c:pt idx="0">
                  <c:v>0.23593886280550039</c:v>
                </c:pt>
                <c:pt idx="1">
                  <c:v>0.23342227622202913</c:v>
                </c:pt>
                <c:pt idx="2">
                  <c:v>0.23820992582572911</c:v>
                </c:pt>
              </c:numCache>
            </c:numRef>
          </c:val>
          <c:extLst>
            <c:ext xmlns:c16="http://schemas.microsoft.com/office/drawing/2014/chart" uri="{C3380CC4-5D6E-409C-BE32-E72D297353CC}">
              <c16:uniqueId val="{00000002-BBB5-46D0-BE08-BD7D2059F06A}"/>
            </c:ext>
          </c:extLst>
        </c:ser>
        <c:ser>
          <c:idx val="3"/>
          <c:order val="3"/>
          <c:tx>
            <c:strRef>
              <c:f>'G1.1'!$F$33</c:f>
              <c:strCache>
                <c:ptCount val="1"/>
                <c:pt idx="0">
                  <c:v> 1–49 zaměstnanců</c:v>
                </c:pt>
              </c:strCache>
            </c:strRef>
          </c:tx>
          <c:spPr>
            <a:solidFill>
              <a:srgbClr val="9A403C"/>
            </a:solidFill>
            <a:ln>
              <a:noFill/>
            </a:ln>
            <a:effectLst/>
          </c:spPr>
          <c:invertIfNegative val="0"/>
          <c:dLbls>
            <c:numFmt formatCode="0.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2010</c:v>
                </c:pt>
                <c:pt idx="1">
                  <c:v>2015</c:v>
                </c:pt>
                <c:pt idx="2">
                  <c:v>2020</c:v>
                </c:pt>
              </c:numCache>
            </c:numRef>
          </c:cat>
          <c:val>
            <c:numRef>
              <c:f>'G1.1'!$G$33:$I$33</c:f>
              <c:numCache>
                <c:formatCode>General</c:formatCode>
                <c:ptCount val="3"/>
                <c:pt idx="0">
                  <c:v>0.3497304544695381</c:v>
                </c:pt>
                <c:pt idx="1">
                  <c:v>0.32232552298507305</c:v>
                </c:pt>
                <c:pt idx="2">
                  <c:v>0.31836321668207906</c:v>
                </c:pt>
              </c:numCache>
            </c:numRef>
          </c:val>
          <c:extLst>
            <c:ext xmlns:c16="http://schemas.microsoft.com/office/drawing/2014/chart" uri="{C3380CC4-5D6E-409C-BE32-E72D297353CC}">
              <c16:uniqueId val="{00000003-BBB5-46D0-BE08-BD7D2059F06A}"/>
            </c:ext>
          </c:extLst>
        </c:ser>
        <c:ser>
          <c:idx val="4"/>
          <c:order val="4"/>
          <c:tx>
            <c:strRef>
              <c:f>'G1.1'!$F$34</c:f>
              <c:strCache>
                <c:ptCount val="1"/>
                <c:pt idx="0">
                  <c:v> OSVČ</c:v>
                </c:pt>
              </c:strCache>
            </c:strRef>
          </c:tx>
          <c:spPr>
            <a:solidFill>
              <a:srgbClr val="4E201E"/>
            </a:solidFill>
            <a:ln>
              <a:noFill/>
            </a:ln>
            <a:effectLst/>
          </c:spPr>
          <c:invertIfNegative val="0"/>
          <c:dLbls>
            <c:dLbl>
              <c:idx val="0"/>
              <c:layout>
                <c:manualLayout>
                  <c:x val="0"/>
                  <c:y val="-3.3496281714785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B5-46D0-BE08-BD7D2059F06A}"/>
                </c:ext>
              </c:extLst>
            </c:dLbl>
            <c:numFmt formatCode="0.0\ %" sourceLinked="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'G1.1'!$G$29:$I$29</c:f>
              <c:numCache>
                <c:formatCode>General</c:formatCode>
                <c:ptCount val="3"/>
                <c:pt idx="0">
                  <c:v>2010</c:v>
                </c:pt>
                <c:pt idx="1">
                  <c:v>2015</c:v>
                </c:pt>
                <c:pt idx="2">
                  <c:v>2020</c:v>
                </c:pt>
              </c:numCache>
            </c:numRef>
          </c:cat>
          <c:val>
            <c:numRef>
              <c:f>'G1.1'!$G$34:$I$34</c:f>
              <c:numCache>
                <c:formatCode>General</c:formatCode>
                <c:ptCount val="3"/>
                <c:pt idx="0">
                  <c:v>4.133394881882458E-2</c:v>
                </c:pt>
                <c:pt idx="1">
                  <c:v>1.9835536271037218E-2</c:v>
                </c:pt>
                <c:pt idx="2">
                  <c:v>2.0396769719115512E-2</c:v>
                </c:pt>
              </c:numCache>
            </c:numRef>
          </c:val>
          <c:extLst>
            <c:ext xmlns:c16="http://schemas.microsoft.com/office/drawing/2014/chart" uri="{C3380CC4-5D6E-409C-BE32-E72D297353CC}">
              <c16:uniqueId val="{00000005-BBB5-46D0-BE08-BD7D2059F06A}"/>
            </c:ext>
          </c:extLst>
        </c:ser>
        <c:dLbls>
          <c:showLegendKey val="0"/>
          <c:showVal val="0"/>
          <c:showCatName val="0"/>
          <c:showSerName val="0"/>
          <c:showPercent val="0"/>
          <c:showBubbleSize val="0"/>
        </c:dLbls>
        <c:gapWidth val="119"/>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72192847"/>
        <c:crosses val="autoZero"/>
        <c:crossBetween val="between"/>
      </c:valAx>
      <c:spPr>
        <a:noFill/>
        <a:ln>
          <a:noFill/>
        </a:ln>
        <a:effectLst/>
      </c:spPr>
    </c:plotArea>
    <c:legend>
      <c:legendPos val="l"/>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spcAft>
          <a:spcPts val="600"/>
        </a:spcAft>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395272350215483"/>
          <c:y val="4.0968342644320296E-2"/>
          <c:w val="0.78443021725088102"/>
          <c:h val="0.80913709860341532"/>
        </c:manualLayout>
      </c:layout>
      <c:barChart>
        <c:barDir val="bar"/>
        <c:grouping val="clustered"/>
        <c:varyColors val="0"/>
        <c:ser>
          <c:idx val="1"/>
          <c:order val="0"/>
          <c:tx>
            <c:strRef>
              <c:f>'G2.6'!$U$1</c:f>
              <c:strCache>
                <c:ptCount val="1"/>
                <c:pt idx="0">
                  <c:v> 2019</c:v>
                </c:pt>
              </c:strCache>
            </c:strRef>
          </c:tx>
          <c:spPr>
            <a:solidFill>
              <a:srgbClr val="B44946"/>
            </a:solidFill>
            <a:ln>
              <a:noFill/>
            </a:ln>
            <a:effectLst/>
          </c:spPr>
          <c:invertIfNegative val="0"/>
          <c:dPt>
            <c:idx val="2"/>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8FCC-4AE1-AB33-DC0FC52B22EF}"/>
              </c:ext>
            </c:extLst>
          </c:dPt>
          <c:cat>
            <c:strRef>
              <c:f>'G2.6'!$S$2:$S$16</c:f>
              <c:strCache>
                <c:ptCount val="15"/>
                <c:pt idx="0">
                  <c:v>Hlavní město Praha</c:v>
                </c:pt>
                <c:pt idx="1">
                  <c:v>Jihomoravský kraj</c:v>
                </c:pt>
                <c:pt idx="2">
                  <c:v>ČR CELKEM</c:v>
                </c:pt>
                <c:pt idx="3">
                  <c:v>Karlovarský kraj</c:v>
                </c:pt>
                <c:pt idx="4">
                  <c:v>Středočeský kraj</c:v>
                </c:pt>
                <c:pt idx="5">
                  <c:v>Pardubický kraj</c:v>
                </c:pt>
                <c:pt idx="6">
                  <c:v>Ústecký kraj</c:v>
                </c:pt>
                <c:pt idx="7">
                  <c:v>Olomoucký kraj</c:v>
                </c:pt>
                <c:pt idx="8">
                  <c:v>Jihočeský kraj</c:v>
                </c:pt>
                <c:pt idx="9">
                  <c:v>Plzeňský kraj</c:v>
                </c:pt>
                <c:pt idx="10">
                  <c:v>Kraj Vysočina</c:v>
                </c:pt>
                <c:pt idx="11">
                  <c:v>Královéhradecký kraj</c:v>
                </c:pt>
                <c:pt idx="12">
                  <c:v>Zlínský kraj</c:v>
                </c:pt>
                <c:pt idx="13">
                  <c:v>Moravskoslezský kraj</c:v>
                </c:pt>
                <c:pt idx="14">
                  <c:v>Liberecký kraj</c:v>
                </c:pt>
              </c:strCache>
            </c:strRef>
          </c:cat>
          <c:val>
            <c:numRef>
              <c:f>'G2.6'!$U$2:$U$16</c:f>
              <c:numCache>
                <c:formatCode>0.0</c:formatCode>
                <c:ptCount val="15"/>
                <c:pt idx="0">
                  <c:v>33.46</c:v>
                </c:pt>
                <c:pt idx="1">
                  <c:v>38.869999999999997</c:v>
                </c:pt>
                <c:pt idx="2">
                  <c:v>40.46</c:v>
                </c:pt>
                <c:pt idx="3">
                  <c:v>45.58</c:v>
                </c:pt>
                <c:pt idx="4">
                  <c:v>43.35</c:v>
                </c:pt>
                <c:pt idx="5">
                  <c:v>42.87</c:v>
                </c:pt>
                <c:pt idx="6">
                  <c:v>44.26</c:v>
                </c:pt>
                <c:pt idx="7">
                  <c:v>39.53</c:v>
                </c:pt>
                <c:pt idx="8">
                  <c:v>43.97</c:v>
                </c:pt>
                <c:pt idx="9">
                  <c:v>46.44</c:v>
                </c:pt>
                <c:pt idx="10">
                  <c:v>42.84</c:v>
                </c:pt>
                <c:pt idx="11">
                  <c:v>45.69</c:v>
                </c:pt>
                <c:pt idx="12">
                  <c:v>41.26</c:v>
                </c:pt>
                <c:pt idx="13">
                  <c:v>43.08</c:v>
                </c:pt>
                <c:pt idx="14">
                  <c:v>49.79</c:v>
                </c:pt>
              </c:numCache>
            </c:numRef>
          </c:val>
          <c:extLst>
            <c:ext xmlns:c16="http://schemas.microsoft.com/office/drawing/2014/chart" uri="{C3380CC4-5D6E-409C-BE32-E72D297353CC}">
              <c16:uniqueId val="{00000002-8FCC-4AE1-AB33-DC0FC52B22EF}"/>
            </c:ext>
          </c:extLst>
        </c:ser>
        <c:ser>
          <c:idx val="0"/>
          <c:order val="1"/>
          <c:tx>
            <c:strRef>
              <c:f>'G2.6'!$T$1</c:f>
              <c:strCache>
                <c:ptCount val="1"/>
                <c:pt idx="0">
                  <c:v> 2020</c:v>
                </c:pt>
              </c:strCache>
            </c:strRef>
          </c:tx>
          <c:spPr>
            <a:solidFill>
              <a:srgbClr val="632827"/>
            </a:solidFill>
            <a:ln>
              <a:noFill/>
            </a:ln>
            <a:effectLst/>
          </c:spPr>
          <c:invertIfNegative val="0"/>
          <c:dPt>
            <c:idx val="2"/>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8FCC-4AE1-AB33-DC0FC52B22EF}"/>
              </c:ext>
            </c:extLst>
          </c:dPt>
          <c:cat>
            <c:strRef>
              <c:f>'G2.6'!$S$2:$S$16</c:f>
              <c:strCache>
                <c:ptCount val="15"/>
                <c:pt idx="0">
                  <c:v>Hlavní město Praha</c:v>
                </c:pt>
                <c:pt idx="1">
                  <c:v>Jihomoravský kraj</c:v>
                </c:pt>
                <c:pt idx="2">
                  <c:v>ČR CELKEM</c:v>
                </c:pt>
                <c:pt idx="3">
                  <c:v>Karlovarský kraj</c:v>
                </c:pt>
                <c:pt idx="4">
                  <c:v>Středočeský kraj</c:v>
                </c:pt>
                <c:pt idx="5">
                  <c:v>Pardubický kraj</c:v>
                </c:pt>
                <c:pt idx="6">
                  <c:v>Ústecký kraj</c:v>
                </c:pt>
                <c:pt idx="7">
                  <c:v>Olomoucký kraj</c:v>
                </c:pt>
                <c:pt idx="8">
                  <c:v>Jihočeský kraj</c:v>
                </c:pt>
                <c:pt idx="9">
                  <c:v>Plzeňský kraj</c:v>
                </c:pt>
                <c:pt idx="10">
                  <c:v>Kraj Vysočina</c:v>
                </c:pt>
                <c:pt idx="11">
                  <c:v>Královéhradecký kraj</c:v>
                </c:pt>
                <c:pt idx="12">
                  <c:v>Zlínský kraj</c:v>
                </c:pt>
                <c:pt idx="13">
                  <c:v>Moravskoslezský kraj</c:v>
                </c:pt>
                <c:pt idx="14">
                  <c:v>Liberecký kraj</c:v>
                </c:pt>
              </c:strCache>
            </c:strRef>
          </c:cat>
          <c:val>
            <c:numRef>
              <c:f>'G2.6'!$T$2:$T$16</c:f>
              <c:numCache>
                <c:formatCode>General</c:formatCode>
                <c:ptCount val="15"/>
                <c:pt idx="0">
                  <c:v>38.7642831665</c:v>
                </c:pt>
                <c:pt idx="1">
                  <c:v>48.566641084700002</c:v>
                </c:pt>
                <c:pt idx="2">
                  <c:v>50.9774787522</c:v>
                </c:pt>
                <c:pt idx="3">
                  <c:v>52.8944865251</c:v>
                </c:pt>
                <c:pt idx="4">
                  <c:v>52.911413312199997</c:v>
                </c:pt>
                <c:pt idx="5">
                  <c:v>54.140802705600002</c:v>
                </c:pt>
                <c:pt idx="6">
                  <c:v>54.988223800900002</c:v>
                </c:pt>
                <c:pt idx="7">
                  <c:v>55.309386098300003</c:v>
                </c:pt>
                <c:pt idx="8">
                  <c:v>55.825887734200002</c:v>
                </c:pt>
                <c:pt idx="9">
                  <c:v>56.108929539800002</c:v>
                </c:pt>
                <c:pt idx="10">
                  <c:v>57.403243652900002</c:v>
                </c:pt>
                <c:pt idx="11">
                  <c:v>58.2310797186</c:v>
                </c:pt>
                <c:pt idx="12">
                  <c:v>59.189909607499999</c:v>
                </c:pt>
                <c:pt idx="13">
                  <c:v>59.724420439799999</c:v>
                </c:pt>
                <c:pt idx="14">
                  <c:v>63.734837334300003</c:v>
                </c:pt>
              </c:numCache>
            </c:numRef>
          </c:val>
          <c:extLst>
            <c:ext xmlns:c16="http://schemas.microsoft.com/office/drawing/2014/chart" uri="{C3380CC4-5D6E-409C-BE32-E72D297353CC}">
              <c16:uniqueId val="{00000005-8FCC-4AE1-AB33-DC0FC52B22EF}"/>
            </c:ext>
          </c:extLst>
        </c:ser>
        <c:dLbls>
          <c:showLegendKey val="0"/>
          <c:showVal val="0"/>
          <c:showCatName val="0"/>
          <c:showSerName val="0"/>
          <c:showPercent val="0"/>
          <c:showBubbleSize val="0"/>
        </c:dLbls>
        <c:gapWidth val="182"/>
        <c:axId val="1536045999"/>
        <c:axId val="1536037679"/>
      </c:barChart>
      <c:catAx>
        <c:axId val="153604599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37679"/>
        <c:crosses val="autoZero"/>
        <c:auto val="1"/>
        <c:lblAlgn val="ctr"/>
        <c:lblOffset val="100"/>
        <c:noMultiLvlLbl val="0"/>
      </c:catAx>
      <c:valAx>
        <c:axId val="1536037679"/>
        <c:scaling>
          <c:orientation val="minMax"/>
          <c:max val="6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45999"/>
        <c:crosses val="autoZero"/>
        <c:crossBetween val="between"/>
        <c:majorUnit val="5"/>
      </c:valAx>
      <c:spPr>
        <a:noFill/>
        <a:ln>
          <a:noFill/>
        </a:ln>
        <a:effectLst/>
      </c:spPr>
    </c:plotArea>
    <c:legend>
      <c:legendPos val="b"/>
      <c:layout>
        <c:manualLayout>
          <c:xMode val="edge"/>
          <c:yMode val="edge"/>
          <c:x val="0.83999182345197509"/>
          <c:y val="0.6461368717799163"/>
          <c:w val="9.7447911603642134E-2"/>
          <c:h val="0.1409519201161307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'G2.7'!$A$3</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'G2.7'!$B$2:$G$2</c:f>
              <c:numCache>
                <c:formatCode>General</c:formatCode>
                <c:ptCount val="6"/>
                <c:pt idx="0">
                  <c:v>2015</c:v>
                </c:pt>
                <c:pt idx="1">
                  <c:v>2016</c:v>
                </c:pt>
                <c:pt idx="2">
                  <c:v>2017</c:v>
                </c:pt>
                <c:pt idx="3">
                  <c:v>2018</c:v>
                </c:pt>
                <c:pt idx="4">
                  <c:v>2019</c:v>
                </c:pt>
                <c:pt idx="5">
                  <c:v>2020</c:v>
                </c:pt>
              </c:numCache>
            </c:numRef>
          </c:cat>
          <c:val>
            <c:numRef>
              <c:f>'G2.7'!$B$3:$G$3</c:f>
              <c:numCache>
                <c:formatCode>General</c:formatCode>
                <c:ptCount val="6"/>
                <c:pt idx="0">
                  <c:v>30184364</c:v>
                </c:pt>
                <c:pt idx="1">
                  <c:v>31661916</c:v>
                </c:pt>
                <c:pt idx="2">
                  <c:v>33258915</c:v>
                </c:pt>
                <c:pt idx="3">
                  <c:v>35167407</c:v>
                </c:pt>
                <c:pt idx="4">
                  <c:v>35860458</c:v>
                </c:pt>
                <c:pt idx="5">
                  <c:v>41551126</c:v>
                </c:pt>
              </c:numCache>
            </c:numRef>
          </c:val>
          <c:extLst>
            <c:ext xmlns:c16="http://schemas.microsoft.com/office/drawing/2014/chart" uri="{C3380CC4-5D6E-409C-BE32-E72D297353CC}">
              <c16:uniqueId val="{00000000-BE09-4460-A05D-C4C5F46F87C0}"/>
            </c:ext>
          </c:extLst>
        </c:ser>
        <c:ser>
          <c:idx val="1"/>
          <c:order val="1"/>
          <c:tx>
            <c:strRef>
              <c:f>'G2.7'!$A$4</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'G2.7'!$B$2:$G$2</c:f>
              <c:numCache>
                <c:formatCode>General</c:formatCode>
                <c:ptCount val="6"/>
                <c:pt idx="0">
                  <c:v>2015</c:v>
                </c:pt>
                <c:pt idx="1">
                  <c:v>2016</c:v>
                </c:pt>
                <c:pt idx="2">
                  <c:v>2017</c:v>
                </c:pt>
                <c:pt idx="3">
                  <c:v>2018</c:v>
                </c:pt>
                <c:pt idx="4">
                  <c:v>2019</c:v>
                </c:pt>
                <c:pt idx="5">
                  <c:v>2020</c:v>
                </c:pt>
              </c:numCache>
            </c:numRef>
          </c:cat>
          <c:val>
            <c:numRef>
              <c:f>'G2.7'!$B$4:$G$4</c:f>
              <c:numCache>
                <c:formatCode>General</c:formatCode>
                <c:ptCount val="6"/>
                <c:pt idx="0">
                  <c:v>26828755</c:v>
                </c:pt>
                <c:pt idx="1">
                  <c:v>28431614</c:v>
                </c:pt>
                <c:pt idx="2">
                  <c:v>28853901</c:v>
                </c:pt>
                <c:pt idx="3">
                  <c:v>31055960</c:v>
                </c:pt>
                <c:pt idx="4">
                  <c:v>34042075</c:v>
                </c:pt>
                <c:pt idx="5">
                  <c:v>40736349</c:v>
                </c:pt>
              </c:numCache>
            </c:numRef>
          </c:val>
          <c:extLst>
            <c:ext xmlns:c16="http://schemas.microsoft.com/office/drawing/2014/chart" uri="{C3380CC4-5D6E-409C-BE32-E72D297353CC}">
              <c16:uniqueId val="{00000001-BE09-4460-A05D-C4C5F46F87C0}"/>
            </c:ext>
          </c:extLst>
        </c:ser>
        <c:dLbls>
          <c:showLegendKey val="0"/>
          <c:showVal val="0"/>
          <c:showCatName val="0"/>
          <c:showSerName val="0"/>
          <c:showPercent val="0"/>
          <c:showBubbleSize val="0"/>
        </c:dLbls>
        <c:gapWidth val="94"/>
        <c:overlap val="-10"/>
        <c:axId val="1315651423"/>
        <c:axId val="1315652255"/>
      </c:barChart>
      <c:catAx>
        <c:axId val="131565142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2255"/>
        <c:crosses val="autoZero"/>
        <c:auto val="1"/>
        <c:lblAlgn val="ctr"/>
        <c:lblOffset val="100"/>
        <c:noMultiLvlLbl val="0"/>
      </c:catAx>
      <c:valAx>
        <c:axId val="1315652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1423"/>
        <c:crosses val="autoZero"/>
        <c:crossBetween val="between"/>
        <c:dispUnits>
          <c:builtInUnit val="millions"/>
          <c:dispUnitsLbl>
            <c:layout>
              <c:manualLayout>
                <c:xMode val="edge"/>
                <c:yMode val="edge"/>
                <c:x val="1.9470486749903926E-2"/>
                <c:y val="0.34722241241583934"/>
              </c:manualLayout>
            </c:layout>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cs-CZ">
                      <a:solidFill>
                        <a:sysClr val="windowText" lastClr="000000"/>
                      </a:solidFill>
                    </a:rPr>
                    <a:t>miliony</a:t>
                  </a:r>
                </a:p>
              </c:rich>
            </c:tx>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'G2.8'!$A$4</c:f>
              <c:strCache>
                <c:ptCount val="1"/>
                <c:pt idx="0">
                  <c:v> 1. pololetí</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'G2.8'!$B$3:$G$3</c:f>
              <c:numCache>
                <c:formatCode>General</c:formatCode>
                <c:ptCount val="6"/>
                <c:pt idx="0">
                  <c:v>2015</c:v>
                </c:pt>
                <c:pt idx="1">
                  <c:v>2016</c:v>
                </c:pt>
                <c:pt idx="2">
                  <c:v>2017</c:v>
                </c:pt>
                <c:pt idx="3">
                  <c:v>2018</c:v>
                </c:pt>
                <c:pt idx="4">
                  <c:v>2019</c:v>
                </c:pt>
                <c:pt idx="5">
                  <c:v>2020</c:v>
                </c:pt>
              </c:numCache>
            </c:numRef>
          </c:cat>
          <c:val>
            <c:numRef>
              <c:f>'G2.8'!$B$4:$G$4</c:f>
              <c:numCache>
                <c:formatCode>General</c:formatCode>
                <c:ptCount val="6"/>
                <c:pt idx="0">
                  <c:v>38.509944412336203</c:v>
                </c:pt>
                <c:pt idx="1">
                  <c:v>40.744102371405191</c:v>
                </c:pt>
                <c:pt idx="2">
                  <c:v>39.518719722813358</c:v>
                </c:pt>
                <c:pt idx="3">
                  <c:v>37.50186030193516</c:v>
                </c:pt>
                <c:pt idx="4">
                  <c:v>41.090733046565084</c:v>
                </c:pt>
                <c:pt idx="5">
                  <c:v>42.533609854017961</c:v>
                </c:pt>
              </c:numCache>
            </c:numRef>
          </c:val>
          <c:extLst>
            <c:ext xmlns:c16="http://schemas.microsoft.com/office/drawing/2014/chart" uri="{C3380CC4-5D6E-409C-BE32-E72D297353CC}">
              <c16:uniqueId val="{00000000-B925-4676-A0DA-E9434F867112}"/>
            </c:ext>
          </c:extLst>
        </c:ser>
        <c:ser>
          <c:idx val="1"/>
          <c:order val="1"/>
          <c:tx>
            <c:strRef>
              <c:f>'G2.8'!$A$5</c:f>
              <c:strCache>
                <c:ptCount val="1"/>
                <c:pt idx="0">
                  <c:v> 2. pololetí</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'G2.8'!$B$3:$G$3</c:f>
              <c:numCache>
                <c:formatCode>General</c:formatCode>
                <c:ptCount val="6"/>
                <c:pt idx="0">
                  <c:v>2015</c:v>
                </c:pt>
                <c:pt idx="1">
                  <c:v>2016</c:v>
                </c:pt>
                <c:pt idx="2">
                  <c:v>2017</c:v>
                </c:pt>
                <c:pt idx="3">
                  <c:v>2018</c:v>
                </c:pt>
                <c:pt idx="4">
                  <c:v>2019</c:v>
                </c:pt>
                <c:pt idx="5">
                  <c:v>2020</c:v>
                </c:pt>
              </c:numCache>
            </c:numRef>
          </c:cat>
          <c:val>
            <c:numRef>
              <c:f>'G2.8'!$B$5:$G$5</c:f>
              <c:numCache>
                <c:formatCode>General</c:formatCode>
                <c:ptCount val="6"/>
                <c:pt idx="0">
                  <c:v>44.711014785483826</c:v>
                </c:pt>
                <c:pt idx="1">
                  <c:v>42.828757961207756</c:v>
                </c:pt>
                <c:pt idx="2">
                  <c:v>43.111981867026856</c:v>
                </c:pt>
                <c:pt idx="3">
                  <c:v>43.586211155367302</c:v>
                </c:pt>
                <c:pt idx="4">
                  <c:v>40.597567156614296</c:v>
                </c:pt>
                <c:pt idx="5">
                  <c:v>33.232215622499098</c:v>
                </c:pt>
              </c:numCache>
            </c:numRef>
          </c:val>
          <c:extLst>
            <c:ext xmlns:c16="http://schemas.microsoft.com/office/drawing/2014/chart" uri="{C3380CC4-5D6E-409C-BE32-E72D297353CC}">
              <c16:uniqueId val="{00000001-B925-4676-A0DA-E9434F867112}"/>
            </c:ext>
          </c:extLst>
        </c:ser>
        <c:dLbls>
          <c:showLegendKey val="0"/>
          <c:showVal val="0"/>
          <c:showCatName val="0"/>
          <c:showSerName val="0"/>
          <c:showPercent val="0"/>
          <c:showBubbleSize val="0"/>
        </c:dLbls>
        <c:gapWidth val="94"/>
        <c:overlap val="-10"/>
        <c:axId val="1237737583"/>
        <c:axId val="1237740911"/>
      </c:barChart>
      <c:catAx>
        <c:axId val="12377375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40911"/>
        <c:crosses val="autoZero"/>
        <c:auto val="1"/>
        <c:lblAlgn val="ctr"/>
        <c:lblOffset val="100"/>
        <c:noMultiLvlLbl val="0"/>
      </c:catAx>
      <c:valAx>
        <c:axId val="123774091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6511867905056758E-2"/>
              <c:y val="0.3321384120271185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237737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'G2.9'!$A$3</c:f>
              <c:strCache>
                <c:ptCount val="1"/>
                <c:pt idx="0">
                  <c:v> muži</c:v>
                </c:pt>
              </c:strCache>
            </c:strRef>
          </c:tx>
          <c:spPr>
            <a:solidFill>
              <a:srgbClr val="632827"/>
            </a:solidFill>
            <a:ln>
              <a:noFill/>
            </a:ln>
            <a:effectLst/>
          </c:spPr>
          <c:invertIfNegative val="0"/>
          <c:cat>
            <c:numRef>
              <c:f>'G2.9'!$B$2:$L$2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'G2.9'!$B$3:$L$3</c:f>
              <c:numCache>
                <c:formatCode>General</c:formatCode>
                <c:ptCount val="11"/>
                <c:pt idx="0">
                  <c:v>43.578652559514545</c:v>
                </c:pt>
                <c:pt idx="1">
                  <c:v>42.961493967939184</c:v>
                </c:pt>
                <c:pt idx="2">
                  <c:v>44.112795809401895</c:v>
                </c:pt>
                <c:pt idx="3">
                  <c:v>42.346100568813952</c:v>
                </c:pt>
                <c:pt idx="4">
                  <c:v>43.421782761290075</c:v>
                </c:pt>
                <c:pt idx="5">
                  <c:v>40.535215932702108</c:v>
                </c:pt>
                <c:pt idx="6">
                  <c:v>40.654897349033696</c:v>
                </c:pt>
                <c:pt idx="7">
                  <c:v>40.626409339981365</c:v>
                </c:pt>
                <c:pt idx="8">
                  <c:v>40.289645469571234</c:v>
                </c:pt>
                <c:pt idx="9">
                  <c:v>41.053973179652004</c:v>
                </c:pt>
                <c:pt idx="10">
                  <c:v>37.845603387500056</c:v>
                </c:pt>
              </c:numCache>
            </c:numRef>
          </c:val>
          <c:extLst>
            <c:ext xmlns:c16="http://schemas.microsoft.com/office/drawing/2014/chart" uri="{C3380CC4-5D6E-409C-BE32-E72D297353CC}">
              <c16:uniqueId val="{00000000-0B87-4B40-BC35-E1EC85A3BC34}"/>
            </c:ext>
          </c:extLst>
        </c:ser>
        <c:ser>
          <c:idx val="1"/>
          <c:order val="1"/>
          <c:tx>
            <c:strRef>
              <c:f>'G2.9'!$A$4</c:f>
              <c:strCache>
                <c:ptCount val="1"/>
                <c:pt idx="0">
                  <c:v> ženy</c:v>
                </c:pt>
              </c:strCache>
            </c:strRef>
          </c:tx>
          <c:spPr>
            <a:solidFill>
              <a:srgbClr val="B44946"/>
            </a:solidFill>
            <a:ln>
              <a:noFill/>
            </a:ln>
            <a:effectLst/>
          </c:spPr>
          <c:invertIfNegative val="0"/>
          <c:cat>
            <c:numRef>
              <c:f>'G2.9'!$B$2:$L$2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'G2.9'!$B$4:$L$4</c:f>
              <c:numCache>
                <c:formatCode>General</c:formatCode>
                <c:ptCount val="11"/>
                <c:pt idx="0">
                  <c:v>45.734388742304304</c:v>
                </c:pt>
                <c:pt idx="1">
                  <c:v>45.092662347446129</c:v>
                </c:pt>
                <c:pt idx="2">
                  <c:v>47.86</c:v>
                </c:pt>
                <c:pt idx="3">
                  <c:v>45.52</c:v>
                </c:pt>
                <c:pt idx="4">
                  <c:v>48.02</c:v>
                </c:pt>
                <c:pt idx="5">
                  <c:v>44.776083656899999</c:v>
                </c:pt>
                <c:pt idx="6">
                  <c:v>45.185948486599997</c:v>
                </c:pt>
                <c:pt idx="7">
                  <c:v>44.329904953400003</c:v>
                </c:pt>
                <c:pt idx="8">
                  <c:v>43.000647046799997</c:v>
                </c:pt>
                <c:pt idx="9">
                  <c:v>43.616790123456788</c:v>
                </c:pt>
                <c:pt idx="10">
                  <c:v>40.852407441899999</c:v>
                </c:pt>
              </c:numCache>
            </c:numRef>
          </c:val>
          <c:extLst>
            <c:ext xmlns:c16="http://schemas.microsoft.com/office/drawing/2014/chart" uri="{C3380CC4-5D6E-409C-BE32-E72D297353CC}">
              <c16:uniqueId val="{00000001-0B87-4B40-BC35-E1EC85A3BC34}"/>
            </c:ext>
          </c:extLst>
        </c:ser>
        <c:dLbls>
          <c:showLegendKey val="0"/>
          <c:showVal val="0"/>
          <c:showCatName val="0"/>
          <c:showSerName val="0"/>
          <c:showPercent val="0"/>
          <c:showBubbleSize val="0"/>
        </c:dLbls>
        <c:gapWidth val="144"/>
        <c:axId val="1536008143"/>
        <c:axId val="1536029359"/>
      </c:barChart>
      <c:catAx>
        <c:axId val="153600814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9359"/>
        <c:crosses val="autoZero"/>
        <c:auto val="1"/>
        <c:lblAlgn val="ctr"/>
        <c:lblOffset val="100"/>
        <c:noMultiLvlLbl val="0"/>
      </c:catAx>
      <c:valAx>
        <c:axId val="1536029359"/>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1.889763779527559E-2"/>
              <c:y val="0.35986775989284525"/>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0814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779570041812839"/>
          <c:y val="3.3197525275388565E-2"/>
          <c:w val="0.45014370609774629"/>
          <c:h val="0.85074183517915847"/>
        </c:manualLayout>
      </c:layout>
      <c:barChart>
        <c:barDir val="bar"/>
        <c:grouping val="clustered"/>
        <c:varyColors val="0"/>
        <c:ser>
          <c:idx val="0"/>
          <c:order val="0"/>
          <c:spPr>
            <a:solidFill>
              <a:srgbClr val="B44946"/>
            </a:solidFill>
            <a:ln>
              <a:noFill/>
            </a:ln>
            <a:effectLst/>
          </c:spPr>
          <c:invertIfNegative val="0"/>
          <c:dPt>
            <c:idx val="7"/>
            <c:invertIfNegative val="0"/>
            <c:bubble3D val="0"/>
            <c:spPr>
              <a:solidFill>
                <a:srgbClr val="632827"/>
              </a:solidFill>
              <a:ln>
                <a:noFill/>
              </a:ln>
              <a:effectLst/>
            </c:spPr>
            <c:extLst>
              <c:ext xmlns:c16="http://schemas.microsoft.com/office/drawing/2014/chart" uri="{C3380CC4-5D6E-409C-BE32-E72D297353CC}">
                <c16:uniqueId val="{00000001-C53A-426A-94D0-CC0696FD7E35}"/>
              </c:ext>
            </c:extLst>
          </c:dPt>
          <c:cat>
            <c:strRef>
              <c:f>'G2.10'!$S$2:$S$21</c:f>
              <c:strCache>
                <c:ptCount val="20"/>
                <c:pt idx="0">
                  <c:v>J – Informační a komunikační činnosti</c:v>
                </c:pt>
                <c:pt idx="1">
                  <c:v>P – Vzdělávání</c:v>
                </c:pt>
                <c:pt idx="2">
                  <c:v>O – Veřejná správa a obrana; povinné sociální zabezpečení</c:v>
                </c:pt>
                <c:pt idx="3">
                  <c:v>K – Peněžnictví a pojišťovnictví</c:v>
                </c:pt>
                <c:pt idx="4">
                  <c:v>D – Výroba a rozvod elektřiny, plynu, tepla a klimatiz. vzduchu</c:v>
                </c:pt>
                <c:pt idx="5">
                  <c:v>Q – Zdravotní a sociální péče</c:v>
                </c:pt>
                <c:pt idx="6">
                  <c:v>M – Profesní, vědecké a technické činnosti</c:v>
                </c:pt>
                <c:pt idx="7">
                  <c:v>CELKEM</c:v>
                </c:pt>
                <c:pt idx="8">
                  <c:v>R – Kulturní, zábavní a rekreační činnosti</c:v>
                </c:pt>
                <c:pt idx="9">
                  <c:v>C – Zpracovatelský průmysl</c:v>
                </c:pt>
                <c:pt idx="10">
                  <c:v>B – Těžba a dobývání</c:v>
                </c:pt>
                <c:pt idx="11">
                  <c:v>E – Zásobování vodou; činnosti související s odpady a sanacemi</c:v>
                </c:pt>
                <c:pt idx="12">
                  <c:v>G – Velkoobchod a maloobchod; opravy a údržba motor. vozidel</c:v>
                </c:pt>
                <c:pt idx="13">
                  <c:v>H – Doprava a skladování</c:v>
                </c:pt>
                <c:pt idx="14">
                  <c:v>S – Ostatní činnosti</c:v>
                </c:pt>
                <c:pt idx="15">
                  <c:v>N – Administrativní a podpůrné činnosti</c:v>
                </c:pt>
                <c:pt idx="16">
                  <c:v>F – Stavebnictví</c:v>
                </c:pt>
                <c:pt idx="17">
                  <c:v>L – Činnosti v oblasti nemovitostí</c:v>
                </c:pt>
                <c:pt idx="18">
                  <c:v>A – Zemědělství, lesnictví, rybářství</c:v>
                </c:pt>
                <c:pt idx="19">
                  <c:v>I – Ubytování, stravování a pohostinství</c:v>
                </c:pt>
              </c:strCache>
            </c:strRef>
          </c:cat>
          <c:val>
            <c:numRef>
              <c:f>'G2.10'!$T$2:$T$21</c:f>
              <c:numCache>
                <c:formatCode>General</c:formatCode>
                <c:ptCount val="20"/>
                <c:pt idx="0">
                  <c:v>26.303749244599999</c:v>
                </c:pt>
                <c:pt idx="1">
                  <c:v>27.917138725600001</c:v>
                </c:pt>
                <c:pt idx="2">
                  <c:v>31.5499567721</c:v>
                </c:pt>
                <c:pt idx="3">
                  <c:v>33.032395958499997</c:v>
                </c:pt>
                <c:pt idx="4">
                  <c:v>33.171556260400003</c:v>
                </c:pt>
                <c:pt idx="5">
                  <c:v>35.994874043000003</c:v>
                </c:pt>
                <c:pt idx="6">
                  <c:v>36.917337490900003</c:v>
                </c:pt>
                <c:pt idx="7">
                  <c:v>39.416499723599998</c:v>
                </c:pt>
                <c:pt idx="8">
                  <c:v>39.503036620700001</c:v>
                </c:pt>
                <c:pt idx="9">
                  <c:v>39.830854056900002</c:v>
                </c:pt>
                <c:pt idx="10">
                  <c:v>40.495514278500004</c:v>
                </c:pt>
                <c:pt idx="11">
                  <c:v>41.396280869800002</c:v>
                </c:pt>
                <c:pt idx="12">
                  <c:v>41.751846143999998</c:v>
                </c:pt>
                <c:pt idx="13">
                  <c:v>42.555392947000001</c:v>
                </c:pt>
                <c:pt idx="14">
                  <c:v>42.7925645276</c:v>
                </c:pt>
                <c:pt idx="15">
                  <c:v>43.578032512299998</c:v>
                </c:pt>
                <c:pt idx="16">
                  <c:v>45.9202288181</c:v>
                </c:pt>
                <c:pt idx="17">
                  <c:v>46.700422429299998</c:v>
                </c:pt>
                <c:pt idx="18">
                  <c:v>49.692667275799998</c:v>
                </c:pt>
                <c:pt idx="19">
                  <c:v>57.065209934099997</c:v>
                </c:pt>
              </c:numCache>
            </c:numRef>
          </c:val>
          <c:extLst>
            <c:ext xmlns:c16="http://schemas.microsoft.com/office/drawing/2014/chart" uri="{C3380CC4-5D6E-409C-BE32-E72D297353CC}">
              <c16:uniqueId val="{00000002-C53A-426A-94D0-CC0696FD7E35}"/>
            </c:ext>
          </c:extLst>
        </c:ser>
        <c:dLbls>
          <c:showLegendKey val="0"/>
          <c:showVal val="0"/>
          <c:showCatName val="0"/>
          <c:showSerName val="0"/>
          <c:showPercent val="0"/>
          <c:showBubbleSize val="0"/>
        </c:dLbls>
        <c:gapWidth val="182"/>
        <c:axId val="1315644767"/>
        <c:axId val="1315646431"/>
      </c:barChart>
      <c:catAx>
        <c:axId val="13156447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6431"/>
        <c:crosses val="autoZero"/>
        <c:auto val="1"/>
        <c:lblAlgn val="ctr"/>
        <c:lblOffset val="100"/>
        <c:noMultiLvlLbl val="0"/>
      </c:catAx>
      <c:valAx>
        <c:axId val="131564643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47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1172533717477146"/>
          <c:y val="3.4348165495706483E-2"/>
          <c:w val="0.75168496477904734"/>
          <c:h val="0.80497519777240956"/>
        </c:manualLayout>
      </c:layout>
      <c:barChart>
        <c:barDir val="bar"/>
        <c:grouping val="clustered"/>
        <c:varyColors val="0"/>
        <c:ser>
          <c:idx val="1"/>
          <c:order val="0"/>
          <c:tx>
            <c:strRef>
              <c:f>'G2.11'!$U$1</c:f>
              <c:strCache>
                <c:ptCount val="1"/>
                <c:pt idx="0">
                  <c:v> 2019</c:v>
                </c:pt>
              </c:strCache>
            </c:strRef>
          </c:tx>
          <c:spPr>
            <a:solidFill>
              <a:srgbClr val="B44946"/>
            </a:solidFill>
            <a:ln>
              <a:noFill/>
            </a:ln>
            <a:effectLst/>
          </c:spPr>
          <c:invertIfNegative val="0"/>
          <c:dPt>
            <c:idx val="7"/>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D705-41AA-A259-809F09C3FC20}"/>
              </c:ext>
            </c:extLst>
          </c:dPt>
          <c:cat>
            <c:strRef>
              <c:f>'G2.11'!$S$2:$S$16</c:f>
              <c:strCache>
                <c:ptCount val="15"/>
                <c:pt idx="0">
                  <c:v>Královéhradecký kraj</c:v>
                </c:pt>
                <c:pt idx="1">
                  <c:v>Hlavní město Praha</c:v>
                </c:pt>
                <c:pt idx="2">
                  <c:v>Liberecký kraj</c:v>
                </c:pt>
                <c:pt idx="3">
                  <c:v>Středočeský kraj</c:v>
                </c:pt>
                <c:pt idx="4">
                  <c:v>Plzeňský kraj</c:v>
                </c:pt>
                <c:pt idx="5">
                  <c:v>Pardubický kraj</c:v>
                </c:pt>
                <c:pt idx="6">
                  <c:v>Ústecký kraj</c:v>
                </c:pt>
                <c:pt idx="7">
                  <c:v>ČR CELKEM</c:v>
                </c:pt>
                <c:pt idx="8">
                  <c:v>Olomoucký kraj</c:v>
                </c:pt>
                <c:pt idx="9">
                  <c:v>Jihočeský kraj</c:v>
                </c:pt>
                <c:pt idx="10">
                  <c:v>Kraj Vysočina</c:v>
                </c:pt>
                <c:pt idx="11">
                  <c:v>Karlovarský kraj</c:v>
                </c:pt>
                <c:pt idx="12">
                  <c:v>Jihomoravský kraj</c:v>
                </c:pt>
                <c:pt idx="13">
                  <c:v>Moravskoslezský kraj</c:v>
                </c:pt>
                <c:pt idx="14">
                  <c:v>Zlínský kraj</c:v>
                </c:pt>
              </c:strCache>
            </c:strRef>
          </c:cat>
          <c:val>
            <c:numRef>
              <c:f>'G2.11'!$U$2:$U$16</c:f>
              <c:numCache>
                <c:formatCode>0.0</c:formatCode>
                <c:ptCount val="15"/>
                <c:pt idx="0">
                  <c:v>39.17</c:v>
                </c:pt>
                <c:pt idx="1">
                  <c:v>38.82</c:v>
                </c:pt>
                <c:pt idx="2">
                  <c:v>38.799999999999997</c:v>
                </c:pt>
                <c:pt idx="3">
                  <c:v>40.43</c:v>
                </c:pt>
                <c:pt idx="4">
                  <c:v>39.56</c:v>
                </c:pt>
                <c:pt idx="5">
                  <c:v>42.18</c:v>
                </c:pt>
                <c:pt idx="6">
                  <c:v>41.97</c:v>
                </c:pt>
                <c:pt idx="7">
                  <c:v>42.41</c:v>
                </c:pt>
                <c:pt idx="8">
                  <c:v>46.13</c:v>
                </c:pt>
                <c:pt idx="9">
                  <c:v>44.37</c:v>
                </c:pt>
                <c:pt idx="10">
                  <c:v>45.57</c:v>
                </c:pt>
                <c:pt idx="11">
                  <c:v>40.33</c:v>
                </c:pt>
                <c:pt idx="12">
                  <c:v>43.31</c:v>
                </c:pt>
                <c:pt idx="13">
                  <c:v>48.71</c:v>
                </c:pt>
                <c:pt idx="14">
                  <c:v>49.55</c:v>
                </c:pt>
              </c:numCache>
            </c:numRef>
          </c:val>
          <c:extLst>
            <c:ext xmlns:c16="http://schemas.microsoft.com/office/drawing/2014/chart" uri="{C3380CC4-5D6E-409C-BE32-E72D297353CC}">
              <c16:uniqueId val="{00000002-D705-41AA-A259-809F09C3FC20}"/>
            </c:ext>
          </c:extLst>
        </c:ser>
        <c:ser>
          <c:idx val="0"/>
          <c:order val="1"/>
          <c:tx>
            <c:strRef>
              <c:f>'G2.11'!$T$1</c:f>
              <c:strCache>
                <c:ptCount val="1"/>
                <c:pt idx="0">
                  <c:v> 2020</c:v>
                </c:pt>
              </c:strCache>
            </c:strRef>
          </c:tx>
          <c:spPr>
            <a:solidFill>
              <a:srgbClr val="632827"/>
            </a:solidFill>
            <a:ln>
              <a:noFill/>
            </a:ln>
            <a:effectLst/>
          </c:spPr>
          <c:invertIfNegative val="0"/>
          <c:dPt>
            <c:idx val="7"/>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D705-41AA-A259-809F09C3FC20}"/>
              </c:ext>
            </c:extLst>
          </c:dPt>
          <c:cat>
            <c:strRef>
              <c:f>'G2.11'!$S$2:$S$16</c:f>
              <c:strCache>
                <c:ptCount val="15"/>
                <c:pt idx="0">
                  <c:v>Královéhradecký kraj</c:v>
                </c:pt>
                <c:pt idx="1">
                  <c:v>Hlavní město Praha</c:v>
                </c:pt>
                <c:pt idx="2">
                  <c:v>Liberecký kraj</c:v>
                </c:pt>
                <c:pt idx="3">
                  <c:v>Středočeský kraj</c:v>
                </c:pt>
                <c:pt idx="4">
                  <c:v>Plzeňský kraj</c:v>
                </c:pt>
                <c:pt idx="5">
                  <c:v>Pardubický kraj</c:v>
                </c:pt>
                <c:pt idx="6">
                  <c:v>Ústecký kraj</c:v>
                </c:pt>
                <c:pt idx="7">
                  <c:v>ČR CELKEM</c:v>
                </c:pt>
                <c:pt idx="8">
                  <c:v>Olomoucký kraj</c:v>
                </c:pt>
                <c:pt idx="9">
                  <c:v>Jihočeský kraj</c:v>
                </c:pt>
                <c:pt idx="10">
                  <c:v>Kraj Vysočina</c:v>
                </c:pt>
                <c:pt idx="11">
                  <c:v>Karlovarský kraj</c:v>
                </c:pt>
                <c:pt idx="12">
                  <c:v>Jihomoravský kraj</c:v>
                </c:pt>
                <c:pt idx="13">
                  <c:v>Moravskoslezský kraj</c:v>
                </c:pt>
                <c:pt idx="14">
                  <c:v>Zlínský kraj</c:v>
                </c:pt>
              </c:strCache>
            </c:strRef>
          </c:cat>
          <c:val>
            <c:numRef>
              <c:f>'G2.11'!$T$2:$T$16</c:f>
              <c:numCache>
                <c:formatCode>General</c:formatCode>
                <c:ptCount val="15"/>
                <c:pt idx="0">
                  <c:v>36.823720622300002</c:v>
                </c:pt>
                <c:pt idx="1">
                  <c:v>37.2216130865</c:v>
                </c:pt>
                <c:pt idx="2">
                  <c:v>37.362013663299997</c:v>
                </c:pt>
                <c:pt idx="3">
                  <c:v>37.717403155100001</c:v>
                </c:pt>
                <c:pt idx="4">
                  <c:v>38.3022563671</c:v>
                </c:pt>
                <c:pt idx="5">
                  <c:v>38.400938907600001</c:v>
                </c:pt>
                <c:pt idx="6">
                  <c:v>38.7598760196</c:v>
                </c:pt>
                <c:pt idx="7">
                  <c:v>39.416499723599998</c:v>
                </c:pt>
                <c:pt idx="8">
                  <c:v>40.024122423199998</c:v>
                </c:pt>
                <c:pt idx="9">
                  <c:v>40.635343064300002</c:v>
                </c:pt>
                <c:pt idx="10">
                  <c:v>40.6947408837</c:v>
                </c:pt>
                <c:pt idx="11">
                  <c:v>40.942349411499997</c:v>
                </c:pt>
                <c:pt idx="12">
                  <c:v>40.973971496799997</c:v>
                </c:pt>
                <c:pt idx="13">
                  <c:v>42.870643373900002</c:v>
                </c:pt>
                <c:pt idx="14">
                  <c:v>43.542315586100003</c:v>
                </c:pt>
              </c:numCache>
            </c:numRef>
          </c:val>
          <c:extLst>
            <c:ext xmlns:c16="http://schemas.microsoft.com/office/drawing/2014/chart" uri="{C3380CC4-5D6E-409C-BE32-E72D297353CC}">
              <c16:uniqueId val="{00000005-D705-41AA-A259-809F09C3FC20}"/>
            </c:ext>
          </c:extLst>
        </c:ser>
        <c:dLbls>
          <c:showLegendKey val="0"/>
          <c:showVal val="0"/>
          <c:showCatName val="0"/>
          <c:showSerName val="0"/>
          <c:showPercent val="0"/>
          <c:showBubbleSize val="0"/>
        </c:dLbls>
        <c:gapWidth val="182"/>
        <c:axId val="1536019375"/>
        <c:axId val="1536020207"/>
      </c:barChart>
      <c:catAx>
        <c:axId val="153601937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20207"/>
        <c:crosses val="autoZero"/>
        <c:auto val="1"/>
        <c:lblAlgn val="ctr"/>
        <c:lblOffset val="100"/>
        <c:noMultiLvlLbl val="0"/>
      </c:catAx>
      <c:valAx>
        <c:axId val="1536020207"/>
        <c:scaling>
          <c:orientation val="minMax"/>
          <c:max val="50"/>
          <c:min val="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layout>
            <c:manualLayout>
              <c:xMode val="edge"/>
              <c:yMode val="edge"/>
              <c:x val="0.54542746672794928"/>
              <c:y val="0.9115751925668045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6019375"/>
        <c:crosses val="autoZero"/>
        <c:crossBetween val="between"/>
      </c:valAx>
      <c:spPr>
        <a:noFill/>
        <a:ln>
          <a:noFill/>
        </a:ln>
        <a:effectLst/>
      </c:spPr>
    </c:plotArea>
    <c:legend>
      <c:legendPos val="b"/>
      <c:layout>
        <c:manualLayout>
          <c:xMode val="edge"/>
          <c:yMode val="edge"/>
          <c:x val="0.85703045183868143"/>
          <c:y val="0.59710909213271413"/>
          <c:w val="9.6998842886574663E-2"/>
          <c:h val="0.13622424120061916"/>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'G2.12'!$U$3</c:f>
              <c:strCache>
                <c:ptCount val="1"/>
                <c:pt idx="0">
                  <c:v> nemoc</c:v>
                </c:pt>
              </c:strCache>
            </c:strRef>
          </c:tx>
          <c:spPr>
            <a:solidFill>
              <a:srgbClr val="632827"/>
            </a:solidFill>
            <a:ln>
              <a:noFill/>
            </a:ln>
            <a:effectLst/>
          </c:spPr>
          <c:invertIfNegative val="0"/>
          <c:cat>
            <c:multiLvlStrRef>
              <c:f>'G2.12'!$S$4:$T$10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'G2.12'!$U$4:$U$10</c:f>
              <c:numCache>
                <c:formatCode>General</c:formatCode>
                <c:ptCount val="7"/>
                <c:pt idx="0">
                  <c:v>37.357380227100002</c:v>
                </c:pt>
                <c:pt idx="1">
                  <c:v>80.142728035600001</c:v>
                </c:pt>
                <c:pt idx="2">
                  <c:v>41.497076686</c:v>
                </c:pt>
                <c:pt idx="3">
                  <c:v>35.396311328000003</c:v>
                </c:pt>
                <c:pt idx="4">
                  <c:v>36.378892346699999</c:v>
                </c:pt>
                <c:pt idx="5">
                  <c:v>36.322697670499998</c:v>
                </c:pt>
                <c:pt idx="6">
                  <c:v>34.879450847100003</c:v>
                </c:pt>
              </c:numCache>
            </c:numRef>
          </c:val>
          <c:extLst>
            <c:ext xmlns:c16="http://schemas.microsoft.com/office/drawing/2014/chart" uri="{C3380CC4-5D6E-409C-BE32-E72D297353CC}">
              <c16:uniqueId val="{00000000-F54A-4EF6-987A-4A5416638284}"/>
            </c:ext>
          </c:extLst>
        </c:ser>
        <c:ser>
          <c:idx val="1"/>
          <c:order val="1"/>
          <c:tx>
            <c:strRef>
              <c:f>'G2.12'!$V$3</c:f>
              <c:strCache>
                <c:ptCount val="1"/>
                <c:pt idx="0">
                  <c:v> pracovní úraz</c:v>
                </c:pt>
              </c:strCache>
            </c:strRef>
          </c:tx>
          <c:spPr>
            <a:solidFill>
              <a:srgbClr val="B44946"/>
            </a:solidFill>
            <a:ln>
              <a:noFill/>
            </a:ln>
            <a:effectLst/>
          </c:spPr>
          <c:invertIfNegative val="0"/>
          <c:cat>
            <c:multiLvlStrRef>
              <c:f>'G2.12'!$S$4:$T$10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'G2.12'!$V$4:$V$10</c:f>
              <c:numCache>
                <c:formatCode>General</c:formatCode>
                <c:ptCount val="7"/>
                <c:pt idx="0">
                  <c:v>62.513902993400002</c:v>
                </c:pt>
                <c:pt idx="1">
                  <c:v>101.2161016949</c:v>
                </c:pt>
                <c:pt idx="2">
                  <c:v>64.051055996900004</c:v>
                </c:pt>
                <c:pt idx="3">
                  <c:v>61.0727605119</c:v>
                </c:pt>
                <c:pt idx="4">
                  <c:v>58.905988762500002</c:v>
                </c:pt>
                <c:pt idx="5">
                  <c:v>61.056536401499997</c:v>
                </c:pt>
                <c:pt idx="6">
                  <c:v>63.788254310299997</c:v>
                </c:pt>
              </c:numCache>
            </c:numRef>
          </c:val>
          <c:extLst>
            <c:ext xmlns:c16="http://schemas.microsoft.com/office/drawing/2014/chart" uri="{C3380CC4-5D6E-409C-BE32-E72D297353CC}">
              <c16:uniqueId val="{00000001-F54A-4EF6-987A-4A5416638284}"/>
            </c:ext>
          </c:extLst>
        </c:ser>
        <c:ser>
          <c:idx val="2"/>
          <c:order val="2"/>
          <c:tx>
            <c:strRef>
              <c:f>'G2.12'!$W$3</c:f>
              <c:strCache>
                <c:ptCount val="1"/>
                <c:pt idx="0">
                  <c:v> ostatní úraz</c:v>
                </c:pt>
              </c:strCache>
            </c:strRef>
          </c:tx>
          <c:spPr>
            <a:solidFill>
              <a:srgbClr val="F07373"/>
            </a:solidFill>
            <a:ln>
              <a:noFill/>
            </a:ln>
            <a:effectLst/>
          </c:spPr>
          <c:invertIfNegative val="0"/>
          <c:cat>
            <c:multiLvlStrRef>
              <c:f>'G2.12'!$S$4:$T$10</c:f>
              <c:multiLvlStrCache>
                <c:ptCount val="7"/>
                <c:lvl>
                  <c:pt idx="2">
                    <c:v>1–49</c:v>
                  </c:pt>
                  <c:pt idx="3">
                    <c:v>50–99</c:v>
                  </c:pt>
                  <c:pt idx="4">
                    <c:v>100–249</c:v>
                  </c:pt>
                  <c:pt idx="5">
                    <c:v>250–499</c:v>
                  </c:pt>
                  <c:pt idx="6">
                    <c:v>500 a více</c:v>
                  </c:pt>
                </c:lvl>
                <c:lvl>
                  <c:pt idx="0">
                    <c:v>CELKEM</c:v>
                  </c:pt>
                  <c:pt idx="1">
                    <c:v>OSVČ</c:v>
                  </c:pt>
                  <c:pt idx="2">
                    <c:v>zaměstnanci (počet)</c:v>
                  </c:pt>
                </c:lvl>
              </c:multiLvlStrCache>
            </c:multiLvlStrRef>
          </c:cat>
          <c:val>
            <c:numRef>
              <c:f>'G2.12'!$W$4:$W$10</c:f>
              <c:numCache>
                <c:formatCode>General</c:formatCode>
                <c:ptCount val="7"/>
                <c:pt idx="0">
                  <c:v>63.778465767599997</c:v>
                </c:pt>
                <c:pt idx="1">
                  <c:v>105.337332718</c:v>
                </c:pt>
                <c:pt idx="2">
                  <c:v>70.244224120200002</c:v>
                </c:pt>
                <c:pt idx="3">
                  <c:v>61.298399949</c:v>
                </c:pt>
                <c:pt idx="4">
                  <c:v>60.610765945099999</c:v>
                </c:pt>
                <c:pt idx="5">
                  <c:v>60.951721055</c:v>
                </c:pt>
                <c:pt idx="6">
                  <c:v>59.223433242500001</c:v>
                </c:pt>
              </c:numCache>
            </c:numRef>
          </c:val>
          <c:extLst>
            <c:ext xmlns:c16="http://schemas.microsoft.com/office/drawing/2014/chart" uri="{C3380CC4-5D6E-409C-BE32-E72D297353CC}">
              <c16:uniqueId val="{00000002-F54A-4EF6-987A-4A5416638284}"/>
            </c:ext>
          </c:extLst>
        </c:ser>
        <c:dLbls>
          <c:showLegendKey val="0"/>
          <c:showVal val="0"/>
          <c:showCatName val="0"/>
          <c:showSerName val="0"/>
          <c:showPercent val="0"/>
          <c:showBubbleSize val="0"/>
        </c:dLbls>
        <c:gapWidth val="219"/>
        <c:axId val="1541395279"/>
        <c:axId val="1541399855"/>
      </c:barChart>
      <c:catAx>
        <c:axId val="15413952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9855"/>
        <c:crosses val="autoZero"/>
        <c:auto val="1"/>
        <c:lblAlgn val="ctr"/>
        <c:lblOffset val="100"/>
        <c:noMultiLvlLbl val="0"/>
      </c:catAx>
      <c:valAx>
        <c:axId val="154139985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dnů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41395279"/>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572058109876751"/>
          <c:y val="3.0087527352297593E-2"/>
          <c:w val="0.44714524037888076"/>
          <c:h val="0.90902173538482745"/>
        </c:manualLayout>
      </c:layout>
      <c:barChart>
        <c:barDir val="bar"/>
        <c:grouping val="clustered"/>
        <c:varyColors val="0"/>
        <c:ser>
          <c:idx val="0"/>
          <c:order val="0"/>
          <c:spPr>
            <a:solidFill>
              <a:srgbClr val="B44946"/>
            </a:solidFill>
            <a:ln>
              <a:noFill/>
            </a:ln>
            <a:effectLst/>
          </c:spPr>
          <c:invertIfNegative val="0"/>
          <c:dPt>
            <c:idx val="9"/>
            <c:invertIfNegative val="0"/>
            <c:bubble3D val="0"/>
            <c:spPr>
              <a:solidFill>
                <a:srgbClr val="632827"/>
              </a:solidFill>
              <a:ln>
                <a:noFill/>
              </a:ln>
              <a:effectLst/>
            </c:spPr>
            <c:extLst>
              <c:ext xmlns:c16="http://schemas.microsoft.com/office/drawing/2014/chart" uri="{C3380CC4-5D6E-409C-BE32-E72D297353CC}">
                <c16:uniqueId val="{00000001-C0A3-4086-A3CD-15853B9597BA}"/>
              </c:ext>
            </c:extLst>
          </c:dPt>
          <c:cat>
            <c:strRef>
              <c:f>'G2.13'!$S$2:$S$21</c:f>
              <c:strCache>
                <c:ptCount val="20"/>
                <c:pt idx="0">
                  <c:v>J – Informační a komunikační činnosti</c:v>
                </c:pt>
                <c:pt idx="1">
                  <c:v>K – Peněžnictví a pojišťovnictví</c:v>
                </c:pt>
                <c:pt idx="2">
                  <c:v>M – Profesní, vědecké a technické činnosti</c:v>
                </c:pt>
                <c:pt idx="3">
                  <c:v>L – Činnosti v oblasti nemovitostí</c:v>
                </c:pt>
                <c:pt idx="4">
                  <c:v>D – Výroba a rozvod elektřiny, plynu, tepla a klimatiz. vzduchu</c:v>
                </c:pt>
                <c:pt idx="5">
                  <c:v>P – Vzdělávání</c:v>
                </c:pt>
                <c:pt idx="6">
                  <c:v>R – Kulturní, zábavní a rekreační činnosti</c:v>
                </c:pt>
                <c:pt idx="7">
                  <c:v>O – Veřejná správa a obrana; povinné sociální zabezpečení</c:v>
                </c:pt>
                <c:pt idx="8">
                  <c:v>S – Ostatní činnosti</c:v>
                </c:pt>
                <c:pt idx="9">
                  <c:v>CELKEM</c:v>
                </c:pt>
                <c:pt idx="10">
                  <c:v>F – Stavebnictví</c:v>
                </c:pt>
                <c:pt idx="11">
                  <c:v>G – Velkoobchod a maloobchod; opravy a údržba motor. vozidel</c:v>
                </c:pt>
                <c:pt idx="12">
                  <c:v>H – Doprava a skladování</c:v>
                </c:pt>
                <c:pt idx="13">
                  <c:v>A – Zemědělství, lesnictví, rybářství</c:v>
                </c:pt>
                <c:pt idx="14">
                  <c:v>E – Zásobování vodou; činnosti související s odpady a sanacemi</c:v>
                </c:pt>
                <c:pt idx="15">
                  <c:v>Q – Zdravotní a sociální péče</c:v>
                </c:pt>
                <c:pt idx="16">
                  <c:v>I – Ubytování, stravování a pohostinství</c:v>
                </c:pt>
                <c:pt idx="17">
                  <c:v>N – Administrativní a podpůrné činnosti</c:v>
                </c:pt>
                <c:pt idx="18">
                  <c:v>C – Zpracovatelský průmysl</c:v>
                </c:pt>
                <c:pt idx="19">
                  <c:v>B – Těžba a dobývání</c:v>
                </c:pt>
              </c:strCache>
            </c:strRef>
          </c:cat>
          <c:val>
            <c:numRef>
              <c:f>'G2.13'!$T$2:$T$21</c:f>
              <c:numCache>
                <c:formatCode>General</c:formatCode>
                <c:ptCount val="20"/>
                <c:pt idx="0">
                  <c:v>1.8666076479E-2</c:v>
                </c:pt>
                <c:pt idx="1">
                  <c:v>2.7255960013E-2</c:v>
                </c:pt>
                <c:pt idx="2">
                  <c:v>2.7847228756999999E-2</c:v>
                </c:pt>
                <c:pt idx="3">
                  <c:v>3.1065736595000001E-2</c:v>
                </c:pt>
                <c:pt idx="4">
                  <c:v>3.2750577124999999E-2</c:v>
                </c:pt>
                <c:pt idx="5">
                  <c:v>3.3051545456999995E-2</c:v>
                </c:pt>
                <c:pt idx="6">
                  <c:v>3.6810939875000004E-2</c:v>
                </c:pt>
                <c:pt idx="7">
                  <c:v>3.8680691770000004E-2</c:v>
                </c:pt>
                <c:pt idx="8">
                  <c:v>4.7519799101000001E-2</c:v>
                </c:pt>
                <c:pt idx="9">
                  <c:v>5.4900376425000001E-2</c:v>
                </c:pt>
                <c:pt idx="10">
                  <c:v>5.5411536011999996E-2</c:v>
                </c:pt>
                <c:pt idx="11">
                  <c:v>5.6884286302000001E-2</c:v>
                </c:pt>
                <c:pt idx="12">
                  <c:v>5.8182674648999996E-2</c:v>
                </c:pt>
                <c:pt idx="13">
                  <c:v>5.8414066818999993E-2</c:v>
                </c:pt>
                <c:pt idx="14">
                  <c:v>5.8606867843000003E-2</c:v>
                </c:pt>
                <c:pt idx="15">
                  <c:v>5.868391387E-2</c:v>
                </c:pt>
                <c:pt idx="16">
                  <c:v>6.4765197195999991E-2</c:v>
                </c:pt>
                <c:pt idx="17">
                  <c:v>6.7763634015999996E-2</c:v>
                </c:pt>
                <c:pt idx="18">
                  <c:v>7.3053382446999993E-2</c:v>
                </c:pt>
                <c:pt idx="19">
                  <c:v>7.8621815568000006E-2</c:v>
                </c:pt>
              </c:numCache>
            </c:numRef>
          </c:val>
          <c:extLst>
            <c:ext xmlns:c16="http://schemas.microsoft.com/office/drawing/2014/chart" uri="{C3380CC4-5D6E-409C-BE32-E72D297353CC}">
              <c16:uniqueId val="{00000002-C0A3-4086-A3CD-15853B9597BA}"/>
            </c:ext>
          </c:extLst>
        </c:ser>
        <c:dLbls>
          <c:showLegendKey val="0"/>
          <c:showVal val="0"/>
          <c:showCatName val="0"/>
          <c:showSerName val="0"/>
          <c:showPercent val="0"/>
          <c:showBubbleSize val="0"/>
        </c:dLbls>
        <c:gapWidth val="182"/>
        <c:axId val="1399942447"/>
        <c:axId val="1399957007"/>
      </c:barChart>
      <c:catAx>
        <c:axId val="139994244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57007"/>
        <c:crosses val="autoZero"/>
        <c:auto val="1"/>
        <c:lblAlgn val="ctr"/>
        <c:lblOffset val="100"/>
        <c:noMultiLvlLbl val="0"/>
      </c:catAx>
      <c:valAx>
        <c:axId val="1399957007"/>
        <c:scaling>
          <c:orientation val="minMax"/>
          <c:max val="8.0000000000000016E-2"/>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2447"/>
        <c:crosses val="autoZero"/>
        <c:crossBetween val="between"/>
        <c:majorUnit val="1.0000000000000002E-2"/>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1"/>
          <c:order val="0"/>
          <c:tx>
            <c:strRef>
              <c:f>'G2.14'!$T$1</c:f>
              <c:strCache>
                <c:ptCount val="1"/>
                <c:pt idx="0">
                  <c:v> 2019</c:v>
                </c:pt>
              </c:strCache>
            </c:strRef>
          </c:tx>
          <c:spPr>
            <a:solidFill>
              <a:srgbClr val="B44946"/>
            </a:solidFill>
            <a:ln>
              <a:noFill/>
            </a:ln>
            <a:effectLst/>
          </c:spPr>
          <c:invertIfNegative val="0"/>
          <c:dPt>
            <c:idx val="3"/>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7BBA-407A-A8B8-E7322422543C}"/>
              </c:ext>
            </c:extLst>
          </c:dPt>
          <c:val>
            <c:numRef>
              <c:f>'G2.14'!$T$2:$T$16</c:f>
              <c:numCache>
                <c:formatCode>0.0000</c:formatCode>
                <c:ptCount val="15"/>
                <c:pt idx="0">
                  <c:v>3.56E-2</c:v>
                </c:pt>
                <c:pt idx="1">
                  <c:v>4.6100000000000002E-2</c:v>
                </c:pt>
                <c:pt idx="2">
                  <c:v>4.8000000000000001E-2</c:v>
                </c:pt>
                <c:pt idx="3">
                  <c:v>4.7E-2</c:v>
                </c:pt>
                <c:pt idx="4">
                  <c:v>4.9500000000000002E-2</c:v>
                </c:pt>
                <c:pt idx="5">
                  <c:v>5.0900000000000001E-2</c:v>
                </c:pt>
                <c:pt idx="6">
                  <c:v>4.9000000000000002E-2</c:v>
                </c:pt>
                <c:pt idx="7">
                  <c:v>5.0300000000000004E-2</c:v>
                </c:pt>
                <c:pt idx="8">
                  <c:v>5.04E-2</c:v>
                </c:pt>
                <c:pt idx="9">
                  <c:v>0.05</c:v>
                </c:pt>
                <c:pt idx="10">
                  <c:v>5.3399999999999996E-2</c:v>
                </c:pt>
                <c:pt idx="11">
                  <c:v>5.3499999999999999E-2</c:v>
                </c:pt>
                <c:pt idx="12">
                  <c:v>5.2900000000000003E-2</c:v>
                </c:pt>
                <c:pt idx="13">
                  <c:v>5.7500000000000002E-2</c:v>
                </c:pt>
                <c:pt idx="14">
                  <c:v>5.5999999999999994E-2</c:v>
                </c:pt>
              </c:numCache>
            </c:numRef>
          </c:val>
          <c:extLst>
            <c:ext xmlns:c16="http://schemas.microsoft.com/office/drawing/2014/chart" uri="{C3380CC4-5D6E-409C-BE32-E72D297353CC}">
              <c16:uniqueId val="{00000002-7BBA-407A-A8B8-E7322422543C}"/>
            </c:ext>
          </c:extLst>
        </c:ser>
        <c:ser>
          <c:idx val="0"/>
          <c:order val="1"/>
          <c:tx>
            <c:strRef>
              <c:f>'G2.14'!$S$1</c:f>
              <c:strCache>
                <c:ptCount val="1"/>
                <c:pt idx="0">
                  <c:v> 2020</c:v>
                </c:pt>
              </c:strCache>
            </c:strRef>
          </c:tx>
          <c:spPr>
            <a:solidFill>
              <a:srgbClr val="632827"/>
            </a:solidFill>
            <a:ln>
              <a:noFill/>
            </a:ln>
            <a:effectLst/>
          </c:spPr>
          <c:invertIfNegative val="0"/>
          <c:dPt>
            <c:idx val="3"/>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7BBA-407A-A8B8-E7322422543C}"/>
              </c:ext>
            </c:extLst>
          </c:dPt>
          <c:cat>
            <c:strRef>
              <c:f>'G2.14'!$R$2:$R$16</c:f>
              <c:strCache>
                <c:ptCount val="15"/>
                <c:pt idx="0">
                  <c:v>Hlavní město Praha</c:v>
                </c:pt>
                <c:pt idx="1">
                  <c:v>Jihomoravský kraj</c:v>
                </c:pt>
                <c:pt idx="2">
                  <c:v>Středočeský kraj</c:v>
                </c:pt>
                <c:pt idx="3">
                  <c:v>ČR CELKEM</c:v>
                </c:pt>
                <c:pt idx="4">
                  <c:v>Pardubický kraj</c:v>
                </c:pt>
                <c:pt idx="5">
                  <c:v>Ústecký kraj</c:v>
                </c:pt>
                <c:pt idx="6">
                  <c:v>Královéhradecký kraj</c:v>
                </c:pt>
                <c:pt idx="7">
                  <c:v>Plzeňský kraj</c:v>
                </c:pt>
                <c:pt idx="8">
                  <c:v>Karlovarský kraj</c:v>
                </c:pt>
                <c:pt idx="9">
                  <c:v>Olomoucký kraj</c:v>
                </c:pt>
                <c:pt idx="10">
                  <c:v>Jihočeský kraj</c:v>
                </c:pt>
                <c:pt idx="11">
                  <c:v>Kraj Vysočina</c:v>
                </c:pt>
                <c:pt idx="12">
                  <c:v>Liberecký kraj</c:v>
                </c:pt>
                <c:pt idx="13">
                  <c:v>Moravskoslezský kraj</c:v>
                </c:pt>
                <c:pt idx="14">
                  <c:v>Zlínský kraj</c:v>
                </c:pt>
              </c:strCache>
            </c:strRef>
          </c:cat>
          <c:val>
            <c:numRef>
              <c:f>'G2.14'!$S$2:$S$16</c:f>
              <c:numCache>
                <c:formatCode>General</c:formatCode>
                <c:ptCount val="15"/>
                <c:pt idx="0">
                  <c:v>3.9422654361000002E-2</c:v>
                </c:pt>
                <c:pt idx="1">
                  <c:v>5.4370714958999998E-2</c:v>
                </c:pt>
                <c:pt idx="2">
                  <c:v>5.4526806212999997E-2</c:v>
                </c:pt>
                <c:pt idx="3">
                  <c:v>5.4900376425000001E-2</c:v>
                </c:pt>
                <c:pt idx="4">
                  <c:v>5.6804854019000005E-2</c:v>
                </c:pt>
                <c:pt idx="5">
                  <c:v>5.8233244182000002E-2</c:v>
                </c:pt>
                <c:pt idx="6">
                  <c:v>5.8587022161000001E-2</c:v>
                </c:pt>
                <c:pt idx="7">
                  <c:v>5.8718541084999999E-2</c:v>
                </c:pt>
                <c:pt idx="8">
                  <c:v>5.9170069651999994E-2</c:v>
                </c:pt>
                <c:pt idx="9">
                  <c:v>6.0483869954999998E-2</c:v>
                </c:pt>
                <c:pt idx="10">
                  <c:v>6.1980986336999999E-2</c:v>
                </c:pt>
                <c:pt idx="11">
                  <c:v>6.382541328800001E-2</c:v>
                </c:pt>
                <c:pt idx="12">
                  <c:v>6.5061799544000001E-2</c:v>
                </c:pt>
                <c:pt idx="13">
                  <c:v>6.9956948889999995E-2</c:v>
                </c:pt>
                <c:pt idx="14">
                  <c:v>7.0417096274000002E-2</c:v>
                </c:pt>
              </c:numCache>
            </c:numRef>
          </c:val>
          <c:extLst>
            <c:ext xmlns:c16="http://schemas.microsoft.com/office/drawing/2014/chart" uri="{C3380CC4-5D6E-409C-BE32-E72D297353CC}">
              <c16:uniqueId val="{00000005-7BBA-407A-A8B8-E7322422543C}"/>
            </c:ext>
          </c:extLst>
        </c:ser>
        <c:dLbls>
          <c:showLegendKey val="0"/>
          <c:showVal val="0"/>
          <c:showCatName val="0"/>
          <c:showSerName val="0"/>
          <c:showPercent val="0"/>
          <c:showBubbleSize val="0"/>
        </c:dLbls>
        <c:gapWidth val="182"/>
        <c:axId val="1315665151"/>
        <c:axId val="1315656415"/>
      </c:barChart>
      <c:catAx>
        <c:axId val="13156651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6415"/>
        <c:crosses val="autoZero"/>
        <c:auto val="1"/>
        <c:lblAlgn val="ctr"/>
        <c:lblOffset val="100"/>
        <c:noMultiLvlLbl val="0"/>
      </c:catAx>
      <c:valAx>
        <c:axId val="1315656415"/>
        <c:scaling>
          <c:orientation val="minMax"/>
          <c:max val="8.0000000000000016E-2"/>
          <c:min val="0"/>
        </c:scaling>
        <c:delete val="0"/>
        <c:axPos val="b"/>
        <c:majorGridlines>
          <c:spPr>
            <a:ln w="9525" cap="flat" cmpd="sng" algn="ctr">
              <a:solidFill>
                <a:schemeClr val="tx1">
                  <a:lumMod val="15000"/>
                  <a:lumOff val="85000"/>
                </a:schemeClr>
              </a:solidFill>
              <a:round/>
            </a:ln>
            <a:effectLst/>
          </c:spPr>
        </c:majorGridlines>
        <c:numFmt formatCode="0\ %"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65151"/>
        <c:crosses val="autoZero"/>
        <c:crossBetween val="between"/>
        <c:maj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rgbClr val="4E201E"/>
              </a:solidFill>
              <a:ln w="19050">
                <a:solidFill>
                  <a:schemeClr val="lt1"/>
                </a:solidFill>
              </a:ln>
              <a:effectLst/>
            </c:spPr>
            <c:extLst>
              <c:ext xmlns:c16="http://schemas.microsoft.com/office/drawing/2014/chart" uri="{C3380CC4-5D6E-409C-BE32-E72D297353CC}">
                <c16:uniqueId val="{00000001-3A90-4971-A56A-B48AEFC0FB5A}"/>
              </c:ext>
            </c:extLst>
          </c:dPt>
          <c:dPt>
            <c:idx val="1"/>
            <c:bubble3D val="0"/>
            <c:spPr>
              <a:solidFill>
                <a:srgbClr val="722F2C"/>
              </a:solidFill>
              <a:ln w="19050">
                <a:solidFill>
                  <a:schemeClr val="lt1"/>
                </a:solidFill>
              </a:ln>
              <a:effectLst/>
            </c:spPr>
            <c:extLst>
              <c:ext xmlns:c16="http://schemas.microsoft.com/office/drawing/2014/chart" uri="{C3380CC4-5D6E-409C-BE32-E72D297353CC}">
                <c16:uniqueId val="{00000003-3A90-4971-A56A-B48AEFC0FB5A}"/>
              </c:ext>
            </c:extLst>
          </c:dPt>
          <c:dPt>
            <c:idx val="2"/>
            <c:bubble3D val="0"/>
            <c:spPr>
              <a:solidFill>
                <a:srgbClr val="9A403C"/>
              </a:solidFill>
              <a:ln w="19050">
                <a:solidFill>
                  <a:schemeClr val="lt1"/>
                </a:solidFill>
              </a:ln>
              <a:effectLst/>
            </c:spPr>
            <c:extLst>
              <c:ext xmlns:c16="http://schemas.microsoft.com/office/drawing/2014/chart" uri="{C3380CC4-5D6E-409C-BE32-E72D297353CC}">
                <c16:uniqueId val="{00000005-3A90-4971-A56A-B48AEFC0FB5A}"/>
              </c:ext>
            </c:extLst>
          </c:dPt>
          <c:dPt>
            <c:idx val="3"/>
            <c:bubble3D val="0"/>
            <c:spPr>
              <a:solidFill>
                <a:srgbClr val="C36969"/>
              </a:solidFill>
              <a:ln w="19050">
                <a:solidFill>
                  <a:schemeClr val="lt1"/>
                </a:solidFill>
              </a:ln>
              <a:effectLst/>
            </c:spPr>
            <c:extLst>
              <c:ext xmlns:c16="http://schemas.microsoft.com/office/drawing/2014/chart" uri="{C3380CC4-5D6E-409C-BE32-E72D297353CC}">
                <c16:uniqueId val="{00000007-3A90-4971-A56A-B48AEFC0FB5A}"/>
              </c:ext>
            </c:extLst>
          </c:dPt>
          <c:dPt>
            <c:idx val="4"/>
            <c:bubble3D val="0"/>
            <c:spPr>
              <a:solidFill>
                <a:srgbClr val="F07373"/>
              </a:solidFill>
              <a:ln w="19050">
                <a:solidFill>
                  <a:schemeClr val="lt1"/>
                </a:solidFill>
              </a:ln>
              <a:effectLst/>
            </c:spPr>
            <c:extLst>
              <c:ext xmlns:c16="http://schemas.microsoft.com/office/drawing/2014/chart" uri="{C3380CC4-5D6E-409C-BE32-E72D297353CC}">
                <c16:uniqueId val="{00000009-3A90-4971-A56A-B48AEFC0FB5A}"/>
              </c:ext>
            </c:extLst>
          </c:dPt>
          <c:dPt>
            <c:idx val="5"/>
            <c:bubble3D val="0"/>
            <c:spPr>
              <a:solidFill>
                <a:srgbClr val="D79895"/>
              </a:solidFill>
              <a:ln w="19050">
                <a:solidFill>
                  <a:schemeClr val="lt1"/>
                </a:solidFill>
              </a:ln>
              <a:effectLst/>
            </c:spPr>
            <c:extLst>
              <c:ext xmlns:c16="http://schemas.microsoft.com/office/drawing/2014/chart" uri="{C3380CC4-5D6E-409C-BE32-E72D297353CC}">
                <c16:uniqueId val="{0000000B-3A90-4971-A56A-B48AEFC0FB5A}"/>
              </c:ext>
            </c:extLst>
          </c:dPt>
          <c:dPt>
            <c:idx val="6"/>
            <c:bubble3D val="0"/>
            <c:spPr>
              <a:solidFill>
                <a:srgbClr val="FA9696"/>
              </a:solidFill>
              <a:ln w="19050">
                <a:solidFill>
                  <a:schemeClr val="lt1"/>
                </a:solidFill>
              </a:ln>
              <a:effectLst/>
            </c:spPr>
            <c:extLst>
              <c:ext xmlns:c16="http://schemas.microsoft.com/office/drawing/2014/chart" uri="{C3380CC4-5D6E-409C-BE32-E72D297353CC}">
                <c16:uniqueId val="{0000000D-3A90-4971-A56A-B48AEFC0FB5A}"/>
              </c:ext>
            </c:extLst>
          </c:dPt>
          <c:dPt>
            <c:idx val="7"/>
            <c:bubble3D val="0"/>
            <c:spPr>
              <a:solidFill>
                <a:srgbClr val="E2B6B4"/>
              </a:solidFill>
              <a:ln w="19050">
                <a:solidFill>
                  <a:schemeClr val="lt1"/>
                </a:solidFill>
              </a:ln>
              <a:effectLst/>
            </c:spPr>
            <c:extLst>
              <c:ext xmlns:c16="http://schemas.microsoft.com/office/drawing/2014/chart" uri="{C3380CC4-5D6E-409C-BE32-E72D297353CC}">
                <c16:uniqueId val="{0000000F-3A90-4971-A56A-B48AEFC0FB5A}"/>
              </c:ext>
            </c:extLst>
          </c:dPt>
          <c:dPt>
            <c:idx val="8"/>
            <c:bubble3D val="0"/>
            <c:spPr>
              <a:solidFill>
                <a:srgbClr val="EBCDCB"/>
              </a:solidFill>
              <a:ln w="19050">
                <a:solidFill>
                  <a:schemeClr val="lt1"/>
                </a:solidFill>
              </a:ln>
              <a:effectLst/>
            </c:spPr>
            <c:extLst>
              <c:ext xmlns:c16="http://schemas.microsoft.com/office/drawing/2014/chart" uri="{C3380CC4-5D6E-409C-BE32-E72D297353CC}">
                <c16:uniqueId val="{00000011-3A90-4971-A56A-B48AEFC0FB5A}"/>
              </c:ext>
            </c:extLst>
          </c:dPt>
          <c:dPt>
            <c:idx val="9"/>
            <c:bubble3D val="0"/>
            <c:spPr>
              <a:solidFill>
                <a:srgbClr val="F6E7E6"/>
              </a:solidFill>
              <a:ln w="19050">
                <a:solidFill>
                  <a:schemeClr val="lt1"/>
                </a:solidFill>
              </a:ln>
              <a:effectLst/>
            </c:spPr>
            <c:extLst>
              <c:ext xmlns:c16="http://schemas.microsoft.com/office/drawing/2014/chart" uri="{C3380CC4-5D6E-409C-BE32-E72D297353CC}">
                <c16:uniqueId val="{00000013-3A90-4971-A56A-B48AEFC0FB5A}"/>
              </c:ext>
            </c:extLst>
          </c:dPt>
          <c:dPt>
            <c:idx val="10"/>
            <c:bubble3D val="0"/>
            <c:spPr>
              <a:solidFill>
                <a:srgbClr val="D9D9D9"/>
              </a:solidFill>
              <a:ln w="19050">
                <a:solidFill>
                  <a:schemeClr val="lt1"/>
                </a:solidFill>
              </a:ln>
              <a:effectLst/>
            </c:spPr>
            <c:extLst>
              <c:ext xmlns:c16="http://schemas.microsoft.com/office/drawing/2014/chart" uri="{C3380CC4-5D6E-409C-BE32-E72D297353CC}">
                <c16:uniqueId val="{00000015-3A90-4971-A56A-B48AEFC0FB5A}"/>
              </c:ext>
            </c:extLst>
          </c:dPt>
          <c:dPt>
            <c:idx val="11"/>
            <c:bubble3D val="0"/>
            <c:spPr>
              <a:solidFill>
                <a:srgbClr val="BFBFBF"/>
              </a:solidFill>
              <a:ln w="19050">
                <a:solidFill>
                  <a:schemeClr val="lt1"/>
                </a:solidFill>
              </a:ln>
              <a:effectLst/>
            </c:spPr>
            <c:extLst>
              <c:ext xmlns:c16="http://schemas.microsoft.com/office/drawing/2014/chart" uri="{C3380CC4-5D6E-409C-BE32-E72D297353CC}">
                <c16:uniqueId val="{00000017-3A90-4971-A56A-B48AEFC0FB5A}"/>
              </c:ext>
            </c:extLst>
          </c:dPt>
          <c:dLbls>
            <c:dLbl>
              <c:idx val="0"/>
              <c:layout>
                <c:manualLayout>
                  <c:x val="-5.1739260440546199E-2"/>
                  <c:y val="-4.8732248684009598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4000832772897662"/>
                      <c:h val="0.12083720930232558"/>
                    </c:manualLayout>
                  </c15:layout>
                </c:ext>
                <c:ext xmlns:c16="http://schemas.microsoft.com/office/drawing/2014/chart" uri="{C3380CC4-5D6E-409C-BE32-E72D297353CC}">
                  <c16:uniqueId val="{00000001-3A90-4971-A56A-B48AEFC0FB5A}"/>
                </c:ext>
              </c:extLst>
            </c:dLbl>
            <c:dLbl>
              <c:idx val="1"/>
              <c:layout>
                <c:manualLayout>
                  <c:x val="-4.1502386387217262E-3"/>
                  <c:y val="1.5363933166890723E-2"/>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A90-4971-A56A-B48AEFC0FB5A}"/>
                </c:ext>
              </c:extLst>
            </c:dLbl>
            <c:dLbl>
              <c:idx val="2"/>
              <c:layout>
                <c:manualLayout>
                  <c:x val="5.1877166007910838E-3"/>
                  <c:y val="5.7412114824229648E-3"/>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6.8074207574022105E-2"/>
                      <c:h val="0.12825043211062032"/>
                    </c:manualLayout>
                  </c15:layout>
                </c:ext>
                <c:ext xmlns:c16="http://schemas.microsoft.com/office/drawing/2014/chart" uri="{C3380CC4-5D6E-409C-BE32-E72D297353CC}">
                  <c16:uniqueId val="{00000005-3A90-4971-A56A-B48AEFC0FB5A}"/>
                </c:ext>
              </c:extLst>
            </c:dLbl>
            <c:dLbl>
              <c:idx val="3"/>
              <c:layout>
                <c:manualLayout>
                  <c:x val="3.7875012458885677E-3"/>
                  <c:y val="-1.4801395456449449E-3"/>
                </c:manualLayout>
              </c:layout>
              <c:numFmt formatCode="0\ %" sourceLinked="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extLst>
                <c:ext xmlns:c15="http://schemas.microsoft.com/office/drawing/2012/chart" uri="{CE6537A1-D6FC-4f65-9D91-7224C49458BB}">
                  <c15:layout>
                    <c:manualLayout>
                      <c:w val="0.1047404221805746"/>
                      <c:h val="0.17165021647116466"/>
                    </c:manualLayout>
                  </c15:layout>
                </c:ext>
                <c:ext xmlns:c16="http://schemas.microsoft.com/office/drawing/2014/chart" uri="{C3380CC4-5D6E-409C-BE32-E72D297353CC}">
                  <c16:uniqueId val="{00000007-3A90-4971-A56A-B48AEFC0FB5A}"/>
                </c:ext>
              </c:extLst>
            </c:dLbl>
            <c:dLbl>
              <c:idx val="4"/>
              <c:layout>
                <c:manualLayout>
                  <c:x val="-5.2950672616431348E-2"/>
                  <c:y val="0.183546074409221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A90-4971-A56A-B48AEFC0FB5A}"/>
                </c:ext>
              </c:extLst>
            </c:dLbl>
            <c:dLbl>
              <c:idx val="5"/>
              <c:layout>
                <c:manualLayout>
                  <c:x val="-0.20043365091917983"/>
                  <c:y val="0.1945092085306121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3A90-4971-A56A-B48AEFC0FB5A}"/>
                </c:ext>
              </c:extLst>
            </c:dLbl>
            <c:dLbl>
              <c:idx val="6"/>
              <c:layout>
                <c:manualLayout>
                  <c:x val="-0.17950648107148051"/>
                  <c:y val="0.124351380410077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3A90-4971-A56A-B48AEFC0FB5A}"/>
                </c:ext>
              </c:extLst>
            </c:dLbl>
            <c:dLbl>
              <c:idx val="7"/>
              <c:layout>
                <c:manualLayout>
                  <c:x val="-0.20765686349799758"/>
                  <c:y val="4.947246967664666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3A90-4971-A56A-B48AEFC0FB5A}"/>
                </c:ext>
              </c:extLst>
            </c:dLbl>
            <c:dLbl>
              <c:idx val="8"/>
              <c:layout>
                <c:manualLayout>
                  <c:x val="-0.17587942018219976"/>
                  <c:y val="-2.7906976744186046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3A90-4971-A56A-B48AEFC0FB5A}"/>
                </c:ext>
              </c:extLst>
            </c:dLbl>
            <c:dLbl>
              <c:idx val="9"/>
              <c:layout>
                <c:manualLayout>
                  <c:x val="-0.20268009373377302"/>
                  <c:y val="-9.612403100775199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3A90-4971-A56A-B48AEFC0FB5A}"/>
                </c:ext>
              </c:extLst>
            </c:dLbl>
            <c:dLbl>
              <c:idx val="10"/>
              <c:layout>
                <c:manualLayout>
                  <c:x val="-0.19095479905495971"/>
                  <c:y val="-0.16124031007751938"/>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3A90-4971-A56A-B48AEFC0FB5A}"/>
                </c:ext>
              </c:extLst>
            </c:dLbl>
            <c:dLbl>
              <c:idx val="11"/>
              <c:layout>
                <c:manualLayout>
                  <c:x val="3.1126789790412872E-2"/>
                  <c:y val="-2.304589975033608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7-3A90-4971-A56A-B48AEFC0FB5A}"/>
                </c:ext>
              </c:extLst>
            </c:dLbl>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'G3.1'!$A$17:$A$28</c:f>
              <c:strCache>
                <c:ptCount val="12"/>
                <c:pt idx="0">
                  <c:v>nemoci dýchací soustavy</c:v>
                </c:pt>
                <c:pt idx="1">
                  <c:v>nemoci pohybové soustavy</c:v>
                </c:pt>
                <c:pt idx="2">
                  <c:v>úrazy, otravy</c:v>
                </c:pt>
                <c:pt idx="3">
                  <c:v>nemoci trávicí soustavy</c:v>
                </c:pt>
                <c:pt idx="4">
                  <c:v>nemoci močové a pohlavní soustavy</c:v>
                </c:pt>
                <c:pt idx="5">
                  <c:v>nemoci duševní</c:v>
                </c:pt>
                <c:pt idx="6">
                  <c:v>nemoci oběhové soustavy</c:v>
                </c:pt>
                <c:pt idx="7">
                  <c:v>těhotenství, porod, šestinedělí</c:v>
                </c:pt>
                <c:pt idx="8">
                  <c:v>nemoci nervové soustavy</c:v>
                </c:pt>
                <c:pt idx="9">
                  <c:v>nemoci kůže</c:v>
                </c:pt>
                <c:pt idx="10">
                  <c:v>zhoubné novotvary</c:v>
                </c:pt>
                <c:pt idx="11">
                  <c:v>nemoci ostatní</c:v>
                </c:pt>
              </c:strCache>
            </c:strRef>
          </c:cat>
          <c:val>
            <c:numRef>
              <c:f>'G3.1'!$C$17:$C$28</c:f>
              <c:numCache>
                <c:formatCode>General</c:formatCode>
                <c:ptCount val="12"/>
                <c:pt idx="0">
                  <c:v>0.29427705840217672</c:v>
                </c:pt>
                <c:pt idx="1">
                  <c:v>0.16944387162760444</c:v>
                </c:pt>
                <c:pt idx="2">
                  <c:v>7.7716979264805447E-2</c:v>
                </c:pt>
                <c:pt idx="3">
                  <c:v>5.3080284409737312E-2</c:v>
                </c:pt>
                <c:pt idx="4">
                  <c:v>3.0852762723473044E-2</c:v>
                </c:pt>
                <c:pt idx="5">
                  <c:v>2.1478960280032593E-2</c:v>
                </c:pt>
                <c:pt idx="6">
                  <c:v>2.0932689201402257E-2</c:v>
                </c:pt>
                <c:pt idx="7">
                  <c:v>1.3985934718644236E-2</c:v>
                </c:pt>
                <c:pt idx="8">
                  <c:v>1.2433879618944314E-2</c:v>
                </c:pt>
                <c:pt idx="9">
                  <c:v>1.232096325073581E-2</c:v>
                </c:pt>
                <c:pt idx="10">
                  <c:v>6.2243513085437577E-3</c:v>
                </c:pt>
                <c:pt idx="11">
                  <c:v>0.28725226519390007</c:v>
                </c:pt>
              </c:numCache>
            </c:numRef>
          </c:val>
          <c:extLst>
            <c:ext xmlns:c16="http://schemas.microsoft.com/office/drawing/2014/chart" uri="{C3380CC4-5D6E-409C-BE32-E72D297353CC}">
              <c16:uniqueId val="{00000018-3A90-4971-A56A-B48AEFC0FB5A}"/>
            </c:ext>
          </c:extLst>
        </c:ser>
        <c:dLbls>
          <c:showLegendKey val="0"/>
          <c:showVal val="0"/>
          <c:showCatName val="0"/>
          <c:showSerName val="0"/>
          <c:showPercent val="0"/>
          <c:showBubbleSize val="0"/>
          <c:showLeaderLines val="1"/>
        </c:dLbls>
        <c:firstSliceAng val="0"/>
        <c:holeSize val="50"/>
      </c:doughnut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'G1.1'!$A$30</c:f>
              <c:strCache>
                <c:ptCount val="1"/>
                <c:pt idx="0">
                  <c:v>500 a více zaměstnanců</c:v>
                </c:pt>
              </c:strCache>
            </c:strRef>
          </c:tx>
          <c:spPr>
            <a:solidFill>
              <a:srgbClr val="E8C1BE"/>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2010</c:v>
                </c:pt>
                <c:pt idx="1">
                  <c:v>2015</c:v>
                </c:pt>
                <c:pt idx="2">
                  <c:v>2020</c:v>
                </c:pt>
              </c:numCache>
            </c:numRef>
          </c:cat>
          <c:val>
            <c:numRef>
              <c:f>'G1.1'!$B$30:$D$30</c:f>
              <c:numCache>
                <c:formatCode>#\ ###\ ###\ ##0</c:formatCode>
                <c:ptCount val="3"/>
                <c:pt idx="0">
                  <c:v>1216.23</c:v>
                </c:pt>
                <c:pt idx="1">
                  <c:v>1487.269</c:v>
                </c:pt>
                <c:pt idx="2" formatCode="General">
                  <c:v>1533.9754135000001</c:v>
                </c:pt>
              </c:numCache>
            </c:numRef>
          </c:val>
          <c:extLst>
            <c:ext xmlns:c16="http://schemas.microsoft.com/office/drawing/2014/chart" uri="{C3380CC4-5D6E-409C-BE32-E72D297353CC}">
              <c16:uniqueId val="{00000000-08AE-49C2-8BF0-D79C78C2120C}"/>
            </c:ext>
          </c:extLst>
        </c:ser>
        <c:ser>
          <c:idx val="1"/>
          <c:order val="1"/>
          <c:tx>
            <c:strRef>
              <c:f>'G1.1'!$A$31</c:f>
              <c:strCache>
                <c:ptCount val="1"/>
                <c:pt idx="0">
                  <c:v>250–499 zaměstnanců</c:v>
                </c:pt>
              </c:strCache>
            </c:strRef>
          </c:tx>
          <c:spPr>
            <a:solidFill>
              <a:srgbClr val="F0737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2010</c:v>
                </c:pt>
                <c:pt idx="1">
                  <c:v>2015</c:v>
                </c:pt>
                <c:pt idx="2">
                  <c:v>2020</c:v>
                </c:pt>
              </c:numCache>
            </c:numRef>
          </c:cat>
          <c:val>
            <c:numRef>
              <c:f>'G1.1'!$B$31:$D$31</c:f>
              <c:numCache>
                <c:formatCode>#\ ###\ ###\ ##0</c:formatCode>
                <c:ptCount val="3"/>
                <c:pt idx="0">
                  <c:v>391.74400000000003</c:v>
                </c:pt>
                <c:pt idx="1">
                  <c:v>425.58199999999999</c:v>
                </c:pt>
                <c:pt idx="2" formatCode="General">
                  <c:v>450.19357179999997</c:v>
                </c:pt>
              </c:numCache>
            </c:numRef>
          </c:val>
          <c:extLst>
            <c:ext xmlns:c16="http://schemas.microsoft.com/office/drawing/2014/chart" uri="{C3380CC4-5D6E-409C-BE32-E72D297353CC}">
              <c16:uniqueId val="{00000001-08AE-49C2-8BF0-D79C78C2120C}"/>
            </c:ext>
          </c:extLst>
        </c:ser>
        <c:ser>
          <c:idx val="2"/>
          <c:order val="2"/>
          <c:tx>
            <c:strRef>
              <c:f>'G1.1'!$A$32</c:f>
              <c:strCache>
                <c:ptCount val="1"/>
                <c:pt idx="0">
                  <c:v> 50–249 zaměstnanců</c:v>
                </c:pt>
              </c:strCache>
            </c:strRef>
          </c:tx>
          <c:spPr>
            <a:solidFill>
              <a:srgbClr val="C36969"/>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2010</c:v>
                </c:pt>
                <c:pt idx="1">
                  <c:v>2015</c:v>
                </c:pt>
                <c:pt idx="2">
                  <c:v>2020</c:v>
                </c:pt>
              </c:numCache>
            </c:numRef>
          </c:cat>
          <c:val>
            <c:numRef>
              <c:f>'G1.1'!$B$32:$D$32</c:f>
              <c:numCache>
                <c:formatCode>#\ ###\ ###\ ##0</c:formatCode>
                <c:ptCount val="3"/>
                <c:pt idx="0" formatCode="General">
                  <c:v>1017.123</c:v>
                </c:pt>
                <c:pt idx="1">
                  <c:v>1052.037</c:v>
                </c:pt>
                <c:pt idx="2" formatCode="General">
                  <c:v>1117.2934514000001</c:v>
                </c:pt>
              </c:numCache>
            </c:numRef>
          </c:val>
          <c:extLst>
            <c:ext xmlns:c16="http://schemas.microsoft.com/office/drawing/2014/chart" uri="{C3380CC4-5D6E-409C-BE32-E72D297353CC}">
              <c16:uniqueId val="{00000002-08AE-49C2-8BF0-D79C78C2120C}"/>
            </c:ext>
          </c:extLst>
        </c:ser>
        <c:ser>
          <c:idx val="3"/>
          <c:order val="3"/>
          <c:tx>
            <c:strRef>
              <c:f>'G1.1'!$A$33</c:f>
              <c:strCache>
                <c:ptCount val="1"/>
                <c:pt idx="0">
                  <c:v> 1–49 zaměstnanců</c:v>
                </c:pt>
              </c:strCache>
            </c:strRef>
          </c:tx>
          <c:spPr>
            <a:solidFill>
              <a:srgbClr val="9A403C"/>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2010</c:v>
                </c:pt>
                <c:pt idx="1">
                  <c:v>2015</c:v>
                </c:pt>
                <c:pt idx="2">
                  <c:v>2020</c:v>
                </c:pt>
              </c:numCache>
            </c:numRef>
          </c:cat>
          <c:val>
            <c:numRef>
              <c:f>'G1.1'!$B$33:$D$33</c:f>
              <c:numCache>
                <c:formatCode>#\ ###\ ###\ ##0</c:formatCode>
                <c:ptCount val="3"/>
                <c:pt idx="0">
                  <c:v>1507.674</c:v>
                </c:pt>
                <c:pt idx="1">
                  <c:v>1452.7249999999999</c:v>
                </c:pt>
                <c:pt idx="2" formatCode="General">
                  <c:v>1493.2422985000001</c:v>
                </c:pt>
              </c:numCache>
            </c:numRef>
          </c:val>
          <c:extLst>
            <c:ext xmlns:c16="http://schemas.microsoft.com/office/drawing/2014/chart" uri="{C3380CC4-5D6E-409C-BE32-E72D297353CC}">
              <c16:uniqueId val="{00000003-08AE-49C2-8BF0-D79C78C2120C}"/>
            </c:ext>
          </c:extLst>
        </c:ser>
        <c:ser>
          <c:idx val="4"/>
          <c:order val="4"/>
          <c:tx>
            <c:strRef>
              <c:f>'G1.1'!$A$34</c:f>
              <c:strCache>
                <c:ptCount val="1"/>
                <c:pt idx="0">
                  <c:v> OSVČ</c:v>
                </c:pt>
              </c:strCache>
            </c:strRef>
          </c:tx>
          <c:spPr>
            <a:solidFill>
              <a:srgbClr val="4E201E"/>
            </a:solidFill>
            <a:ln>
              <a:noFill/>
            </a:ln>
            <a:effectLst/>
          </c:spPr>
          <c:invertIfNegative val="0"/>
          <c:dLbls>
            <c:dLbl>
              <c:idx val="0"/>
              <c:layout>
                <c:manualLayout>
                  <c:x val="0"/>
                  <c:y val="-4.076698745990084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8AE-49C2-8BF0-D79C78C2120C}"/>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'G1.1'!$B$29:$D$29</c:f>
              <c:numCache>
                <c:formatCode>General</c:formatCode>
                <c:ptCount val="3"/>
                <c:pt idx="0">
                  <c:v>2010</c:v>
                </c:pt>
                <c:pt idx="1">
                  <c:v>2015</c:v>
                </c:pt>
                <c:pt idx="2">
                  <c:v>2020</c:v>
                </c:pt>
              </c:numCache>
            </c:numRef>
          </c:cat>
          <c:val>
            <c:numRef>
              <c:f>'G1.1'!$B$34:$D$34</c:f>
              <c:numCache>
                <c:formatCode>#\ ###\ ###\ ##0</c:formatCode>
                <c:ptCount val="3"/>
                <c:pt idx="0">
                  <c:v>178.18899999999999</c:v>
                </c:pt>
                <c:pt idx="1">
                  <c:v>89.399000000000001</c:v>
                </c:pt>
                <c:pt idx="2" formatCode="General">
                  <c:v>95.668462000000005</c:v>
                </c:pt>
              </c:numCache>
            </c:numRef>
          </c:val>
          <c:extLst>
            <c:ext xmlns:c16="http://schemas.microsoft.com/office/drawing/2014/chart" uri="{C3380CC4-5D6E-409C-BE32-E72D297353CC}">
              <c16:uniqueId val="{00000005-08AE-49C2-8BF0-D79C78C2120C}"/>
            </c:ext>
          </c:extLst>
        </c:ser>
        <c:dLbls>
          <c:showLegendKey val="0"/>
          <c:showVal val="0"/>
          <c:showCatName val="0"/>
          <c:showSerName val="0"/>
          <c:showPercent val="0"/>
          <c:showBubbleSize val="0"/>
        </c:dLbls>
        <c:gapWidth val="119"/>
        <c:overlap val="100"/>
        <c:axId val="972192847"/>
        <c:axId val="972193263"/>
      </c:barChart>
      <c:catAx>
        <c:axId val="97219284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972193263"/>
        <c:crosses val="autoZero"/>
        <c:auto val="1"/>
        <c:lblAlgn val="ctr"/>
        <c:lblOffset val="100"/>
        <c:noMultiLvlLbl val="0"/>
      </c:catAx>
      <c:valAx>
        <c:axId val="972193263"/>
        <c:scaling>
          <c:orientation val="minMax"/>
        </c:scaling>
        <c:delete val="1"/>
        <c:axPos val="l"/>
        <c:majorGridlines>
          <c:spPr>
            <a:ln w="9525" cap="flat" cmpd="sng" algn="ctr">
              <a:solidFill>
                <a:schemeClr val="tx1">
                  <a:lumMod val="15000"/>
                  <a:lumOff val="85000"/>
                </a:schemeClr>
              </a:solidFill>
              <a:round/>
            </a:ln>
            <a:effectLst/>
          </c:spPr>
        </c:majorGridlines>
        <c:numFmt formatCode="#\ ###\ ###\ ##0" sourceLinked="1"/>
        <c:majorTickMark val="none"/>
        <c:minorTickMark val="none"/>
        <c:tickLblPos val="nextTo"/>
        <c:crossAx val="9721928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399217010096191E-2"/>
          <c:y val="4.7898976703679513E-2"/>
          <c:w val="0.8616795721659507"/>
          <c:h val="0.77310148445683347"/>
        </c:manualLayout>
      </c:layout>
      <c:barChart>
        <c:barDir val="col"/>
        <c:grouping val="clustered"/>
        <c:varyColors val="0"/>
        <c:ser>
          <c:idx val="0"/>
          <c:order val="0"/>
          <c:tx>
            <c:strRef>
              <c:f>'G4.1'!$A$3</c:f>
              <c:strCache>
                <c:ptCount val="1"/>
                <c:pt idx="0">
                  <c:v> nemocenské </c:v>
                </c:pt>
              </c:strCache>
            </c:strRef>
          </c:tx>
          <c:spPr>
            <a:solidFill>
              <a:srgbClr val="B44946"/>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'G4.1'!$B$2:$L$2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'G4.1'!$B$3:$L$3</c:f>
              <c:numCache>
                <c:formatCode>General</c:formatCode>
                <c:ptCount val="11"/>
                <c:pt idx="0">
                  <c:v>14.944000000000001</c:v>
                </c:pt>
                <c:pt idx="1">
                  <c:v>13.353999999999999</c:v>
                </c:pt>
                <c:pt idx="2">
                  <c:v>11.465</c:v>
                </c:pt>
                <c:pt idx="3">
                  <c:v>12.035</c:v>
                </c:pt>
                <c:pt idx="4">
                  <c:v>13.881</c:v>
                </c:pt>
                <c:pt idx="5">
                  <c:v>15.428000000000001</c:v>
                </c:pt>
                <c:pt idx="6">
                  <c:v>16.984999999999999</c:v>
                </c:pt>
                <c:pt idx="7">
                  <c:v>18.29</c:v>
                </c:pt>
                <c:pt idx="8">
                  <c:v>22.68</c:v>
                </c:pt>
                <c:pt idx="9" formatCode="0.00">
                  <c:v>26.669625022889999</c:v>
                </c:pt>
                <c:pt idx="10" formatCode="#,##0.00">
                  <c:v>32.766449426119998</c:v>
                </c:pt>
              </c:numCache>
            </c:numRef>
          </c:val>
          <c:extLst>
            <c:ext xmlns:c16="http://schemas.microsoft.com/office/drawing/2014/chart" uri="{C3380CC4-5D6E-409C-BE32-E72D297353CC}">
              <c16:uniqueId val="{00000000-F813-4DF8-8A4D-18845EE1F89B}"/>
            </c:ext>
          </c:extLst>
        </c:ser>
        <c:dLbls>
          <c:showLegendKey val="0"/>
          <c:showVal val="0"/>
          <c:showCatName val="0"/>
          <c:showSerName val="0"/>
          <c:showPercent val="0"/>
          <c:showBubbleSize val="0"/>
        </c:dLbls>
        <c:gapWidth val="64"/>
        <c:overlap val="-27"/>
        <c:axId val="621806511"/>
        <c:axId val="621830639"/>
      </c:barChart>
      <c:lineChart>
        <c:grouping val="stacked"/>
        <c:varyColors val="0"/>
        <c:ser>
          <c:idx val="1"/>
          <c:order val="1"/>
          <c:tx>
            <c:strRef>
              <c:f>'G4.1'!$A$4</c:f>
              <c:strCache>
                <c:ptCount val="1"/>
                <c:pt idx="0">
                  <c:v>výdaje na 1 pojištěnce (Kč)</c:v>
                </c:pt>
              </c:strCache>
            </c:strRef>
          </c:tx>
          <c:spPr>
            <a:ln w="25400" cap="rnd">
              <a:noFill/>
              <a:round/>
            </a:ln>
            <a:effectLst/>
          </c:spPr>
          <c:marker>
            <c:symbol val="circle"/>
            <c:size val="5"/>
            <c:spPr>
              <a:solidFill>
                <a:srgbClr val="632827"/>
              </a:solidFill>
              <a:ln w="9525">
                <a:solidFill>
                  <a:srgbClr val="632827"/>
                </a:solidFill>
              </a:ln>
              <a:effectLst/>
            </c:spPr>
          </c:marker>
          <c:dLbls>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'G4.1'!$B$2:$L$2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'G4.1'!$B$4:$L$4</c:f>
              <c:numCache>
                <c:formatCode>General</c:formatCode>
                <c:ptCount val="11"/>
                <c:pt idx="0">
                  <c:v>3466.5132592276432</c:v>
                </c:pt>
                <c:pt idx="1">
                  <c:v>3170.8048511367197</c:v>
                </c:pt>
                <c:pt idx="2">
                  <c:v>2563.7935109748923</c:v>
                </c:pt>
                <c:pt idx="3">
                  <c:v>2710.3865797241015</c:v>
                </c:pt>
                <c:pt idx="4">
                  <c:v>3109.5033060733767</c:v>
                </c:pt>
                <c:pt idx="5">
                  <c:v>3423.1104776290813</c:v>
                </c:pt>
                <c:pt idx="6">
                  <c:v>3715.5693990274981</c:v>
                </c:pt>
                <c:pt idx="7">
                  <c:v>3914.9580434067425</c:v>
                </c:pt>
                <c:pt idx="8">
                  <c:v>4792.1527680967365</c:v>
                </c:pt>
                <c:pt idx="9">
                  <c:v>5634.9562735716163</c:v>
                </c:pt>
                <c:pt idx="10">
                  <c:v>6985.8938827470065</c:v>
                </c:pt>
              </c:numCache>
            </c:numRef>
          </c:val>
          <c:smooth val="0"/>
          <c:extLst>
            <c:ext xmlns:c16="http://schemas.microsoft.com/office/drawing/2014/chart" uri="{C3380CC4-5D6E-409C-BE32-E72D297353CC}">
              <c16:uniqueId val="{00000004-F813-4DF8-8A4D-18845EE1F89B}"/>
            </c:ext>
          </c:extLst>
        </c:ser>
        <c:dLbls>
          <c:showLegendKey val="0"/>
          <c:showVal val="0"/>
          <c:showCatName val="0"/>
          <c:showSerName val="0"/>
          <c:showPercent val="0"/>
          <c:showBubbleSize val="0"/>
        </c:dLbls>
        <c:marker val="1"/>
        <c:smooth val="0"/>
        <c:axId val="676338687"/>
        <c:axId val="676332863"/>
      </c:lineChart>
      <c:catAx>
        <c:axId val="6218065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30639"/>
        <c:crosses val="autoZero"/>
        <c:auto val="1"/>
        <c:lblAlgn val="ctr"/>
        <c:lblOffset val="100"/>
        <c:noMultiLvlLbl val="0"/>
      </c:catAx>
      <c:valAx>
        <c:axId val="62183063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mld. Kč</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21806511"/>
        <c:crosses val="autoZero"/>
        <c:crossBetween val="between"/>
      </c:valAx>
      <c:valAx>
        <c:axId val="676332863"/>
        <c:scaling>
          <c:orientation val="minMax"/>
          <c:max val="7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676338687"/>
        <c:crosses val="max"/>
        <c:crossBetween val="between"/>
      </c:valAx>
      <c:catAx>
        <c:axId val="676338687"/>
        <c:scaling>
          <c:orientation val="minMax"/>
        </c:scaling>
        <c:delete val="1"/>
        <c:axPos val="b"/>
        <c:numFmt formatCode="General" sourceLinked="1"/>
        <c:majorTickMark val="out"/>
        <c:minorTickMark val="none"/>
        <c:tickLblPos val="nextTo"/>
        <c:crossAx val="676332863"/>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8209280443718124E-2"/>
          <c:y val="4.8888888888888891E-2"/>
          <c:w val="0.87156886049621152"/>
          <c:h val="0.78619002624671919"/>
        </c:manualLayout>
      </c:layout>
      <c:barChart>
        <c:barDir val="col"/>
        <c:grouping val="clustered"/>
        <c:varyColors val="0"/>
        <c:ser>
          <c:idx val="0"/>
          <c:order val="0"/>
          <c:tx>
            <c:strRef>
              <c:f>'G4.2'!$B$24</c:f>
              <c:strCache>
                <c:ptCount val="1"/>
                <c:pt idx="0">
                  <c:v> karantény</c:v>
                </c:pt>
              </c:strCache>
            </c:strRef>
          </c:tx>
          <c:spPr>
            <a:solidFill>
              <a:srgbClr val="B44946"/>
            </a:solidFill>
            <a:ln>
              <a:noFill/>
            </a:ln>
            <a:effectLst/>
          </c:spPr>
          <c:invertIfNegative val="0"/>
          <c:dLbls>
            <c:dLbl>
              <c:idx val="2"/>
              <c:layout>
                <c:manualLayout>
                  <c:x val="0"/>
                  <c:y val="3.8130737208230967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0B-466F-BA86-AEBA101B4C2A}"/>
                </c:ext>
              </c:extLst>
            </c:dLbl>
            <c:dLbl>
              <c:idx val="3"/>
              <c:layout>
                <c:manualLayout>
                  <c:x val="-7.3186102459904886E-17"/>
                  <c:y val="9.4512109279756007E-3"/>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0B-466F-BA86-AEBA101B4C2A}"/>
                </c:ext>
              </c:extLst>
            </c:dLbl>
            <c:dLbl>
              <c:idx val="4"/>
              <c:layout>
                <c:manualLayout>
                  <c:x val="0"/>
                  <c:y val="6.321399825021872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0B-466F-BA86-AEBA101B4C2A}"/>
                </c:ext>
              </c:extLst>
            </c:dLbl>
            <c:dLbl>
              <c:idx val="5"/>
              <c:layout>
                <c:manualLayout>
                  <c:x val="0"/>
                  <c:y val="6.82309711286089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8C2-4D74-A7BE-31E96B82F96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'G4.2'!$A$25:$A$34</c:f>
              <c:strCache>
                <c:ptCount val="10"/>
                <c:pt idx="0">
                  <c:v>březen</c:v>
                </c:pt>
                <c:pt idx="1">
                  <c:v>duben</c:v>
                </c:pt>
                <c:pt idx="2">
                  <c:v>květen</c:v>
                </c:pt>
                <c:pt idx="3">
                  <c:v>červen</c:v>
                </c:pt>
                <c:pt idx="4">
                  <c:v>červenec</c:v>
                </c:pt>
                <c:pt idx="5">
                  <c:v>srpen</c:v>
                </c:pt>
                <c:pt idx="6">
                  <c:v>září</c:v>
                </c:pt>
                <c:pt idx="7">
                  <c:v>říjen</c:v>
                </c:pt>
                <c:pt idx="8">
                  <c:v>listopad</c:v>
                </c:pt>
                <c:pt idx="9">
                  <c:v>prosinec</c:v>
                </c:pt>
              </c:strCache>
            </c:strRef>
          </c:cat>
          <c:val>
            <c:numRef>
              <c:f>'G4.2'!$B$25:$B$34</c:f>
              <c:numCache>
                <c:formatCode>#,##0</c:formatCode>
                <c:ptCount val="10"/>
                <c:pt idx="0">
                  <c:v>35998</c:v>
                </c:pt>
                <c:pt idx="1">
                  <c:v>13614</c:v>
                </c:pt>
                <c:pt idx="2">
                  <c:v>3987</c:v>
                </c:pt>
                <c:pt idx="3">
                  <c:v>3643</c:v>
                </c:pt>
                <c:pt idx="4">
                  <c:v>6717</c:v>
                </c:pt>
                <c:pt idx="5">
                  <c:v>10002</c:v>
                </c:pt>
                <c:pt idx="6">
                  <c:v>33769</c:v>
                </c:pt>
                <c:pt idx="7">
                  <c:v>119224</c:v>
                </c:pt>
                <c:pt idx="8">
                  <c:v>68446</c:v>
                </c:pt>
                <c:pt idx="9">
                  <c:v>49068</c:v>
                </c:pt>
              </c:numCache>
            </c:numRef>
          </c:val>
          <c:extLst>
            <c:ext xmlns:c16="http://schemas.microsoft.com/office/drawing/2014/chart" uri="{C3380CC4-5D6E-409C-BE32-E72D297353CC}">
              <c16:uniqueId val="{00000003-240B-466F-BA86-AEBA101B4C2A}"/>
            </c:ext>
          </c:extLst>
        </c:ser>
        <c:dLbls>
          <c:showLegendKey val="0"/>
          <c:showVal val="0"/>
          <c:showCatName val="0"/>
          <c:showSerName val="0"/>
          <c:showPercent val="0"/>
          <c:showBubbleSize val="0"/>
        </c:dLbls>
        <c:gapWidth val="39"/>
        <c:overlap val="-27"/>
        <c:axId val="684523359"/>
        <c:axId val="684534175"/>
      </c:barChart>
      <c:lineChart>
        <c:grouping val="stacked"/>
        <c:varyColors val="0"/>
        <c:ser>
          <c:idx val="1"/>
          <c:order val="1"/>
          <c:tx>
            <c:strRef>
              <c:f>'G4.2'!$C$24</c:f>
              <c:strCache>
                <c:ptCount val="1"/>
                <c:pt idx="0">
                  <c:v> podíl na počtu vydaných neschopenek</c:v>
                </c:pt>
              </c:strCache>
            </c:strRef>
          </c:tx>
          <c:spPr>
            <a:ln w="28575" cap="rnd">
              <a:noFill/>
              <a:round/>
            </a:ln>
            <a:effectLst/>
          </c:spPr>
          <c:marker>
            <c:symbol val="circle"/>
            <c:size val="5"/>
            <c:spPr>
              <a:solidFill>
                <a:srgbClr val="632827"/>
              </a:solidFill>
              <a:ln w="9525">
                <a:solidFill>
                  <a:srgbClr val="632827"/>
                </a:solidFill>
              </a:ln>
              <a:effectLst/>
            </c:spPr>
          </c:marker>
          <c:dLbls>
            <c:numFmt formatCode="0\ %"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'G4.2'!$A$25:$A$34</c:f>
              <c:strCache>
                <c:ptCount val="10"/>
                <c:pt idx="0">
                  <c:v>březen</c:v>
                </c:pt>
                <c:pt idx="1">
                  <c:v>duben</c:v>
                </c:pt>
                <c:pt idx="2">
                  <c:v>květen</c:v>
                </c:pt>
                <c:pt idx="3">
                  <c:v>červen</c:v>
                </c:pt>
                <c:pt idx="4">
                  <c:v>červenec</c:v>
                </c:pt>
                <c:pt idx="5">
                  <c:v>srpen</c:v>
                </c:pt>
                <c:pt idx="6">
                  <c:v>září</c:v>
                </c:pt>
                <c:pt idx="7">
                  <c:v>říjen</c:v>
                </c:pt>
                <c:pt idx="8">
                  <c:v>listopad</c:v>
                </c:pt>
                <c:pt idx="9">
                  <c:v>prosinec</c:v>
                </c:pt>
              </c:strCache>
            </c:strRef>
          </c:cat>
          <c:val>
            <c:numRef>
              <c:f>'G4.2'!$C$25:$C$34</c:f>
              <c:numCache>
                <c:formatCode>General</c:formatCode>
                <c:ptCount val="10"/>
                <c:pt idx="0">
                  <c:v>0.104673647236026</c:v>
                </c:pt>
                <c:pt idx="1">
                  <c:v>0.11898269533298374</c:v>
                </c:pt>
                <c:pt idx="2">
                  <c:v>4.0242240726722181E-2</c:v>
                </c:pt>
                <c:pt idx="3">
                  <c:v>2.9367900876280766E-2</c:v>
                </c:pt>
                <c:pt idx="4">
                  <c:v>5.6079213872446299E-2</c:v>
                </c:pt>
                <c:pt idx="5">
                  <c:v>7.1956316861029782E-2</c:v>
                </c:pt>
                <c:pt idx="6">
                  <c:v>0.14104973852605551</c:v>
                </c:pt>
                <c:pt idx="7">
                  <c:v>0.27773274070761</c:v>
                </c:pt>
                <c:pt idx="8">
                  <c:v>0.25084842665415713</c:v>
                </c:pt>
                <c:pt idx="9">
                  <c:v>0.21663097944857729</c:v>
                </c:pt>
              </c:numCache>
            </c:numRef>
          </c:val>
          <c:smooth val="0"/>
          <c:extLst>
            <c:ext xmlns:c16="http://schemas.microsoft.com/office/drawing/2014/chart" uri="{C3380CC4-5D6E-409C-BE32-E72D297353CC}">
              <c16:uniqueId val="{00000004-240B-466F-BA86-AEBA101B4C2A}"/>
            </c:ext>
          </c:extLst>
        </c:ser>
        <c:dLbls>
          <c:showLegendKey val="0"/>
          <c:showVal val="0"/>
          <c:showCatName val="0"/>
          <c:showSerName val="0"/>
          <c:showPercent val="0"/>
          <c:showBubbleSize val="0"/>
        </c:dLbls>
        <c:marker val="1"/>
        <c:smooth val="0"/>
        <c:axId val="483886319"/>
        <c:axId val="483885903"/>
      </c:lineChart>
      <c:catAx>
        <c:axId val="6845233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84534175"/>
        <c:crosses val="autoZero"/>
        <c:auto val="1"/>
        <c:lblAlgn val="ctr"/>
        <c:lblOffset val="100"/>
        <c:noMultiLvlLbl val="0"/>
      </c:catAx>
      <c:valAx>
        <c:axId val="68453417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684523359"/>
        <c:crosses val="autoZero"/>
        <c:crossBetween val="between"/>
      </c:valAx>
      <c:valAx>
        <c:axId val="483885903"/>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483886319"/>
        <c:crosses val="max"/>
        <c:crossBetween val="between"/>
      </c:valAx>
      <c:catAx>
        <c:axId val="483886319"/>
        <c:scaling>
          <c:orientation val="minMax"/>
        </c:scaling>
        <c:delete val="1"/>
        <c:axPos val="b"/>
        <c:numFmt formatCode="General" sourceLinked="1"/>
        <c:majorTickMark val="out"/>
        <c:minorTickMark val="none"/>
        <c:tickLblPos val="nextTo"/>
        <c:crossAx val="483885903"/>
        <c:crosses val="autoZero"/>
        <c:auto val="1"/>
        <c:lblAlgn val="ctr"/>
        <c:lblOffset val="100"/>
        <c:noMultiLvlLbl val="0"/>
      </c:catAx>
      <c:spPr>
        <a:noFill/>
        <a:ln>
          <a:noFill/>
        </a:ln>
        <a:effectLst/>
      </c:spPr>
    </c:plotArea>
    <c:legend>
      <c:legendPos val="b"/>
      <c:layout>
        <c:manualLayout>
          <c:xMode val="edge"/>
          <c:yMode val="edge"/>
          <c:x val="0.2566476831905446"/>
          <c:y val="0.92068626421697286"/>
          <c:w val="0.48251176150151043"/>
          <c:h val="6.598040244969379E-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rgbClr val="632827"/>
              </a:solidFill>
              <a:round/>
            </a:ln>
            <a:effectLst/>
          </c:spPr>
          <c:marker>
            <c:symbol val="none"/>
          </c:marker>
          <c:cat>
            <c:strRef>
              <c:f>'G4.3'!$A$2:$A$307</c:f>
              <c:strCache>
                <c:ptCount val="306"/>
                <c:pt idx="0">
                  <c:v>01.03.</c:v>
                </c:pt>
                <c:pt idx="1">
                  <c:v>02.03.</c:v>
                </c:pt>
                <c:pt idx="2">
                  <c:v>03.03.</c:v>
                </c:pt>
                <c:pt idx="3">
                  <c:v>04.03.</c:v>
                </c:pt>
                <c:pt idx="4">
                  <c:v>05.03.</c:v>
                </c:pt>
                <c:pt idx="5">
                  <c:v>06.03.</c:v>
                </c:pt>
                <c:pt idx="6">
                  <c:v>07.03.</c:v>
                </c:pt>
                <c:pt idx="7">
                  <c:v>08.03.</c:v>
                </c:pt>
                <c:pt idx="8">
                  <c:v>09.03.</c:v>
                </c:pt>
                <c:pt idx="9">
                  <c:v>10.03.</c:v>
                </c:pt>
                <c:pt idx="10">
                  <c:v>11.03.</c:v>
                </c:pt>
                <c:pt idx="11">
                  <c:v>12.03.</c:v>
                </c:pt>
                <c:pt idx="12">
                  <c:v>13.03.</c:v>
                </c:pt>
                <c:pt idx="13">
                  <c:v>14.03.</c:v>
                </c:pt>
                <c:pt idx="14">
                  <c:v>15.03.</c:v>
                </c:pt>
                <c:pt idx="15">
                  <c:v>16.03.</c:v>
                </c:pt>
                <c:pt idx="16">
                  <c:v>17.03.</c:v>
                </c:pt>
                <c:pt idx="17">
                  <c:v>18.03.</c:v>
                </c:pt>
                <c:pt idx="18">
                  <c:v>19.03.</c:v>
                </c:pt>
                <c:pt idx="19">
                  <c:v>20.03.</c:v>
                </c:pt>
                <c:pt idx="20">
                  <c:v>21.03.</c:v>
                </c:pt>
                <c:pt idx="21">
                  <c:v>22.03.</c:v>
                </c:pt>
                <c:pt idx="22">
                  <c:v>23.03.</c:v>
                </c:pt>
                <c:pt idx="23">
                  <c:v>24.03.</c:v>
                </c:pt>
                <c:pt idx="24">
                  <c:v>25.03.</c:v>
                </c:pt>
                <c:pt idx="25">
                  <c:v>26.03.</c:v>
                </c:pt>
                <c:pt idx="26">
                  <c:v>27.03.</c:v>
                </c:pt>
                <c:pt idx="27">
                  <c:v>28.03.</c:v>
                </c:pt>
                <c:pt idx="28">
                  <c:v>29.03.</c:v>
                </c:pt>
                <c:pt idx="29">
                  <c:v>30.03.</c:v>
                </c:pt>
                <c:pt idx="30">
                  <c:v>31.03.</c:v>
                </c:pt>
                <c:pt idx="31">
                  <c:v>01.04.</c:v>
                </c:pt>
                <c:pt idx="32">
                  <c:v>02.04.</c:v>
                </c:pt>
                <c:pt idx="33">
                  <c:v>03.04.</c:v>
                </c:pt>
                <c:pt idx="34">
                  <c:v>04.04.</c:v>
                </c:pt>
                <c:pt idx="35">
                  <c:v>05.04.</c:v>
                </c:pt>
                <c:pt idx="36">
                  <c:v>06.04.</c:v>
                </c:pt>
                <c:pt idx="37">
                  <c:v>07.04.</c:v>
                </c:pt>
                <c:pt idx="38">
                  <c:v>08.04.</c:v>
                </c:pt>
                <c:pt idx="39">
                  <c:v>09.04.</c:v>
                </c:pt>
                <c:pt idx="40">
                  <c:v>10.04.</c:v>
                </c:pt>
                <c:pt idx="41">
                  <c:v>11.04.</c:v>
                </c:pt>
                <c:pt idx="42">
                  <c:v>12.04.</c:v>
                </c:pt>
                <c:pt idx="43">
                  <c:v>13.04.</c:v>
                </c:pt>
                <c:pt idx="44">
                  <c:v>14.04.</c:v>
                </c:pt>
                <c:pt idx="45">
                  <c:v>15.04.</c:v>
                </c:pt>
                <c:pt idx="46">
                  <c:v>16.04.</c:v>
                </c:pt>
                <c:pt idx="47">
                  <c:v>17.04.</c:v>
                </c:pt>
                <c:pt idx="48">
                  <c:v>18.04.</c:v>
                </c:pt>
                <c:pt idx="49">
                  <c:v>19.04.</c:v>
                </c:pt>
                <c:pt idx="50">
                  <c:v>20.04.</c:v>
                </c:pt>
                <c:pt idx="51">
                  <c:v>21.04.</c:v>
                </c:pt>
                <c:pt idx="52">
                  <c:v>22.04.</c:v>
                </c:pt>
                <c:pt idx="53">
                  <c:v>23.04.</c:v>
                </c:pt>
                <c:pt idx="54">
                  <c:v>24.04.</c:v>
                </c:pt>
                <c:pt idx="55">
                  <c:v>25.04.</c:v>
                </c:pt>
                <c:pt idx="56">
                  <c:v>26.04.</c:v>
                </c:pt>
                <c:pt idx="57">
                  <c:v>27.04.</c:v>
                </c:pt>
                <c:pt idx="58">
                  <c:v>28.04.</c:v>
                </c:pt>
                <c:pt idx="59">
                  <c:v>29.04.</c:v>
                </c:pt>
                <c:pt idx="60">
                  <c:v>30.04.</c:v>
                </c:pt>
                <c:pt idx="61">
                  <c:v>01.05.</c:v>
                </c:pt>
                <c:pt idx="62">
                  <c:v>02.05.</c:v>
                </c:pt>
                <c:pt idx="63">
                  <c:v>03.05.</c:v>
                </c:pt>
                <c:pt idx="64">
                  <c:v>04.05.</c:v>
                </c:pt>
                <c:pt idx="65">
                  <c:v>05.05.</c:v>
                </c:pt>
                <c:pt idx="66">
                  <c:v>06.05.</c:v>
                </c:pt>
                <c:pt idx="67">
                  <c:v>07.05.</c:v>
                </c:pt>
                <c:pt idx="68">
                  <c:v>08.05.</c:v>
                </c:pt>
                <c:pt idx="69">
                  <c:v>09.05.</c:v>
                </c:pt>
                <c:pt idx="70">
                  <c:v>10.05.</c:v>
                </c:pt>
                <c:pt idx="71">
                  <c:v>11.05.</c:v>
                </c:pt>
                <c:pt idx="72">
                  <c:v>12.05.</c:v>
                </c:pt>
                <c:pt idx="73">
                  <c:v>13.05.</c:v>
                </c:pt>
                <c:pt idx="74">
                  <c:v>14.05.</c:v>
                </c:pt>
                <c:pt idx="75">
                  <c:v>15.05.</c:v>
                </c:pt>
                <c:pt idx="76">
                  <c:v>16.05.</c:v>
                </c:pt>
                <c:pt idx="77">
                  <c:v>17.05.</c:v>
                </c:pt>
                <c:pt idx="78">
                  <c:v>18.05.</c:v>
                </c:pt>
                <c:pt idx="79">
                  <c:v>19.05.</c:v>
                </c:pt>
                <c:pt idx="80">
                  <c:v>20.05.</c:v>
                </c:pt>
                <c:pt idx="81">
                  <c:v>21.05.</c:v>
                </c:pt>
                <c:pt idx="82">
                  <c:v>22.05.</c:v>
                </c:pt>
                <c:pt idx="83">
                  <c:v>23.05.</c:v>
                </c:pt>
                <c:pt idx="84">
                  <c:v>24.05.</c:v>
                </c:pt>
                <c:pt idx="85">
                  <c:v>25.05.</c:v>
                </c:pt>
                <c:pt idx="86">
                  <c:v>26.05.</c:v>
                </c:pt>
                <c:pt idx="87">
                  <c:v>27.05.</c:v>
                </c:pt>
                <c:pt idx="88">
                  <c:v>28.05.</c:v>
                </c:pt>
                <c:pt idx="89">
                  <c:v>29.05.</c:v>
                </c:pt>
                <c:pt idx="90">
                  <c:v>30.05.</c:v>
                </c:pt>
                <c:pt idx="91">
                  <c:v>31.05.</c:v>
                </c:pt>
                <c:pt idx="92">
                  <c:v>01.06.</c:v>
                </c:pt>
                <c:pt idx="93">
                  <c:v>02.06.</c:v>
                </c:pt>
                <c:pt idx="94">
                  <c:v>03.06.</c:v>
                </c:pt>
                <c:pt idx="95">
                  <c:v>04.06.</c:v>
                </c:pt>
                <c:pt idx="96">
                  <c:v>05.06.</c:v>
                </c:pt>
                <c:pt idx="97">
                  <c:v>06.06.</c:v>
                </c:pt>
                <c:pt idx="98">
                  <c:v>07.06.</c:v>
                </c:pt>
                <c:pt idx="99">
                  <c:v>08.06.</c:v>
                </c:pt>
                <c:pt idx="100">
                  <c:v>09.06.</c:v>
                </c:pt>
                <c:pt idx="101">
                  <c:v>10.06.</c:v>
                </c:pt>
                <c:pt idx="102">
                  <c:v>11.06.</c:v>
                </c:pt>
                <c:pt idx="103">
                  <c:v>12.06.</c:v>
                </c:pt>
                <c:pt idx="104">
                  <c:v>13.06.</c:v>
                </c:pt>
                <c:pt idx="105">
                  <c:v>14.06.</c:v>
                </c:pt>
                <c:pt idx="106">
                  <c:v>15.06.</c:v>
                </c:pt>
                <c:pt idx="107">
                  <c:v>16.06.</c:v>
                </c:pt>
                <c:pt idx="108">
                  <c:v>17.06.</c:v>
                </c:pt>
                <c:pt idx="109">
                  <c:v>18.06.</c:v>
                </c:pt>
                <c:pt idx="110">
                  <c:v>19.06.</c:v>
                </c:pt>
                <c:pt idx="111">
                  <c:v>20.06.</c:v>
                </c:pt>
                <c:pt idx="112">
                  <c:v>21.06.</c:v>
                </c:pt>
                <c:pt idx="113">
                  <c:v>22.06.</c:v>
                </c:pt>
                <c:pt idx="114">
                  <c:v>23.06.</c:v>
                </c:pt>
                <c:pt idx="115">
                  <c:v>24.06.</c:v>
                </c:pt>
                <c:pt idx="116">
                  <c:v>25.06.</c:v>
                </c:pt>
                <c:pt idx="117">
                  <c:v>26.06.</c:v>
                </c:pt>
                <c:pt idx="118">
                  <c:v>27.06.</c:v>
                </c:pt>
                <c:pt idx="119">
                  <c:v>28.06.</c:v>
                </c:pt>
                <c:pt idx="120">
                  <c:v>29.06.</c:v>
                </c:pt>
                <c:pt idx="121">
                  <c:v>30.06.</c:v>
                </c:pt>
                <c:pt idx="122">
                  <c:v>01.07.</c:v>
                </c:pt>
                <c:pt idx="123">
                  <c:v>02.07.</c:v>
                </c:pt>
                <c:pt idx="124">
                  <c:v>03.07.</c:v>
                </c:pt>
                <c:pt idx="125">
                  <c:v>04.07.</c:v>
                </c:pt>
                <c:pt idx="126">
                  <c:v>05.07.</c:v>
                </c:pt>
                <c:pt idx="127">
                  <c:v>06.07.</c:v>
                </c:pt>
                <c:pt idx="128">
                  <c:v>07.07.</c:v>
                </c:pt>
                <c:pt idx="129">
                  <c:v>08.07.</c:v>
                </c:pt>
                <c:pt idx="130">
                  <c:v>09.07.</c:v>
                </c:pt>
                <c:pt idx="131">
                  <c:v>10.07.</c:v>
                </c:pt>
                <c:pt idx="132">
                  <c:v>11.07.</c:v>
                </c:pt>
                <c:pt idx="133">
                  <c:v>12.07.</c:v>
                </c:pt>
                <c:pt idx="134">
                  <c:v>13.07.</c:v>
                </c:pt>
                <c:pt idx="135">
                  <c:v>14.07.</c:v>
                </c:pt>
                <c:pt idx="136">
                  <c:v>15.07.</c:v>
                </c:pt>
                <c:pt idx="137">
                  <c:v>16.07.</c:v>
                </c:pt>
                <c:pt idx="138">
                  <c:v>17.07.</c:v>
                </c:pt>
                <c:pt idx="139">
                  <c:v>18.07.</c:v>
                </c:pt>
                <c:pt idx="140">
                  <c:v>19.07.</c:v>
                </c:pt>
                <c:pt idx="141">
                  <c:v>20.07.</c:v>
                </c:pt>
                <c:pt idx="142">
                  <c:v>21.07.</c:v>
                </c:pt>
                <c:pt idx="143">
                  <c:v>22.07.</c:v>
                </c:pt>
                <c:pt idx="144">
                  <c:v>23.07.</c:v>
                </c:pt>
                <c:pt idx="145">
                  <c:v>24.07.</c:v>
                </c:pt>
                <c:pt idx="146">
                  <c:v>25.07.</c:v>
                </c:pt>
                <c:pt idx="147">
                  <c:v>26.07.</c:v>
                </c:pt>
                <c:pt idx="148">
                  <c:v>27.07.</c:v>
                </c:pt>
                <c:pt idx="149">
                  <c:v>28.07.</c:v>
                </c:pt>
                <c:pt idx="150">
                  <c:v>29.07.</c:v>
                </c:pt>
                <c:pt idx="151">
                  <c:v>30.07.</c:v>
                </c:pt>
                <c:pt idx="152">
                  <c:v>31.07.</c:v>
                </c:pt>
                <c:pt idx="153">
                  <c:v>01.08.</c:v>
                </c:pt>
                <c:pt idx="154">
                  <c:v>02.08.</c:v>
                </c:pt>
                <c:pt idx="155">
                  <c:v>03.08.</c:v>
                </c:pt>
                <c:pt idx="156">
                  <c:v>04.08.</c:v>
                </c:pt>
                <c:pt idx="157">
                  <c:v>05.08.</c:v>
                </c:pt>
                <c:pt idx="158">
                  <c:v>06.08.</c:v>
                </c:pt>
                <c:pt idx="159">
                  <c:v>07.08.</c:v>
                </c:pt>
                <c:pt idx="160">
                  <c:v>08.08.</c:v>
                </c:pt>
                <c:pt idx="161">
                  <c:v>09.08.</c:v>
                </c:pt>
                <c:pt idx="162">
                  <c:v>10.08.</c:v>
                </c:pt>
                <c:pt idx="163">
                  <c:v>11.08.</c:v>
                </c:pt>
                <c:pt idx="164">
                  <c:v>12.08.</c:v>
                </c:pt>
                <c:pt idx="165">
                  <c:v>13.08.</c:v>
                </c:pt>
                <c:pt idx="166">
                  <c:v>14.08.</c:v>
                </c:pt>
                <c:pt idx="167">
                  <c:v>15.08.</c:v>
                </c:pt>
                <c:pt idx="168">
                  <c:v>16.08.</c:v>
                </c:pt>
                <c:pt idx="169">
                  <c:v>17.08.</c:v>
                </c:pt>
                <c:pt idx="170">
                  <c:v>18.08.</c:v>
                </c:pt>
                <c:pt idx="171">
                  <c:v>19.08.</c:v>
                </c:pt>
                <c:pt idx="172">
                  <c:v>20.08.</c:v>
                </c:pt>
                <c:pt idx="173">
                  <c:v>21.08.</c:v>
                </c:pt>
                <c:pt idx="174">
                  <c:v>22.08.</c:v>
                </c:pt>
                <c:pt idx="175">
                  <c:v>23.08.</c:v>
                </c:pt>
                <c:pt idx="176">
                  <c:v>24.08.</c:v>
                </c:pt>
                <c:pt idx="177">
                  <c:v>25.08.</c:v>
                </c:pt>
                <c:pt idx="178">
                  <c:v>26.08.</c:v>
                </c:pt>
                <c:pt idx="179">
                  <c:v>27.08.</c:v>
                </c:pt>
                <c:pt idx="180">
                  <c:v>28.08.</c:v>
                </c:pt>
                <c:pt idx="181">
                  <c:v>29.08.</c:v>
                </c:pt>
                <c:pt idx="182">
                  <c:v>30.08.</c:v>
                </c:pt>
                <c:pt idx="183">
                  <c:v>31.08.</c:v>
                </c:pt>
                <c:pt idx="184">
                  <c:v>01.09.</c:v>
                </c:pt>
                <c:pt idx="185">
                  <c:v>02.09.</c:v>
                </c:pt>
                <c:pt idx="186">
                  <c:v>03.09.</c:v>
                </c:pt>
                <c:pt idx="187">
                  <c:v>04.09.</c:v>
                </c:pt>
                <c:pt idx="188">
                  <c:v>05.09.</c:v>
                </c:pt>
                <c:pt idx="189">
                  <c:v>06.09.</c:v>
                </c:pt>
                <c:pt idx="190">
                  <c:v>07.09.</c:v>
                </c:pt>
                <c:pt idx="191">
                  <c:v>08.09.</c:v>
                </c:pt>
                <c:pt idx="192">
                  <c:v>09.09.</c:v>
                </c:pt>
                <c:pt idx="193">
                  <c:v>10.09.</c:v>
                </c:pt>
                <c:pt idx="194">
                  <c:v>11.09.</c:v>
                </c:pt>
                <c:pt idx="195">
                  <c:v>12.09.</c:v>
                </c:pt>
                <c:pt idx="196">
                  <c:v>13.09.</c:v>
                </c:pt>
                <c:pt idx="197">
                  <c:v>14.09.</c:v>
                </c:pt>
                <c:pt idx="198">
                  <c:v>15.09.</c:v>
                </c:pt>
                <c:pt idx="199">
                  <c:v>16.09.</c:v>
                </c:pt>
                <c:pt idx="200">
                  <c:v>17.09.</c:v>
                </c:pt>
                <c:pt idx="201">
                  <c:v>18.09.</c:v>
                </c:pt>
                <c:pt idx="202">
                  <c:v>19.09.</c:v>
                </c:pt>
                <c:pt idx="203">
                  <c:v>20.09.</c:v>
                </c:pt>
                <c:pt idx="204">
                  <c:v>21.09.</c:v>
                </c:pt>
                <c:pt idx="205">
                  <c:v>22.09.</c:v>
                </c:pt>
                <c:pt idx="206">
                  <c:v>23.09.</c:v>
                </c:pt>
                <c:pt idx="207">
                  <c:v>24.09.</c:v>
                </c:pt>
                <c:pt idx="208">
                  <c:v>25.09.</c:v>
                </c:pt>
                <c:pt idx="209">
                  <c:v>26.09.</c:v>
                </c:pt>
                <c:pt idx="210">
                  <c:v>27.09.</c:v>
                </c:pt>
                <c:pt idx="211">
                  <c:v>28.09.</c:v>
                </c:pt>
                <c:pt idx="212">
                  <c:v>29.09.</c:v>
                </c:pt>
                <c:pt idx="213">
                  <c:v>30.09.</c:v>
                </c:pt>
                <c:pt idx="214">
                  <c:v>01.10.</c:v>
                </c:pt>
                <c:pt idx="215">
                  <c:v>02.10.</c:v>
                </c:pt>
                <c:pt idx="216">
                  <c:v>03.10.</c:v>
                </c:pt>
                <c:pt idx="217">
                  <c:v>04.10.</c:v>
                </c:pt>
                <c:pt idx="218">
                  <c:v>05.10.</c:v>
                </c:pt>
                <c:pt idx="219">
                  <c:v>06.10.</c:v>
                </c:pt>
                <c:pt idx="220">
                  <c:v>07.10.</c:v>
                </c:pt>
                <c:pt idx="221">
                  <c:v>08.10.</c:v>
                </c:pt>
                <c:pt idx="222">
                  <c:v>09.10.</c:v>
                </c:pt>
                <c:pt idx="223">
                  <c:v>10.10.</c:v>
                </c:pt>
                <c:pt idx="224">
                  <c:v>11.10.</c:v>
                </c:pt>
                <c:pt idx="225">
                  <c:v>12.10.</c:v>
                </c:pt>
                <c:pt idx="226">
                  <c:v>13.10.</c:v>
                </c:pt>
                <c:pt idx="227">
                  <c:v>14.10.</c:v>
                </c:pt>
                <c:pt idx="228">
                  <c:v>15.10.</c:v>
                </c:pt>
                <c:pt idx="229">
                  <c:v>16.10.</c:v>
                </c:pt>
                <c:pt idx="230">
                  <c:v>17.10.</c:v>
                </c:pt>
                <c:pt idx="231">
                  <c:v>18.10.</c:v>
                </c:pt>
                <c:pt idx="232">
                  <c:v>19.10.</c:v>
                </c:pt>
                <c:pt idx="233">
                  <c:v>20.10.</c:v>
                </c:pt>
                <c:pt idx="234">
                  <c:v>21.10.</c:v>
                </c:pt>
                <c:pt idx="235">
                  <c:v>22.10.</c:v>
                </c:pt>
                <c:pt idx="236">
                  <c:v>23.10.</c:v>
                </c:pt>
                <c:pt idx="237">
                  <c:v>24.10.</c:v>
                </c:pt>
                <c:pt idx="238">
                  <c:v>25.10.</c:v>
                </c:pt>
                <c:pt idx="239">
                  <c:v>26.10.</c:v>
                </c:pt>
                <c:pt idx="240">
                  <c:v>27.10.</c:v>
                </c:pt>
                <c:pt idx="241">
                  <c:v>28.10.</c:v>
                </c:pt>
                <c:pt idx="242">
                  <c:v>29.10.</c:v>
                </c:pt>
                <c:pt idx="243">
                  <c:v>30.10.</c:v>
                </c:pt>
                <c:pt idx="244">
                  <c:v>31.10.</c:v>
                </c:pt>
                <c:pt idx="245">
                  <c:v>01.11.</c:v>
                </c:pt>
                <c:pt idx="246">
                  <c:v>02.11.</c:v>
                </c:pt>
                <c:pt idx="247">
                  <c:v>03.11.</c:v>
                </c:pt>
                <c:pt idx="248">
                  <c:v>04.11.</c:v>
                </c:pt>
                <c:pt idx="249">
                  <c:v>05.11.</c:v>
                </c:pt>
                <c:pt idx="250">
                  <c:v>06.11.</c:v>
                </c:pt>
                <c:pt idx="251">
                  <c:v>07.11.</c:v>
                </c:pt>
                <c:pt idx="252">
                  <c:v>08.11.</c:v>
                </c:pt>
                <c:pt idx="253">
                  <c:v>09.11.</c:v>
                </c:pt>
                <c:pt idx="254">
                  <c:v>10.11.</c:v>
                </c:pt>
                <c:pt idx="255">
                  <c:v>11.11.</c:v>
                </c:pt>
                <c:pt idx="256">
                  <c:v>12.11.</c:v>
                </c:pt>
                <c:pt idx="257">
                  <c:v>13.11.</c:v>
                </c:pt>
                <c:pt idx="258">
                  <c:v>14.11.</c:v>
                </c:pt>
                <c:pt idx="259">
                  <c:v>15.11.</c:v>
                </c:pt>
                <c:pt idx="260">
                  <c:v>16.11.</c:v>
                </c:pt>
                <c:pt idx="261">
                  <c:v>17.11.</c:v>
                </c:pt>
                <c:pt idx="262">
                  <c:v>18.11.</c:v>
                </c:pt>
                <c:pt idx="263">
                  <c:v>19.11.</c:v>
                </c:pt>
                <c:pt idx="264">
                  <c:v>20.11.</c:v>
                </c:pt>
                <c:pt idx="265">
                  <c:v>21.11.</c:v>
                </c:pt>
                <c:pt idx="266">
                  <c:v>22.11.</c:v>
                </c:pt>
                <c:pt idx="267">
                  <c:v>23.11.</c:v>
                </c:pt>
                <c:pt idx="268">
                  <c:v>24.11.</c:v>
                </c:pt>
                <c:pt idx="269">
                  <c:v>25.11.</c:v>
                </c:pt>
                <c:pt idx="270">
                  <c:v>26.11.</c:v>
                </c:pt>
                <c:pt idx="271">
                  <c:v>27.11.</c:v>
                </c:pt>
                <c:pt idx="272">
                  <c:v>28.11.</c:v>
                </c:pt>
                <c:pt idx="273">
                  <c:v>29.11.</c:v>
                </c:pt>
                <c:pt idx="274">
                  <c:v>30.11.</c:v>
                </c:pt>
                <c:pt idx="275">
                  <c:v>01.12.</c:v>
                </c:pt>
                <c:pt idx="276">
                  <c:v>02.12.</c:v>
                </c:pt>
                <c:pt idx="277">
                  <c:v>03.12.</c:v>
                </c:pt>
                <c:pt idx="278">
                  <c:v>04.12.</c:v>
                </c:pt>
                <c:pt idx="279">
                  <c:v>05.12.</c:v>
                </c:pt>
                <c:pt idx="280">
                  <c:v>06.12.</c:v>
                </c:pt>
                <c:pt idx="281">
                  <c:v>07.12.</c:v>
                </c:pt>
                <c:pt idx="282">
                  <c:v>08.12.</c:v>
                </c:pt>
                <c:pt idx="283">
                  <c:v>09.12.</c:v>
                </c:pt>
                <c:pt idx="284">
                  <c:v>10.12.</c:v>
                </c:pt>
                <c:pt idx="285">
                  <c:v>11.12.</c:v>
                </c:pt>
                <c:pt idx="286">
                  <c:v>12.12.</c:v>
                </c:pt>
                <c:pt idx="287">
                  <c:v>13.12.</c:v>
                </c:pt>
                <c:pt idx="288">
                  <c:v>14.12.</c:v>
                </c:pt>
                <c:pt idx="289">
                  <c:v>15.12.</c:v>
                </c:pt>
                <c:pt idx="290">
                  <c:v>16.12.</c:v>
                </c:pt>
                <c:pt idx="291">
                  <c:v>17.12.</c:v>
                </c:pt>
                <c:pt idx="292">
                  <c:v>18.12.</c:v>
                </c:pt>
                <c:pt idx="293">
                  <c:v>19.12.</c:v>
                </c:pt>
                <c:pt idx="294">
                  <c:v>20.12.</c:v>
                </c:pt>
                <c:pt idx="295">
                  <c:v>21.12.</c:v>
                </c:pt>
                <c:pt idx="296">
                  <c:v>22.12.</c:v>
                </c:pt>
                <c:pt idx="297">
                  <c:v>23.12.</c:v>
                </c:pt>
                <c:pt idx="298">
                  <c:v>24.12.</c:v>
                </c:pt>
                <c:pt idx="299">
                  <c:v>25.12.</c:v>
                </c:pt>
                <c:pt idx="300">
                  <c:v>26.12.</c:v>
                </c:pt>
                <c:pt idx="301">
                  <c:v>27.12.</c:v>
                </c:pt>
                <c:pt idx="302">
                  <c:v>28.12.</c:v>
                </c:pt>
                <c:pt idx="303">
                  <c:v>29.12.</c:v>
                </c:pt>
                <c:pt idx="304">
                  <c:v>30.12.</c:v>
                </c:pt>
                <c:pt idx="305">
                  <c:v>31.12.</c:v>
                </c:pt>
              </c:strCache>
            </c:strRef>
          </c:cat>
          <c:val>
            <c:numRef>
              <c:f>'G4.3'!$B$2:$B$307</c:f>
              <c:numCache>
                <c:formatCode>#,##0</c:formatCode>
                <c:ptCount val="306"/>
                <c:pt idx="0">
                  <c:v>35</c:v>
                </c:pt>
                <c:pt idx="1">
                  <c:v>128</c:v>
                </c:pt>
                <c:pt idx="2">
                  <c:v>165</c:v>
                </c:pt>
                <c:pt idx="3">
                  <c:v>203</c:v>
                </c:pt>
                <c:pt idx="4">
                  <c:v>259</c:v>
                </c:pt>
                <c:pt idx="5">
                  <c:v>430</c:v>
                </c:pt>
                <c:pt idx="6">
                  <c:v>807</c:v>
                </c:pt>
                <c:pt idx="7">
                  <c:v>968</c:v>
                </c:pt>
                <c:pt idx="8">
                  <c:v>2613</c:v>
                </c:pt>
                <c:pt idx="9">
                  <c:v>2878</c:v>
                </c:pt>
                <c:pt idx="10">
                  <c:v>3273</c:v>
                </c:pt>
                <c:pt idx="11">
                  <c:v>3727</c:v>
                </c:pt>
                <c:pt idx="12">
                  <c:v>5974</c:v>
                </c:pt>
                <c:pt idx="13">
                  <c:v>6827</c:v>
                </c:pt>
                <c:pt idx="14">
                  <c:v>7286</c:v>
                </c:pt>
                <c:pt idx="15">
                  <c:v>13988</c:v>
                </c:pt>
                <c:pt idx="16">
                  <c:v>17018</c:v>
                </c:pt>
                <c:pt idx="17">
                  <c:v>18150</c:v>
                </c:pt>
                <c:pt idx="18">
                  <c:v>19338</c:v>
                </c:pt>
                <c:pt idx="19">
                  <c:v>20823</c:v>
                </c:pt>
                <c:pt idx="20">
                  <c:v>20173</c:v>
                </c:pt>
                <c:pt idx="21">
                  <c:v>20020</c:v>
                </c:pt>
                <c:pt idx="22">
                  <c:v>21460</c:v>
                </c:pt>
                <c:pt idx="23">
                  <c:v>21460</c:v>
                </c:pt>
                <c:pt idx="24">
                  <c:v>21920</c:v>
                </c:pt>
                <c:pt idx="25">
                  <c:v>22403</c:v>
                </c:pt>
                <c:pt idx="26">
                  <c:v>22350</c:v>
                </c:pt>
                <c:pt idx="27">
                  <c:v>19753</c:v>
                </c:pt>
                <c:pt idx="28">
                  <c:v>19198</c:v>
                </c:pt>
                <c:pt idx="29">
                  <c:v>17799</c:v>
                </c:pt>
                <c:pt idx="30">
                  <c:v>15341</c:v>
                </c:pt>
                <c:pt idx="31">
                  <c:v>13764</c:v>
                </c:pt>
                <c:pt idx="32">
                  <c:v>13293</c:v>
                </c:pt>
                <c:pt idx="33">
                  <c:v>12995</c:v>
                </c:pt>
                <c:pt idx="34">
                  <c:v>11956</c:v>
                </c:pt>
                <c:pt idx="35">
                  <c:v>11867</c:v>
                </c:pt>
                <c:pt idx="36">
                  <c:v>12182</c:v>
                </c:pt>
                <c:pt idx="37">
                  <c:v>11298</c:v>
                </c:pt>
                <c:pt idx="38">
                  <c:v>10792</c:v>
                </c:pt>
                <c:pt idx="39">
                  <c:v>10442</c:v>
                </c:pt>
                <c:pt idx="40">
                  <c:v>9330</c:v>
                </c:pt>
                <c:pt idx="41">
                  <c:v>9092</c:v>
                </c:pt>
                <c:pt idx="42">
                  <c:v>9003</c:v>
                </c:pt>
                <c:pt idx="43">
                  <c:v>8808</c:v>
                </c:pt>
                <c:pt idx="44">
                  <c:v>9090</c:v>
                </c:pt>
                <c:pt idx="45">
                  <c:v>7993</c:v>
                </c:pt>
                <c:pt idx="46">
                  <c:v>7668</c:v>
                </c:pt>
                <c:pt idx="47">
                  <c:v>7384</c:v>
                </c:pt>
                <c:pt idx="48">
                  <c:v>6759</c:v>
                </c:pt>
                <c:pt idx="49">
                  <c:v>6719</c:v>
                </c:pt>
                <c:pt idx="50">
                  <c:v>6882</c:v>
                </c:pt>
                <c:pt idx="51">
                  <c:v>6523</c:v>
                </c:pt>
                <c:pt idx="52">
                  <c:v>6279</c:v>
                </c:pt>
                <c:pt idx="53">
                  <c:v>6117</c:v>
                </c:pt>
                <c:pt idx="54">
                  <c:v>6049</c:v>
                </c:pt>
                <c:pt idx="55">
                  <c:v>5635</c:v>
                </c:pt>
                <c:pt idx="56">
                  <c:v>5613</c:v>
                </c:pt>
                <c:pt idx="57">
                  <c:v>5804</c:v>
                </c:pt>
                <c:pt idx="58">
                  <c:v>5507</c:v>
                </c:pt>
                <c:pt idx="59">
                  <c:v>5329</c:v>
                </c:pt>
                <c:pt idx="60">
                  <c:v>5112</c:v>
                </c:pt>
                <c:pt idx="61">
                  <c:v>4524</c:v>
                </c:pt>
                <c:pt idx="62">
                  <c:v>4481</c:v>
                </c:pt>
                <c:pt idx="63">
                  <c:v>4445</c:v>
                </c:pt>
                <c:pt idx="64">
                  <c:v>4455</c:v>
                </c:pt>
                <c:pt idx="65">
                  <c:v>3959</c:v>
                </c:pt>
                <c:pt idx="66">
                  <c:v>3763</c:v>
                </c:pt>
                <c:pt idx="67">
                  <c:v>3602</c:v>
                </c:pt>
                <c:pt idx="68">
                  <c:v>3290</c:v>
                </c:pt>
                <c:pt idx="69">
                  <c:v>3254</c:v>
                </c:pt>
                <c:pt idx="70">
                  <c:v>3245</c:v>
                </c:pt>
                <c:pt idx="71">
                  <c:v>3292</c:v>
                </c:pt>
                <c:pt idx="72">
                  <c:v>3016</c:v>
                </c:pt>
                <c:pt idx="73">
                  <c:v>2903</c:v>
                </c:pt>
                <c:pt idx="74">
                  <c:v>2833</c:v>
                </c:pt>
                <c:pt idx="75">
                  <c:v>2779</c:v>
                </c:pt>
                <c:pt idx="76">
                  <c:v>2602</c:v>
                </c:pt>
                <c:pt idx="77">
                  <c:v>2583</c:v>
                </c:pt>
                <c:pt idx="78">
                  <c:v>2686</c:v>
                </c:pt>
                <c:pt idx="79">
                  <c:v>2617</c:v>
                </c:pt>
                <c:pt idx="80">
                  <c:v>2623</c:v>
                </c:pt>
                <c:pt idx="81">
                  <c:v>2689</c:v>
                </c:pt>
                <c:pt idx="82">
                  <c:v>2692</c:v>
                </c:pt>
                <c:pt idx="83">
                  <c:v>2581</c:v>
                </c:pt>
                <c:pt idx="84">
                  <c:v>2571</c:v>
                </c:pt>
                <c:pt idx="85">
                  <c:v>2658</c:v>
                </c:pt>
                <c:pt idx="86">
                  <c:v>2634</c:v>
                </c:pt>
                <c:pt idx="87">
                  <c:v>2614</c:v>
                </c:pt>
                <c:pt idx="88">
                  <c:v>2578</c:v>
                </c:pt>
                <c:pt idx="89">
                  <c:v>2570</c:v>
                </c:pt>
                <c:pt idx="90">
                  <c:v>2454</c:v>
                </c:pt>
                <c:pt idx="91">
                  <c:v>2446</c:v>
                </c:pt>
                <c:pt idx="92">
                  <c:v>2393</c:v>
                </c:pt>
                <c:pt idx="93">
                  <c:v>2241</c:v>
                </c:pt>
                <c:pt idx="94">
                  <c:v>2195</c:v>
                </c:pt>
                <c:pt idx="95">
                  <c:v>2145</c:v>
                </c:pt>
                <c:pt idx="96">
                  <c:v>2072</c:v>
                </c:pt>
                <c:pt idx="97">
                  <c:v>1926</c:v>
                </c:pt>
                <c:pt idx="98">
                  <c:v>1919</c:v>
                </c:pt>
                <c:pt idx="99">
                  <c:v>1940</c:v>
                </c:pt>
                <c:pt idx="100">
                  <c:v>1919</c:v>
                </c:pt>
                <c:pt idx="101">
                  <c:v>1881</c:v>
                </c:pt>
                <c:pt idx="102">
                  <c:v>1875</c:v>
                </c:pt>
                <c:pt idx="103">
                  <c:v>1862</c:v>
                </c:pt>
                <c:pt idx="104">
                  <c:v>1764</c:v>
                </c:pt>
                <c:pt idx="105">
                  <c:v>1758</c:v>
                </c:pt>
                <c:pt idx="106">
                  <c:v>1826</c:v>
                </c:pt>
                <c:pt idx="107">
                  <c:v>1764</c:v>
                </c:pt>
                <c:pt idx="108">
                  <c:v>1746</c:v>
                </c:pt>
                <c:pt idx="109">
                  <c:v>1784</c:v>
                </c:pt>
                <c:pt idx="110">
                  <c:v>1851</c:v>
                </c:pt>
                <c:pt idx="111">
                  <c:v>1754</c:v>
                </c:pt>
                <c:pt idx="112">
                  <c:v>1748</c:v>
                </c:pt>
                <c:pt idx="113">
                  <c:v>1967</c:v>
                </c:pt>
                <c:pt idx="114">
                  <c:v>2009</c:v>
                </c:pt>
                <c:pt idx="115">
                  <c:v>2072</c:v>
                </c:pt>
                <c:pt idx="116">
                  <c:v>2151</c:v>
                </c:pt>
                <c:pt idx="117">
                  <c:v>2263</c:v>
                </c:pt>
                <c:pt idx="118">
                  <c:v>2173</c:v>
                </c:pt>
                <c:pt idx="119">
                  <c:v>2170</c:v>
                </c:pt>
                <c:pt idx="120">
                  <c:v>2502</c:v>
                </c:pt>
                <c:pt idx="121">
                  <c:v>2645</c:v>
                </c:pt>
                <c:pt idx="122">
                  <c:v>2780</c:v>
                </c:pt>
                <c:pt idx="123">
                  <c:v>2911</c:v>
                </c:pt>
                <c:pt idx="124">
                  <c:v>2947</c:v>
                </c:pt>
                <c:pt idx="125">
                  <c:v>2802</c:v>
                </c:pt>
                <c:pt idx="126">
                  <c:v>2793</c:v>
                </c:pt>
                <c:pt idx="127">
                  <c:v>2779</c:v>
                </c:pt>
                <c:pt idx="128">
                  <c:v>3009</c:v>
                </c:pt>
                <c:pt idx="129">
                  <c:v>3079</c:v>
                </c:pt>
                <c:pt idx="130">
                  <c:v>3184</c:v>
                </c:pt>
                <c:pt idx="131">
                  <c:v>3167</c:v>
                </c:pt>
                <c:pt idx="132">
                  <c:v>3009</c:v>
                </c:pt>
                <c:pt idx="133">
                  <c:v>2990</c:v>
                </c:pt>
                <c:pt idx="134">
                  <c:v>3067</c:v>
                </c:pt>
                <c:pt idx="135">
                  <c:v>2858</c:v>
                </c:pt>
                <c:pt idx="136">
                  <c:v>2824</c:v>
                </c:pt>
                <c:pt idx="137">
                  <c:v>2765</c:v>
                </c:pt>
                <c:pt idx="138">
                  <c:v>2794</c:v>
                </c:pt>
                <c:pt idx="139">
                  <c:v>2556</c:v>
                </c:pt>
                <c:pt idx="140">
                  <c:v>2547</c:v>
                </c:pt>
                <c:pt idx="141">
                  <c:v>2789</c:v>
                </c:pt>
                <c:pt idx="142">
                  <c:v>2719</c:v>
                </c:pt>
                <c:pt idx="143">
                  <c:v>2775</c:v>
                </c:pt>
                <c:pt idx="144">
                  <c:v>2858</c:v>
                </c:pt>
                <c:pt idx="145">
                  <c:v>3038</c:v>
                </c:pt>
                <c:pt idx="146">
                  <c:v>2875</c:v>
                </c:pt>
                <c:pt idx="147">
                  <c:v>2865</c:v>
                </c:pt>
                <c:pt idx="148">
                  <c:v>3275</c:v>
                </c:pt>
                <c:pt idx="149">
                  <c:v>3371</c:v>
                </c:pt>
                <c:pt idx="150">
                  <c:v>3542</c:v>
                </c:pt>
                <c:pt idx="151">
                  <c:v>3656</c:v>
                </c:pt>
                <c:pt idx="152">
                  <c:v>3751</c:v>
                </c:pt>
                <c:pt idx="153">
                  <c:v>3419</c:v>
                </c:pt>
                <c:pt idx="154">
                  <c:v>3410</c:v>
                </c:pt>
                <c:pt idx="155">
                  <c:v>3812</c:v>
                </c:pt>
                <c:pt idx="156">
                  <c:v>3747</c:v>
                </c:pt>
                <c:pt idx="157">
                  <c:v>3808</c:v>
                </c:pt>
                <c:pt idx="158">
                  <c:v>3826</c:v>
                </c:pt>
                <c:pt idx="159">
                  <c:v>3906</c:v>
                </c:pt>
                <c:pt idx="160">
                  <c:v>3646</c:v>
                </c:pt>
                <c:pt idx="161">
                  <c:v>3634</c:v>
                </c:pt>
                <c:pt idx="162">
                  <c:v>4017</c:v>
                </c:pt>
                <c:pt idx="163">
                  <c:v>3987</c:v>
                </c:pt>
                <c:pt idx="164">
                  <c:v>3984</c:v>
                </c:pt>
                <c:pt idx="165">
                  <c:v>4000</c:v>
                </c:pt>
                <c:pt idx="166">
                  <c:v>4087</c:v>
                </c:pt>
                <c:pt idx="167">
                  <c:v>3814</c:v>
                </c:pt>
                <c:pt idx="168">
                  <c:v>3802</c:v>
                </c:pt>
                <c:pt idx="169">
                  <c:v>4304</c:v>
                </c:pt>
                <c:pt idx="170">
                  <c:v>4224</c:v>
                </c:pt>
                <c:pt idx="171">
                  <c:v>4242</c:v>
                </c:pt>
                <c:pt idx="172">
                  <c:v>4186</c:v>
                </c:pt>
                <c:pt idx="173">
                  <c:v>4256</c:v>
                </c:pt>
                <c:pt idx="174">
                  <c:v>4028</c:v>
                </c:pt>
                <c:pt idx="175">
                  <c:v>4013</c:v>
                </c:pt>
                <c:pt idx="176">
                  <c:v>4436</c:v>
                </c:pt>
                <c:pt idx="177">
                  <c:v>4364</c:v>
                </c:pt>
                <c:pt idx="178">
                  <c:v>4359</c:v>
                </c:pt>
                <c:pt idx="179">
                  <c:v>4405</c:v>
                </c:pt>
                <c:pt idx="180">
                  <c:v>4562</c:v>
                </c:pt>
                <c:pt idx="181">
                  <c:v>4225</c:v>
                </c:pt>
                <c:pt idx="182">
                  <c:v>4204</c:v>
                </c:pt>
                <c:pt idx="183">
                  <c:v>5016</c:v>
                </c:pt>
                <c:pt idx="184">
                  <c:v>4982</c:v>
                </c:pt>
                <c:pt idx="185">
                  <c:v>5251</c:v>
                </c:pt>
                <c:pt idx="186">
                  <c:v>5579</c:v>
                </c:pt>
                <c:pt idx="187">
                  <c:v>5980</c:v>
                </c:pt>
                <c:pt idx="188">
                  <c:v>5629</c:v>
                </c:pt>
                <c:pt idx="189">
                  <c:v>5608</c:v>
                </c:pt>
                <c:pt idx="190">
                  <c:v>6791</c:v>
                </c:pt>
                <c:pt idx="191">
                  <c:v>7010</c:v>
                </c:pt>
                <c:pt idx="192">
                  <c:v>7478</c:v>
                </c:pt>
                <c:pt idx="193">
                  <c:v>7957</c:v>
                </c:pt>
                <c:pt idx="194">
                  <c:v>8395</c:v>
                </c:pt>
                <c:pt idx="195">
                  <c:v>7845</c:v>
                </c:pt>
                <c:pt idx="196">
                  <c:v>7790</c:v>
                </c:pt>
                <c:pt idx="197">
                  <c:v>9534</c:v>
                </c:pt>
                <c:pt idx="198">
                  <c:v>9658</c:v>
                </c:pt>
                <c:pt idx="199">
                  <c:v>10273</c:v>
                </c:pt>
                <c:pt idx="200">
                  <c:v>10771</c:v>
                </c:pt>
                <c:pt idx="201">
                  <c:v>11447</c:v>
                </c:pt>
                <c:pt idx="202">
                  <c:v>10682</c:v>
                </c:pt>
                <c:pt idx="203">
                  <c:v>10611</c:v>
                </c:pt>
                <c:pt idx="204">
                  <c:v>12249</c:v>
                </c:pt>
                <c:pt idx="205">
                  <c:v>12151</c:v>
                </c:pt>
                <c:pt idx="206">
                  <c:v>12505</c:v>
                </c:pt>
                <c:pt idx="207">
                  <c:v>12950</c:v>
                </c:pt>
                <c:pt idx="208">
                  <c:v>13323</c:v>
                </c:pt>
                <c:pt idx="209">
                  <c:v>12210</c:v>
                </c:pt>
                <c:pt idx="210">
                  <c:v>12113</c:v>
                </c:pt>
                <c:pt idx="211">
                  <c:v>11898</c:v>
                </c:pt>
                <c:pt idx="212">
                  <c:v>14256</c:v>
                </c:pt>
                <c:pt idx="213">
                  <c:v>13117</c:v>
                </c:pt>
                <c:pt idx="214">
                  <c:v>13153</c:v>
                </c:pt>
                <c:pt idx="215">
                  <c:v>14738</c:v>
                </c:pt>
                <c:pt idx="216">
                  <c:v>13600</c:v>
                </c:pt>
                <c:pt idx="217">
                  <c:v>13421</c:v>
                </c:pt>
                <c:pt idx="218">
                  <c:v>15980</c:v>
                </c:pt>
                <c:pt idx="219">
                  <c:v>16312</c:v>
                </c:pt>
                <c:pt idx="220">
                  <c:v>18095</c:v>
                </c:pt>
                <c:pt idx="221">
                  <c:v>20171</c:v>
                </c:pt>
                <c:pt idx="222">
                  <c:v>22318</c:v>
                </c:pt>
                <c:pt idx="223">
                  <c:v>20782</c:v>
                </c:pt>
                <c:pt idx="224">
                  <c:v>20361</c:v>
                </c:pt>
                <c:pt idx="225">
                  <c:v>26541</c:v>
                </c:pt>
                <c:pt idx="226">
                  <c:v>28278</c:v>
                </c:pt>
                <c:pt idx="227">
                  <c:v>31149</c:v>
                </c:pt>
                <c:pt idx="228">
                  <c:v>34452</c:v>
                </c:pt>
                <c:pt idx="229">
                  <c:v>37376</c:v>
                </c:pt>
                <c:pt idx="230">
                  <c:v>34748</c:v>
                </c:pt>
                <c:pt idx="231">
                  <c:v>34134</c:v>
                </c:pt>
                <c:pt idx="232">
                  <c:v>41775</c:v>
                </c:pt>
                <c:pt idx="233">
                  <c:v>42941</c:v>
                </c:pt>
                <c:pt idx="234">
                  <c:v>45975</c:v>
                </c:pt>
                <c:pt idx="235">
                  <c:v>48831</c:v>
                </c:pt>
                <c:pt idx="236">
                  <c:v>51036</c:v>
                </c:pt>
                <c:pt idx="237">
                  <c:v>46845</c:v>
                </c:pt>
                <c:pt idx="238">
                  <c:v>45888</c:v>
                </c:pt>
                <c:pt idx="239">
                  <c:v>51560</c:v>
                </c:pt>
                <c:pt idx="240">
                  <c:v>51464</c:v>
                </c:pt>
                <c:pt idx="241">
                  <c:v>49097</c:v>
                </c:pt>
                <c:pt idx="242">
                  <c:v>53448</c:v>
                </c:pt>
                <c:pt idx="243">
                  <c:v>54767</c:v>
                </c:pt>
                <c:pt idx="244">
                  <c:v>50666</c:v>
                </c:pt>
                <c:pt idx="245">
                  <c:v>48359</c:v>
                </c:pt>
                <c:pt idx="246">
                  <c:v>51264</c:v>
                </c:pt>
                <c:pt idx="247">
                  <c:v>49677</c:v>
                </c:pt>
                <c:pt idx="248">
                  <c:v>49469</c:v>
                </c:pt>
                <c:pt idx="249">
                  <c:v>48643</c:v>
                </c:pt>
                <c:pt idx="250">
                  <c:v>48673</c:v>
                </c:pt>
                <c:pt idx="251">
                  <c:v>43590</c:v>
                </c:pt>
                <c:pt idx="252">
                  <c:v>42666</c:v>
                </c:pt>
                <c:pt idx="253">
                  <c:v>42377</c:v>
                </c:pt>
                <c:pt idx="254">
                  <c:v>39661</c:v>
                </c:pt>
                <c:pt idx="255">
                  <c:v>39113</c:v>
                </c:pt>
                <c:pt idx="256">
                  <c:v>38585</c:v>
                </c:pt>
                <c:pt idx="257">
                  <c:v>37879</c:v>
                </c:pt>
                <c:pt idx="258">
                  <c:v>33022</c:v>
                </c:pt>
                <c:pt idx="259">
                  <c:v>32020</c:v>
                </c:pt>
                <c:pt idx="260">
                  <c:v>30354</c:v>
                </c:pt>
                <c:pt idx="261">
                  <c:v>27208</c:v>
                </c:pt>
                <c:pt idx="262">
                  <c:v>28042</c:v>
                </c:pt>
                <c:pt idx="263">
                  <c:v>27451</c:v>
                </c:pt>
                <c:pt idx="264">
                  <c:v>27164</c:v>
                </c:pt>
                <c:pt idx="265">
                  <c:v>23847</c:v>
                </c:pt>
                <c:pt idx="266">
                  <c:v>23191</c:v>
                </c:pt>
                <c:pt idx="267">
                  <c:v>22711</c:v>
                </c:pt>
                <c:pt idx="268">
                  <c:v>21501</c:v>
                </c:pt>
                <c:pt idx="269">
                  <c:v>21703</c:v>
                </c:pt>
                <c:pt idx="270">
                  <c:v>21698</c:v>
                </c:pt>
                <c:pt idx="271">
                  <c:v>21521</c:v>
                </c:pt>
                <c:pt idx="272">
                  <c:v>19753</c:v>
                </c:pt>
                <c:pt idx="273">
                  <c:v>19198</c:v>
                </c:pt>
                <c:pt idx="274">
                  <c:v>18749</c:v>
                </c:pt>
                <c:pt idx="275">
                  <c:v>17132</c:v>
                </c:pt>
                <c:pt idx="276">
                  <c:v>17859</c:v>
                </c:pt>
                <c:pt idx="277">
                  <c:v>18178</c:v>
                </c:pt>
                <c:pt idx="278">
                  <c:v>18310</c:v>
                </c:pt>
                <c:pt idx="279">
                  <c:v>16532</c:v>
                </c:pt>
                <c:pt idx="280">
                  <c:v>16130</c:v>
                </c:pt>
                <c:pt idx="281">
                  <c:v>17016</c:v>
                </c:pt>
                <c:pt idx="282">
                  <c:v>17010</c:v>
                </c:pt>
                <c:pt idx="283">
                  <c:v>18044</c:v>
                </c:pt>
                <c:pt idx="284">
                  <c:v>19018</c:v>
                </c:pt>
                <c:pt idx="285">
                  <c:v>19799</c:v>
                </c:pt>
                <c:pt idx="286">
                  <c:v>18166</c:v>
                </c:pt>
                <c:pt idx="287">
                  <c:v>17792</c:v>
                </c:pt>
                <c:pt idx="288">
                  <c:v>19357</c:v>
                </c:pt>
                <c:pt idx="289">
                  <c:v>19586</c:v>
                </c:pt>
                <c:pt idx="290">
                  <c:v>20646</c:v>
                </c:pt>
                <c:pt idx="291">
                  <c:v>21554</c:v>
                </c:pt>
                <c:pt idx="292">
                  <c:v>21816</c:v>
                </c:pt>
                <c:pt idx="293">
                  <c:v>19584</c:v>
                </c:pt>
                <c:pt idx="294">
                  <c:v>19048</c:v>
                </c:pt>
                <c:pt idx="295">
                  <c:v>19788</c:v>
                </c:pt>
                <c:pt idx="296">
                  <c:v>19271</c:v>
                </c:pt>
                <c:pt idx="297">
                  <c:v>19171</c:v>
                </c:pt>
                <c:pt idx="298">
                  <c:v>16732</c:v>
                </c:pt>
                <c:pt idx="299">
                  <c:v>16243</c:v>
                </c:pt>
                <c:pt idx="300">
                  <c:v>15820</c:v>
                </c:pt>
                <c:pt idx="301">
                  <c:v>15608</c:v>
                </c:pt>
                <c:pt idx="302">
                  <c:v>17768</c:v>
                </c:pt>
                <c:pt idx="303">
                  <c:v>17733</c:v>
                </c:pt>
                <c:pt idx="304">
                  <c:v>17997</c:v>
                </c:pt>
                <c:pt idx="305">
                  <c:v>19067</c:v>
                </c:pt>
              </c:numCache>
            </c:numRef>
          </c:val>
          <c:smooth val="0"/>
          <c:extLst>
            <c:ext xmlns:c16="http://schemas.microsoft.com/office/drawing/2014/chart" uri="{C3380CC4-5D6E-409C-BE32-E72D297353CC}">
              <c16:uniqueId val="{00000000-9B5C-47AF-8819-18088883981F}"/>
            </c:ext>
          </c:extLst>
        </c:ser>
        <c:dLbls>
          <c:showLegendKey val="0"/>
          <c:showVal val="0"/>
          <c:showCatName val="0"/>
          <c:showSerName val="0"/>
          <c:showPercent val="0"/>
          <c:showBubbleSize val="0"/>
        </c:dLbls>
        <c:smooth val="0"/>
        <c:axId val="551561631"/>
        <c:axId val="551562463"/>
      </c:lineChart>
      <c:catAx>
        <c:axId val="55156163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551562463"/>
        <c:crosses val="autoZero"/>
        <c:auto val="1"/>
        <c:lblAlgn val="ctr"/>
        <c:lblOffset val="100"/>
        <c:noMultiLvlLbl val="0"/>
      </c:catAx>
      <c:valAx>
        <c:axId val="5515624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cs-CZ"/>
          </a:p>
        </c:txPr>
        <c:crossAx val="5515616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'G5.1'!$B$5</c:f>
              <c:strCache>
                <c:ptCount val="1"/>
                <c:pt idx="0">
                  <c:v> celkem</c:v>
                </c:pt>
              </c:strCache>
            </c:strRef>
          </c:tx>
          <c:spPr>
            <a:solidFill>
              <a:srgbClr val="632827"/>
            </a:solidFill>
            <a:ln>
              <a:noFill/>
            </a:ln>
            <a:effectLst/>
          </c:spPr>
          <c:invertIfNegative val="0"/>
          <c:cat>
            <c:numRef>
              <c:f>'G5.1'!$A$6:$A$16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'G5.1'!$B$6:$B$16</c:f>
              <c:numCache>
                <c:formatCode>General</c:formatCode>
                <c:ptCount val="11"/>
                <c:pt idx="0">
                  <c:v>1160.9247128249856</c:v>
                </c:pt>
                <c:pt idx="1">
                  <c:v>1079.9351972397806</c:v>
                </c:pt>
                <c:pt idx="2">
                  <c:v>973.70484821962259</c:v>
                </c:pt>
                <c:pt idx="3">
                  <c:v>953.87140493738525</c:v>
                </c:pt>
                <c:pt idx="4">
                  <c:v>992.39324229058911</c:v>
                </c:pt>
                <c:pt idx="5">
                  <c:v>1012.2229156237019</c:v>
                </c:pt>
                <c:pt idx="6">
                  <c:v>1021.8745560010099</c:v>
                </c:pt>
                <c:pt idx="7">
                  <c:v>1003.2481328292729</c:v>
                </c:pt>
                <c:pt idx="8">
                  <c:v>964.89615656043009</c:v>
                </c:pt>
                <c:pt idx="9">
                  <c:v>928.79837124568758</c:v>
                </c:pt>
                <c:pt idx="10">
                  <c:v>864.94183499552605</c:v>
                </c:pt>
              </c:numCache>
            </c:numRef>
          </c:val>
          <c:extLst>
            <c:ext xmlns:c16="http://schemas.microsoft.com/office/drawing/2014/chart" uri="{C3380CC4-5D6E-409C-BE32-E72D297353CC}">
              <c16:uniqueId val="{00000000-9F2B-4BCA-BB19-ADA08A987587}"/>
            </c:ext>
          </c:extLst>
        </c:ser>
        <c:ser>
          <c:idx val="1"/>
          <c:order val="1"/>
          <c:tx>
            <c:strRef>
              <c:f>'G5.1'!$C$5</c:f>
              <c:strCache>
                <c:ptCount val="1"/>
                <c:pt idx="0">
                  <c:v> muži</c:v>
                </c:pt>
              </c:strCache>
            </c:strRef>
          </c:tx>
          <c:spPr>
            <a:solidFill>
              <a:srgbClr val="B44946"/>
            </a:solidFill>
            <a:ln>
              <a:noFill/>
            </a:ln>
            <a:effectLst/>
          </c:spPr>
          <c:invertIfNegative val="0"/>
          <c:cat>
            <c:numRef>
              <c:f>'G5.1'!$A$6:$A$16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'G5.1'!$C$6:$C$16</c:f>
              <c:numCache>
                <c:formatCode>General</c:formatCode>
                <c:ptCount val="11"/>
                <c:pt idx="0">
                  <c:v>1587.1737028681921</c:v>
                </c:pt>
                <c:pt idx="1">
                  <c:v>1505.993672350256</c:v>
                </c:pt>
                <c:pt idx="2">
                  <c:v>1359.6356655065706</c:v>
                </c:pt>
                <c:pt idx="3">
                  <c:v>1325.0414476326634</c:v>
                </c:pt>
                <c:pt idx="4">
                  <c:v>1372.173752359331</c:v>
                </c:pt>
                <c:pt idx="5">
                  <c:v>1373.3670257323856</c:v>
                </c:pt>
                <c:pt idx="6">
                  <c:v>1378.6665387508742</c:v>
                </c:pt>
                <c:pt idx="7">
                  <c:v>1355.2518700976673</c:v>
                </c:pt>
                <c:pt idx="8">
                  <c:v>1294.0989767393464</c:v>
                </c:pt>
                <c:pt idx="9">
                  <c:v>1243.7952127639396</c:v>
                </c:pt>
                <c:pt idx="10">
                  <c:v>1193.8973535578518</c:v>
                </c:pt>
              </c:numCache>
            </c:numRef>
          </c:val>
          <c:extLst>
            <c:ext xmlns:c16="http://schemas.microsoft.com/office/drawing/2014/chart" uri="{C3380CC4-5D6E-409C-BE32-E72D297353CC}">
              <c16:uniqueId val="{00000001-9F2B-4BCA-BB19-ADA08A987587}"/>
            </c:ext>
          </c:extLst>
        </c:ser>
        <c:ser>
          <c:idx val="2"/>
          <c:order val="2"/>
          <c:tx>
            <c:strRef>
              <c:f>'G5.1'!$D$5</c:f>
              <c:strCache>
                <c:ptCount val="1"/>
                <c:pt idx="0">
                  <c:v> ženy</c:v>
                </c:pt>
              </c:strCache>
            </c:strRef>
          </c:tx>
          <c:spPr>
            <a:solidFill>
              <a:srgbClr val="F07373"/>
            </a:solidFill>
            <a:ln>
              <a:noFill/>
            </a:ln>
            <a:effectLst/>
          </c:spPr>
          <c:invertIfNegative val="0"/>
          <c:cat>
            <c:numRef>
              <c:f>'G5.1'!$A$6:$A$16</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'G5.1'!$D$6:$D$16</c:f>
              <c:numCache>
                <c:formatCode>General</c:formatCode>
                <c:ptCount val="11"/>
                <c:pt idx="0">
                  <c:v>702.37865947611704</c:v>
                </c:pt>
                <c:pt idx="1">
                  <c:v>636.29313687475769</c:v>
                </c:pt>
                <c:pt idx="2">
                  <c:v>571.7497029175031</c:v>
                </c:pt>
                <c:pt idx="3">
                  <c:v>568.90076443746273</c:v>
                </c:pt>
                <c:pt idx="4">
                  <c:v>598.4482241654789</c:v>
                </c:pt>
                <c:pt idx="5">
                  <c:v>635.43511275243941</c:v>
                </c:pt>
                <c:pt idx="6">
                  <c:v>651.45580665256648</c:v>
                </c:pt>
                <c:pt idx="7">
                  <c:v>640.8067102346364</c:v>
                </c:pt>
                <c:pt idx="8">
                  <c:v>628.65610667766714</c:v>
                </c:pt>
                <c:pt idx="9">
                  <c:v>608.85567093888449</c:v>
                </c:pt>
                <c:pt idx="10">
                  <c:v>533.51264368714521</c:v>
                </c:pt>
              </c:numCache>
            </c:numRef>
          </c:val>
          <c:extLst>
            <c:ext xmlns:c16="http://schemas.microsoft.com/office/drawing/2014/chart" uri="{C3380CC4-5D6E-409C-BE32-E72D297353CC}">
              <c16:uniqueId val="{00000002-9F2B-4BCA-BB19-ADA08A987587}"/>
            </c:ext>
          </c:extLst>
        </c:ser>
        <c:dLbls>
          <c:showLegendKey val="0"/>
          <c:showVal val="0"/>
          <c:showCatName val="0"/>
          <c:showSerName val="0"/>
          <c:showPercent val="0"/>
          <c:showBubbleSize val="0"/>
        </c:dLbls>
        <c:gapWidth val="219"/>
        <c:axId val="764446415"/>
        <c:axId val="764448079"/>
      </c:barChart>
      <c:catAx>
        <c:axId val="7644464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8079"/>
        <c:crosses val="autoZero"/>
        <c:auto val="1"/>
        <c:lblAlgn val="ctr"/>
        <c:lblOffset val="100"/>
        <c:noMultiLvlLbl val="0"/>
      </c:catAx>
      <c:valAx>
        <c:axId val="764448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pojištěnců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644464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119490925846344"/>
          <c:y val="3.3577533577533576E-2"/>
          <c:w val="0.45520160519466091"/>
          <c:h val="0.85208579696768671"/>
        </c:manualLayout>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60C7-4E17-9751-56EDB4D5A405}"/>
              </c:ext>
            </c:extLst>
          </c:dPt>
          <c:cat>
            <c:strRef>
              <c:f>'G5.2'!$J$8:$J$27</c:f>
              <c:strCache>
                <c:ptCount val="20"/>
                <c:pt idx="0">
                  <c:v>K – Peněžnictví a pojišťovnictví</c:v>
                </c:pt>
                <c:pt idx="1">
                  <c:v>J – Informační a komunikační činnosti</c:v>
                </c:pt>
                <c:pt idx="2">
                  <c:v>M – Profesní, vědecké a technické činnosti</c:v>
                </c:pt>
                <c:pt idx="3">
                  <c:v>P – Vzdělávání</c:v>
                </c:pt>
                <c:pt idx="4">
                  <c:v>L – Činnosti v oblasti nemovitostí</c:v>
                </c:pt>
                <c:pt idx="5">
                  <c:v>S – Ostatní činnosti</c:v>
                </c:pt>
                <c:pt idx="6">
                  <c:v>D – Výroba a rozvod elektřiny, plynu, tepla a klimatiz. vzduchu</c:v>
                </c:pt>
                <c:pt idx="7">
                  <c:v>O – Veřejná správa a obrana; povinné sociální zabezpečení</c:v>
                </c:pt>
                <c:pt idx="8">
                  <c:v>R – Kulturní, zábavní a rekreační činnosti</c:v>
                </c:pt>
                <c:pt idx="9">
                  <c:v>I – Ubytování, stravování a pohostinství</c:v>
                </c:pt>
                <c:pt idx="10">
                  <c:v>Q – Zdravotní a sociální péče</c:v>
                </c:pt>
                <c:pt idx="11">
                  <c:v>G – Velkoobchod a maloobchod; opravy a údržba motor. vozidel</c:v>
                </c:pt>
                <c:pt idx="12">
                  <c:v>N – Administrativní a podpůrné činnosti</c:v>
                </c:pt>
                <c:pt idx="13">
                  <c:v>CELKEM</c:v>
                </c:pt>
                <c:pt idx="14">
                  <c:v>F – Stavebnictví</c:v>
                </c:pt>
                <c:pt idx="15">
                  <c:v>C – Zpracovatelský průmysl</c:v>
                </c:pt>
                <c:pt idx="16">
                  <c:v>H – Doprava a skladování</c:v>
                </c:pt>
                <c:pt idx="17">
                  <c:v>B – Těžba a dobývání</c:v>
                </c:pt>
                <c:pt idx="18">
                  <c:v>E – Zásobování vodou; činnosti související s odpady a sanacemi</c:v>
                </c:pt>
                <c:pt idx="19">
                  <c:v>A – Zemědělství, lesnictví, rybářství</c:v>
                </c:pt>
              </c:strCache>
            </c:strRef>
          </c:cat>
          <c:val>
            <c:numRef>
              <c:f>'G5.2'!$K$8:$K$27</c:f>
              <c:numCache>
                <c:formatCode>General</c:formatCode>
                <c:ptCount val="20"/>
                <c:pt idx="0">
                  <c:v>77.883749418267072</c:v>
                </c:pt>
                <c:pt idx="1">
                  <c:v>78.475504496686995</c:v>
                </c:pt>
                <c:pt idx="2">
                  <c:v>187.981844407777</c:v>
                </c:pt>
                <c:pt idx="3">
                  <c:v>262.28924962343848</c:v>
                </c:pt>
                <c:pt idx="4">
                  <c:v>277.54875778629582</c:v>
                </c:pt>
                <c:pt idx="5">
                  <c:v>290.10198533919709</c:v>
                </c:pt>
                <c:pt idx="6">
                  <c:v>322.98733612758878</c:v>
                </c:pt>
                <c:pt idx="7">
                  <c:v>324.26385935227989</c:v>
                </c:pt>
                <c:pt idx="8">
                  <c:v>367.89189367478474</c:v>
                </c:pt>
                <c:pt idx="9">
                  <c:v>487.31424761762923</c:v>
                </c:pt>
                <c:pt idx="10">
                  <c:v>630.12494467040688</c:v>
                </c:pt>
                <c:pt idx="11">
                  <c:v>776.17213523331463</c:v>
                </c:pt>
                <c:pt idx="12">
                  <c:v>822.47768542549784</c:v>
                </c:pt>
                <c:pt idx="13">
                  <c:v>864.94183499552605</c:v>
                </c:pt>
                <c:pt idx="14">
                  <c:v>1204.1674645857777</c:v>
                </c:pt>
                <c:pt idx="15">
                  <c:v>1370.0264200615504</c:v>
                </c:pt>
                <c:pt idx="16">
                  <c:v>1399.1867032562111</c:v>
                </c:pt>
                <c:pt idx="17">
                  <c:v>1674.5573484981724</c:v>
                </c:pt>
                <c:pt idx="18">
                  <c:v>1806.4663194347233</c:v>
                </c:pt>
                <c:pt idx="19">
                  <c:v>2258.9122367829141</c:v>
                </c:pt>
              </c:numCache>
            </c:numRef>
          </c:val>
          <c:extLst>
            <c:ext xmlns:c16="http://schemas.microsoft.com/office/drawing/2014/chart" uri="{C3380CC4-5D6E-409C-BE32-E72D297353CC}">
              <c16:uniqueId val="{00000002-60C7-4E17-9751-56EDB4D5A405}"/>
            </c:ext>
          </c:extLst>
        </c:ser>
        <c:dLbls>
          <c:showLegendKey val="0"/>
          <c:showVal val="0"/>
          <c:showCatName val="0"/>
          <c:showSerName val="0"/>
          <c:showPercent val="0"/>
          <c:showBubbleSize val="0"/>
        </c:dLbls>
        <c:gapWidth val="182"/>
        <c:axId val="759560607"/>
        <c:axId val="759561023"/>
      </c:barChart>
      <c:catAx>
        <c:axId val="7595606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1023"/>
        <c:crosses val="autoZero"/>
        <c:auto val="1"/>
        <c:lblAlgn val="ctr"/>
        <c:lblOffset val="100"/>
        <c:noMultiLvlLbl val="0"/>
      </c:catAx>
      <c:valAx>
        <c:axId val="75956102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a:t>
                </a:r>
                <a:r>
                  <a:rPr lang="cs-CZ"/>
                  <a:t>padů</a:t>
                </a:r>
                <a:r>
                  <a:rPr lang="cs-CZ" baseline="0"/>
                  <a:t> na 100 tis. pojištěnců</a:t>
                </a:r>
                <a:endParaRPr lang="en-US"/>
              </a:p>
            </c:rich>
          </c:tx>
          <c:layout>
            <c:manualLayout>
              <c:xMode val="edge"/>
              <c:yMode val="edge"/>
              <c:x val="0.59148498479607459"/>
              <c:y val="0.9444595867824214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75956060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2"/>
            <c:invertIfNegative val="0"/>
            <c:bubble3D val="0"/>
            <c:spPr>
              <a:solidFill>
                <a:srgbClr val="632827"/>
              </a:solidFill>
              <a:ln>
                <a:noFill/>
              </a:ln>
              <a:effectLst/>
            </c:spPr>
            <c:extLst>
              <c:ext xmlns:c16="http://schemas.microsoft.com/office/drawing/2014/chart" uri="{C3380CC4-5D6E-409C-BE32-E72D297353CC}">
                <c16:uniqueId val="{00000001-504A-407A-8034-C84775A4C2A9}"/>
              </c:ext>
            </c:extLst>
          </c:dPt>
          <c:cat>
            <c:strRef>
              <c:f>'G5.3, poj.v sekci A, vel. fy'!$J$7:$J$21</c:f>
              <c:strCache>
                <c:ptCount val="15"/>
                <c:pt idx="0">
                  <c:v>Hlavní město Praha</c:v>
                </c:pt>
                <c:pt idx="1">
                  <c:v>Jihomoravský kraj</c:v>
                </c:pt>
                <c:pt idx="2">
                  <c:v>ČR CELKEM</c:v>
                </c:pt>
                <c:pt idx="3">
                  <c:v>Středočeský kraj</c:v>
                </c:pt>
                <c:pt idx="4">
                  <c:v>Moravskoslezský kraj</c:v>
                </c:pt>
                <c:pt idx="5">
                  <c:v>Zlínský kraj</c:v>
                </c:pt>
                <c:pt idx="6">
                  <c:v>Liberecký kraj</c:v>
                </c:pt>
                <c:pt idx="7">
                  <c:v>Olomoucký kraj</c:v>
                </c:pt>
                <c:pt idx="8">
                  <c:v>Karlovarský kraj</c:v>
                </c:pt>
                <c:pt idx="9">
                  <c:v>Pardubický kraj</c:v>
                </c:pt>
                <c:pt idx="10">
                  <c:v>Královéhradecký kraj</c:v>
                </c:pt>
                <c:pt idx="11">
                  <c:v>Ústecký kraj</c:v>
                </c:pt>
                <c:pt idx="12">
                  <c:v>Plzeňský kraj</c:v>
                </c:pt>
                <c:pt idx="13">
                  <c:v>Jihočeský kraj</c:v>
                </c:pt>
                <c:pt idx="14">
                  <c:v>Kraj Vysočina</c:v>
                </c:pt>
              </c:strCache>
            </c:strRef>
          </c:cat>
          <c:val>
            <c:numRef>
              <c:f>'G5.3, poj.v sekci A, vel. fy'!$K$7:$K$21</c:f>
              <c:numCache>
                <c:formatCode>General</c:formatCode>
                <c:ptCount val="15"/>
                <c:pt idx="0">
                  <c:v>507.22546444779772</c:v>
                </c:pt>
                <c:pt idx="1">
                  <c:v>808.98757517851254</c:v>
                </c:pt>
                <c:pt idx="2">
                  <c:v>864.94183499552605</c:v>
                </c:pt>
                <c:pt idx="3">
                  <c:v>873.24408026395793</c:v>
                </c:pt>
                <c:pt idx="4">
                  <c:v>873.3959193131559</c:v>
                </c:pt>
                <c:pt idx="5">
                  <c:v>930.31345611787492</c:v>
                </c:pt>
                <c:pt idx="6">
                  <c:v>933.88023962020873</c:v>
                </c:pt>
                <c:pt idx="7">
                  <c:v>944.03866450377973</c:v>
                </c:pt>
                <c:pt idx="8">
                  <c:v>1018.0937401778826</c:v>
                </c:pt>
                <c:pt idx="9">
                  <c:v>1031.3842296802788</c:v>
                </c:pt>
                <c:pt idx="10">
                  <c:v>1103.6599078123293</c:v>
                </c:pt>
                <c:pt idx="11">
                  <c:v>1152.5101132044806</c:v>
                </c:pt>
                <c:pt idx="12">
                  <c:v>1220.6015592863848</c:v>
                </c:pt>
                <c:pt idx="13">
                  <c:v>1255.1655371002939</c:v>
                </c:pt>
                <c:pt idx="14">
                  <c:v>1321.2647048553195</c:v>
                </c:pt>
              </c:numCache>
            </c:numRef>
          </c:val>
          <c:extLst>
            <c:ext xmlns:c16="http://schemas.microsoft.com/office/drawing/2014/chart" uri="{C3380CC4-5D6E-409C-BE32-E72D297353CC}">
              <c16:uniqueId val="{00000002-504A-407A-8034-C84775A4C2A9}"/>
            </c:ext>
          </c:extLst>
        </c:ser>
        <c:dLbls>
          <c:showLegendKey val="0"/>
          <c:showVal val="0"/>
          <c:showCatName val="0"/>
          <c:showSerName val="0"/>
          <c:showPercent val="0"/>
          <c:showBubbleSize val="0"/>
        </c:dLbls>
        <c:gapWidth val="182"/>
        <c:axId val="613551343"/>
        <c:axId val="613549263"/>
      </c:barChart>
      <c:catAx>
        <c:axId val="6135513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13549263"/>
        <c:crosses val="autoZero"/>
        <c:auto val="1"/>
        <c:lblAlgn val="ctr"/>
        <c:lblOffset val="100"/>
        <c:noMultiLvlLbl val="0"/>
      </c:catAx>
      <c:valAx>
        <c:axId val="61354926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pojištěnců</a:t>
                </a:r>
              </a:p>
            </c:rich>
          </c:tx>
          <c:layout>
            <c:manualLayout>
              <c:xMode val="edge"/>
              <c:yMode val="edge"/>
              <c:x val="0.43359138518900092"/>
              <c:y val="0.93298328040486656"/>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1355134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13"/>
            <c:invertIfNegative val="0"/>
            <c:bubble3D val="0"/>
            <c:spPr>
              <a:solidFill>
                <a:srgbClr val="632827"/>
              </a:solidFill>
              <a:ln>
                <a:noFill/>
              </a:ln>
              <a:effectLst/>
            </c:spPr>
            <c:extLst>
              <c:ext xmlns:c16="http://schemas.microsoft.com/office/drawing/2014/chart" uri="{C3380CC4-5D6E-409C-BE32-E72D297353CC}">
                <c16:uniqueId val="{00000001-D370-4254-8D9A-CADC2BE5004E}"/>
              </c:ext>
            </c:extLst>
          </c:dPt>
          <c:dPt>
            <c:idx val="19"/>
            <c:invertIfNegative val="0"/>
            <c:bubble3D val="0"/>
            <c:spPr>
              <a:solidFill>
                <a:srgbClr val="632827"/>
              </a:solidFill>
              <a:ln>
                <a:noFill/>
              </a:ln>
              <a:effectLst/>
            </c:spPr>
            <c:extLst>
              <c:ext xmlns:c16="http://schemas.microsoft.com/office/drawing/2014/chart" uri="{C3380CC4-5D6E-409C-BE32-E72D297353CC}">
                <c16:uniqueId val="{00000003-D370-4254-8D9A-CADC2BE5004E}"/>
              </c:ext>
            </c:extLst>
          </c:dPt>
          <c:cat>
            <c:strRef>
              <c:f>'G6.1'!$D$2:$D$30</c:f>
              <c:strCache>
                <c:ptCount val="29"/>
                <c:pt idx="0">
                  <c:v>Bulharsko</c:v>
                </c:pt>
                <c:pt idx="1">
                  <c:v>Rumunsko</c:v>
                </c:pt>
                <c:pt idx="2">
                  <c:v>Řecko</c:v>
                </c:pt>
                <c:pt idx="3">
                  <c:v>Lotyšsko</c:v>
                </c:pt>
                <c:pt idx="4">
                  <c:v>Litva</c:v>
                </c:pt>
                <c:pt idx="5">
                  <c:v>Slovensko</c:v>
                </c:pt>
                <c:pt idx="6">
                  <c:v>Polsko</c:v>
                </c:pt>
                <c:pt idx="7">
                  <c:v>Maďarsko</c:v>
                </c:pt>
                <c:pt idx="8">
                  <c:v>Kypr</c:v>
                </c:pt>
                <c:pt idx="9">
                  <c:v>Švédsko</c:v>
                </c:pt>
                <c:pt idx="10">
                  <c:v>Irsko</c:v>
                </c:pt>
                <c:pt idx="11">
                  <c:v>Velká Británie</c:v>
                </c:pt>
                <c:pt idx="12">
                  <c:v>Chorvatsko</c:v>
                </c:pt>
                <c:pt idx="13">
                  <c:v>Česko</c:v>
                </c:pt>
                <c:pt idx="14">
                  <c:v>Estonsko</c:v>
                </c:pt>
                <c:pt idx="15">
                  <c:v>Malta</c:v>
                </c:pt>
                <c:pt idx="16">
                  <c:v>Itálie</c:v>
                </c:pt>
                <c:pt idx="17">
                  <c:v>Nizozemsko</c:v>
                </c:pt>
                <c:pt idx="18">
                  <c:v>Slovinsko</c:v>
                </c:pt>
                <c:pt idx="19">
                  <c:v>EU28</c:v>
                </c:pt>
                <c:pt idx="20">
                  <c:v>Dánsko</c:v>
                </c:pt>
                <c:pt idx="21">
                  <c:v>Rakousko</c:v>
                </c:pt>
                <c:pt idx="22">
                  <c:v>Belgie</c:v>
                </c:pt>
                <c:pt idx="23">
                  <c:v>Finsko</c:v>
                </c:pt>
                <c:pt idx="24">
                  <c:v>Německo</c:v>
                </c:pt>
                <c:pt idx="25">
                  <c:v>Lucembursko</c:v>
                </c:pt>
                <c:pt idx="26">
                  <c:v>Španělsko</c:v>
                </c:pt>
                <c:pt idx="27">
                  <c:v>Portugalsko</c:v>
                </c:pt>
                <c:pt idx="28">
                  <c:v>Francie</c:v>
                </c:pt>
              </c:strCache>
            </c:strRef>
          </c:cat>
          <c:val>
            <c:numRef>
              <c:f>'G6.1'!$E$2:$E$30</c:f>
              <c:numCache>
                <c:formatCode>#\ ##0.0</c:formatCode>
                <c:ptCount val="29"/>
                <c:pt idx="0">
                  <c:v>77.66</c:v>
                </c:pt>
                <c:pt idx="1">
                  <c:v>92.53</c:v>
                </c:pt>
                <c:pt idx="2">
                  <c:v>172.56</c:v>
                </c:pt>
                <c:pt idx="3">
                  <c:v>280.48</c:v>
                </c:pt>
                <c:pt idx="4">
                  <c:v>353.79</c:v>
                </c:pt>
                <c:pt idx="5">
                  <c:v>538.61</c:v>
                </c:pt>
                <c:pt idx="6">
                  <c:v>574.22</c:v>
                </c:pt>
                <c:pt idx="7">
                  <c:v>595.99</c:v>
                </c:pt>
                <c:pt idx="8">
                  <c:v>766.9</c:v>
                </c:pt>
                <c:pt idx="9">
                  <c:v>781.14</c:v>
                </c:pt>
                <c:pt idx="10">
                  <c:v>789.5</c:v>
                </c:pt>
                <c:pt idx="11">
                  <c:v>825.1</c:v>
                </c:pt>
                <c:pt idx="12">
                  <c:v>868.21</c:v>
                </c:pt>
                <c:pt idx="13">
                  <c:v>948.68</c:v>
                </c:pt>
                <c:pt idx="14">
                  <c:v>1033.1199999999999</c:v>
                </c:pt>
                <c:pt idx="15">
                  <c:v>1202.3699999999999</c:v>
                </c:pt>
                <c:pt idx="16">
                  <c:v>1382.88</c:v>
                </c:pt>
                <c:pt idx="17">
                  <c:v>1431.88</c:v>
                </c:pt>
                <c:pt idx="18">
                  <c:v>1567.22</c:v>
                </c:pt>
                <c:pt idx="19">
                  <c:v>1639.89</c:v>
                </c:pt>
                <c:pt idx="20">
                  <c:v>1770</c:v>
                </c:pt>
                <c:pt idx="21">
                  <c:v>1864.23</c:v>
                </c:pt>
                <c:pt idx="22">
                  <c:v>1866.33</c:v>
                </c:pt>
                <c:pt idx="23">
                  <c:v>1892.06</c:v>
                </c:pt>
                <c:pt idx="24">
                  <c:v>1985.81</c:v>
                </c:pt>
                <c:pt idx="25">
                  <c:v>2285.89</c:v>
                </c:pt>
                <c:pt idx="26">
                  <c:v>3275.08</c:v>
                </c:pt>
                <c:pt idx="27">
                  <c:v>3342.86</c:v>
                </c:pt>
                <c:pt idx="28">
                  <c:v>3421.18</c:v>
                </c:pt>
              </c:numCache>
            </c:numRef>
          </c:val>
          <c:extLst>
            <c:ext xmlns:c16="http://schemas.microsoft.com/office/drawing/2014/chart" uri="{C3380CC4-5D6E-409C-BE32-E72D297353CC}">
              <c16:uniqueId val="{00000004-D370-4254-8D9A-CADC2BE5004E}"/>
            </c:ext>
          </c:extLst>
        </c:ser>
        <c:dLbls>
          <c:showLegendKey val="0"/>
          <c:showVal val="0"/>
          <c:showCatName val="0"/>
          <c:showSerName val="0"/>
          <c:showPercent val="0"/>
          <c:showBubbleSize val="0"/>
        </c:dLbls>
        <c:gapWidth val="182"/>
        <c:axId val="876653215"/>
        <c:axId val="876650303"/>
      </c:barChart>
      <c:catAx>
        <c:axId val="87665321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0303"/>
        <c:crosses val="autoZero"/>
        <c:auto val="1"/>
        <c:lblAlgn val="ctr"/>
        <c:lblOffset val="100"/>
        <c:noMultiLvlLbl val="0"/>
      </c:catAx>
      <c:valAx>
        <c:axId val="876650303"/>
        <c:scaling>
          <c:orientation val="minMax"/>
          <c:max val="35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zaměstnaných osob</a:t>
                </a:r>
              </a:p>
            </c:rich>
          </c:tx>
          <c:layout>
            <c:manualLayout>
              <c:xMode val="edge"/>
              <c:yMode val="edge"/>
              <c:x val="0.3570169575797561"/>
              <c:y val="0.95448395404608199"/>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87665321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B44946"/>
            </a:solidFill>
            <a:ln>
              <a:noFill/>
            </a:ln>
            <a:effectLst/>
          </c:spPr>
          <c:invertIfNegative val="0"/>
          <c:dPt>
            <c:idx val="10"/>
            <c:invertIfNegative val="0"/>
            <c:bubble3D val="0"/>
            <c:spPr>
              <a:solidFill>
                <a:srgbClr val="632827"/>
              </a:solidFill>
              <a:ln>
                <a:noFill/>
              </a:ln>
              <a:effectLst/>
            </c:spPr>
            <c:extLst>
              <c:ext xmlns:c16="http://schemas.microsoft.com/office/drawing/2014/chart" uri="{C3380CC4-5D6E-409C-BE32-E72D297353CC}">
                <c16:uniqueId val="{00000001-25F4-4F2A-AFE1-E2BE36BEE3DB}"/>
              </c:ext>
            </c:extLst>
          </c:dPt>
          <c:dPt>
            <c:idx val="19"/>
            <c:invertIfNegative val="0"/>
            <c:bubble3D val="0"/>
            <c:spPr>
              <a:solidFill>
                <a:srgbClr val="632827"/>
              </a:solidFill>
              <a:ln>
                <a:noFill/>
              </a:ln>
              <a:effectLst/>
            </c:spPr>
            <c:extLst>
              <c:ext xmlns:c16="http://schemas.microsoft.com/office/drawing/2014/chart" uri="{C3380CC4-5D6E-409C-BE32-E72D297353CC}">
                <c16:uniqueId val="{00000003-25F4-4F2A-AFE1-E2BE36BEE3DB}"/>
              </c:ext>
            </c:extLst>
          </c:dPt>
          <c:cat>
            <c:strRef>
              <c:f>'G6.2'!$D$2:$D$30</c:f>
              <c:strCache>
                <c:ptCount val="29"/>
                <c:pt idx="0">
                  <c:v>Nizozemsko</c:v>
                </c:pt>
                <c:pt idx="1">
                  <c:v>Německo</c:v>
                </c:pt>
                <c:pt idx="2">
                  <c:v>Finsko</c:v>
                </c:pt>
                <c:pt idx="3">
                  <c:v>Velká Británie</c:v>
                </c:pt>
                <c:pt idx="4">
                  <c:v>Švédsko</c:v>
                </c:pt>
                <c:pt idx="5">
                  <c:v>Řecko</c:v>
                </c:pt>
                <c:pt idx="6">
                  <c:v>Polsko</c:v>
                </c:pt>
                <c:pt idx="7">
                  <c:v>Dánsko</c:v>
                </c:pt>
                <c:pt idx="8">
                  <c:v>Estonsko</c:v>
                </c:pt>
                <c:pt idx="9">
                  <c:v>Irsko</c:v>
                </c:pt>
                <c:pt idx="10">
                  <c:v>EU28</c:v>
                </c:pt>
                <c:pt idx="11">
                  <c:v>Slovinsko</c:v>
                </c:pt>
                <c:pt idx="12">
                  <c:v>Malta</c:v>
                </c:pt>
                <c:pt idx="13">
                  <c:v>Maďarsko</c:v>
                </c:pt>
                <c:pt idx="14">
                  <c:v>Slovensko</c:v>
                </c:pt>
                <c:pt idx="15">
                  <c:v>Portugalsko</c:v>
                </c:pt>
                <c:pt idx="16">
                  <c:v>Itálie</c:v>
                </c:pt>
                <c:pt idx="17">
                  <c:v>Belgie</c:v>
                </c:pt>
                <c:pt idx="18">
                  <c:v>Španělsko</c:v>
                </c:pt>
                <c:pt idx="19">
                  <c:v>Česko</c:v>
                </c:pt>
                <c:pt idx="20">
                  <c:v>Chorvatsko</c:v>
                </c:pt>
                <c:pt idx="21">
                  <c:v>Francie</c:v>
                </c:pt>
                <c:pt idx="22">
                  <c:v>Bulharsko</c:v>
                </c:pt>
                <c:pt idx="23">
                  <c:v>Litva</c:v>
                </c:pt>
                <c:pt idx="24">
                  <c:v>Rakousko</c:v>
                </c:pt>
                <c:pt idx="25">
                  <c:v>Kypr</c:v>
                </c:pt>
                <c:pt idx="26">
                  <c:v>Lotyšsko</c:v>
                </c:pt>
                <c:pt idx="27">
                  <c:v>Rumunsko</c:v>
                </c:pt>
                <c:pt idx="28">
                  <c:v>Lucembursko</c:v>
                </c:pt>
              </c:strCache>
            </c:strRef>
          </c:cat>
          <c:val>
            <c:numRef>
              <c:f>'G6.2'!$E$2:$E$30</c:f>
              <c:numCache>
                <c:formatCode>0.00</c:formatCode>
                <c:ptCount val="29"/>
                <c:pt idx="0">
                  <c:v>0.87</c:v>
                </c:pt>
                <c:pt idx="1">
                  <c:v>1</c:v>
                </c:pt>
                <c:pt idx="2">
                  <c:v>1.28</c:v>
                </c:pt>
                <c:pt idx="3">
                  <c:v>1.6</c:v>
                </c:pt>
                <c:pt idx="4">
                  <c:v>1.66</c:v>
                </c:pt>
                <c:pt idx="5">
                  <c:v>1.69</c:v>
                </c:pt>
                <c:pt idx="6">
                  <c:v>1.76</c:v>
                </c:pt>
                <c:pt idx="7">
                  <c:v>1.89</c:v>
                </c:pt>
                <c:pt idx="8">
                  <c:v>1.91</c:v>
                </c:pt>
                <c:pt idx="9">
                  <c:v>2.04</c:v>
                </c:pt>
                <c:pt idx="10">
                  <c:v>2.08</c:v>
                </c:pt>
                <c:pt idx="11">
                  <c:v>2.12</c:v>
                </c:pt>
                <c:pt idx="12">
                  <c:v>2.31</c:v>
                </c:pt>
                <c:pt idx="13">
                  <c:v>2.39</c:v>
                </c:pt>
                <c:pt idx="14">
                  <c:v>2.57</c:v>
                </c:pt>
                <c:pt idx="15">
                  <c:v>2.69</c:v>
                </c:pt>
                <c:pt idx="16">
                  <c:v>2.7</c:v>
                </c:pt>
                <c:pt idx="17">
                  <c:v>2.72</c:v>
                </c:pt>
                <c:pt idx="18">
                  <c:v>2.84</c:v>
                </c:pt>
                <c:pt idx="19">
                  <c:v>2.85</c:v>
                </c:pt>
                <c:pt idx="20">
                  <c:v>3.34</c:v>
                </c:pt>
                <c:pt idx="21">
                  <c:v>3.7</c:v>
                </c:pt>
                <c:pt idx="22">
                  <c:v>3.81</c:v>
                </c:pt>
                <c:pt idx="23">
                  <c:v>3.89</c:v>
                </c:pt>
                <c:pt idx="24">
                  <c:v>4.3099999999999996</c:v>
                </c:pt>
                <c:pt idx="25">
                  <c:v>4.51</c:v>
                </c:pt>
                <c:pt idx="26">
                  <c:v>4.6900000000000004</c:v>
                </c:pt>
                <c:pt idx="27">
                  <c:v>5.27</c:v>
                </c:pt>
                <c:pt idx="28">
                  <c:v>6.42</c:v>
                </c:pt>
              </c:numCache>
            </c:numRef>
          </c:val>
          <c:extLst>
            <c:ext xmlns:c16="http://schemas.microsoft.com/office/drawing/2014/chart" uri="{C3380CC4-5D6E-409C-BE32-E72D297353CC}">
              <c16:uniqueId val="{00000004-25F4-4F2A-AFE1-E2BE36BEE3DB}"/>
            </c:ext>
          </c:extLst>
        </c:ser>
        <c:dLbls>
          <c:showLegendKey val="0"/>
          <c:showVal val="0"/>
          <c:showCatName val="0"/>
          <c:showSerName val="0"/>
          <c:showPercent val="0"/>
          <c:showBubbleSize val="0"/>
        </c:dLbls>
        <c:gapWidth val="182"/>
        <c:axId val="676317471"/>
        <c:axId val="676319135"/>
      </c:barChart>
      <c:catAx>
        <c:axId val="6763174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9135"/>
        <c:crosses val="autoZero"/>
        <c:auto val="1"/>
        <c:lblAlgn val="ctr"/>
        <c:lblOffset val="100"/>
        <c:noMultiLvlLbl val="0"/>
      </c:catAx>
      <c:valAx>
        <c:axId val="676319135"/>
        <c:scaling>
          <c:orientation val="minMax"/>
          <c:max val="6.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 na 100 tis. zaměstnaných osob</a:t>
                </a:r>
              </a:p>
            </c:rich>
          </c:tx>
          <c:layout>
            <c:manualLayout>
              <c:xMode val="edge"/>
              <c:yMode val="edge"/>
              <c:x val="0.3779788754192478"/>
              <c:y val="0.94881845465519343"/>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676317471"/>
        <c:crosses val="autoZero"/>
        <c:crossBetween val="between"/>
        <c:maj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1106005918174946"/>
          <c:y val="3.5214081196058747E-2"/>
          <c:w val="0.45571205186817926"/>
          <c:h val="0.87679422114705297"/>
        </c:manualLayout>
      </c:layout>
      <c:barChart>
        <c:barDir val="bar"/>
        <c:grouping val="clustered"/>
        <c:varyColors val="0"/>
        <c:ser>
          <c:idx val="1"/>
          <c:order val="0"/>
          <c:tx>
            <c:strRef>
              <c:f>'G1.2'!$T$28</c:f>
              <c:strCache>
                <c:ptCount val="1"/>
                <c:pt idx="0">
                  <c:v> 2010</c:v>
                </c:pt>
              </c:strCache>
            </c:strRef>
          </c:tx>
          <c:spPr>
            <a:solidFill>
              <a:srgbClr val="B44946"/>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0-D816-4B77-A800-971D0270D2D9}"/>
                </c:ext>
              </c:extLst>
            </c:dLbl>
            <c:dLbl>
              <c:idx val="1"/>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extLst>
                <c:ext xmlns:c16="http://schemas.microsoft.com/office/drawing/2014/chart" uri="{C3380CC4-5D6E-409C-BE32-E72D297353CC}">
                  <c16:uniqueId val="{00000001-D816-4B77-A800-971D0270D2D9}"/>
                </c:ext>
              </c:extLst>
            </c:dLbl>
            <c:dLbl>
              <c:idx val="2"/>
              <c:layout>
                <c:manualLayout>
                  <c:x val="-1.6535729643964065E-2"/>
                  <c:y val="0"/>
                </c:manualLayout>
              </c:layout>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816-4B77-A800-971D0270D2D9}"/>
                </c:ext>
              </c:extLst>
            </c:dLbl>
            <c:dLbl>
              <c:idx val="3"/>
              <c:layout>
                <c:manualLayout>
                  <c:x val="-4.510624731230637E-2"/>
                  <c:y val="-8.1684716269404676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816-4B77-A800-971D0270D2D9}"/>
                </c:ext>
              </c:extLst>
            </c:dLbl>
            <c:dLbl>
              <c:idx val="4"/>
              <c:layout>
                <c:manualLayout>
                  <c:x val="-4.97428711241603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6-4B77-A800-971D0270D2D9}"/>
                </c:ext>
              </c:extLst>
            </c:dLbl>
            <c:dLbl>
              <c:idx val="5"/>
              <c:layout>
                <c:manualLayout>
                  <c:x val="-4.712220294497093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816-4B77-A800-971D0270D2D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'G1.2'!$R$29:$R$47</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Q – Zdravotní a sociální péče</c:v>
                </c:pt>
                <c:pt idx="16">
                  <c:v>P – Vzdělávání</c:v>
                </c:pt>
                <c:pt idx="17">
                  <c:v>G – Velkoobchod a maloobchod; opravy a údržba motor. vozidel</c:v>
                </c:pt>
                <c:pt idx="18">
                  <c:v>C – Zpracovatelský průmysl</c:v>
                </c:pt>
              </c:strCache>
            </c:strRef>
          </c:cat>
          <c:val>
            <c:numRef>
              <c:f>'G1.2'!$T$29:$T$47</c:f>
              <c:numCache>
                <c:formatCode>#\ ###\ ###\ ##0</c:formatCode>
                <c:ptCount val="19"/>
                <c:pt idx="0">
                  <c:v>38</c:v>
                </c:pt>
                <c:pt idx="1">
                  <c:v>31.062999999999999</c:v>
                </c:pt>
                <c:pt idx="2">
                  <c:v>54.220999999999997</c:v>
                </c:pt>
                <c:pt idx="3">
                  <c:v>64.466999999999999</c:v>
                </c:pt>
                <c:pt idx="4">
                  <c:v>65.959999999999994</c:v>
                </c:pt>
                <c:pt idx="5">
                  <c:v>67.926000000000002</c:v>
                </c:pt>
                <c:pt idx="6">
                  <c:v>80.739000000000004</c:v>
                </c:pt>
                <c:pt idx="7">
                  <c:v>120.31399999999999</c:v>
                </c:pt>
                <c:pt idx="8">
                  <c:v>145.715</c:v>
                </c:pt>
                <c:pt idx="9">
                  <c:v>105.501</c:v>
                </c:pt>
                <c:pt idx="10">
                  <c:v>191.108</c:v>
                </c:pt>
                <c:pt idx="11">
                  <c:v>292.22399999999999</c:v>
                </c:pt>
                <c:pt idx="12">
                  <c:v>181.77</c:v>
                </c:pt>
                <c:pt idx="13">
                  <c:v>248.59</c:v>
                </c:pt>
                <c:pt idx="14">
                  <c:v>274.95699999999999</c:v>
                </c:pt>
                <c:pt idx="15">
                  <c:v>317.56700000000001</c:v>
                </c:pt>
                <c:pt idx="16">
                  <c:v>320.94799999999998</c:v>
                </c:pt>
                <c:pt idx="17">
                  <c:v>579.10400000000004</c:v>
                </c:pt>
                <c:pt idx="18">
                  <c:v>1114.6669999999999</c:v>
                </c:pt>
              </c:numCache>
            </c:numRef>
          </c:val>
          <c:extLst>
            <c:ext xmlns:c16="http://schemas.microsoft.com/office/drawing/2014/chart" uri="{C3380CC4-5D6E-409C-BE32-E72D297353CC}">
              <c16:uniqueId val="{00000006-D816-4B77-A800-971D0270D2D9}"/>
            </c:ext>
          </c:extLst>
        </c:ser>
        <c:ser>
          <c:idx val="0"/>
          <c:order val="1"/>
          <c:tx>
            <c:strRef>
              <c:f>'G1.2'!$S$28</c:f>
              <c:strCache>
                <c:ptCount val="1"/>
                <c:pt idx="0">
                  <c:v> 2020</c:v>
                </c:pt>
              </c:strCache>
            </c:strRef>
          </c:tx>
          <c:spPr>
            <a:solidFill>
              <a:srgbClr val="632827"/>
            </a:solidFill>
            <a:ln>
              <a:noFill/>
            </a:ln>
            <a:effectLst/>
          </c:spPr>
          <c:invertIfNegative val="0"/>
          <c:dLbls>
            <c:dLbl>
              <c:idx val="0"/>
              <c:layout>
                <c:manualLayout>
                  <c:x val="2.0835742989752707E-3"/>
                  <c:y val="0"/>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816-4B77-A800-971D0270D2D9}"/>
                </c:ext>
              </c:extLst>
            </c:dLbl>
            <c:dLbl>
              <c:idx val="1"/>
              <c:layout>
                <c:manualLayout>
                  <c:x val="-5.426694544537934E-3"/>
                  <c:y val="-1.6336943253880935E-16"/>
                </c:manualLayout>
              </c:layout>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816-4B77-A800-971D0270D2D9}"/>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'G1.2'!$R$29:$R$47</c:f>
              <c:strCache>
                <c:ptCount val="19"/>
                <c:pt idx="0">
                  <c:v>B – Těžba a dobývání</c:v>
                </c:pt>
                <c:pt idx="1">
                  <c:v>D – Výroba a rozvod elektřiny, plynu, tepla a klimatiz. vzduchu</c:v>
                </c:pt>
                <c:pt idx="2">
                  <c:v>E – Zásobování vodou; činnosti související s odpady a sanacemi</c:v>
                </c:pt>
                <c:pt idx="3">
                  <c:v>R – Kulturní, zábavní a rekreační činnosti</c:v>
                </c:pt>
                <c:pt idx="4">
                  <c:v>L – Činnosti v oblasti nemovitostí</c:v>
                </c:pt>
                <c:pt idx="5">
                  <c:v>S – Ostatní činnosti</c:v>
                </c:pt>
                <c:pt idx="6">
                  <c:v>K – Peněžnictví a pojišťovnictví</c:v>
                </c:pt>
                <c:pt idx="7">
                  <c:v>A – Zemědělství, lesnictví, rybářství</c:v>
                </c:pt>
                <c:pt idx="8">
                  <c:v>I – Ubytování, stravování a pohostinství</c:v>
                </c:pt>
                <c:pt idx="9">
                  <c:v>J – Informační a komunikační činnosti</c:v>
                </c:pt>
                <c:pt idx="10">
                  <c:v>M – Profesní, vědecké a technické činnosti</c:v>
                </c:pt>
                <c:pt idx="11">
                  <c:v>F – Stavebnictví</c:v>
                </c:pt>
                <c:pt idx="12">
                  <c:v>N – Administrativní a podpůrné činnosti</c:v>
                </c:pt>
                <c:pt idx="13">
                  <c:v>O – Veřejná správa a obrana; povinné sociální zabezpečení</c:v>
                </c:pt>
                <c:pt idx="14">
                  <c:v>H – Doprava a skladování</c:v>
                </c:pt>
                <c:pt idx="15">
                  <c:v>Q – Zdravotní a sociální péče</c:v>
                </c:pt>
                <c:pt idx="16">
                  <c:v>P – Vzdělávání</c:v>
                </c:pt>
                <c:pt idx="17">
                  <c:v>G – Velkoobchod a maloobchod; opravy a údržba motor. vozidel</c:v>
                </c:pt>
                <c:pt idx="18">
                  <c:v>C – Zpracovatelský průmysl</c:v>
                </c:pt>
              </c:strCache>
            </c:strRef>
          </c:cat>
          <c:val>
            <c:numRef>
              <c:f>'G1.2'!$S$29:$S$47</c:f>
              <c:numCache>
                <c:formatCode>General</c:formatCode>
                <c:ptCount val="19"/>
                <c:pt idx="0">
                  <c:v>22.2745432</c:v>
                </c:pt>
                <c:pt idx="1">
                  <c:v>38.391598100000003</c:v>
                </c:pt>
                <c:pt idx="2">
                  <c:v>58.844163800000004</c:v>
                </c:pt>
                <c:pt idx="3">
                  <c:v>64.692917699999995</c:v>
                </c:pt>
                <c:pt idx="4">
                  <c:v>70.978519800000001</c:v>
                </c:pt>
                <c:pt idx="5">
                  <c:v>72.733042400000002</c:v>
                </c:pt>
                <c:pt idx="6">
                  <c:v>93.729437200000007</c:v>
                </c:pt>
                <c:pt idx="7">
                  <c:v>109.38893330000001</c:v>
                </c:pt>
                <c:pt idx="8">
                  <c:v>140.36117420000002</c:v>
                </c:pt>
                <c:pt idx="9">
                  <c:v>146.54254310000002</c:v>
                </c:pt>
                <c:pt idx="10">
                  <c:v>227.68156219999997</c:v>
                </c:pt>
                <c:pt idx="11">
                  <c:v>237.09326849999999</c:v>
                </c:pt>
                <c:pt idx="12">
                  <c:v>243.41085910000001</c:v>
                </c:pt>
                <c:pt idx="13">
                  <c:v>273.23427340000001</c:v>
                </c:pt>
                <c:pt idx="14">
                  <c:v>296.31499430000002</c:v>
                </c:pt>
                <c:pt idx="15">
                  <c:v>386.11390019999999</c:v>
                </c:pt>
                <c:pt idx="16">
                  <c:v>386.2148378</c:v>
                </c:pt>
                <c:pt idx="17">
                  <c:v>624.60371609999993</c:v>
                </c:pt>
                <c:pt idx="18">
                  <c:v>1197.7141286999999</c:v>
                </c:pt>
              </c:numCache>
            </c:numRef>
          </c:val>
          <c:extLst>
            <c:ext xmlns:c16="http://schemas.microsoft.com/office/drawing/2014/chart" uri="{C3380CC4-5D6E-409C-BE32-E72D297353CC}">
              <c16:uniqueId val="{00000009-D816-4B77-A800-971D0270D2D9}"/>
            </c:ext>
          </c:extLst>
        </c:ser>
        <c:dLbls>
          <c:showLegendKey val="0"/>
          <c:showVal val="0"/>
          <c:showCatName val="0"/>
          <c:showSerName val="0"/>
          <c:showPercent val="0"/>
          <c:showBubbleSize val="0"/>
        </c:dLbls>
        <c:gapWidth val="71"/>
        <c:axId val="1399933295"/>
        <c:axId val="1399945775"/>
      </c:barChart>
      <c:catAx>
        <c:axId val="13999332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775"/>
        <c:crosses val="autoZero"/>
        <c:auto val="1"/>
        <c:lblAlgn val="ctr"/>
        <c:lblOffset val="100"/>
        <c:noMultiLvlLbl val="0"/>
      </c:catAx>
      <c:valAx>
        <c:axId val="1399945775"/>
        <c:scaling>
          <c:orientation val="minMax"/>
          <c:max val="80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průměrný počet nemocensky pojištěných</a:t>
                </a:r>
              </a:p>
            </c:rich>
          </c:tx>
          <c:layout>
            <c:manualLayout>
              <c:xMode val="edge"/>
              <c:yMode val="edge"/>
              <c:x val="0.59454216528018755"/>
              <c:y val="0.91645854949773842"/>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 ###\ ###\ ##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crossAx val="1399933295"/>
        <c:crosses val="autoZero"/>
        <c:crossBetween val="between"/>
      </c:valAx>
      <c:spPr>
        <a:noFill/>
        <a:ln>
          <a:noFill/>
        </a:ln>
        <a:effectLst/>
      </c:spPr>
    </c:plotArea>
    <c:legend>
      <c:legendPos val="b"/>
      <c:layout>
        <c:manualLayout>
          <c:xMode val="edge"/>
          <c:yMode val="edge"/>
          <c:x val="0.82079776884634903"/>
          <c:y val="0.43270510064825501"/>
          <c:w val="8.5339874935660864E-2"/>
          <c:h val="7.1024774962438919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65580276550797001"/>
          <c:y val="3.4934497816593885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'G2.1'!$A$11</c:f>
              <c:strCache>
                <c:ptCount val="1"/>
                <c:pt idx="0">
                  <c:v>ženy</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2F48-4A84-B80C-81FA9B2E1014}"/>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2F48-4A84-B80C-81FA9B2E1014}"/>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2F48-4A84-B80C-81FA9B2E1014}"/>
              </c:ext>
            </c:extLst>
          </c:dPt>
          <c:dLbls>
            <c:dLbl>
              <c:idx val="0"/>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588BF777-50DA-474C-9F46-A8CB2401F1D6}" type="CELLRANGE">
                      <a:rPr lang="en-US"/>
                      <a:pPr>
                        <a:defRPr>
                          <a:solidFill>
                            <a:schemeClr val="bg1"/>
                          </a:solidFill>
                        </a:defRPr>
                      </a:pPr>
                      <a:t>[OBLAST BUNĚK]</a:t>
                    </a:fld>
                    <a:endParaRPr lang="cs-CZ"/>
                  </a:p>
                </c:rich>
              </c:tx>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2F48-4A84-B80C-81FA9B2E1014}"/>
                </c:ext>
              </c:extLst>
            </c:dLbl>
            <c:dLbl>
              <c:idx val="1"/>
              <c:layout>
                <c:manualLayout>
                  <c:x val="-8.5297996287049482E-2"/>
                  <c:y val="-0.14138568923426056"/>
                </c:manualLayout>
              </c:layout>
              <c:tx>
                <c:rich>
                  <a:bodyPr/>
                  <a:lstStyle/>
                  <a:p>
                    <a:fld id="{CC6241FA-22CF-4437-AEDC-60983567EF54}"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2F48-4A84-B80C-81FA9B2E1014}"/>
                </c:ext>
              </c:extLst>
            </c:dLbl>
            <c:dLbl>
              <c:idx val="2"/>
              <c:layout>
                <c:manualLayout>
                  <c:x val="3.2520325203252036E-2"/>
                  <c:y val="-0.1481419844353517"/>
                </c:manualLayout>
              </c:layout>
              <c:tx>
                <c:rich>
                  <a:bodyPr/>
                  <a:lstStyle/>
                  <a:p>
                    <a:fld id="{F000048A-3C49-473A-B8E7-F2516E417691}" type="CELLRANGE">
                      <a:rPr lang="en-US"/>
                      <a:pPr/>
                      <a:t>[OBLAST BUNĚK]</a:t>
                    </a:fld>
                    <a:endParaRPr lang="cs-CZ"/>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2F48-4A84-B80C-81FA9B2E1014}"/>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howLeaderLines val="0"/>
            <c:extLst>
              <c:ext xmlns:c15="http://schemas.microsoft.com/office/drawing/2012/chart" uri="{CE6537A1-D6FC-4f65-9D91-7224C49458BB}">
                <c15:showDataLabelsRange val="1"/>
              </c:ext>
            </c:extLst>
          </c:dLbls>
          <c:cat>
            <c:strRef>
              <c:f>'G2.1'!$B$10:$D$10</c:f>
              <c:strCache>
                <c:ptCount val="3"/>
                <c:pt idx="0">
                  <c:v> nemoc</c:v>
                </c:pt>
                <c:pt idx="1">
                  <c:v>pracovní úraz</c:v>
                </c:pt>
                <c:pt idx="2">
                  <c:v>ostatní úraz</c:v>
                </c:pt>
              </c:strCache>
            </c:strRef>
          </c:cat>
          <c:val>
            <c:numRef>
              <c:f>'G2.1'!$B$11:$D$11</c:f>
              <c:numCache>
                <c:formatCode>#\ ##0.0</c:formatCode>
                <c:ptCount val="3"/>
                <c:pt idx="0">
                  <c:v>1180.4449999999999</c:v>
                </c:pt>
                <c:pt idx="1">
                  <c:v>12.677</c:v>
                </c:pt>
                <c:pt idx="2">
                  <c:v>56.067</c:v>
                </c:pt>
              </c:numCache>
            </c:numRef>
          </c:val>
          <c:extLst>
            <c:ext xmlns:c15="http://schemas.microsoft.com/office/drawing/2012/chart" uri="{02D57815-91ED-43cb-92C2-25804820EDAC}">
              <c15:datalabelsRange>
                <c15:f>'G2.1'!$E$18:$E$20</c15:f>
                <c15:dlblRangeCache>
                  <c:ptCount val="3"/>
                  <c:pt idx="0">
                    <c:v>1180,4 tis.
95 %</c:v>
                  </c:pt>
                  <c:pt idx="1">
                    <c:v>12,7 tis.
1 %</c:v>
                  </c:pt>
                  <c:pt idx="2">
                    <c:v>56,1 tis.
4 %</c:v>
                  </c:pt>
                </c15:dlblRangeCache>
              </c15:datalabelsRange>
            </c:ext>
            <c:ext xmlns:c16="http://schemas.microsoft.com/office/drawing/2014/chart" uri="{C3380CC4-5D6E-409C-BE32-E72D297353CC}">
              <c16:uniqueId val="{00000006-2F48-4A84-B80C-81FA9B2E1014}"/>
            </c:ext>
          </c:extLst>
        </c:ser>
        <c:dLbls>
          <c:showLegendKey val="0"/>
          <c:showVal val="0"/>
          <c:showCatName val="0"/>
          <c:showSerName val="0"/>
          <c:showPercent val="0"/>
          <c:showBubbleSize val="0"/>
          <c:showLeaderLines val="0"/>
        </c:dLbls>
        <c:firstSliceAng val="0"/>
        <c:holeSize val="50"/>
      </c:doughnut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960" b="1" i="0" u="none" strike="noStrike" kern="1200" spc="0" baseline="0">
              <a:solidFill>
                <a:sysClr val="windowText" lastClr="000000"/>
              </a:solidFill>
              <a:latin typeface="Arial" panose="020B0604020202020204" pitchFamily="34" charset="0"/>
              <a:ea typeface="+mn-ea"/>
              <a:cs typeface="Arial" panose="020B0604020202020204" pitchFamily="34" charset="0"/>
            </a:defRPr>
          </a:pPr>
          <a:endParaRPr lang="cs-CZ"/>
        </a:p>
      </c:txPr>
    </c:title>
    <c:autoTitleDeleted val="0"/>
    <c:plotArea>
      <c:layout/>
      <c:doughnutChart>
        <c:varyColors val="1"/>
        <c:ser>
          <c:idx val="0"/>
          <c:order val="0"/>
          <c:tx>
            <c:strRef>
              <c:f>'G2.1'!$A$15</c:f>
              <c:strCache>
                <c:ptCount val="1"/>
                <c:pt idx="0">
                  <c:v>muži</c:v>
                </c:pt>
              </c:strCache>
            </c:strRef>
          </c:tx>
          <c:dPt>
            <c:idx val="0"/>
            <c:bubble3D val="0"/>
            <c:spPr>
              <a:solidFill>
                <a:srgbClr val="632827"/>
              </a:solidFill>
              <a:ln w="19050">
                <a:solidFill>
                  <a:schemeClr val="lt1"/>
                </a:solidFill>
              </a:ln>
              <a:effectLst/>
            </c:spPr>
            <c:extLst>
              <c:ext xmlns:c16="http://schemas.microsoft.com/office/drawing/2014/chart" uri="{C3380CC4-5D6E-409C-BE32-E72D297353CC}">
                <c16:uniqueId val="{00000001-1D67-46D4-B1B3-4B757EC4A20E}"/>
              </c:ext>
            </c:extLst>
          </c:dPt>
          <c:dPt>
            <c:idx val="1"/>
            <c:bubble3D val="0"/>
            <c:spPr>
              <a:solidFill>
                <a:srgbClr val="B44946"/>
              </a:solidFill>
              <a:ln w="19050">
                <a:solidFill>
                  <a:schemeClr val="lt1"/>
                </a:solidFill>
              </a:ln>
              <a:effectLst/>
            </c:spPr>
            <c:extLst>
              <c:ext xmlns:c16="http://schemas.microsoft.com/office/drawing/2014/chart" uri="{C3380CC4-5D6E-409C-BE32-E72D297353CC}">
                <c16:uniqueId val="{00000003-1D67-46D4-B1B3-4B757EC4A20E}"/>
              </c:ext>
            </c:extLst>
          </c:dPt>
          <c:dPt>
            <c:idx val="2"/>
            <c:bubble3D val="0"/>
            <c:spPr>
              <a:solidFill>
                <a:srgbClr val="F07373"/>
              </a:solidFill>
              <a:ln w="19050">
                <a:solidFill>
                  <a:schemeClr val="lt1"/>
                </a:solidFill>
              </a:ln>
              <a:effectLst/>
            </c:spPr>
            <c:extLst>
              <c:ext xmlns:c16="http://schemas.microsoft.com/office/drawing/2014/chart" uri="{C3380CC4-5D6E-409C-BE32-E72D297353CC}">
                <c16:uniqueId val="{00000005-1D67-46D4-B1B3-4B757EC4A20E}"/>
              </c:ext>
            </c:extLst>
          </c:dPt>
          <c:dLbls>
            <c:dLbl>
              <c:idx val="0"/>
              <c:tx>
                <c:rich>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fld id="{E6353005-5E87-414C-A1F5-3597E591C099}" type="CELLRANGE">
                      <a:rPr lang="en-US"/>
                      <a:pPr>
                        <a:defRPr>
                          <a:solidFill>
                            <a:schemeClr val="bg1"/>
                          </a:solidFill>
                        </a:defRPr>
                      </a:pPr>
                      <a:t>[OBLAST BUNĚK]</a:t>
                    </a:fld>
                    <a:endParaRPr lang="cs-CZ"/>
                  </a:p>
                </c:rich>
              </c:tx>
              <c:numFmt formatCode="0\ %" sourceLinked="0"/>
              <c:spPr>
                <a:noFill/>
                <a:ln>
                  <a:noFill/>
                </a:ln>
                <a:effectLst/>
              </c:spPr>
              <c:txPr>
                <a:bodyPr rot="0" spcFirstLastPara="1" vertOverflow="ellipsis" vert="horz" wrap="square" anchor="ctr" anchorCtr="1"/>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1-1D67-46D4-B1B3-4B757EC4A20E}"/>
                </c:ext>
              </c:extLst>
            </c:dLbl>
            <c:dLbl>
              <c:idx val="1"/>
              <c:layout>
                <c:manualLayout>
                  <c:x val="-9.3808120353670879E-2"/>
                  <c:y val="-0.10304484865156048"/>
                </c:manualLayout>
              </c:layout>
              <c:tx>
                <c:rich>
                  <a:bodyPr/>
                  <a:lstStyle/>
                  <a:p>
                    <a:fld id="{03FEAFBB-487D-4C38-93BD-7E883F4E48C4}"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3-1D67-46D4-B1B3-4B757EC4A20E}"/>
                </c:ext>
              </c:extLst>
            </c:dLbl>
            <c:dLbl>
              <c:idx val="2"/>
              <c:layout>
                <c:manualLayout>
                  <c:x val="-1.1173184357541933E-2"/>
                  <c:y val="-0.14556040756914118"/>
                </c:manualLayout>
              </c:layout>
              <c:tx>
                <c:rich>
                  <a:bodyPr/>
                  <a:lstStyle/>
                  <a:p>
                    <a:fld id="{495CB7DF-8F0D-4088-B553-D3F3A17D3EFD}" type="CELLRANGE">
                      <a:rPr lang="en-US"/>
                      <a:pPr/>
                      <a:t>[OBLAST BUNĚK]</a:t>
                    </a:fld>
                    <a:endParaRPr lang="cs-CZ"/>
                  </a:p>
                </c:rich>
              </c:tx>
              <c:showLegendKey val="0"/>
              <c:showVal val="0"/>
              <c:showCatName val="0"/>
              <c:showSerName val="0"/>
              <c:showPercent val="0"/>
              <c:showBubbleSize val="0"/>
              <c:separator>
</c:separator>
              <c:extLst>
                <c:ext xmlns:c15="http://schemas.microsoft.com/office/drawing/2012/chart" uri="{CE6537A1-D6FC-4f65-9D91-7224C49458BB}">
                  <c15:dlblFieldTable/>
                  <c15:showDataLabelsRange val="1"/>
                </c:ext>
                <c:ext xmlns:c16="http://schemas.microsoft.com/office/drawing/2014/chart" uri="{C3380CC4-5D6E-409C-BE32-E72D297353CC}">
                  <c16:uniqueId val="{00000005-1D67-46D4-B1B3-4B757EC4A20E}"/>
                </c:ext>
              </c:extLst>
            </c:dLbl>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showLegendKey val="0"/>
            <c:showVal val="0"/>
            <c:showCatName val="0"/>
            <c:showSerName val="0"/>
            <c:showPercent val="0"/>
            <c:showBubbleSize val="0"/>
            <c:separator>
</c:separator>
            <c:showLeaderLines val="0"/>
            <c:extLst>
              <c:ext xmlns:c15="http://schemas.microsoft.com/office/drawing/2012/chart" uri="{CE6537A1-D6FC-4f65-9D91-7224C49458BB}">
                <c15:showDataLabelsRange val="1"/>
              </c:ext>
            </c:extLst>
          </c:dLbls>
          <c:cat>
            <c:strRef>
              <c:f>'G2.1'!$B$14:$D$14</c:f>
              <c:strCache>
                <c:ptCount val="3"/>
                <c:pt idx="0">
                  <c:v> nemoc</c:v>
                </c:pt>
                <c:pt idx="1">
                  <c:v> pracovní úraz</c:v>
                </c:pt>
                <c:pt idx="2">
                  <c:v> ostatní úraz</c:v>
                </c:pt>
              </c:strCache>
            </c:strRef>
          </c:cat>
          <c:val>
            <c:numRef>
              <c:f>'G2.1'!$B$15:$D$15</c:f>
              <c:numCache>
                <c:formatCode>#\ ##0.0</c:formatCode>
                <c:ptCount val="3"/>
                <c:pt idx="0">
                  <c:v>1022.265</c:v>
                </c:pt>
                <c:pt idx="1">
                  <c:v>28.681000000000001</c:v>
                </c:pt>
                <c:pt idx="2">
                  <c:v>90.899000000000001</c:v>
                </c:pt>
              </c:numCache>
            </c:numRef>
          </c:val>
          <c:extLst>
            <c:ext xmlns:c15="http://schemas.microsoft.com/office/drawing/2012/chart" uri="{02D57815-91ED-43cb-92C2-25804820EDAC}">
              <c15:datalabelsRange>
                <c15:f>'G2.1'!$C$18:$C$20</c15:f>
                <c15:dlblRangeCache>
                  <c:ptCount val="3"/>
                  <c:pt idx="0">
                    <c:v>1 022,3 tis.
90 %</c:v>
                  </c:pt>
                  <c:pt idx="1">
                    <c:v>28,7 tis.
2 %</c:v>
                  </c:pt>
                  <c:pt idx="2">
                    <c:v>90,9 tis.
8 %</c:v>
                  </c:pt>
                </c15:dlblRangeCache>
              </c15:datalabelsRange>
            </c:ext>
            <c:ext xmlns:c16="http://schemas.microsoft.com/office/drawing/2014/chart" uri="{C3380CC4-5D6E-409C-BE32-E72D297353CC}">
              <c16:uniqueId val="{00000006-1D67-46D4-B1B3-4B757EC4A20E}"/>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r"/>
      <c:layout>
        <c:manualLayout>
          <c:xMode val="edge"/>
          <c:yMode val="edge"/>
          <c:x val="0.71642370122729071"/>
          <c:y val="0.26465174385952855"/>
          <c:w val="0.2431666153462661"/>
          <c:h val="0.5535490378113217"/>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no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'G2.2'!$A$4</c:f>
              <c:strCache>
                <c:ptCount val="1"/>
                <c:pt idx="0">
                  <c:v> 1. pololetí</c:v>
                </c:pt>
              </c:strCache>
            </c:strRef>
          </c:tx>
          <c:spPr>
            <a:solidFill>
              <a:srgbClr val="632827"/>
            </a:solidFill>
            <a:ln>
              <a:noFill/>
            </a:ln>
            <a:effectLst/>
          </c:spPr>
          <c:invertIfNegative val="0"/>
          <c:dLbls>
            <c:dLbl>
              <c:idx val="0"/>
              <c:layout>
                <c:manualLayout>
                  <c:x val="-4.8661800486618006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187-4866-BDA2-4D4C6D8028CB}"/>
                </c:ext>
              </c:extLst>
            </c:dLbl>
            <c:dLbl>
              <c:idx val="1"/>
              <c:layout>
                <c:manualLayout>
                  <c:x val="-2.433090024330945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87-4866-BDA2-4D4C6D8028CB}"/>
                </c:ext>
              </c:extLst>
            </c:dLbl>
            <c:dLbl>
              <c:idx val="2"/>
              <c:layout>
                <c:manualLayout>
                  <c:x val="-2.4330900243309003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187-4866-BDA2-4D4C6D8028CB}"/>
                </c:ext>
              </c:extLst>
            </c:dLbl>
            <c:dLbl>
              <c:idx val="3"/>
              <c:layout>
                <c:manualLayout>
                  <c:x val="-7.2992700729927005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187-4866-BDA2-4D4C6D8028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'G2.2'!$B$3:$G$3</c:f>
              <c:numCache>
                <c:formatCode>General</c:formatCode>
                <c:ptCount val="6"/>
                <c:pt idx="0">
                  <c:v>2015</c:v>
                </c:pt>
                <c:pt idx="1">
                  <c:v>2016</c:v>
                </c:pt>
                <c:pt idx="2">
                  <c:v>2017</c:v>
                </c:pt>
                <c:pt idx="3">
                  <c:v>2018</c:v>
                </c:pt>
                <c:pt idx="4">
                  <c:v>2019</c:v>
                </c:pt>
                <c:pt idx="5">
                  <c:v>2020</c:v>
                </c:pt>
              </c:numCache>
            </c:numRef>
          </c:cat>
          <c:val>
            <c:numRef>
              <c:f>'G2.2'!$B$4:$G$4</c:f>
              <c:numCache>
                <c:formatCode>_-* #\ ##0_-;\-* #\ ##0_-;_-* "-"??_-;_-@_-</c:formatCode>
                <c:ptCount val="6"/>
                <c:pt idx="0">
                  <c:v>783.80700000000002</c:v>
                </c:pt>
                <c:pt idx="1">
                  <c:v>777.09199999999998</c:v>
                </c:pt>
                <c:pt idx="2">
                  <c:v>841.59900000000005</c:v>
                </c:pt>
                <c:pt idx="3">
                  <c:v>937.75099999999998</c:v>
                </c:pt>
                <c:pt idx="4">
                  <c:v>872.71400000000006</c:v>
                </c:pt>
                <c:pt idx="5" formatCode="#,##0">
                  <c:v>976.90099999999995</c:v>
                </c:pt>
              </c:numCache>
            </c:numRef>
          </c:val>
          <c:extLst>
            <c:ext xmlns:c16="http://schemas.microsoft.com/office/drawing/2014/chart" uri="{C3380CC4-5D6E-409C-BE32-E72D297353CC}">
              <c16:uniqueId val="{00000004-4187-4866-BDA2-4D4C6D8028CB}"/>
            </c:ext>
          </c:extLst>
        </c:ser>
        <c:ser>
          <c:idx val="1"/>
          <c:order val="1"/>
          <c:tx>
            <c:strRef>
              <c:f>'G2.2'!$A$5</c:f>
              <c:strCache>
                <c:ptCount val="1"/>
                <c:pt idx="0">
                  <c:v> 2. pololetí</c:v>
                </c:pt>
              </c:strCache>
            </c:strRef>
          </c:tx>
          <c:spPr>
            <a:solidFill>
              <a:srgbClr val="B44946"/>
            </a:solidFill>
            <a:ln>
              <a:noFill/>
            </a:ln>
            <a:effectLst/>
          </c:spPr>
          <c:invertIfNegative val="0"/>
          <c:dLbls>
            <c:dLbl>
              <c:idx val="0"/>
              <c:layout>
                <c:manualLayout>
                  <c:x val="-7.299270072992723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187-4866-BDA2-4D4C6D8028CB}"/>
                </c:ext>
              </c:extLst>
            </c:dLbl>
            <c:dLbl>
              <c:idx val="1"/>
              <c:layout>
                <c:manualLayout>
                  <c:x val="-4.8661800486618006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187-4866-BDA2-4D4C6D8028CB}"/>
                </c:ext>
              </c:extLst>
            </c:dLbl>
            <c:dLbl>
              <c:idx val="2"/>
              <c:layout>
                <c:manualLayout>
                  <c:x val="-9.7323600973236897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187-4866-BDA2-4D4C6D8028CB}"/>
                </c:ext>
              </c:extLst>
            </c:dLbl>
            <c:dLbl>
              <c:idx val="3"/>
              <c:layout>
                <c:manualLayout>
                  <c:x val="-2.4330900243309003E-3"/>
                  <c:y val="7.8766404199474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187-4866-BDA2-4D4C6D8028CB}"/>
                </c:ext>
              </c:extLst>
            </c:dLbl>
            <c:dLbl>
              <c:idx val="4"/>
              <c:layout>
                <c:manualLayout>
                  <c:x val="-7.2992700729927005E-3"/>
                  <c:y val="7.876640419947506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187-4866-BDA2-4D4C6D8028C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'G2.2'!$B$3:$G$3</c:f>
              <c:numCache>
                <c:formatCode>General</c:formatCode>
                <c:ptCount val="6"/>
                <c:pt idx="0">
                  <c:v>2015</c:v>
                </c:pt>
                <c:pt idx="1">
                  <c:v>2016</c:v>
                </c:pt>
                <c:pt idx="2">
                  <c:v>2017</c:v>
                </c:pt>
                <c:pt idx="3">
                  <c:v>2018</c:v>
                </c:pt>
                <c:pt idx="4">
                  <c:v>2019</c:v>
                </c:pt>
                <c:pt idx="5">
                  <c:v>2020</c:v>
                </c:pt>
              </c:numCache>
            </c:numRef>
          </c:cat>
          <c:val>
            <c:numRef>
              <c:f>'G2.2'!$B$5:$G$5</c:f>
              <c:numCache>
                <c:formatCode>_-* #\ ##0_-;\-* #\ ##0_-;_-* "-"??_-;_-@_-</c:formatCode>
                <c:ptCount val="6"/>
                <c:pt idx="0">
                  <c:v>600.048</c:v>
                </c:pt>
                <c:pt idx="1">
                  <c:v>663.84400000000005</c:v>
                </c:pt>
                <c:pt idx="2">
                  <c:v>669.27800000000002</c:v>
                </c:pt>
                <c:pt idx="3">
                  <c:v>712.51800000000003</c:v>
                </c:pt>
                <c:pt idx="4">
                  <c:v>838.52499999999998</c:v>
                </c:pt>
                <c:pt idx="5" formatCode="#,##0">
                  <c:v>1225.809</c:v>
                </c:pt>
              </c:numCache>
            </c:numRef>
          </c:val>
          <c:extLst>
            <c:ext xmlns:c16="http://schemas.microsoft.com/office/drawing/2014/chart" uri="{C3380CC4-5D6E-409C-BE32-E72D297353CC}">
              <c16:uniqueId val="{0000000A-4187-4866-BDA2-4D4C6D8028CB}"/>
            </c:ext>
          </c:extLst>
        </c:ser>
        <c:dLbls>
          <c:showLegendKey val="0"/>
          <c:showVal val="0"/>
          <c:showCatName val="0"/>
          <c:showSerName val="0"/>
          <c:showPercent val="0"/>
          <c:showBubbleSize val="0"/>
        </c:dLbls>
        <c:gapWidth val="90"/>
        <c:overlap val="-11"/>
        <c:axId val="1315640191"/>
        <c:axId val="1315654751"/>
      </c:barChart>
      <c:catAx>
        <c:axId val="13156401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54751"/>
        <c:crosses val="autoZero"/>
        <c:auto val="1"/>
        <c:lblAlgn val="ctr"/>
        <c:lblOffset val="100"/>
        <c:noMultiLvlLbl val="0"/>
      </c:catAx>
      <c:valAx>
        <c:axId val="1315654751"/>
        <c:scaling>
          <c:orientation val="minMax"/>
          <c:max val="14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tisíce</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15640191"/>
        <c:crosses val="autoZero"/>
        <c:crossBetween val="between"/>
        <c:majorUnit val="20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'G2.3'!$A$3</c:f>
              <c:strCache>
                <c:ptCount val="1"/>
                <c:pt idx="0">
                  <c:v> nemoc</c:v>
                </c:pt>
              </c:strCache>
            </c:strRef>
          </c:tx>
          <c:spPr>
            <a:solidFill>
              <a:srgbClr val="632827"/>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Arial" panose="020B0604020202020204" pitchFamily="34" charset="0"/>
                    <a:ea typeface="+mn-ea"/>
                    <a:cs typeface="Arial" panose="020B0604020202020204" pitchFamily="34" charset="0"/>
                  </a:defRPr>
                </a:pPr>
                <a:endParaRPr lang="cs-CZ"/>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'G2.3'!$B$2:$L$2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'G2.3'!$B$3:$L$3</c:f>
              <c:numCache>
                <c:formatCode>General</c:formatCode>
                <c:ptCount val="11"/>
                <c:pt idx="0">
                  <c:v>27.55741127348643</c:v>
                </c:pt>
                <c:pt idx="1">
                  <c:v>27.175590644663423</c:v>
                </c:pt>
                <c:pt idx="2">
                  <c:v>23.87</c:v>
                </c:pt>
                <c:pt idx="3">
                  <c:v>26.31</c:v>
                </c:pt>
                <c:pt idx="4">
                  <c:v>25.68</c:v>
                </c:pt>
                <c:pt idx="5">
                  <c:v>30.704494485000001</c:v>
                </c:pt>
                <c:pt idx="6">
                  <c:v>31.521328864000001</c:v>
                </c:pt>
                <c:pt idx="7">
                  <c:v>32.340186242500003</c:v>
                </c:pt>
                <c:pt idx="8">
                  <c:v>34.869229084899999</c:v>
                </c:pt>
                <c:pt idx="9">
                  <c:v>36.156327396257865</c:v>
                </c:pt>
                <c:pt idx="10">
                  <c:v>46.962361146799999</c:v>
                </c:pt>
              </c:numCache>
            </c:numRef>
          </c:val>
          <c:extLst>
            <c:ext xmlns:c16="http://schemas.microsoft.com/office/drawing/2014/chart" uri="{C3380CC4-5D6E-409C-BE32-E72D297353CC}">
              <c16:uniqueId val="{00000000-9934-4382-9A32-9856156F24A3}"/>
            </c:ext>
          </c:extLst>
        </c:ser>
        <c:ser>
          <c:idx val="1"/>
          <c:order val="1"/>
          <c:tx>
            <c:strRef>
              <c:f>'G2.3'!$A$4</c:f>
              <c:strCache>
                <c:ptCount val="1"/>
                <c:pt idx="0">
                  <c:v> pracovní úrazy</c:v>
                </c:pt>
              </c:strCache>
            </c:strRef>
          </c:tx>
          <c:spPr>
            <a:solidFill>
              <a:srgbClr val="B44946"/>
            </a:solidFill>
            <a:ln>
              <a:noFill/>
            </a:ln>
            <a:effectLst/>
          </c:spPr>
          <c:invertIfNegative val="0"/>
          <c:cat>
            <c:numRef>
              <c:f>'G2.3'!$B$2:$L$2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'G2.3'!$B$4:$L$4</c:f>
              <c:numCache>
                <c:formatCode>General</c:formatCode>
                <c:ptCount val="11"/>
                <c:pt idx="0">
                  <c:v>1.1992577128276503</c:v>
                </c:pt>
                <c:pt idx="1">
                  <c:v>1.1183663777751394</c:v>
                </c:pt>
                <c:pt idx="2">
                  <c:v>0.99</c:v>
                </c:pt>
                <c:pt idx="3">
                  <c:v>0.97</c:v>
                </c:pt>
                <c:pt idx="4">
                  <c:v>1.01</c:v>
                </c:pt>
                <c:pt idx="5">
                  <c:v>1.0279761491999999</c:v>
                </c:pt>
                <c:pt idx="6">
                  <c:v>1.0364437007</c:v>
                </c:pt>
                <c:pt idx="7">
                  <c:v>1.016540582</c:v>
                </c:pt>
                <c:pt idx="8">
                  <c:v>0.97666524430000001</c:v>
                </c:pt>
                <c:pt idx="9">
                  <c:v>0.94132771527418446</c:v>
                </c:pt>
                <c:pt idx="10">
                  <c:v>0.88176352420000004</c:v>
                </c:pt>
              </c:numCache>
            </c:numRef>
          </c:val>
          <c:extLst>
            <c:ext xmlns:c16="http://schemas.microsoft.com/office/drawing/2014/chart" uri="{C3380CC4-5D6E-409C-BE32-E72D297353CC}">
              <c16:uniqueId val="{00000001-9934-4382-9A32-9856156F24A3}"/>
            </c:ext>
          </c:extLst>
        </c:ser>
        <c:ser>
          <c:idx val="2"/>
          <c:order val="2"/>
          <c:tx>
            <c:strRef>
              <c:f>'G2.3'!$A$5</c:f>
              <c:strCache>
                <c:ptCount val="1"/>
                <c:pt idx="0">
                  <c:v> ostatní úrazy</c:v>
                </c:pt>
              </c:strCache>
            </c:strRef>
          </c:tx>
          <c:spPr>
            <a:solidFill>
              <a:srgbClr val="F07373"/>
            </a:solidFill>
            <a:ln>
              <a:noFill/>
            </a:ln>
            <a:effectLst/>
          </c:spPr>
          <c:invertIfNegative val="0"/>
          <c:cat>
            <c:numRef>
              <c:f>'G2.3'!$B$2:$L$2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'G2.3'!$B$5:$L$5</c:f>
              <c:numCache>
                <c:formatCode>General</c:formatCode>
                <c:ptCount val="11"/>
                <c:pt idx="0">
                  <c:v>1.9786592437949433</c:v>
                </c:pt>
                <c:pt idx="1">
                  <c:v>1.8307016502433813</c:v>
                </c:pt>
                <c:pt idx="2">
                  <c:v>2.58</c:v>
                </c:pt>
                <c:pt idx="3">
                  <c:v>2.71</c:v>
                </c:pt>
                <c:pt idx="4">
                  <c:v>2.76</c:v>
                </c:pt>
                <c:pt idx="5">
                  <c:v>2.9569928851</c:v>
                </c:pt>
                <c:pt idx="6">
                  <c:v>3.1726609424999999</c:v>
                </c:pt>
                <c:pt idx="7">
                  <c:v>3.1924353055000001</c:v>
                </c:pt>
                <c:pt idx="8">
                  <c:v>3.2320196819999998</c:v>
                </c:pt>
                <c:pt idx="9">
                  <c:v>3.3599348163568723</c:v>
                </c:pt>
                <c:pt idx="10">
                  <c:v>3.1333540811999998</c:v>
                </c:pt>
              </c:numCache>
            </c:numRef>
          </c:val>
          <c:extLst>
            <c:ext xmlns:c16="http://schemas.microsoft.com/office/drawing/2014/chart" uri="{C3380CC4-5D6E-409C-BE32-E72D297353CC}">
              <c16:uniqueId val="{00000002-9934-4382-9A32-9856156F24A3}"/>
            </c:ext>
          </c:extLst>
        </c:ser>
        <c:dLbls>
          <c:showLegendKey val="0"/>
          <c:showVal val="0"/>
          <c:showCatName val="0"/>
          <c:showSerName val="0"/>
          <c:showPercent val="0"/>
          <c:showBubbleSize val="0"/>
        </c:dLbls>
        <c:gapWidth val="64"/>
        <c:overlap val="100"/>
        <c:axId val="1098100367"/>
        <c:axId val="1098102031"/>
      </c:barChart>
      <c:catAx>
        <c:axId val="10981003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2031"/>
        <c:crosses val="autoZero"/>
        <c:auto val="1"/>
        <c:lblAlgn val="ctr"/>
        <c:lblOffset val="100"/>
        <c:noMultiLvlLbl val="0"/>
      </c:catAx>
      <c:valAx>
        <c:axId val="1098102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098100367"/>
        <c:crosses val="autoZero"/>
        <c:crossBetween val="between"/>
        <c:majorUnit val="5"/>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710671601621484"/>
          <c:y val="2.8097062579821201E-2"/>
          <c:w val="0.43550671411082686"/>
          <c:h val="0.85924075582506232"/>
        </c:manualLayout>
      </c:layout>
      <c:barChart>
        <c:barDir val="bar"/>
        <c:grouping val="clustered"/>
        <c:varyColors val="0"/>
        <c:ser>
          <c:idx val="1"/>
          <c:order val="0"/>
          <c:tx>
            <c:strRef>
              <c:f>'G2.4'!$V$2</c:f>
              <c:strCache>
                <c:ptCount val="1"/>
                <c:pt idx="0">
                  <c:v> 2010</c:v>
                </c:pt>
              </c:strCache>
            </c:strRef>
          </c:tx>
          <c:spPr>
            <a:solidFill>
              <a:srgbClr val="B44946"/>
            </a:solidFill>
            <a:ln>
              <a:noFill/>
            </a:ln>
            <a:effectLst/>
          </c:spPr>
          <c:invertIfNegative val="0"/>
          <c:dPt>
            <c:idx val="14"/>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6BB1-4A31-B191-2097B470EA97}"/>
              </c:ext>
            </c:extLst>
          </c:dPt>
          <c:cat>
            <c:strRef>
              <c:f>'G2.4'!$T$3:$T$22</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D – Výroba a rozvod elektřiny, plynu, tepla a klimatiz. vzduchu</c:v>
                </c:pt>
                <c:pt idx="6">
                  <c:v>S – Ostatní činnosti</c:v>
                </c:pt>
                <c:pt idx="7">
                  <c:v>I – Ubytování, stravování a pohostinství</c:v>
                </c:pt>
                <c:pt idx="8">
                  <c:v>A – Zemědělství, lesnictví, rybářství</c:v>
                </c:pt>
                <c:pt idx="9">
                  <c:v>P – Vzdělávání</c:v>
                </c:pt>
                <c:pt idx="10">
                  <c:v>F – Stavebnictví</c:v>
                </c:pt>
                <c:pt idx="11">
                  <c:v>O – Veřejná správa a obrana; povinné sociální zabezpečení</c:v>
                </c:pt>
                <c:pt idx="12">
                  <c:v>G – Velkoobchod a maloobchod; opravy a údržba motor. vozidel</c:v>
                </c:pt>
                <c:pt idx="13">
                  <c:v>H – Doprava a skladování</c:v>
                </c:pt>
                <c:pt idx="14">
                  <c:v>CELKEM</c:v>
                </c:pt>
                <c:pt idx="15">
                  <c:v>E – Zásobování vodou; činnosti související s odpady a sanacemi</c:v>
                </c:pt>
                <c:pt idx="16">
                  <c:v>N – Administrativní a podpůrné činnosti</c:v>
                </c:pt>
                <c:pt idx="17">
                  <c:v>Q – Zdravotní a sociální péče</c:v>
                </c:pt>
                <c:pt idx="18">
                  <c:v>C – Zpracovatelský průmysl</c:v>
                </c:pt>
                <c:pt idx="19">
                  <c:v>B – Těžba a dobývání</c:v>
                </c:pt>
              </c:strCache>
            </c:strRef>
          </c:cat>
          <c:val>
            <c:numRef>
              <c:f>'G2.4'!$V$3:$V$22</c:f>
              <c:numCache>
                <c:formatCode>##0.00</c:formatCode>
                <c:ptCount val="20"/>
                <c:pt idx="0">
                  <c:v>20.3</c:v>
                </c:pt>
                <c:pt idx="1">
                  <c:v>26.32</c:v>
                </c:pt>
                <c:pt idx="2">
                  <c:v>21.84</c:v>
                </c:pt>
                <c:pt idx="3">
                  <c:v>30.47</c:v>
                </c:pt>
                <c:pt idx="4">
                  <c:v>23.87</c:v>
                </c:pt>
                <c:pt idx="5">
                  <c:v>20.079999999999998</c:v>
                </c:pt>
                <c:pt idx="6">
                  <c:v>25.35</c:v>
                </c:pt>
                <c:pt idx="7">
                  <c:v>27.28</c:v>
                </c:pt>
                <c:pt idx="8">
                  <c:v>29.84</c:v>
                </c:pt>
                <c:pt idx="9">
                  <c:v>27.13</c:v>
                </c:pt>
                <c:pt idx="10">
                  <c:v>33.119999999999997</c:v>
                </c:pt>
                <c:pt idx="11">
                  <c:v>29.7</c:v>
                </c:pt>
                <c:pt idx="12">
                  <c:v>29.06</c:v>
                </c:pt>
                <c:pt idx="13">
                  <c:v>29.76</c:v>
                </c:pt>
                <c:pt idx="14">
                  <c:v>30.73</c:v>
                </c:pt>
                <c:pt idx="15">
                  <c:v>30.74</c:v>
                </c:pt>
                <c:pt idx="16">
                  <c:v>37.840000000000003</c:v>
                </c:pt>
                <c:pt idx="17">
                  <c:v>25.89</c:v>
                </c:pt>
                <c:pt idx="18">
                  <c:v>36.770000000000003</c:v>
                </c:pt>
                <c:pt idx="19">
                  <c:v>39.97</c:v>
                </c:pt>
              </c:numCache>
            </c:numRef>
          </c:val>
          <c:extLst>
            <c:ext xmlns:c16="http://schemas.microsoft.com/office/drawing/2014/chart" uri="{C3380CC4-5D6E-409C-BE32-E72D297353CC}">
              <c16:uniqueId val="{00000002-6BB1-4A31-B191-2097B470EA97}"/>
            </c:ext>
          </c:extLst>
        </c:ser>
        <c:ser>
          <c:idx val="0"/>
          <c:order val="1"/>
          <c:tx>
            <c:strRef>
              <c:f>'G2.4'!$U$2</c:f>
              <c:strCache>
                <c:ptCount val="1"/>
                <c:pt idx="0">
                  <c:v> 2020</c:v>
                </c:pt>
              </c:strCache>
            </c:strRef>
          </c:tx>
          <c:spPr>
            <a:solidFill>
              <a:srgbClr val="632827"/>
            </a:solidFill>
            <a:ln>
              <a:noFill/>
            </a:ln>
            <a:effectLst/>
          </c:spPr>
          <c:invertIfNegative val="0"/>
          <c:dPt>
            <c:idx val="14"/>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6BB1-4A31-B191-2097B470EA97}"/>
              </c:ext>
            </c:extLst>
          </c:dPt>
          <c:cat>
            <c:strRef>
              <c:f>'G2.4'!$T$3:$T$22</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D – Výroba a rozvod elektřiny, plynu, tepla a klimatiz. vzduchu</c:v>
                </c:pt>
                <c:pt idx="6">
                  <c:v>S – Ostatní činnosti</c:v>
                </c:pt>
                <c:pt idx="7">
                  <c:v>I – Ubytování, stravování a pohostinství</c:v>
                </c:pt>
                <c:pt idx="8">
                  <c:v>A – Zemědělství, lesnictví, rybářství</c:v>
                </c:pt>
                <c:pt idx="9">
                  <c:v>P – Vzdělávání</c:v>
                </c:pt>
                <c:pt idx="10">
                  <c:v>F – Stavebnictví</c:v>
                </c:pt>
                <c:pt idx="11">
                  <c:v>O – Veřejná správa a obrana; povinné sociální zabezpečení</c:v>
                </c:pt>
                <c:pt idx="12">
                  <c:v>G – Velkoobchod a maloobchod; opravy a údržba motor. vozidel</c:v>
                </c:pt>
                <c:pt idx="13">
                  <c:v>H – Doprava a skladování</c:v>
                </c:pt>
                <c:pt idx="14">
                  <c:v>CELKEM</c:v>
                </c:pt>
                <c:pt idx="15">
                  <c:v>E – Zásobování vodou; činnosti související s odpady a sanacemi</c:v>
                </c:pt>
                <c:pt idx="16">
                  <c:v>N – Administrativní a podpůrné činnosti</c:v>
                </c:pt>
                <c:pt idx="17">
                  <c:v>Q – Zdravotní a sociální péče</c:v>
                </c:pt>
                <c:pt idx="18">
                  <c:v>C – Zpracovatelský průmysl</c:v>
                </c:pt>
                <c:pt idx="19">
                  <c:v>B – Těžba a dobývání</c:v>
                </c:pt>
              </c:strCache>
            </c:strRef>
          </c:cat>
          <c:val>
            <c:numRef>
              <c:f>'G2.4'!$U$3:$U$22</c:f>
              <c:numCache>
                <c:formatCode>General</c:formatCode>
                <c:ptCount val="20"/>
                <c:pt idx="0">
                  <c:v>24.3468024533</c:v>
                </c:pt>
                <c:pt idx="1">
                  <c:v>25.972662405600001</c:v>
                </c:pt>
                <c:pt idx="2">
                  <c:v>27.607856952799999</c:v>
                </c:pt>
                <c:pt idx="3">
                  <c:v>30.199690562099999</c:v>
                </c:pt>
                <c:pt idx="4">
                  <c:v>34.1057426136</c:v>
                </c:pt>
                <c:pt idx="5">
                  <c:v>36.135510597600003</c:v>
                </c:pt>
                <c:pt idx="6">
                  <c:v>40.643150656899998</c:v>
                </c:pt>
                <c:pt idx="7">
                  <c:v>41.538552475300001</c:v>
                </c:pt>
                <c:pt idx="8">
                  <c:v>43.023547794300001</c:v>
                </c:pt>
                <c:pt idx="9">
                  <c:v>43.331323300100003</c:v>
                </c:pt>
                <c:pt idx="10">
                  <c:v>44.164897916500003</c:v>
                </c:pt>
                <c:pt idx="11">
                  <c:v>44.8721159591</c:v>
                </c:pt>
                <c:pt idx="12">
                  <c:v>49.865217252400001</c:v>
                </c:pt>
                <c:pt idx="13">
                  <c:v>50.040329666799998</c:v>
                </c:pt>
                <c:pt idx="14">
                  <c:v>50.9774787522</c:v>
                </c:pt>
                <c:pt idx="15">
                  <c:v>51.816523561499999</c:v>
                </c:pt>
                <c:pt idx="16">
                  <c:v>56.9128265322</c:v>
                </c:pt>
                <c:pt idx="17">
                  <c:v>59.670475442799997</c:v>
                </c:pt>
                <c:pt idx="18">
                  <c:v>67.127704410800007</c:v>
                </c:pt>
                <c:pt idx="19">
                  <c:v>71.058696278900001</c:v>
                </c:pt>
              </c:numCache>
            </c:numRef>
          </c:val>
          <c:extLst>
            <c:ext xmlns:c16="http://schemas.microsoft.com/office/drawing/2014/chart" uri="{C3380CC4-5D6E-409C-BE32-E72D297353CC}">
              <c16:uniqueId val="{00000005-6BB1-4A31-B191-2097B470EA97}"/>
            </c:ext>
          </c:extLst>
        </c:ser>
        <c:dLbls>
          <c:showLegendKey val="0"/>
          <c:showVal val="0"/>
          <c:showCatName val="0"/>
          <c:showSerName val="0"/>
          <c:showPercent val="0"/>
          <c:showBubbleSize val="0"/>
        </c:dLbls>
        <c:gapWidth val="182"/>
        <c:axId val="1399945359"/>
        <c:axId val="1399934543"/>
      </c:barChart>
      <c:catAx>
        <c:axId val="139994535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34543"/>
        <c:crosses val="autoZero"/>
        <c:auto val="1"/>
        <c:lblAlgn val="ctr"/>
        <c:lblOffset val="100"/>
        <c:noMultiLvlLbl val="0"/>
      </c:catAx>
      <c:valAx>
        <c:axId val="1399934543"/>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layout>
            <c:manualLayout>
              <c:xMode val="edge"/>
              <c:yMode val="edge"/>
              <c:x val="0.68785663049641099"/>
              <c:y val="0.93768346045823658"/>
            </c:manualLayout>
          </c:layout>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399945359"/>
        <c:crosses val="autoZero"/>
        <c:crossBetween val="between"/>
        <c:majorUnit val="10"/>
      </c:valAx>
      <c:spPr>
        <a:noFill/>
        <a:ln>
          <a:noFill/>
        </a:ln>
        <a:effectLst/>
      </c:spPr>
    </c:plotArea>
    <c:legend>
      <c:legendPos val="r"/>
      <c:layout>
        <c:manualLayout>
          <c:xMode val="edge"/>
          <c:yMode val="edge"/>
          <c:x val="0.87569155084986461"/>
          <c:y val="0.41749998800424171"/>
          <c:w val="6.934662589863945E-2"/>
          <c:h val="7.2373384771144925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71168586288195"/>
          <c:y val="2.7160493827160494E-2"/>
          <c:w val="0.46298019813304619"/>
          <c:h val="0.90052807168397209"/>
        </c:manualLayout>
      </c:layout>
      <c:barChart>
        <c:barDir val="bar"/>
        <c:grouping val="clustered"/>
        <c:varyColors val="0"/>
        <c:ser>
          <c:idx val="1"/>
          <c:order val="0"/>
          <c:tx>
            <c:strRef>
              <c:f>'G2.5+PÚ NACE'!$R$24</c:f>
              <c:strCache>
                <c:ptCount val="1"/>
                <c:pt idx="0">
                  <c:v> 2019</c:v>
                </c:pt>
              </c:strCache>
            </c:strRef>
          </c:tx>
          <c:spPr>
            <a:solidFill>
              <a:srgbClr val="B44946"/>
            </a:solidFill>
            <a:ln>
              <a:noFill/>
            </a:ln>
            <a:effectLst/>
          </c:spPr>
          <c:invertIfNegative val="0"/>
          <c:dPt>
            <c:idx val="15"/>
            <c:invertIfNegative val="0"/>
            <c:bubble3D val="0"/>
            <c:spPr>
              <a:solidFill>
                <a:srgbClr val="B44946"/>
              </a:solidFill>
              <a:ln w="19050">
                <a:solidFill>
                  <a:schemeClr val="accent1"/>
                </a:solidFill>
              </a:ln>
              <a:effectLst/>
            </c:spPr>
            <c:extLst>
              <c:ext xmlns:c16="http://schemas.microsoft.com/office/drawing/2014/chart" uri="{C3380CC4-5D6E-409C-BE32-E72D297353CC}">
                <c16:uniqueId val="{00000001-211A-4767-B11C-2BE2655F6A3D}"/>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D – Výroba a rozvod elektřiny, plynu, tepla a klimatiz. vzduchu</c:v>
                </c:pt>
                <c:pt idx="6">
                  <c:v>A – Zemědělství, lesnictví, rybářství</c:v>
                </c:pt>
                <c:pt idx="7">
                  <c:v>I – Ubytování, stravování a pohostinství</c:v>
                </c:pt>
                <c:pt idx="8">
                  <c:v>S – Ostatní činnosti</c:v>
                </c:pt>
                <c:pt idx="9">
                  <c:v>F – Stavebnictví</c:v>
                </c:pt>
                <c:pt idx="10">
                  <c:v>P – Vzdělávání</c:v>
                </c:pt>
                <c:pt idx="11">
                  <c:v>O – Veřejná správa a obrana; povinné sociální zabezpečení</c:v>
                </c:pt>
                <c:pt idx="12">
                  <c:v>H – Doprava a skladování</c:v>
                </c:pt>
                <c:pt idx="13">
                  <c:v>G – Velkoobchod a maloobchod; opravy a údržba motor. vozidel</c:v>
                </c:pt>
                <c:pt idx="14">
                  <c:v>E – Zásobování vodou; činnosti související s odpady a sanacemi</c:v>
                </c:pt>
                <c:pt idx="15">
                  <c:v>CELKEM</c:v>
                </c:pt>
                <c:pt idx="16">
                  <c:v>N – Administrativní a podpůrné činnosti</c:v>
                </c:pt>
                <c:pt idx="17">
                  <c:v>Q – Zdravotní a sociální péče</c:v>
                </c:pt>
                <c:pt idx="18">
                  <c:v>C – Zpracovatelský průmysl</c:v>
                </c:pt>
                <c:pt idx="19">
                  <c:v>B – Těžba a dobývání</c:v>
                </c:pt>
              </c:strCache>
            </c:strRef>
          </c:cat>
          <c:val>
            <c:numRef>
              <c:f>'G2.5+PÚ NACE'!$R$25:$R$44</c:f>
              <c:numCache>
                <c:formatCode>General</c:formatCode>
                <c:ptCount val="20"/>
                <c:pt idx="0">
                  <c:v>16.4325042396</c:v>
                </c:pt>
                <c:pt idx="1">
                  <c:v>25.914457753499999</c:v>
                </c:pt>
                <c:pt idx="2">
                  <c:v>21.085648407600001</c:v>
                </c:pt>
                <c:pt idx="3">
                  <c:v>29.290791823999999</c:v>
                </c:pt>
                <c:pt idx="4">
                  <c:v>25.319364479000001</c:v>
                </c:pt>
                <c:pt idx="5">
                  <c:v>26.962042266800001</c:v>
                </c:pt>
                <c:pt idx="6">
                  <c:v>28.6556755959</c:v>
                </c:pt>
                <c:pt idx="7">
                  <c:v>26.924199928299998</c:v>
                </c:pt>
                <c:pt idx="8">
                  <c:v>28.7779557207</c:v>
                </c:pt>
                <c:pt idx="9">
                  <c:v>28.434653663599999</c:v>
                </c:pt>
                <c:pt idx="10">
                  <c:v>33.6967067008</c:v>
                </c:pt>
                <c:pt idx="11">
                  <c:v>32.9214290623</c:v>
                </c:pt>
                <c:pt idx="12">
                  <c:v>34.806496846899996</c:v>
                </c:pt>
                <c:pt idx="13">
                  <c:v>36.070159693800001</c:v>
                </c:pt>
                <c:pt idx="14">
                  <c:v>36.457182837600001</c:v>
                </c:pt>
                <c:pt idx="15">
                  <c:v>36.1563273963</c:v>
                </c:pt>
                <c:pt idx="16">
                  <c:v>45.307465729100002</c:v>
                </c:pt>
                <c:pt idx="17">
                  <c:v>31.962876953599999</c:v>
                </c:pt>
                <c:pt idx="18">
                  <c:v>47.509079030800002</c:v>
                </c:pt>
                <c:pt idx="19">
                  <c:v>38.051303267100003</c:v>
                </c:pt>
              </c:numCache>
            </c:numRef>
          </c:val>
          <c:extLst>
            <c:ext xmlns:c16="http://schemas.microsoft.com/office/drawing/2014/chart" uri="{C3380CC4-5D6E-409C-BE32-E72D297353CC}">
              <c16:uniqueId val="{00000002-211A-4767-B11C-2BE2655F6A3D}"/>
            </c:ext>
          </c:extLst>
        </c:ser>
        <c:ser>
          <c:idx val="0"/>
          <c:order val="1"/>
          <c:tx>
            <c:strRef>
              <c:f>'G2.5+PÚ NACE'!$Q$24</c:f>
              <c:strCache>
                <c:ptCount val="1"/>
                <c:pt idx="0">
                  <c:v> 2020</c:v>
                </c:pt>
              </c:strCache>
            </c:strRef>
          </c:tx>
          <c:spPr>
            <a:solidFill>
              <a:srgbClr val="632827"/>
            </a:solidFill>
            <a:ln>
              <a:noFill/>
            </a:ln>
            <a:effectLst/>
          </c:spPr>
          <c:invertIfNegative val="0"/>
          <c:dPt>
            <c:idx val="15"/>
            <c:invertIfNegative val="0"/>
            <c:bubble3D val="0"/>
            <c:spPr>
              <a:solidFill>
                <a:srgbClr val="632827"/>
              </a:solidFill>
              <a:ln w="19050">
                <a:solidFill>
                  <a:schemeClr val="accent1"/>
                </a:solidFill>
              </a:ln>
              <a:effectLst/>
            </c:spPr>
            <c:extLst>
              <c:ext xmlns:c16="http://schemas.microsoft.com/office/drawing/2014/chart" uri="{C3380CC4-5D6E-409C-BE32-E72D297353CC}">
                <c16:uniqueId val="{00000004-211A-4767-B11C-2BE2655F6A3D}"/>
              </c:ext>
            </c:extLst>
          </c:dPt>
          <c:cat>
            <c:strRef>
              <c:f>'G2.5+PÚ NACE'!$P$25:$P$44</c:f>
              <c:strCache>
                <c:ptCount val="20"/>
                <c:pt idx="0">
                  <c:v>L – Činnosti v oblasti nemovitostí</c:v>
                </c:pt>
                <c:pt idx="1">
                  <c:v>J – Informační a komunikační činnosti</c:v>
                </c:pt>
                <c:pt idx="2">
                  <c:v>M – Profesní, vědecké a technické činnosti</c:v>
                </c:pt>
                <c:pt idx="3">
                  <c:v>K – Peněžnictví a pojišťovnictví</c:v>
                </c:pt>
                <c:pt idx="4">
                  <c:v>R – Kulturní, zábavní a rekreační činnosti</c:v>
                </c:pt>
                <c:pt idx="5">
                  <c:v>D – Výroba a rozvod elektřiny, plynu, tepla a klimatiz. vzduchu</c:v>
                </c:pt>
                <c:pt idx="6">
                  <c:v>A – Zemědělství, lesnictví, rybářství</c:v>
                </c:pt>
                <c:pt idx="7">
                  <c:v>I – Ubytování, stravování a pohostinství</c:v>
                </c:pt>
                <c:pt idx="8">
                  <c:v>S – Ostatní činnosti</c:v>
                </c:pt>
                <c:pt idx="9">
                  <c:v>F – Stavebnictví</c:v>
                </c:pt>
                <c:pt idx="10">
                  <c:v>P – Vzdělávání</c:v>
                </c:pt>
                <c:pt idx="11">
                  <c:v>O – Veřejná správa a obrana; povinné sociální zabezpečení</c:v>
                </c:pt>
                <c:pt idx="12">
                  <c:v>H – Doprava a skladování</c:v>
                </c:pt>
                <c:pt idx="13">
                  <c:v>G – Velkoobchod a maloobchod; opravy a údržba motor. vozidel</c:v>
                </c:pt>
                <c:pt idx="14">
                  <c:v>E – Zásobování vodou; činnosti související s odpady a sanacemi</c:v>
                </c:pt>
                <c:pt idx="15">
                  <c:v>CELKEM</c:v>
                </c:pt>
                <c:pt idx="16">
                  <c:v>N – Administrativní a podpůrné činnosti</c:v>
                </c:pt>
                <c:pt idx="17">
                  <c:v>Q – Zdravotní a sociální péče</c:v>
                </c:pt>
                <c:pt idx="18">
                  <c:v>C – Zpracovatelský průmysl</c:v>
                </c:pt>
                <c:pt idx="19">
                  <c:v>B – Těžba a dobývání</c:v>
                </c:pt>
              </c:strCache>
            </c:strRef>
          </c:cat>
          <c:val>
            <c:numRef>
              <c:f>'G2.5+PÚ NACE'!$Q$25:$Q$44</c:f>
              <c:numCache>
                <c:formatCode>General</c:formatCode>
                <c:ptCount val="20"/>
                <c:pt idx="0">
                  <c:v>22.539213335399999</c:v>
                </c:pt>
                <c:pt idx="1">
                  <c:v>24.7784699459</c:v>
                </c:pt>
                <c:pt idx="2">
                  <c:v>25.921290872099998</c:v>
                </c:pt>
                <c:pt idx="3">
                  <c:v>28.834057695599999</c:v>
                </c:pt>
                <c:pt idx="4">
                  <c:v>31.824194567100001</c:v>
                </c:pt>
                <c:pt idx="5">
                  <c:v>33.468260337899999</c:v>
                </c:pt>
                <c:pt idx="6">
                  <c:v>37.303590746300003</c:v>
                </c:pt>
                <c:pt idx="7">
                  <c:v>37.910056184200002</c:v>
                </c:pt>
                <c:pt idx="8">
                  <c:v>38.281088046400001</c:v>
                </c:pt>
                <c:pt idx="9">
                  <c:v>38.912956316200003</c:v>
                </c:pt>
                <c:pt idx="10">
                  <c:v>41.5072090221</c:v>
                </c:pt>
                <c:pt idx="11">
                  <c:v>42.551030861999998</c:v>
                </c:pt>
                <c:pt idx="12">
                  <c:v>45.139463939700001</c:v>
                </c:pt>
                <c:pt idx="13">
                  <c:v>45.957779725100004</c:v>
                </c:pt>
                <c:pt idx="14">
                  <c:v>46.019856942899999</c:v>
                </c:pt>
                <c:pt idx="15">
                  <c:v>46.962361146799999</c:v>
                </c:pt>
                <c:pt idx="16">
                  <c:v>52.618852122500002</c:v>
                </c:pt>
                <c:pt idx="17">
                  <c:v>56.391132224800003</c:v>
                </c:pt>
                <c:pt idx="18">
                  <c:v>61.114917363000004</c:v>
                </c:pt>
                <c:pt idx="19">
                  <c:v>65.244884572999993</c:v>
                </c:pt>
              </c:numCache>
            </c:numRef>
          </c:val>
          <c:extLst>
            <c:ext xmlns:c16="http://schemas.microsoft.com/office/drawing/2014/chart" uri="{C3380CC4-5D6E-409C-BE32-E72D297353CC}">
              <c16:uniqueId val="{00000005-211A-4767-B11C-2BE2655F6A3D}"/>
            </c:ext>
          </c:extLst>
        </c:ser>
        <c:dLbls>
          <c:showLegendKey val="0"/>
          <c:showVal val="0"/>
          <c:showCatName val="0"/>
          <c:showSerName val="0"/>
          <c:showPercent val="0"/>
          <c:showBubbleSize val="0"/>
        </c:dLbls>
        <c:gapWidth val="182"/>
        <c:axId val="1535997743"/>
        <c:axId val="1535996911"/>
      </c:barChart>
      <c:catAx>
        <c:axId val="153599774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6911"/>
        <c:crosses val="autoZero"/>
        <c:auto val="1"/>
        <c:lblAlgn val="ctr"/>
        <c:lblOffset val="100"/>
        <c:noMultiLvlLbl val="0"/>
      </c:catAx>
      <c:valAx>
        <c:axId val="153599691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n-US"/>
                  <a:t>počet případů</a:t>
                </a:r>
              </a:p>
            </c:rich>
          </c:tx>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crossAx val="1535997743"/>
        <c:crosses val="autoZero"/>
        <c:crossBetween val="between"/>
        <c:majorUnit val="10"/>
      </c:valAx>
      <c:spPr>
        <a:noFill/>
        <a:ln>
          <a:noFill/>
        </a:ln>
        <a:effectLst/>
      </c:spPr>
    </c:plotArea>
    <c:legend>
      <c:legendPos val="r"/>
      <c:layout>
        <c:manualLayout>
          <c:xMode val="edge"/>
          <c:yMode val="edge"/>
          <c:x val="0.85662657096772854"/>
          <c:y val="0.48556644308350355"/>
          <c:w val="6.871715586943257E-2"/>
          <c:h val="6.6985168252542596E-2"/>
        </c:manualLayout>
      </c:layout>
      <c:overlay val="0"/>
      <c:spPr>
        <a:solidFill>
          <a:schemeClr val="bg1"/>
        </a:solidFill>
        <a:ln>
          <a:solidFill>
            <a:schemeClr val="bg1">
              <a:lumMod val="75000"/>
            </a:schemeClr>
          </a:solid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cs-C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0.91824</cdr:x>
      <cdr:y>0.02658</cdr:y>
    </cdr:from>
    <cdr:to>
      <cdr:x>0.96625</cdr:x>
      <cdr:y>0.07336</cdr:y>
    </cdr:to>
    <cdr:sp macro="" textlink="">
      <cdr:nvSpPr>
        <cdr:cNvPr id="2" name="TextovéPole 1"/>
        <cdr:cNvSpPr txBox="1"/>
      </cdr:nvSpPr>
      <cdr:spPr>
        <a:xfrm xmlns:a="http://schemas.openxmlformats.org/drawingml/2006/main">
          <a:off x="5619750" y="137508"/>
          <a:ext cx="293826" cy="2420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400" b="1">
              <a:solidFill>
                <a:schemeClr val="bg1"/>
              </a:solidFill>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0.40031</cdr:x>
      <cdr:y>0.48742</cdr:y>
    </cdr:from>
    <cdr:to>
      <cdr:x>0.63415</cdr:x>
      <cdr:y>0.70306</cdr:y>
    </cdr:to>
    <cdr:sp macro="" textlink="">
      <cdr:nvSpPr>
        <cdr:cNvPr id="2" name="TextovéPole 1"/>
        <cdr:cNvSpPr txBox="1"/>
      </cdr:nvSpPr>
      <cdr:spPr>
        <a:xfrm xmlns:a="http://schemas.openxmlformats.org/drawingml/2006/main">
          <a:off x="1250645" y="1063175"/>
          <a:ext cx="730563" cy="47035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cs-CZ" sz="1000" b="1">
              <a:latin typeface="Arial" panose="020B0604020202020204" pitchFamily="34" charset="0"/>
              <a:cs typeface="Arial" panose="020B0604020202020204" pitchFamily="34" charset="0"/>
            </a:rPr>
            <a:t>1 249,2 </a:t>
          </a:r>
        </a:p>
        <a:p xmlns:a="http://schemas.openxmlformats.org/drawingml/2006/main">
          <a:r>
            <a:rPr lang="cs-CZ" sz="1000" b="1">
              <a:latin typeface="Arial" panose="020B0604020202020204" pitchFamily="34" charset="0"/>
              <a:cs typeface="Arial" panose="020B0604020202020204" pitchFamily="34" charset="0"/>
            </a:rPr>
            <a:t>    tis.</a:t>
          </a:r>
        </a:p>
      </cdr:txBody>
    </cdr:sp>
  </cdr:relSizeAnchor>
</c:userShapes>
</file>

<file path=word/drawings/drawing3.xml><?xml version="1.0" encoding="utf-8"?>
<c:userShapes xmlns:c="http://schemas.openxmlformats.org/drawingml/2006/chart">
  <cdr:relSizeAnchor xmlns:cdr="http://schemas.openxmlformats.org/drawingml/2006/chartDrawing">
    <cdr:from>
      <cdr:x>0.27551</cdr:x>
      <cdr:y>0.47578</cdr:y>
    </cdr:from>
    <cdr:to>
      <cdr:x>0.48976</cdr:x>
      <cdr:y>0.69141</cdr:y>
    </cdr:to>
    <cdr:sp macro="" textlink="">
      <cdr:nvSpPr>
        <cdr:cNvPr id="3" name="TextovéPole 1"/>
        <cdr:cNvSpPr txBox="1"/>
      </cdr:nvSpPr>
      <cdr:spPr>
        <a:xfrm xmlns:a="http://schemas.openxmlformats.org/drawingml/2006/main">
          <a:off x="939492" y="1037785"/>
          <a:ext cx="730557" cy="47033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cs-CZ" sz="1000" b="1">
              <a:latin typeface="Arial" panose="020B0604020202020204" pitchFamily="34" charset="0"/>
              <a:cs typeface="Arial" panose="020B0604020202020204" pitchFamily="34" charset="0"/>
            </a:rPr>
            <a:t>1 141,8 </a:t>
          </a:r>
        </a:p>
        <a:p xmlns:a="http://schemas.openxmlformats.org/drawingml/2006/main">
          <a:r>
            <a:rPr lang="cs-CZ" sz="1000" b="1">
              <a:latin typeface="Arial" panose="020B0604020202020204" pitchFamily="34" charset="0"/>
              <a:cs typeface="Arial" panose="020B0604020202020204" pitchFamily="34" charset="0"/>
            </a:rPr>
            <a:t>    tis.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7959A8-4A46-42B4-B326-41DB8A17D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Publikace bar CZ_lide a spolecnost_2017-08-14.dotx</Template>
  <TotalTime>0</TotalTime>
  <Pages>40</Pages>
  <Words>14024</Words>
  <Characters>82742</Characters>
  <Application>Microsoft Office Word</Application>
  <DocSecurity>0</DocSecurity>
  <Lines>689</Lines>
  <Paragraphs>193</Paragraphs>
  <ScaleCrop>false</ScaleCrop>
  <HeadingPairs>
    <vt:vector size="6" baseType="variant">
      <vt:variant>
        <vt:lpstr>Název</vt:lpstr>
      </vt:variant>
      <vt:variant>
        <vt:i4>1</vt:i4>
      </vt:variant>
      <vt:variant>
        <vt:lpstr>Title</vt:lpstr>
      </vt:variant>
      <vt:variant>
        <vt:i4>1</vt:i4>
      </vt:variant>
      <vt:variant>
        <vt:lpstr>Headings</vt:lpstr>
      </vt:variant>
      <vt:variant>
        <vt:i4>8</vt:i4>
      </vt:variant>
    </vt:vector>
  </HeadingPairs>
  <TitlesOfParts>
    <vt:vector size="10" baseType="lpstr">
      <vt:lpstr>Pracovní neschopnost pro nemoc a úraz v České republice za rok 2020</vt:lpstr>
      <vt:lpstr/>
      <vt:lpstr>Styl: Nadpis 1</vt:lpstr>
      <vt:lpstr>    Styl: Nadpis 2</vt:lpstr>
      <vt:lpstr>        Styl: Nadpis 3</vt:lpstr>
      <vt:lpstr>        Styl: Nadpis 3</vt:lpstr>
      <vt:lpstr>    Styl: Nadpis 2</vt:lpstr>
      <vt:lpstr>        Styl: Nadpis 3</vt:lpstr>
      <vt:lpstr>    Styl: Nadpis 2</vt:lpstr>
      <vt:lpstr>        Styl: Nadpis 3</vt:lpstr>
    </vt:vector>
  </TitlesOfParts>
  <Manager/>
  <Company>CSU</Company>
  <LinksUpToDate>false</LinksUpToDate>
  <CharactersWithSpaces>96573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Pracovní neschopnost pro nemoc a úraz v České republice za rok 2020</dc:title>
  <dc:subject/>
  <dc:creator>hykysova23070</dc:creator>
  <cp:keywords/>
  <dc:description/>
  <cp:lastModifiedBy>hykysova23070</cp:lastModifiedBy>
  <cp:revision>2</cp:revision>
  <cp:lastPrinted>2014-07-17T14:07:00Z</cp:lastPrinted>
  <dcterms:created xsi:type="dcterms:W3CDTF">2021-05-28T10:29:00Z</dcterms:created>
  <dcterms:modified xsi:type="dcterms:W3CDTF">2021-05-28T10:29:00Z</dcterms:modified>
  <cp:category/>
</cp:coreProperties>
</file>