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F" w:rsidRPr="00EE34FC" w:rsidRDefault="005F6DAF" w:rsidP="007732FD">
      <w:pPr>
        <w:pStyle w:val="Nadpis1"/>
        <w:numPr>
          <w:ilvl w:val="0"/>
          <w:numId w:val="17"/>
        </w:numPr>
      </w:pPr>
      <w:bookmarkStart w:id="0" w:name="_Toc489436973"/>
      <w:r w:rsidRPr="00EE34FC">
        <w:t>Definice pojmů a zdroje dat</w:t>
      </w:r>
      <w:bookmarkEnd w:id="0"/>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w:t>
      </w:r>
      <w:r w:rsidR="0045375C">
        <w:t xml:space="preserve">oužíván souhrnně jak pro výnosy, </w:t>
      </w:r>
      <w:r>
        <w:t>tak pro příjmy. Ukazatel příjmy v tomto textu totiž zahrnuje jak údaje od právnických osob vedoucí</w:t>
      </w:r>
      <w:r w:rsidR="00BB785C">
        <w:t>ch</w:t>
      </w:r>
      <w:r>
        <w:t xml:space="preserve"> podvojné účetnictví a</w:t>
      </w:r>
      <w:r w:rsidR="00E62C1E">
        <w:t> </w:t>
      </w:r>
      <w:r>
        <w:t>evidující</w:t>
      </w:r>
      <w:r w:rsidR="00BB785C">
        <w:t>ch</w:t>
      </w:r>
      <w:r>
        <w:t xml:space="preserve">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Statistické údaje jsou poskládány tak, aby poskytly co nejkomplexnější pohled na oblast sportu. Základní ukazatele vycházejí ze statistik ČSÚ, které jsou koordinovány na mezinárodní úrovni a mají jednotnou výchozí metodiku. Jejich využití pro účely</w:t>
      </w:r>
      <w:r w:rsidR="0045375C">
        <w:rPr>
          <w:rFonts w:cs="Arial"/>
        </w:rPr>
        <w:t xml:space="preserve"> získání</w:t>
      </w:r>
      <w:r w:rsidRPr="00FC062A">
        <w:rPr>
          <w:rFonts w:cs="Arial"/>
        </w:rPr>
        <w:t xml:space="preserve"> mezinárodně srovnatelných dat v oblasti sportu doporučuje také pracovní skupina </w:t>
      </w:r>
      <w:r w:rsidRPr="00FC062A">
        <w:rPr>
          <w:rFonts w:cs="Arial"/>
          <w:i/>
        </w:rPr>
        <w:t xml:space="preserve">Sport </w:t>
      </w:r>
      <w:proofErr w:type="spellStart"/>
      <w:r w:rsidRPr="00FC062A">
        <w:rPr>
          <w:rFonts w:cs="Arial"/>
          <w:i/>
        </w:rPr>
        <w:t>statistics</w:t>
      </w:r>
      <w:proofErr w:type="spellEnd"/>
      <w:r w:rsidRPr="00FC062A">
        <w:rPr>
          <w:rFonts w:cs="Arial"/>
          <w:i/>
        </w:rPr>
        <w:t xml:space="preserve"> </w:t>
      </w:r>
      <w:proofErr w:type="spellStart"/>
      <w:r w:rsidRPr="00FC062A">
        <w:rPr>
          <w:rFonts w:cs="Arial"/>
          <w:i/>
        </w:rPr>
        <w:t>Task</w:t>
      </w:r>
      <w:proofErr w:type="spellEnd"/>
      <w:r w:rsidRPr="00FC062A">
        <w:rPr>
          <w:rFonts w:cs="Arial"/>
          <w:i/>
        </w:rPr>
        <w:t xml:space="preserve"> </w:t>
      </w:r>
      <w:proofErr w:type="spellStart"/>
      <w:r w:rsidRPr="00FC062A">
        <w:rPr>
          <w:rFonts w:cs="Arial"/>
          <w:i/>
        </w:rPr>
        <w:t>Force</w:t>
      </w:r>
      <w:proofErr w:type="spellEnd"/>
      <w:r w:rsidRPr="00FC062A">
        <w:rPr>
          <w:rFonts w:cs="Arial"/>
        </w:rPr>
        <w:t xml:space="preserve"> iniciovaná institucí </w:t>
      </w:r>
      <w:proofErr w:type="spellStart"/>
      <w:r w:rsidRPr="00FC062A">
        <w:rPr>
          <w:rFonts w:cs="Arial"/>
        </w:rPr>
        <w:t>Eurostat</w:t>
      </w:r>
      <w:proofErr w:type="spellEnd"/>
      <w:r w:rsidRPr="00FC062A">
        <w:rPr>
          <w:rFonts w:cs="Arial"/>
        </w:rPr>
        <w:t>.</w:t>
      </w:r>
    </w:p>
    <w:p w:rsidR="005F6DAF" w:rsidRDefault="005F6DAF" w:rsidP="005F6DAF">
      <w:pPr>
        <w:jc w:val="both"/>
      </w:pPr>
      <w:r>
        <w:tab/>
        <w:t xml:space="preserve">Jedním z hlavních zdrojů dat pro sledování příjmů jsou údaje z Podnikové strukturální statistiky ČSÚ (v angličtině nazývané </w:t>
      </w:r>
      <w:proofErr w:type="spellStart"/>
      <w:r w:rsidRPr="00B145A1">
        <w:rPr>
          <w:i/>
        </w:rPr>
        <w:t>Structural</w:t>
      </w:r>
      <w:proofErr w:type="spellEnd"/>
      <w:r w:rsidRPr="00B145A1">
        <w:rPr>
          <w:i/>
        </w:rPr>
        <w:t xml:space="preserve"> Business </w:t>
      </w:r>
      <w:proofErr w:type="spellStart"/>
      <w:r w:rsidRPr="00B145A1">
        <w:rPr>
          <w:i/>
        </w:rPr>
        <w:t>Statistics</w:t>
      </w:r>
      <w:proofErr w:type="spellEnd"/>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 xml:space="preserve">NACE. Tato statistika </w:t>
      </w:r>
      <w:r w:rsidR="00BB785C">
        <w:t>ovšem</w:t>
      </w:r>
      <w:r>
        <w:t xml:space="preserve"> nedokáže 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r w:rsidR="00BB785C" w:rsidRPr="00BB785C">
        <w:t>VŠPS</w:t>
      </w:r>
      <w:r>
        <w:t xml:space="preserve">). Toto </w:t>
      </w:r>
      <w:r w:rsidR="00C74E18">
        <w:t xml:space="preserve">výběrové </w:t>
      </w:r>
      <w:r>
        <w:t xml:space="preserve">šetření od respondentů zjišťuje nejen </w:t>
      </w:r>
      <w:r w:rsidR="00BB785C">
        <w:t xml:space="preserve">hlavní ekonomickou </w:t>
      </w:r>
      <w:r>
        <w:t>činnost</w:t>
      </w:r>
      <w:r w:rsidR="00BB785C">
        <w:t xml:space="preserve"> na jejich pracovišti</w:t>
      </w:r>
      <w:r>
        <w:t xml:space="preserve">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 instruktor). Údaje jsou sbírané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činností (např. účetní ve fotbalovém klubu) či, méně často, </w:t>
      </w:r>
      <w:r>
        <w:t xml:space="preserve">sportovních </w:t>
      </w:r>
      <w:r>
        <w:lastRenderedPageBreak/>
        <w:t>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tab/>
        <w:t>V rámci statistiky zaměstnanosti lze jako doplňující zdroj použít také údaje z Informačního systému o průměrném výdělku, je</w:t>
      </w:r>
      <w:r w:rsidR="00BB785C">
        <w:rPr>
          <w:szCs w:val="20"/>
        </w:rPr>
        <w:t>hož</w:t>
      </w:r>
      <w:r>
        <w:rPr>
          <w:szCs w:val="20"/>
        </w:rPr>
        <w:t xml:space="preserve">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w:t>
      </w:r>
      <w:r w:rsidR="00BB785C">
        <w:rPr>
          <w:szCs w:val="20"/>
        </w:rPr>
        <w:t>,</w:t>
      </w:r>
      <w:r>
        <w:rPr>
          <w:szCs w:val="20"/>
        </w:rPr>
        <w:t xml:space="preserve"> a proto je problematické využití tohoto zdroje společně s daty z VŠPS, které podnikatele a pracovníky na dohody zahrnuje. Údaje z tohoto </w:t>
      </w:r>
      <w:r w:rsidR="00BB785C">
        <w:rPr>
          <w:szCs w:val="20"/>
        </w:rPr>
        <w:t>informačního systému</w:t>
      </w:r>
      <w:r>
        <w:rPr>
          <w:szCs w:val="20"/>
        </w:rPr>
        <w:t xml:space="preserve"> pochází od ekonomických subjektů (podniků, institucí)</w:t>
      </w:r>
      <w:r w:rsidR="00BB785C">
        <w:rPr>
          <w:szCs w:val="20"/>
        </w:rPr>
        <w:t>,</w:t>
      </w:r>
      <w:r>
        <w:rPr>
          <w:szCs w:val="20"/>
        </w:rPr>
        <w:t xml:space="preserve">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t>Data o zahraničním obchodě</w:t>
      </w:r>
      <w:r w:rsidRPr="000A2B8F">
        <w:t xml:space="preserve"> </w:t>
      </w:r>
      <w:r w:rsidR="0045375C">
        <w:t>využívají h</w:t>
      </w:r>
      <w:r>
        <w:t>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odchycuje jen hmotné zboží vykázané v celním prohlášení při přechodu hranice. Údaje jsou za Českou republiku dostupná v Databázi zahraničního obchodu</w:t>
      </w:r>
      <w:r w:rsidRPr="000A2B8F">
        <w:rPr>
          <w:vertAlign w:val="superscript"/>
        </w:rPr>
        <w:footnoteReference w:id="1"/>
      </w:r>
      <w:r w:rsidRPr="000A2B8F">
        <w:t xml:space="preserve">, jež zahrnuje data založená na přeshraničním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zahraničního obchodu </w:t>
      </w:r>
      <w:r w:rsidR="00C74E18">
        <w:t>lze nalézt</w:t>
      </w:r>
      <w:r w:rsidRPr="000A2B8F">
        <w:t xml:space="preserve"> na </w:t>
      </w:r>
      <w:hyperlink r:id="rId8"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proofErr w:type="spellStart"/>
      <w:r w:rsidRPr="00C74E18">
        <w:rPr>
          <w:i/>
        </w:rPr>
        <w:t>European</w:t>
      </w:r>
      <w:proofErr w:type="spellEnd"/>
      <w:r w:rsidRPr="00C74E18">
        <w:rPr>
          <w:i/>
        </w:rPr>
        <w:t xml:space="preserve"> </w:t>
      </w:r>
      <w:proofErr w:type="spellStart"/>
      <w:r w:rsidRPr="00C74E18">
        <w:rPr>
          <w:i/>
        </w:rPr>
        <w:t>Health</w:t>
      </w:r>
      <w:proofErr w:type="spellEnd"/>
      <w:r w:rsidRPr="00C74E18">
        <w:rPr>
          <w:i/>
        </w:rPr>
        <w:t xml:space="preserve"> Interview </w:t>
      </w:r>
      <w:proofErr w:type="spellStart"/>
      <w:r w:rsidRPr="00C74E18">
        <w:rPr>
          <w:i/>
        </w:rPr>
        <w:t>Survey</w:t>
      </w:r>
      <w:proofErr w:type="spellEnd"/>
      <w:r>
        <w:t>). V rámci evropského modulu o zdravotních determinantách jsou do tohoto šetření zařazeny také otázky týkající se sportovních aktivit. Respondenti js</w:t>
      </w:r>
      <w:r w:rsidR="00B40BEF">
        <w:t>ou dotazováni</w:t>
      </w:r>
      <w:r>
        <w:t xml:space="preserve"> na sportovní aktivitu v rámci běžného týdne</w:t>
      </w:r>
      <w:r>
        <w:rPr>
          <w:rStyle w:val="Znakapoznpodarou"/>
        </w:rPr>
        <w:footnoteReference w:id="2"/>
      </w:r>
      <w:r>
        <w:t xml:space="preserve"> a dále pak na čas strávený posilováním a jízdou na kole. U druhého jmeno</w:t>
      </w:r>
      <w:r w:rsidR="00CD5000">
        <w:t>vaného se však jedná primárně</w:t>
      </w:r>
      <w:r w:rsidR="00C74E18">
        <w:t xml:space="preserve"> </w:t>
      </w:r>
      <w:r>
        <w:t>o využití jízdního kola</w:t>
      </w:r>
      <w:r w:rsidR="00C74E18">
        <w:t xml:space="preserve"> </w:t>
      </w:r>
      <w:r>
        <w:t xml:space="preserve">jako dopravního prostředku.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proofErr w:type="spellStart"/>
      <w:r w:rsidR="005F6DAF" w:rsidRPr="00F95D6D">
        <w:rPr>
          <w:i/>
        </w:rPr>
        <w:t>Statistics</w:t>
      </w:r>
      <w:proofErr w:type="spellEnd"/>
      <w:r w:rsidR="005F6DAF" w:rsidRPr="00F95D6D">
        <w:rPr>
          <w:i/>
        </w:rPr>
        <w:t xml:space="preserve"> on </w:t>
      </w:r>
      <w:proofErr w:type="spellStart"/>
      <w:r w:rsidR="005F6DAF" w:rsidRPr="00F95D6D">
        <w:rPr>
          <w:i/>
        </w:rPr>
        <w:t>Income</w:t>
      </w:r>
      <w:proofErr w:type="spellEnd"/>
      <w:r w:rsidR="005F6DAF" w:rsidRPr="00F95D6D">
        <w:rPr>
          <w:i/>
        </w:rPr>
        <w:t xml:space="preserve"> </w:t>
      </w:r>
      <w:proofErr w:type="spellStart"/>
      <w:r w:rsidR="005F6DAF" w:rsidRPr="00F95D6D">
        <w:rPr>
          <w:i/>
        </w:rPr>
        <w:t>and</w:t>
      </w:r>
      <w:proofErr w:type="spellEnd"/>
      <w:r w:rsidR="005F6DAF" w:rsidRPr="00F95D6D">
        <w:rPr>
          <w:i/>
        </w:rPr>
        <w:t xml:space="preserve"> </w:t>
      </w:r>
      <w:proofErr w:type="spellStart"/>
      <w:r w:rsidR="005F6DAF" w:rsidRPr="00F95D6D">
        <w:rPr>
          <w:i/>
        </w:rPr>
        <w:t>Living</w:t>
      </w:r>
      <w:proofErr w:type="spellEnd"/>
      <w:r w:rsidR="005F6DAF" w:rsidRPr="00F95D6D">
        <w:rPr>
          <w:i/>
        </w:rPr>
        <w:t xml:space="preserve"> </w:t>
      </w:r>
      <w:proofErr w:type="spellStart"/>
      <w:r w:rsidR="005F6DAF" w:rsidRPr="00F95D6D">
        <w:rPr>
          <w:i/>
        </w:rPr>
        <w:t>Conditions</w:t>
      </w:r>
      <w:proofErr w:type="spellEnd"/>
      <w:r w:rsidR="005F6DAF" w:rsidRPr="00F95D6D">
        <w:t xml:space="preserve">) sledující </w:t>
      </w:r>
      <w:r w:rsidR="005F6DAF">
        <w:t xml:space="preserve">účast na sportovních </w:t>
      </w:r>
      <w:r w:rsidR="00D20397">
        <w:t>akcích</w:t>
      </w:r>
      <w:r w:rsidR="00195287">
        <w:t xml:space="preserve"> a</w:t>
      </w:r>
      <w:r w:rsidR="00BB785C">
        <w:t xml:space="preserve"> </w:t>
      </w:r>
      <w:r w:rsidR="00661133" w:rsidRPr="00661133">
        <w:t>Výběrové šetření o informačních a komunikačních technologiích</w:t>
      </w:r>
      <w:r w:rsidR="00CA4CC4">
        <w:t xml:space="preserve"> (</w:t>
      </w:r>
      <w:r w:rsidR="00CA4CC4" w:rsidRPr="00CA4CC4">
        <w:rPr>
          <w:i/>
        </w:rPr>
        <w:t xml:space="preserve">ICT </w:t>
      </w:r>
      <w:proofErr w:type="spellStart"/>
      <w:r w:rsidR="00CA4CC4" w:rsidRPr="00CA4CC4">
        <w:rPr>
          <w:i/>
        </w:rPr>
        <w:t>usage</w:t>
      </w:r>
      <w:proofErr w:type="spellEnd"/>
      <w:r w:rsidR="00CA4CC4" w:rsidRPr="00CA4CC4">
        <w:rPr>
          <w:i/>
        </w:rPr>
        <w:t xml:space="preserve"> in </w:t>
      </w:r>
      <w:proofErr w:type="spellStart"/>
      <w:r w:rsidR="00CA4CC4" w:rsidRPr="00CA4CC4">
        <w:rPr>
          <w:i/>
        </w:rPr>
        <w:t>households</w:t>
      </w:r>
      <w:proofErr w:type="spellEnd"/>
      <w:r w:rsidR="00CA4CC4" w:rsidRPr="00CA4CC4">
        <w:rPr>
          <w:i/>
        </w:rPr>
        <w:t xml:space="preserve"> </w:t>
      </w:r>
      <w:proofErr w:type="spellStart"/>
      <w:r w:rsidR="00CA4CC4" w:rsidRPr="00CA4CC4">
        <w:rPr>
          <w:i/>
        </w:rPr>
        <w:t>and</w:t>
      </w:r>
      <w:proofErr w:type="spellEnd"/>
      <w:r w:rsidR="00CA4CC4" w:rsidRPr="00CA4CC4">
        <w:rPr>
          <w:i/>
        </w:rPr>
        <w:t xml:space="preserve"> by </w:t>
      </w:r>
      <w:proofErr w:type="spellStart"/>
      <w:r w:rsidR="00CA4CC4" w:rsidRPr="00CA4CC4">
        <w:rPr>
          <w:i/>
        </w:rPr>
        <w:t>individuals</w:t>
      </w:r>
      <w:proofErr w:type="spellEnd"/>
      <w:r w:rsidR="00CA4CC4">
        <w:t>)</w:t>
      </w:r>
      <w:r w:rsidR="00661133">
        <w:t xml:space="preserve"> sledující online participaci. Z externích zdrojů pak publikace využívá</w:t>
      </w:r>
      <w:r w:rsidR="005F6DAF">
        <w:t xml:space="preserve"> </w:t>
      </w:r>
      <w:r w:rsidR="00661133">
        <w:t xml:space="preserve">zejména </w:t>
      </w:r>
      <w:r w:rsidR="005F6DAF">
        <w:t>data o členské základně</w:t>
      </w:r>
      <w:r w:rsidR="00195287">
        <w:t xml:space="preserve"> sportovních svazů</w:t>
      </w:r>
      <w:r w:rsidR="005F6DAF">
        <w:t xml:space="preserve"> přebíraná od České unie sportu</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E6028F"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E6028F" w:rsidRPr="002D625E">
        <w:rPr>
          <w:rFonts w:asciiTheme="majorHAnsi" w:hAnsiTheme="majorHAnsi"/>
          <w:color w:val="auto"/>
          <w:sz w:val="22"/>
          <w:szCs w:val="22"/>
        </w:rPr>
        <w:fldChar w:fldCharType="separate"/>
      </w:r>
      <w:r w:rsidR="0002075B">
        <w:rPr>
          <w:rFonts w:asciiTheme="majorHAnsi" w:hAnsiTheme="majorHAnsi"/>
          <w:noProof/>
          <w:color w:val="auto"/>
          <w:sz w:val="22"/>
          <w:szCs w:val="22"/>
        </w:rPr>
        <w:t>2</w:t>
      </w:r>
      <w:r w:rsidR="00E6028F"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 zahraničního obchodu, ČSÚ</w:t>
            </w:r>
          </w:p>
        </w:tc>
      </w:tr>
      <w:tr w:rsidR="005F6DAF" w:rsidRPr="00C04DA1" w:rsidTr="00661133">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661133">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bottom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661133">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tc>
      </w:tr>
    </w:tbl>
    <w:p w:rsidR="00A0588A" w:rsidRDefault="00A0588A">
      <w:pPr>
        <w:spacing w:after="0" w:line="240" w:lineRule="auto"/>
        <w:rPr>
          <w:b/>
        </w:rPr>
      </w:pPr>
    </w:p>
    <w:sectPr w:rsidR="00A0588A" w:rsidSect="0070682D">
      <w:headerReference w:type="even" r:id="rId9"/>
      <w:headerReference w:type="default" r:id="rId10"/>
      <w:footerReference w:type="even" r:id="rId11"/>
      <w:footerReference w:type="default" r:id="rId12"/>
      <w:footnotePr>
        <w:numStart w:val="3"/>
      </w:footnotePr>
      <w:pgSz w:w="11906" w:h="16838"/>
      <w:pgMar w:top="1417" w:right="1417" w:bottom="1417" w:left="1417" w:header="708" w:footer="708" w:gutter="0"/>
      <w:pgNumType w:start="7"/>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50ACD" w15:done="0"/>
  <w15:commentEx w15:paraId="6A7C3D3A" w15:done="0"/>
  <w15:commentEx w15:paraId="6754349E" w15:done="0"/>
  <w15:commentEx w15:paraId="39B05307" w15:done="0"/>
  <w15:commentEx w15:paraId="6D25B790" w15:done="0"/>
  <w15:commentEx w15:paraId="79A9B92C" w15:done="0"/>
  <w15:commentEx w15:paraId="6CB41C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E0" w:rsidRDefault="00E676E0" w:rsidP="00E71A58">
      <w:r>
        <w:separator/>
      </w:r>
    </w:p>
  </w:endnote>
  <w:endnote w:type="continuationSeparator" w:id="0">
    <w:p w:rsidR="00E676E0" w:rsidRDefault="00E676E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3936"/>
      <w:docPartObj>
        <w:docPartGallery w:val="Page Numbers (Bottom of Page)"/>
        <w:docPartUnique/>
      </w:docPartObj>
    </w:sdtPr>
    <w:sdtContent>
      <w:p w:rsidR="00B04860" w:rsidRDefault="00E6028F" w:rsidP="00B04860">
        <w:pPr>
          <w:pStyle w:val="Zpat"/>
          <w:tabs>
            <w:tab w:val="left" w:pos="9570"/>
          </w:tabs>
          <w:rPr>
            <w:rFonts w:eastAsia="Times New Roman" w:cs="Times New Roman"/>
            <w:noProof w:val="0"/>
            <w:sz w:val="20"/>
            <w:szCs w:val="24"/>
            <w:lang w:eastAsia="cs-CZ"/>
          </w:rPr>
        </w:pPr>
        <w:fldSimple w:instr=" PAGE   \* MERGEFORMAT ">
          <w:r w:rsidR="00E22191">
            <w:t>8</w:t>
          </w:r>
        </w:fldSimple>
        <w:r w:rsidR="00B04860">
          <w:tab/>
          <w:t>2017</w:t>
        </w:r>
        <w:r w:rsidR="00B04860" w:rsidRPr="00B04860">
          <w:rPr>
            <w:lang w:eastAsia="cs-CZ"/>
          </w:rPr>
          <w:drawing>
            <wp:anchor distT="0" distB="0" distL="114300" distR="114300" simplePos="0" relativeHeight="251661312" behindDoc="0" locked="0" layoutInCell="1" allowOverlap="1">
              <wp:simplePos x="0" y="0"/>
              <wp:positionH relativeFrom="column">
                <wp:posOffset>5367655</wp:posOffset>
              </wp:positionH>
              <wp:positionV relativeFrom="paragraph">
                <wp:posOffset>-29210</wp:posOffset>
              </wp:positionV>
              <wp:extent cx="466725" cy="219075"/>
              <wp:effectExtent l="19050" t="0" r="9525" b="0"/>
              <wp:wrapNone/>
              <wp:docPr id="1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60" w:rsidRDefault="00B04860">
    <w:pPr>
      <w:pStyle w:val="Zpat"/>
    </w:pPr>
    <w:r w:rsidRPr="00B04860">
      <w:rPr>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-133985</wp:posOffset>
          </wp:positionV>
          <wp:extent cx="542925" cy="266700"/>
          <wp:effectExtent l="19050" t="0" r="9525" b="0"/>
          <wp:wrapNone/>
          <wp:docPr id="6"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tab/>
      <w:t>2017</w:t>
    </w:r>
    <w:r>
      <w:tab/>
    </w:r>
    <w:fldSimple w:instr=" PAGE   \* MERGEFORMAT ">
      <w:r w:rsidR="00E22191">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E0" w:rsidRDefault="00E676E0" w:rsidP="00E71A58">
      <w:r>
        <w:separator/>
      </w:r>
    </w:p>
  </w:footnote>
  <w:footnote w:type="continuationSeparator" w:id="0">
    <w:p w:rsidR="00E676E0" w:rsidRDefault="00E676E0" w:rsidP="00E71A58">
      <w:r>
        <w:continuationSeparator/>
      </w:r>
    </w:p>
  </w:footnote>
  <w:footnote w:id="1">
    <w:p w:rsidR="0002075B" w:rsidRPr="00FC062A" w:rsidRDefault="0002075B"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w:t>
      </w:r>
      <w:proofErr w:type="spellStart"/>
      <w:r w:rsidRPr="00FC062A">
        <w:rPr>
          <w:rFonts w:asciiTheme="majorHAnsi" w:hAnsiTheme="majorHAnsi"/>
        </w:rPr>
        <w:t>info</w:t>
      </w:r>
      <w:proofErr w:type="spellEnd"/>
      <w:r w:rsidRPr="00FC062A">
        <w:rPr>
          <w:rFonts w:asciiTheme="majorHAnsi" w:hAnsiTheme="majorHAnsi"/>
        </w:rPr>
        <w:t xml:space="preserve">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2">
    <w:p w:rsidR="0002075B" w:rsidRDefault="0002075B"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je pokládána otázka: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136EF3">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B" w:rsidRDefault="0002075B">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0423"/>
        </w:tabs>
        <w:ind w:left="10423"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F9C8098C"/>
    <w:lvl w:ilvl="0">
      <w:start w:val="2"/>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Chodounská">
    <w15:presenceInfo w15:providerId="None" w15:userId="Helena Chodoun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numStart w:val="3"/>
    <w:footnote w:id="-1"/>
    <w:footnote w:id="0"/>
  </w:footnotePr>
  <w:endnotePr>
    <w:endnote w:id="-1"/>
    <w:endnote w:id="0"/>
  </w:endnotePr>
  <w:compat/>
  <w:rsids>
    <w:rsidRoot w:val="0093360A"/>
    <w:rsid w:val="0000209D"/>
    <w:rsid w:val="00003B39"/>
    <w:rsid w:val="00004D5A"/>
    <w:rsid w:val="000056D5"/>
    <w:rsid w:val="00006DB9"/>
    <w:rsid w:val="0000767A"/>
    <w:rsid w:val="00010702"/>
    <w:rsid w:val="00014951"/>
    <w:rsid w:val="00016992"/>
    <w:rsid w:val="0002075B"/>
    <w:rsid w:val="00021927"/>
    <w:rsid w:val="000234D6"/>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B2863"/>
    <w:rsid w:val="000C0BF2"/>
    <w:rsid w:val="000C3408"/>
    <w:rsid w:val="000C6AFD"/>
    <w:rsid w:val="000D5637"/>
    <w:rsid w:val="000D6E73"/>
    <w:rsid w:val="000E6FBD"/>
    <w:rsid w:val="00100F5C"/>
    <w:rsid w:val="0010437D"/>
    <w:rsid w:val="00104C4C"/>
    <w:rsid w:val="00111D66"/>
    <w:rsid w:val="00111FFD"/>
    <w:rsid w:val="0012192F"/>
    <w:rsid w:val="00122C29"/>
    <w:rsid w:val="001243CF"/>
    <w:rsid w:val="00125D69"/>
    <w:rsid w:val="00136EF3"/>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552F"/>
    <w:rsid w:val="001A6AE5"/>
    <w:rsid w:val="001B2CA9"/>
    <w:rsid w:val="001B3110"/>
    <w:rsid w:val="001B3985"/>
    <w:rsid w:val="001B4729"/>
    <w:rsid w:val="001B568E"/>
    <w:rsid w:val="001B6C09"/>
    <w:rsid w:val="001C05CD"/>
    <w:rsid w:val="001C517E"/>
    <w:rsid w:val="001C7DC6"/>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6518"/>
    <w:rsid w:val="00227850"/>
    <w:rsid w:val="00227A53"/>
    <w:rsid w:val="00230C6E"/>
    <w:rsid w:val="00233F47"/>
    <w:rsid w:val="00234A07"/>
    <w:rsid w:val="00236443"/>
    <w:rsid w:val="002436BA"/>
    <w:rsid w:val="00244A15"/>
    <w:rsid w:val="00245B64"/>
    <w:rsid w:val="00247319"/>
    <w:rsid w:val="0024799E"/>
    <w:rsid w:val="002513C8"/>
    <w:rsid w:val="002526C8"/>
    <w:rsid w:val="00253C0F"/>
    <w:rsid w:val="002571C1"/>
    <w:rsid w:val="002575FA"/>
    <w:rsid w:val="00257E2C"/>
    <w:rsid w:val="00263EFB"/>
    <w:rsid w:val="00271465"/>
    <w:rsid w:val="002732A0"/>
    <w:rsid w:val="00284A5F"/>
    <w:rsid w:val="00285412"/>
    <w:rsid w:val="0029008B"/>
    <w:rsid w:val="0029322D"/>
    <w:rsid w:val="00295D95"/>
    <w:rsid w:val="002A00BE"/>
    <w:rsid w:val="002A025A"/>
    <w:rsid w:val="002A16D4"/>
    <w:rsid w:val="002A230C"/>
    <w:rsid w:val="002A2C91"/>
    <w:rsid w:val="002A3A2E"/>
    <w:rsid w:val="002A447B"/>
    <w:rsid w:val="002C43BD"/>
    <w:rsid w:val="002D0E59"/>
    <w:rsid w:val="002D57F5"/>
    <w:rsid w:val="002D625E"/>
    <w:rsid w:val="002D7B39"/>
    <w:rsid w:val="002E02A1"/>
    <w:rsid w:val="002E1C19"/>
    <w:rsid w:val="002E2755"/>
    <w:rsid w:val="002E4E4C"/>
    <w:rsid w:val="002F0222"/>
    <w:rsid w:val="00300003"/>
    <w:rsid w:val="00300860"/>
    <w:rsid w:val="00301008"/>
    <w:rsid w:val="00304771"/>
    <w:rsid w:val="003052D4"/>
    <w:rsid w:val="003056C2"/>
    <w:rsid w:val="00306C5B"/>
    <w:rsid w:val="0031042D"/>
    <w:rsid w:val="003209D6"/>
    <w:rsid w:val="00321924"/>
    <w:rsid w:val="0032656E"/>
    <w:rsid w:val="00332190"/>
    <w:rsid w:val="00340358"/>
    <w:rsid w:val="00344668"/>
    <w:rsid w:val="003462D9"/>
    <w:rsid w:val="003518A2"/>
    <w:rsid w:val="00360C86"/>
    <w:rsid w:val="003616B8"/>
    <w:rsid w:val="00364226"/>
    <w:rsid w:val="003657F3"/>
    <w:rsid w:val="00371F45"/>
    <w:rsid w:val="00372AF0"/>
    <w:rsid w:val="003743CA"/>
    <w:rsid w:val="003818DC"/>
    <w:rsid w:val="00384327"/>
    <w:rsid w:val="00385D98"/>
    <w:rsid w:val="0038660E"/>
    <w:rsid w:val="0039357E"/>
    <w:rsid w:val="00393F2A"/>
    <w:rsid w:val="003957FF"/>
    <w:rsid w:val="003A0434"/>
    <w:rsid w:val="003A04CB"/>
    <w:rsid w:val="003A2B4D"/>
    <w:rsid w:val="003A478C"/>
    <w:rsid w:val="003A5525"/>
    <w:rsid w:val="003A6B38"/>
    <w:rsid w:val="003B4D71"/>
    <w:rsid w:val="003B5A32"/>
    <w:rsid w:val="003B69CC"/>
    <w:rsid w:val="003B7E86"/>
    <w:rsid w:val="003C2C8C"/>
    <w:rsid w:val="003C3490"/>
    <w:rsid w:val="003D0763"/>
    <w:rsid w:val="003D6920"/>
    <w:rsid w:val="003E4C91"/>
    <w:rsid w:val="003E64D5"/>
    <w:rsid w:val="003F313C"/>
    <w:rsid w:val="003F4B2C"/>
    <w:rsid w:val="003F551C"/>
    <w:rsid w:val="003F568C"/>
    <w:rsid w:val="003F7D23"/>
    <w:rsid w:val="00407C13"/>
    <w:rsid w:val="00410638"/>
    <w:rsid w:val="004118E6"/>
    <w:rsid w:val="00416CD1"/>
    <w:rsid w:val="00425A2F"/>
    <w:rsid w:val="00432A58"/>
    <w:rsid w:val="00434617"/>
    <w:rsid w:val="00436D1A"/>
    <w:rsid w:val="00437A9D"/>
    <w:rsid w:val="00440900"/>
    <w:rsid w:val="0044295E"/>
    <w:rsid w:val="004441A0"/>
    <w:rsid w:val="0045375C"/>
    <w:rsid w:val="00454C0A"/>
    <w:rsid w:val="00460FB3"/>
    <w:rsid w:val="0047397F"/>
    <w:rsid w:val="00476240"/>
    <w:rsid w:val="00476439"/>
    <w:rsid w:val="0047735C"/>
    <w:rsid w:val="004776BC"/>
    <w:rsid w:val="0048139F"/>
    <w:rsid w:val="00481E40"/>
    <w:rsid w:val="00484322"/>
    <w:rsid w:val="00484ECE"/>
    <w:rsid w:val="004900FF"/>
    <w:rsid w:val="004915CB"/>
    <w:rsid w:val="004924DC"/>
    <w:rsid w:val="004A14E4"/>
    <w:rsid w:val="004A3212"/>
    <w:rsid w:val="004A3FDC"/>
    <w:rsid w:val="004A61C5"/>
    <w:rsid w:val="004A77DF"/>
    <w:rsid w:val="004B0204"/>
    <w:rsid w:val="004B1417"/>
    <w:rsid w:val="004B197F"/>
    <w:rsid w:val="004B26C2"/>
    <w:rsid w:val="004B55B7"/>
    <w:rsid w:val="004B6468"/>
    <w:rsid w:val="004C1A6B"/>
    <w:rsid w:val="004C384C"/>
    <w:rsid w:val="004C3867"/>
    <w:rsid w:val="004C3D97"/>
    <w:rsid w:val="004C4806"/>
    <w:rsid w:val="004C4CD0"/>
    <w:rsid w:val="004C70DC"/>
    <w:rsid w:val="004C7CA4"/>
    <w:rsid w:val="004D0211"/>
    <w:rsid w:val="004D0794"/>
    <w:rsid w:val="004D376B"/>
    <w:rsid w:val="004E3A3A"/>
    <w:rsid w:val="004F06F5"/>
    <w:rsid w:val="004F33A0"/>
    <w:rsid w:val="004F4254"/>
    <w:rsid w:val="00500A8A"/>
    <w:rsid w:val="005011E4"/>
    <w:rsid w:val="00503265"/>
    <w:rsid w:val="00503E1E"/>
    <w:rsid w:val="00505739"/>
    <w:rsid w:val="005108C0"/>
    <w:rsid w:val="00511873"/>
    <w:rsid w:val="00512A2F"/>
    <w:rsid w:val="00513B7E"/>
    <w:rsid w:val="00514FCC"/>
    <w:rsid w:val="00515C74"/>
    <w:rsid w:val="005174AD"/>
    <w:rsid w:val="0052007E"/>
    <w:rsid w:val="00521EB6"/>
    <w:rsid w:val="0052337A"/>
    <w:rsid w:val="00523A60"/>
    <w:rsid w:val="00524884"/>
    <w:rsid w:val="00525137"/>
    <w:rsid w:val="005251DD"/>
    <w:rsid w:val="00527354"/>
    <w:rsid w:val="00532CE7"/>
    <w:rsid w:val="0053324C"/>
    <w:rsid w:val="00534A28"/>
    <w:rsid w:val="005409EE"/>
    <w:rsid w:val="00541508"/>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C29AD"/>
    <w:rsid w:val="005D0254"/>
    <w:rsid w:val="005D47B4"/>
    <w:rsid w:val="005D5802"/>
    <w:rsid w:val="005D7890"/>
    <w:rsid w:val="005E7C78"/>
    <w:rsid w:val="005F1364"/>
    <w:rsid w:val="005F14AD"/>
    <w:rsid w:val="005F3EB1"/>
    <w:rsid w:val="005F5469"/>
    <w:rsid w:val="005F6DAF"/>
    <w:rsid w:val="006022F4"/>
    <w:rsid w:val="0060346E"/>
    <w:rsid w:val="00604307"/>
    <w:rsid w:val="0060487F"/>
    <w:rsid w:val="00604EAD"/>
    <w:rsid w:val="00605AC7"/>
    <w:rsid w:val="00606740"/>
    <w:rsid w:val="006104FB"/>
    <w:rsid w:val="00612A2F"/>
    <w:rsid w:val="00616E05"/>
    <w:rsid w:val="00622174"/>
    <w:rsid w:val="00624093"/>
    <w:rsid w:val="00632103"/>
    <w:rsid w:val="00636816"/>
    <w:rsid w:val="006404A7"/>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4D89"/>
    <w:rsid w:val="00675E37"/>
    <w:rsid w:val="0067727C"/>
    <w:rsid w:val="0068174E"/>
    <w:rsid w:val="00681DCE"/>
    <w:rsid w:val="0068260E"/>
    <w:rsid w:val="00686449"/>
    <w:rsid w:val="00695BEF"/>
    <w:rsid w:val="00696280"/>
    <w:rsid w:val="006977F6"/>
    <w:rsid w:val="00697A13"/>
    <w:rsid w:val="006A109C"/>
    <w:rsid w:val="006B0A21"/>
    <w:rsid w:val="006B344A"/>
    <w:rsid w:val="006B78D8"/>
    <w:rsid w:val="006C113F"/>
    <w:rsid w:val="006C123E"/>
    <w:rsid w:val="006C41DE"/>
    <w:rsid w:val="006C56D4"/>
    <w:rsid w:val="006C6924"/>
    <w:rsid w:val="006C7CA6"/>
    <w:rsid w:val="006D3E8A"/>
    <w:rsid w:val="006D55DD"/>
    <w:rsid w:val="006D61F6"/>
    <w:rsid w:val="006E279A"/>
    <w:rsid w:val="006E313B"/>
    <w:rsid w:val="006E59AE"/>
    <w:rsid w:val="006F5416"/>
    <w:rsid w:val="006F7137"/>
    <w:rsid w:val="0070208C"/>
    <w:rsid w:val="0070682D"/>
    <w:rsid w:val="00706AD4"/>
    <w:rsid w:val="00711520"/>
    <w:rsid w:val="007140BE"/>
    <w:rsid w:val="007211F5"/>
    <w:rsid w:val="00725BB5"/>
    <w:rsid w:val="00730AE8"/>
    <w:rsid w:val="007355EE"/>
    <w:rsid w:val="0073585F"/>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2D83"/>
    <w:rsid w:val="0079453C"/>
    <w:rsid w:val="00794677"/>
    <w:rsid w:val="007969CB"/>
    <w:rsid w:val="007A041E"/>
    <w:rsid w:val="007B45F0"/>
    <w:rsid w:val="007B6689"/>
    <w:rsid w:val="007D40DF"/>
    <w:rsid w:val="007D4942"/>
    <w:rsid w:val="007E4700"/>
    <w:rsid w:val="007E7E61"/>
    <w:rsid w:val="007F0845"/>
    <w:rsid w:val="00803AC8"/>
    <w:rsid w:val="00804DA3"/>
    <w:rsid w:val="00807C82"/>
    <w:rsid w:val="00816905"/>
    <w:rsid w:val="00821F10"/>
    <w:rsid w:val="00821FF6"/>
    <w:rsid w:val="0082261D"/>
    <w:rsid w:val="00823A94"/>
    <w:rsid w:val="00825C4D"/>
    <w:rsid w:val="0083143E"/>
    <w:rsid w:val="00831CDE"/>
    <w:rsid w:val="00834304"/>
    <w:rsid w:val="00834BA9"/>
    <w:rsid w:val="00834FAA"/>
    <w:rsid w:val="00836086"/>
    <w:rsid w:val="008414E3"/>
    <w:rsid w:val="0084708F"/>
    <w:rsid w:val="008477C8"/>
    <w:rsid w:val="0085114D"/>
    <w:rsid w:val="00851E08"/>
    <w:rsid w:val="00852217"/>
    <w:rsid w:val="00853D05"/>
    <w:rsid w:val="00855408"/>
    <w:rsid w:val="00856D1F"/>
    <w:rsid w:val="00856D65"/>
    <w:rsid w:val="00861B41"/>
    <w:rsid w:val="00863434"/>
    <w:rsid w:val="00865E4C"/>
    <w:rsid w:val="008701E4"/>
    <w:rsid w:val="00875A32"/>
    <w:rsid w:val="00876086"/>
    <w:rsid w:val="008818D4"/>
    <w:rsid w:val="008873D4"/>
    <w:rsid w:val="00893E85"/>
    <w:rsid w:val="00894031"/>
    <w:rsid w:val="008A312D"/>
    <w:rsid w:val="008A69A2"/>
    <w:rsid w:val="008B7C02"/>
    <w:rsid w:val="008B7D2B"/>
    <w:rsid w:val="008C0049"/>
    <w:rsid w:val="008C0E88"/>
    <w:rsid w:val="008C2DB8"/>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606D1"/>
    <w:rsid w:val="009636AC"/>
    <w:rsid w:val="00974923"/>
    <w:rsid w:val="00980B3D"/>
    <w:rsid w:val="00980D3D"/>
    <w:rsid w:val="00987A30"/>
    <w:rsid w:val="00992590"/>
    <w:rsid w:val="00992968"/>
    <w:rsid w:val="00992CF3"/>
    <w:rsid w:val="009968D6"/>
    <w:rsid w:val="009A1CAB"/>
    <w:rsid w:val="009A60D1"/>
    <w:rsid w:val="009B0B12"/>
    <w:rsid w:val="009B6FD3"/>
    <w:rsid w:val="009C1750"/>
    <w:rsid w:val="009C2E29"/>
    <w:rsid w:val="009C554B"/>
    <w:rsid w:val="009C719E"/>
    <w:rsid w:val="009D3ACD"/>
    <w:rsid w:val="009D3CF4"/>
    <w:rsid w:val="009D6C17"/>
    <w:rsid w:val="009E5273"/>
    <w:rsid w:val="009E5DDB"/>
    <w:rsid w:val="009F0ABB"/>
    <w:rsid w:val="009F4CA7"/>
    <w:rsid w:val="00A001FE"/>
    <w:rsid w:val="00A0588A"/>
    <w:rsid w:val="00A0736D"/>
    <w:rsid w:val="00A10D66"/>
    <w:rsid w:val="00A14114"/>
    <w:rsid w:val="00A16413"/>
    <w:rsid w:val="00A23E43"/>
    <w:rsid w:val="00A30F65"/>
    <w:rsid w:val="00A418BC"/>
    <w:rsid w:val="00A43B1B"/>
    <w:rsid w:val="00A46DE0"/>
    <w:rsid w:val="00A50D73"/>
    <w:rsid w:val="00A51FE7"/>
    <w:rsid w:val="00A52CAD"/>
    <w:rsid w:val="00A53FC7"/>
    <w:rsid w:val="00A622B1"/>
    <w:rsid w:val="00A62CE1"/>
    <w:rsid w:val="00A66FA1"/>
    <w:rsid w:val="00A6741E"/>
    <w:rsid w:val="00A70133"/>
    <w:rsid w:val="00A733D8"/>
    <w:rsid w:val="00A75E40"/>
    <w:rsid w:val="00A77D1D"/>
    <w:rsid w:val="00A857C0"/>
    <w:rsid w:val="00A9372B"/>
    <w:rsid w:val="00AA2996"/>
    <w:rsid w:val="00AA52BF"/>
    <w:rsid w:val="00AA559A"/>
    <w:rsid w:val="00AB2847"/>
    <w:rsid w:val="00AB2AF1"/>
    <w:rsid w:val="00AC114B"/>
    <w:rsid w:val="00AD306C"/>
    <w:rsid w:val="00AD7ADC"/>
    <w:rsid w:val="00AE09B3"/>
    <w:rsid w:val="00AE1A83"/>
    <w:rsid w:val="00AE275C"/>
    <w:rsid w:val="00AE6B7B"/>
    <w:rsid w:val="00AF2DE9"/>
    <w:rsid w:val="00AF4958"/>
    <w:rsid w:val="00AF4BA0"/>
    <w:rsid w:val="00B00913"/>
    <w:rsid w:val="00B01593"/>
    <w:rsid w:val="00B04860"/>
    <w:rsid w:val="00B07283"/>
    <w:rsid w:val="00B10290"/>
    <w:rsid w:val="00B10A4D"/>
    <w:rsid w:val="00B11D5D"/>
    <w:rsid w:val="00B14C82"/>
    <w:rsid w:val="00B17E71"/>
    <w:rsid w:val="00B17FDE"/>
    <w:rsid w:val="00B2379C"/>
    <w:rsid w:val="00B2687D"/>
    <w:rsid w:val="00B2753F"/>
    <w:rsid w:val="00B32DDB"/>
    <w:rsid w:val="00B34528"/>
    <w:rsid w:val="00B402FC"/>
    <w:rsid w:val="00B40BEF"/>
    <w:rsid w:val="00B40C9B"/>
    <w:rsid w:val="00B46604"/>
    <w:rsid w:val="00B530CD"/>
    <w:rsid w:val="00B55F5E"/>
    <w:rsid w:val="00B5752E"/>
    <w:rsid w:val="00B63A11"/>
    <w:rsid w:val="00B64C24"/>
    <w:rsid w:val="00B6608F"/>
    <w:rsid w:val="00B679FB"/>
    <w:rsid w:val="00B76D1E"/>
    <w:rsid w:val="00B80EC6"/>
    <w:rsid w:val="00B82598"/>
    <w:rsid w:val="00B9126C"/>
    <w:rsid w:val="00B92D1D"/>
    <w:rsid w:val="00B92F97"/>
    <w:rsid w:val="00B938C5"/>
    <w:rsid w:val="00B9561B"/>
    <w:rsid w:val="00B95940"/>
    <w:rsid w:val="00BB3F29"/>
    <w:rsid w:val="00BB46F3"/>
    <w:rsid w:val="00BB4CB1"/>
    <w:rsid w:val="00BB4F98"/>
    <w:rsid w:val="00BB785C"/>
    <w:rsid w:val="00BC3D79"/>
    <w:rsid w:val="00BC4095"/>
    <w:rsid w:val="00BC4B46"/>
    <w:rsid w:val="00BC7154"/>
    <w:rsid w:val="00BD366B"/>
    <w:rsid w:val="00BD3AEB"/>
    <w:rsid w:val="00BD6D50"/>
    <w:rsid w:val="00BE07A6"/>
    <w:rsid w:val="00BE18B9"/>
    <w:rsid w:val="00BE2495"/>
    <w:rsid w:val="00BE3E4B"/>
    <w:rsid w:val="00BE439A"/>
    <w:rsid w:val="00BF1578"/>
    <w:rsid w:val="00C14BDF"/>
    <w:rsid w:val="00C150B6"/>
    <w:rsid w:val="00C17A6E"/>
    <w:rsid w:val="00C21F94"/>
    <w:rsid w:val="00C27913"/>
    <w:rsid w:val="00C27ECC"/>
    <w:rsid w:val="00C32046"/>
    <w:rsid w:val="00C33B68"/>
    <w:rsid w:val="00C360F3"/>
    <w:rsid w:val="00C36A79"/>
    <w:rsid w:val="00C405D4"/>
    <w:rsid w:val="00C4513B"/>
    <w:rsid w:val="00C45246"/>
    <w:rsid w:val="00C54697"/>
    <w:rsid w:val="00C61B32"/>
    <w:rsid w:val="00C73885"/>
    <w:rsid w:val="00C747B1"/>
    <w:rsid w:val="00C74E18"/>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D7EB0"/>
    <w:rsid w:val="00CE62A3"/>
    <w:rsid w:val="00CE670B"/>
    <w:rsid w:val="00CF42DF"/>
    <w:rsid w:val="00CF51EC"/>
    <w:rsid w:val="00CF73AE"/>
    <w:rsid w:val="00D03A32"/>
    <w:rsid w:val="00D040DD"/>
    <w:rsid w:val="00D06E34"/>
    <w:rsid w:val="00D13986"/>
    <w:rsid w:val="00D14865"/>
    <w:rsid w:val="00D20397"/>
    <w:rsid w:val="00D235B7"/>
    <w:rsid w:val="00D24573"/>
    <w:rsid w:val="00D25327"/>
    <w:rsid w:val="00D25F28"/>
    <w:rsid w:val="00D27973"/>
    <w:rsid w:val="00D45DE5"/>
    <w:rsid w:val="00D50F46"/>
    <w:rsid w:val="00D66223"/>
    <w:rsid w:val="00D76858"/>
    <w:rsid w:val="00D8084C"/>
    <w:rsid w:val="00D9052F"/>
    <w:rsid w:val="00D92AF2"/>
    <w:rsid w:val="00D97741"/>
    <w:rsid w:val="00DA7C0C"/>
    <w:rsid w:val="00DB2EC8"/>
    <w:rsid w:val="00DB3954"/>
    <w:rsid w:val="00DC1B01"/>
    <w:rsid w:val="00DC5B3B"/>
    <w:rsid w:val="00DD129F"/>
    <w:rsid w:val="00DD7105"/>
    <w:rsid w:val="00DD766C"/>
    <w:rsid w:val="00DF12CA"/>
    <w:rsid w:val="00DF1CA9"/>
    <w:rsid w:val="00DF207B"/>
    <w:rsid w:val="00DF3560"/>
    <w:rsid w:val="00DF42FF"/>
    <w:rsid w:val="00E01C0E"/>
    <w:rsid w:val="00E03F9A"/>
    <w:rsid w:val="00E04694"/>
    <w:rsid w:val="00E12B1E"/>
    <w:rsid w:val="00E17262"/>
    <w:rsid w:val="00E21305"/>
    <w:rsid w:val="00E22191"/>
    <w:rsid w:val="00E253A2"/>
    <w:rsid w:val="00E3309D"/>
    <w:rsid w:val="00E464CD"/>
    <w:rsid w:val="00E50156"/>
    <w:rsid w:val="00E51CDC"/>
    <w:rsid w:val="00E53470"/>
    <w:rsid w:val="00E534A7"/>
    <w:rsid w:val="00E539F6"/>
    <w:rsid w:val="00E6028F"/>
    <w:rsid w:val="00E62C1E"/>
    <w:rsid w:val="00E6519D"/>
    <w:rsid w:val="00E67696"/>
    <w:rsid w:val="00E676E0"/>
    <w:rsid w:val="00E705A4"/>
    <w:rsid w:val="00E71A58"/>
    <w:rsid w:val="00E72A7A"/>
    <w:rsid w:val="00E73595"/>
    <w:rsid w:val="00E75C94"/>
    <w:rsid w:val="00E93820"/>
    <w:rsid w:val="00EA0C68"/>
    <w:rsid w:val="00EA0D92"/>
    <w:rsid w:val="00EA1B9D"/>
    <w:rsid w:val="00EA32BC"/>
    <w:rsid w:val="00EB4511"/>
    <w:rsid w:val="00EC03D7"/>
    <w:rsid w:val="00EC33BE"/>
    <w:rsid w:val="00EC524C"/>
    <w:rsid w:val="00EC70B1"/>
    <w:rsid w:val="00ED01CD"/>
    <w:rsid w:val="00ED62C6"/>
    <w:rsid w:val="00ED64C1"/>
    <w:rsid w:val="00EE3446"/>
    <w:rsid w:val="00EE34FC"/>
    <w:rsid w:val="00EE3E78"/>
    <w:rsid w:val="00EE4236"/>
    <w:rsid w:val="00EE4B1B"/>
    <w:rsid w:val="00EF031D"/>
    <w:rsid w:val="00EF150D"/>
    <w:rsid w:val="00EF1F5A"/>
    <w:rsid w:val="00EF318C"/>
    <w:rsid w:val="00EF47BF"/>
    <w:rsid w:val="00F02C6F"/>
    <w:rsid w:val="00F04811"/>
    <w:rsid w:val="00F0488C"/>
    <w:rsid w:val="00F04B78"/>
    <w:rsid w:val="00F05D04"/>
    <w:rsid w:val="00F05F5E"/>
    <w:rsid w:val="00F10F11"/>
    <w:rsid w:val="00F15AAA"/>
    <w:rsid w:val="00F15BEF"/>
    <w:rsid w:val="00F23152"/>
    <w:rsid w:val="00F23D46"/>
    <w:rsid w:val="00F24407"/>
    <w:rsid w:val="00F24FAA"/>
    <w:rsid w:val="00F25F16"/>
    <w:rsid w:val="00F26799"/>
    <w:rsid w:val="00F27C0E"/>
    <w:rsid w:val="00F3364D"/>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68B"/>
    <w:rsid w:val="00FB0EE2"/>
    <w:rsid w:val="00FB4570"/>
    <w:rsid w:val="00FB542E"/>
    <w:rsid w:val="00FC062A"/>
    <w:rsid w:val="00FC0E5F"/>
    <w:rsid w:val="00FC1A95"/>
    <w:rsid w:val="00FC3C2C"/>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4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A16A-74A3-4C20-8C3C-8DAF5D77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0</TotalTime>
  <Pages>3</Pages>
  <Words>953</Words>
  <Characters>5624</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3</cp:revision>
  <cp:lastPrinted>2019-05-02T09:32:00Z</cp:lastPrinted>
  <dcterms:created xsi:type="dcterms:W3CDTF">2019-05-03T10:13:00Z</dcterms:created>
  <dcterms:modified xsi:type="dcterms:W3CDTF">2019-05-03T12:27:00Z</dcterms:modified>
</cp:coreProperties>
</file>