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theme/themeOverride1.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8E" w:rsidRPr="002937D1" w:rsidRDefault="0026358E" w:rsidP="0026358E">
      <w:pPr>
        <w:pStyle w:val="Nadpis1"/>
      </w:pPr>
      <w:bookmarkStart w:id="0" w:name="_Toc533697541"/>
      <w:bookmarkStart w:id="1" w:name="_Toc534712040"/>
      <w:bookmarkStart w:id="2" w:name="_Toc528845484"/>
      <w:r w:rsidRPr="002937D1">
        <w:t xml:space="preserve">Chapter E </w:t>
      </w:r>
      <w:r>
        <w:t>Government and ICT</w:t>
      </w:r>
      <w:bookmarkEnd w:id="0"/>
      <w:bookmarkEnd w:id="1"/>
    </w:p>
    <w:p w:rsidR="0026358E" w:rsidRPr="0022594D" w:rsidRDefault="0026358E" w:rsidP="0026358E">
      <w:pPr>
        <w:pStyle w:val="Zkladntext"/>
        <w:spacing w:before="0" w:after="80" w:line="264" w:lineRule="auto"/>
        <w:rPr>
          <w:i/>
          <w:sz w:val="20"/>
          <w:lang w:val="en-GB"/>
        </w:rPr>
      </w:pPr>
      <w:r w:rsidRPr="004A0594">
        <w:rPr>
          <w:i/>
          <w:sz w:val="20"/>
          <w:lang w:val="en-GB"/>
        </w:rPr>
        <w:t xml:space="preserve">The Czech Republic has been familiar with </w:t>
      </w:r>
      <w:r w:rsidRPr="0022594D">
        <w:rPr>
          <w:i/>
          <w:sz w:val="20"/>
          <w:lang w:val="en-GB"/>
        </w:rPr>
        <w:t xml:space="preserve">eGovernment since the beginning of the 90s of the last millennium, however, only when the internet started to be seen as the technology of the future, after the year 1999, </w:t>
      </w:r>
      <w:r w:rsidRPr="004A0594">
        <w:rPr>
          <w:i/>
          <w:sz w:val="20"/>
          <w:lang w:val="en-GB"/>
        </w:rPr>
        <w:t xml:space="preserve">has </w:t>
      </w:r>
      <w:r w:rsidRPr="0022594D">
        <w:rPr>
          <w:i/>
          <w:sz w:val="20"/>
          <w:lang w:val="en-GB"/>
        </w:rPr>
        <w:t xml:space="preserve">this technology started </w:t>
      </w:r>
      <w:r w:rsidRPr="004A0594">
        <w:rPr>
          <w:i/>
          <w:sz w:val="20"/>
          <w:lang w:val="en-GB"/>
        </w:rPr>
        <w:t xml:space="preserve">to be </w:t>
      </w:r>
      <w:r w:rsidRPr="0022594D">
        <w:rPr>
          <w:i/>
          <w:sz w:val="20"/>
          <w:lang w:val="en-GB"/>
        </w:rPr>
        <w:t xml:space="preserve">used with respect to public </w:t>
      </w:r>
      <w:r w:rsidRPr="004A0594">
        <w:rPr>
          <w:i/>
          <w:sz w:val="20"/>
          <w:lang w:val="en-GB"/>
        </w:rPr>
        <w:t>authorities</w:t>
      </w:r>
      <w:r w:rsidRPr="004A0594">
        <w:rPr>
          <w:i/>
          <w:sz w:val="20"/>
          <w:szCs w:val="20"/>
        </w:rPr>
        <w:t>,</w:t>
      </w:r>
      <w:r w:rsidRPr="004A0594">
        <w:rPr>
          <w:i/>
          <w:sz w:val="20"/>
          <w:lang w:val="en-GB"/>
        </w:rPr>
        <w:t xml:space="preserve"> </w:t>
      </w:r>
      <w:r w:rsidRPr="0022594D">
        <w:rPr>
          <w:i/>
          <w:sz w:val="20"/>
          <w:lang w:val="en-GB"/>
        </w:rPr>
        <w:t xml:space="preserve">and other institutions of public administration. </w:t>
      </w:r>
      <w:r w:rsidRPr="004A0594">
        <w:rPr>
          <w:i/>
          <w:sz w:val="20"/>
          <w:lang w:val="en-GB"/>
        </w:rPr>
        <w:t>The Ministry of Informatics</w:t>
      </w:r>
      <w:r w:rsidRPr="004A0594">
        <w:rPr>
          <w:rStyle w:val="Znakapoznpodarou"/>
          <w:i/>
          <w:sz w:val="20"/>
          <w:lang w:val="en-GB"/>
        </w:rPr>
        <w:footnoteReference w:id="1"/>
      </w:r>
      <w:r w:rsidRPr="004A0594">
        <w:rPr>
          <w:i/>
          <w:sz w:val="20"/>
          <w:lang w:val="en-GB"/>
        </w:rPr>
        <w:t xml:space="preserve"> was founded in 2003</w:t>
      </w:r>
      <w:r w:rsidRPr="004A0594">
        <w:rPr>
          <w:i/>
          <w:sz w:val="20"/>
          <w:szCs w:val="20"/>
        </w:rPr>
        <w:t xml:space="preserve">, </w:t>
      </w:r>
      <w:r w:rsidRPr="004A0594">
        <w:rPr>
          <w:i/>
          <w:sz w:val="20"/>
          <w:lang w:val="en-GB"/>
        </w:rPr>
        <w:t xml:space="preserve">and three years later the National </w:t>
      </w:r>
      <w:r w:rsidRPr="0022594D">
        <w:rPr>
          <w:i/>
          <w:sz w:val="20"/>
          <w:lang w:val="en-GB"/>
        </w:rPr>
        <w:t xml:space="preserve">Politics on Information and Communication: e-Česko 2006. In the same year, a network of contact points of public administration, Czech POINT, was </w:t>
      </w:r>
      <w:r w:rsidRPr="004A0594">
        <w:rPr>
          <w:i/>
          <w:sz w:val="20"/>
          <w:lang w:val="en-GB"/>
        </w:rPr>
        <w:t>established</w:t>
      </w:r>
      <w:r w:rsidRPr="004A0594">
        <w:rPr>
          <w:i/>
          <w:sz w:val="20"/>
          <w:szCs w:val="20"/>
        </w:rPr>
        <w:t>,</w:t>
      </w:r>
      <w:r w:rsidRPr="0022594D">
        <w:rPr>
          <w:i/>
          <w:sz w:val="20"/>
          <w:lang w:val="en-GB"/>
        </w:rPr>
        <w:t xml:space="preserve"> providing the greatest development of eGovernment in the Czech Republic</w:t>
      </w:r>
      <w:r w:rsidRPr="0022594D">
        <w:rPr>
          <w:i/>
          <w:color w:val="FF0000"/>
          <w:sz w:val="20"/>
          <w:lang w:val="en-GB"/>
        </w:rPr>
        <w:t xml:space="preserve"> </w:t>
      </w:r>
      <w:r w:rsidRPr="004A0594">
        <w:rPr>
          <w:i/>
          <w:sz w:val="20"/>
          <w:lang w:val="en-GB"/>
        </w:rPr>
        <w:t>yet</w:t>
      </w:r>
      <w:r>
        <w:rPr>
          <w:i/>
          <w:color w:val="FF0000"/>
          <w:sz w:val="20"/>
          <w:lang w:val="en-GB"/>
        </w:rPr>
        <w:t xml:space="preserve"> </w:t>
      </w:r>
      <w:r w:rsidRPr="0022594D">
        <w:rPr>
          <w:i/>
          <w:sz w:val="20"/>
          <w:lang w:val="en-GB"/>
        </w:rPr>
        <w:t>– at least with respect to its citizens.</w:t>
      </w:r>
    </w:p>
    <w:p w:rsidR="0026358E" w:rsidRPr="0022594D" w:rsidRDefault="0026358E" w:rsidP="0026358E">
      <w:pPr>
        <w:pStyle w:val="Zkladntext"/>
        <w:spacing w:before="0" w:after="80" w:line="264" w:lineRule="auto"/>
        <w:rPr>
          <w:i/>
          <w:sz w:val="20"/>
          <w:lang w:val="en-GB"/>
        </w:rPr>
      </w:pPr>
      <w:r w:rsidRPr="0022594D">
        <w:rPr>
          <w:i/>
          <w:sz w:val="20"/>
          <w:lang w:val="en-GB"/>
        </w:rPr>
        <w:t>In 2008, the Act No. 300/</w:t>
      </w:r>
      <w:r w:rsidRPr="004A0594">
        <w:rPr>
          <w:i/>
          <w:sz w:val="20"/>
          <w:lang w:val="en-GB"/>
        </w:rPr>
        <w:t>2008</w:t>
      </w:r>
      <w:r w:rsidRPr="004A0594">
        <w:rPr>
          <w:i/>
          <w:sz w:val="20"/>
          <w:szCs w:val="20"/>
        </w:rPr>
        <w:t>,</w:t>
      </w:r>
      <w:r w:rsidRPr="004A0594">
        <w:rPr>
          <w:i/>
          <w:sz w:val="20"/>
          <w:lang w:val="en-GB"/>
        </w:rPr>
        <w:t xml:space="preserve"> on electronic acts and the authorised conversion of documents</w:t>
      </w:r>
      <w:r w:rsidRPr="004A0594">
        <w:rPr>
          <w:i/>
          <w:sz w:val="20"/>
          <w:szCs w:val="20"/>
        </w:rPr>
        <w:t>,</w:t>
      </w:r>
      <w:r w:rsidRPr="004A0594">
        <w:rPr>
          <w:i/>
          <w:sz w:val="20"/>
          <w:lang w:val="en-GB"/>
        </w:rPr>
        <w:t xml:space="preserve"> was passed. Sometimes also </w:t>
      </w:r>
      <w:r w:rsidRPr="0022594D">
        <w:rPr>
          <w:i/>
          <w:sz w:val="20"/>
          <w:lang w:val="en-GB"/>
        </w:rPr>
        <w:t xml:space="preserve">called “the Act on eGovernment”, the purpose of which was to create optimal conditions for electronic interaction between public authorities and </w:t>
      </w:r>
      <w:r w:rsidRPr="004A0594">
        <w:rPr>
          <w:i/>
          <w:sz w:val="20"/>
          <w:lang w:val="en-GB"/>
        </w:rPr>
        <w:t xml:space="preserve">citizens, as well as between the </w:t>
      </w:r>
      <w:r w:rsidRPr="0022594D">
        <w:rPr>
          <w:i/>
          <w:sz w:val="20"/>
          <w:lang w:val="en-GB"/>
        </w:rPr>
        <w:t xml:space="preserve">public authorities themselves. In July </w:t>
      </w:r>
      <w:r w:rsidRPr="004A0594">
        <w:rPr>
          <w:i/>
          <w:sz w:val="20"/>
          <w:lang w:val="en-GB"/>
        </w:rPr>
        <w:t>2009</w:t>
      </w:r>
      <w:r w:rsidRPr="004A0594">
        <w:rPr>
          <w:i/>
          <w:sz w:val="20"/>
          <w:szCs w:val="20"/>
        </w:rPr>
        <w:t>,</w:t>
      </w:r>
      <w:r w:rsidRPr="004A0594">
        <w:rPr>
          <w:i/>
          <w:sz w:val="20"/>
          <w:lang w:val="en-GB"/>
        </w:rPr>
        <w:t xml:space="preserve"> the </w:t>
      </w:r>
      <w:r w:rsidRPr="0022594D">
        <w:rPr>
          <w:i/>
          <w:sz w:val="20"/>
          <w:lang w:val="en-GB"/>
        </w:rPr>
        <w:t xml:space="preserve">system of data boxes was launched, facilitating the communication with public administration, as well as the system of basic registers, enabling </w:t>
      </w:r>
      <w:r w:rsidRPr="004A0594">
        <w:rPr>
          <w:i/>
          <w:sz w:val="20"/>
          <w:lang w:val="en-GB"/>
        </w:rPr>
        <w:t>thus</w:t>
      </w:r>
      <w:r w:rsidRPr="0022594D">
        <w:rPr>
          <w:i/>
          <w:sz w:val="20"/>
          <w:lang w:val="en-GB"/>
        </w:rPr>
        <w:t xml:space="preserve"> the interconnectivity of basic data on Czech citizens between individual public administration authorities.</w:t>
      </w:r>
    </w:p>
    <w:p w:rsidR="0026358E" w:rsidRPr="0022594D" w:rsidRDefault="0026358E" w:rsidP="0026358E">
      <w:pPr>
        <w:pStyle w:val="Zkladntext"/>
        <w:spacing w:before="0" w:after="80" w:line="264" w:lineRule="auto"/>
        <w:rPr>
          <w:i/>
          <w:sz w:val="20"/>
          <w:lang w:val="en-GB"/>
        </w:rPr>
      </w:pPr>
      <w:r w:rsidRPr="0022594D">
        <w:rPr>
          <w:i/>
          <w:sz w:val="20"/>
          <w:lang w:val="en-GB"/>
        </w:rPr>
        <w:t xml:space="preserve">As opposed to households, medical facilities or schools, for instance, in 2008, i.e. ten years ago, all organisations of public </w:t>
      </w:r>
      <w:r w:rsidRPr="004A0594">
        <w:rPr>
          <w:i/>
          <w:sz w:val="20"/>
          <w:lang w:val="en-GB"/>
        </w:rPr>
        <w:t>administration</w:t>
      </w:r>
      <w:r w:rsidRPr="004A0594">
        <w:rPr>
          <w:i/>
          <w:sz w:val="20"/>
          <w:szCs w:val="20"/>
        </w:rPr>
        <w:t>,</w:t>
      </w:r>
      <w:r w:rsidRPr="004A0594">
        <w:rPr>
          <w:i/>
          <w:sz w:val="20"/>
          <w:lang w:val="en-GB"/>
        </w:rPr>
        <w:t xml:space="preserve"> including </w:t>
      </w:r>
      <w:r w:rsidRPr="0022594D">
        <w:rPr>
          <w:i/>
          <w:sz w:val="20"/>
          <w:lang w:val="en-GB"/>
        </w:rPr>
        <w:t xml:space="preserve">individual municipal </w:t>
      </w:r>
      <w:r w:rsidRPr="004A0594">
        <w:rPr>
          <w:i/>
          <w:sz w:val="20"/>
          <w:lang w:val="en-GB"/>
        </w:rPr>
        <w:t>authorities</w:t>
      </w:r>
      <w:r w:rsidRPr="004A0594">
        <w:rPr>
          <w:i/>
          <w:sz w:val="20"/>
          <w:szCs w:val="20"/>
        </w:rPr>
        <w:t>,</w:t>
      </w:r>
      <w:r w:rsidRPr="0022594D">
        <w:rPr>
          <w:i/>
          <w:sz w:val="20"/>
          <w:lang w:val="en-GB"/>
        </w:rPr>
        <w:t xml:space="preserve"> had access to the internet</w:t>
      </w:r>
      <w:r w:rsidRPr="00290C38">
        <w:rPr>
          <w:i/>
          <w:sz w:val="20"/>
          <w:szCs w:val="20"/>
        </w:rPr>
        <w:t>,</w:t>
      </w:r>
      <w:r w:rsidRPr="0022594D">
        <w:rPr>
          <w:i/>
          <w:sz w:val="20"/>
          <w:lang w:val="en-GB"/>
        </w:rPr>
        <w:t xml:space="preserve"> and 90% of them even had their own website. In 2010, there were nearly 100% of </w:t>
      </w:r>
      <w:r w:rsidRPr="004A0594">
        <w:rPr>
          <w:i/>
          <w:sz w:val="20"/>
          <w:lang w:val="en-GB"/>
        </w:rPr>
        <w:t xml:space="preserve">them. The </w:t>
      </w:r>
      <w:r w:rsidRPr="0022594D">
        <w:rPr>
          <w:i/>
          <w:sz w:val="20"/>
          <w:lang w:val="en-GB"/>
        </w:rPr>
        <w:t>websites of these organisations are also frequently visited by citizens. For instance, in 2010, already a fifth of citizens claimed to have sought necessary information on the websites of public authorities. Apart from simple website viewing, there is a possibility to find and download official forms from the websites of many public authorities. In 2017, 15% of individuals stated to have downloaded a form from the public authority website</w:t>
      </w:r>
      <w:r w:rsidRPr="004A0594">
        <w:rPr>
          <w:i/>
          <w:sz w:val="20"/>
          <w:szCs w:val="20"/>
        </w:rPr>
        <w:t>,</w:t>
      </w:r>
      <w:r w:rsidRPr="0022594D">
        <w:rPr>
          <w:i/>
          <w:sz w:val="20"/>
          <w:lang w:val="en-GB"/>
        </w:rPr>
        <w:t xml:space="preserve"> upon the completion of which they delivered the form to the relevant authority in person, by mail or email. Apart from information and forms to download, only a small part of these organisations – a tenth in 2008 </w:t>
      </w:r>
      <w:r>
        <w:rPr>
          <w:i/>
          <w:sz w:val="20"/>
          <w:lang w:val="en-GB"/>
        </w:rPr>
        <w:br/>
      </w:r>
      <w:r w:rsidRPr="0022594D">
        <w:rPr>
          <w:i/>
          <w:sz w:val="20"/>
          <w:lang w:val="en-GB"/>
        </w:rPr>
        <w:t>– enabled the complete electronic submission on their websites</w:t>
      </w:r>
      <w:r w:rsidRPr="0022594D">
        <w:rPr>
          <w:rStyle w:val="Znakapoznpodarou"/>
          <w:i/>
          <w:sz w:val="20"/>
          <w:lang w:val="en-GB"/>
        </w:rPr>
        <w:footnoteReference w:id="2"/>
      </w:r>
      <w:r>
        <w:rPr>
          <w:i/>
          <w:sz w:val="20"/>
          <w:lang w:val="en-GB"/>
        </w:rPr>
        <w:t>.</w:t>
      </w:r>
      <w:r w:rsidRPr="0022594D">
        <w:rPr>
          <w:i/>
          <w:sz w:val="20"/>
          <w:lang w:val="en-GB"/>
        </w:rPr>
        <w:t xml:space="preserve"> </w:t>
      </w:r>
    </w:p>
    <w:p w:rsidR="0026358E" w:rsidRPr="00D03A5A" w:rsidRDefault="0026358E" w:rsidP="0026358E">
      <w:pPr>
        <w:pStyle w:val="Zkladntext"/>
        <w:spacing w:before="0" w:after="80" w:line="264" w:lineRule="auto"/>
        <w:rPr>
          <w:i/>
          <w:sz w:val="20"/>
          <w:lang w:val="en-GB"/>
        </w:rPr>
      </w:pPr>
      <w:r w:rsidRPr="004A0594">
        <w:rPr>
          <w:i/>
          <w:sz w:val="20"/>
          <w:lang w:val="en-GB"/>
        </w:rPr>
        <w:t xml:space="preserve">Same as </w:t>
      </w:r>
      <w:r w:rsidRPr="00D03A5A">
        <w:rPr>
          <w:i/>
          <w:sz w:val="20"/>
          <w:lang w:val="en-GB"/>
        </w:rPr>
        <w:t>in 2008, currently most personal situations, which citizens solve through public authorities, require the personal visit to the given office</w:t>
      </w:r>
      <w:r w:rsidRPr="00D03A5A">
        <w:rPr>
          <w:rStyle w:val="Znakapoznpodarou"/>
          <w:i/>
          <w:sz w:val="20"/>
          <w:lang w:val="en-GB"/>
        </w:rPr>
        <w:footnoteReference w:id="3"/>
      </w:r>
      <w:r w:rsidRPr="00D03A5A">
        <w:rPr>
          <w:i/>
          <w:sz w:val="20"/>
          <w:lang w:val="en-GB"/>
        </w:rPr>
        <w:t>, which originates due to legislative reasons in particular. These are situations, such as the issuance of a passport, a driving licence or a national ID card, reporting a change of address, obtaining a copy of registry documents, and requesting social and other allowances.</w:t>
      </w:r>
    </w:p>
    <w:p w:rsidR="0026358E" w:rsidRDefault="0026358E" w:rsidP="0026358E">
      <w:pPr>
        <w:pStyle w:val="Zkladntext"/>
        <w:spacing w:before="0" w:after="80" w:line="264" w:lineRule="auto"/>
        <w:rPr>
          <w:i/>
          <w:sz w:val="20"/>
          <w:lang w:val="en-GB"/>
        </w:rPr>
      </w:pPr>
      <w:r w:rsidRPr="0022594D">
        <w:rPr>
          <w:i/>
          <w:sz w:val="20"/>
          <w:lang w:val="en-GB"/>
        </w:rPr>
        <w:t xml:space="preserve">Therefore, with respect to providing services of eGovernment, the Czech Republic still has a long way to go. The development of digital services, however, is important with respect to better convenience for the user </w:t>
      </w:r>
      <w:r>
        <w:rPr>
          <w:i/>
          <w:sz w:val="20"/>
          <w:lang w:val="en-GB"/>
        </w:rPr>
        <w:br/>
      </w:r>
      <w:r w:rsidRPr="0022594D">
        <w:rPr>
          <w:i/>
          <w:sz w:val="20"/>
          <w:lang w:val="en-GB"/>
        </w:rPr>
        <w:t>– citizen, company, civil servant – as well as with respect to the cost effectiveness of public means. The present low development level of electronic services</w:t>
      </w:r>
      <w:r w:rsidRPr="004A0594">
        <w:rPr>
          <w:i/>
          <w:sz w:val="20"/>
          <w:szCs w:val="20"/>
        </w:rPr>
        <w:t>,</w:t>
      </w:r>
      <w:r w:rsidRPr="0022594D">
        <w:rPr>
          <w:i/>
          <w:sz w:val="20"/>
          <w:lang w:val="en-GB"/>
        </w:rPr>
        <w:t xml:space="preserve"> provided to Czech </w:t>
      </w:r>
      <w:r w:rsidRPr="004A0594">
        <w:rPr>
          <w:i/>
          <w:sz w:val="20"/>
          <w:lang w:val="en-GB"/>
        </w:rPr>
        <w:t>citizens</w:t>
      </w:r>
      <w:r w:rsidRPr="004A0594">
        <w:rPr>
          <w:i/>
          <w:sz w:val="20"/>
          <w:szCs w:val="20"/>
        </w:rPr>
        <w:t>,</w:t>
      </w:r>
      <w:r w:rsidRPr="004A0594">
        <w:rPr>
          <w:i/>
          <w:sz w:val="20"/>
          <w:lang w:val="en-GB"/>
        </w:rPr>
        <w:t xml:space="preserve"> is confirmed</w:t>
      </w:r>
      <w:r w:rsidRPr="004A0594">
        <w:rPr>
          <w:i/>
          <w:sz w:val="20"/>
          <w:szCs w:val="20"/>
        </w:rPr>
        <w:t>,</w:t>
      </w:r>
      <w:r w:rsidRPr="004A0594">
        <w:rPr>
          <w:i/>
          <w:sz w:val="20"/>
          <w:lang w:val="en-GB"/>
        </w:rPr>
        <w:t xml:space="preserve"> </w:t>
      </w:r>
      <w:r w:rsidRPr="0022594D">
        <w:rPr>
          <w:i/>
          <w:sz w:val="20"/>
          <w:lang w:val="en-GB"/>
        </w:rPr>
        <w:t xml:space="preserve">not only by European and global surveys, but also by the data of the CZSO. Data surveying the use of online </w:t>
      </w:r>
      <w:r w:rsidRPr="004A0594">
        <w:rPr>
          <w:i/>
          <w:sz w:val="20"/>
          <w:lang w:val="en-GB"/>
        </w:rPr>
        <w:t>services</w:t>
      </w:r>
      <w:r w:rsidRPr="004A0594">
        <w:rPr>
          <w:i/>
          <w:sz w:val="20"/>
          <w:szCs w:val="20"/>
        </w:rPr>
        <w:t>,</w:t>
      </w:r>
      <w:r w:rsidRPr="0022594D">
        <w:rPr>
          <w:i/>
          <w:sz w:val="20"/>
          <w:lang w:val="en-GB"/>
        </w:rPr>
        <w:t xml:space="preserve"> provided by public </w:t>
      </w:r>
      <w:r w:rsidRPr="004A0594">
        <w:rPr>
          <w:i/>
          <w:sz w:val="20"/>
          <w:lang w:val="en-GB"/>
        </w:rPr>
        <w:t>administration</w:t>
      </w:r>
      <w:r w:rsidRPr="004A0594">
        <w:rPr>
          <w:i/>
          <w:sz w:val="20"/>
          <w:szCs w:val="20"/>
        </w:rPr>
        <w:t>,</w:t>
      </w:r>
      <w:r w:rsidRPr="0022594D">
        <w:rPr>
          <w:i/>
          <w:sz w:val="20"/>
          <w:lang w:val="en-GB"/>
        </w:rPr>
        <w:t xml:space="preserve"> should currently be one of the key pillars of evaluation of Czech eGovernment level, therefore, the computerizing of public administration. </w:t>
      </w:r>
    </w:p>
    <w:p w:rsidR="0026358E" w:rsidRPr="0022594D" w:rsidRDefault="0026358E" w:rsidP="0026358E">
      <w:pPr>
        <w:pStyle w:val="Zkladntext"/>
        <w:spacing w:before="0" w:after="80" w:line="264" w:lineRule="auto"/>
        <w:rPr>
          <w:i/>
          <w:sz w:val="20"/>
          <w:lang w:val="en-GB"/>
        </w:rPr>
      </w:pPr>
      <w:r w:rsidRPr="00A80B9D">
        <w:rPr>
          <w:i/>
          <w:sz w:val="20"/>
          <w:lang w:val="en-GB"/>
        </w:rPr>
        <w:t>ICTs are already widely used by government bodies, as it happens in enterprises, but e</w:t>
      </w:r>
      <w:r>
        <w:rPr>
          <w:i/>
          <w:sz w:val="20"/>
          <w:lang w:val="en-GB"/>
        </w:rPr>
        <w:t>G</w:t>
      </w:r>
      <w:r w:rsidRPr="00A80B9D">
        <w:rPr>
          <w:i/>
          <w:sz w:val="20"/>
          <w:lang w:val="en-GB"/>
        </w:rPr>
        <w:t>overnment in-volves much more than just the tools. It also involves rethinking organisations and processes, and changing behaviour so that public services are delivered more efficiently to people and businesses. Implemented well, e</w:t>
      </w:r>
      <w:r>
        <w:rPr>
          <w:i/>
          <w:sz w:val="20"/>
          <w:lang w:val="en-GB"/>
        </w:rPr>
        <w:t>G</w:t>
      </w:r>
      <w:r w:rsidRPr="00A80B9D">
        <w:rPr>
          <w:i/>
          <w:sz w:val="20"/>
          <w:lang w:val="en-GB"/>
        </w:rPr>
        <w:t>overnment enables citizens, enterprises and organisations to carry out their business with government easier, quicker and at lower cost.</w:t>
      </w:r>
    </w:p>
    <w:p w:rsidR="0026358E" w:rsidRDefault="0026358E" w:rsidP="0026358E">
      <w:pPr>
        <w:spacing w:after="0" w:line="240" w:lineRule="auto"/>
        <w:rPr>
          <w:rFonts w:eastAsia="MS Gothic"/>
          <w:b/>
          <w:bCs/>
          <w:color w:val="009BB4"/>
          <w:sz w:val="28"/>
          <w:szCs w:val="26"/>
        </w:rPr>
      </w:pPr>
      <w:r>
        <w:br w:type="page"/>
      </w:r>
    </w:p>
    <w:p w:rsidR="0026358E" w:rsidRPr="002937D1" w:rsidRDefault="0026358E" w:rsidP="002875D6">
      <w:pPr>
        <w:pStyle w:val="Nadpis2"/>
        <w:spacing w:before="0"/>
      </w:pPr>
      <w:bookmarkStart w:id="4" w:name="_Toc533697542"/>
      <w:bookmarkStart w:id="5" w:name="_Toc534712041"/>
      <w:r w:rsidRPr="002937D1">
        <w:lastRenderedPageBreak/>
        <w:t xml:space="preserve">E.1 </w:t>
      </w:r>
      <w:r>
        <w:t xml:space="preserve">Use of </w:t>
      </w:r>
      <w:r w:rsidRPr="002937D1">
        <w:t>Czech POINT</w:t>
      </w:r>
      <w:r>
        <w:t xml:space="preserve"> for Government Services</w:t>
      </w:r>
      <w:bookmarkEnd w:id="4"/>
      <w:bookmarkEnd w:id="5"/>
      <w:r w:rsidRPr="002937D1">
        <w:t xml:space="preserve"> </w:t>
      </w:r>
    </w:p>
    <w:p w:rsidR="0026358E" w:rsidRPr="0026358E" w:rsidRDefault="0026358E" w:rsidP="0026358E">
      <w:pPr>
        <w:pStyle w:val="Zkladntext"/>
        <w:spacing w:before="0" w:after="80" w:line="264" w:lineRule="auto"/>
        <w:rPr>
          <w:i/>
          <w:sz w:val="20"/>
          <w:lang w:val="en-GB"/>
        </w:rPr>
      </w:pPr>
      <w:r w:rsidRPr="00D03A5A">
        <w:rPr>
          <w:i/>
          <w:sz w:val="20"/>
          <w:lang w:val="en-GB"/>
        </w:rPr>
        <w:t>Czech POINT</w:t>
      </w:r>
      <w:r w:rsidRPr="00D03A5A">
        <w:rPr>
          <w:rStyle w:val="Znakapoznpodarou"/>
          <w:i/>
          <w:sz w:val="20"/>
          <w:lang w:val="en-GB"/>
        </w:rPr>
        <w:footnoteReference w:id="4"/>
      </w:r>
      <w:r w:rsidRPr="00D03A5A">
        <w:rPr>
          <w:i/>
          <w:sz w:val="20"/>
          <w:lang w:val="en-GB"/>
        </w:rPr>
        <w:t xml:space="preserve"> is a project whose </w:t>
      </w:r>
      <w:r w:rsidRPr="00332D9D">
        <w:rPr>
          <w:i/>
          <w:sz w:val="20"/>
          <w:lang w:val="en-GB"/>
        </w:rPr>
        <w:t xml:space="preserve">aim </w:t>
      </w:r>
      <w:r w:rsidRPr="00D03A5A">
        <w:rPr>
          <w:i/>
          <w:sz w:val="20"/>
          <w:lang w:val="en-GB"/>
        </w:rPr>
        <w:t>is to reduce excessive bureaucracy with respect to citizens – public administration. The specific task of Czech POINT is to serve as an assisted place for the performance of public administration. By means of this universal place, enabling the interaction of citizens with the state, citizens may obtain all data held in evidence of themselves in public registers, as well as copies of and extracts from such data. It is also a place (municipal authority, post office, etc</w:t>
      </w:r>
      <w:r w:rsidRPr="00332D9D">
        <w:rPr>
          <w:i/>
          <w:sz w:val="20"/>
          <w:lang w:val="en-GB"/>
        </w:rPr>
        <w:t>.)</w:t>
      </w:r>
      <w:r w:rsidRPr="00332D9D">
        <w:rPr>
          <w:sz w:val="20"/>
          <w:szCs w:val="20"/>
        </w:rPr>
        <w:t>,</w:t>
      </w:r>
      <w:r w:rsidRPr="00332D9D">
        <w:rPr>
          <w:i/>
          <w:sz w:val="20"/>
          <w:lang w:val="en-GB"/>
        </w:rPr>
        <w:t xml:space="preserve"> where one may verify </w:t>
      </w:r>
      <w:r w:rsidRPr="00D03A5A">
        <w:rPr>
          <w:i/>
          <w:sz w:val="20"/>
          <w:lang w:val="en-GB"/>
        </w:rPr>
        <w:t>his or her documents, signatures or electronic document versions.</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As of </w:t>
      </w:r>
      <w:r w:rsidRPr="00332D9D">
        <w:rPr>
          <w:sz w:val="20"/>
          <w:lang w:val="en-GB"/>
        </w:rPr>
        <w:t>the 31</w:t>
      </w:r>
      <w:r w:rsidRPr="00332D9D">
        <w:rPr>
          <w:sz w:val="20"/>
          <w:vertAlign w:val="superscript"/>
          <w:lang w:val="en-GB"/>
        </w:rPr>
        <w:t>st</w:t>
      </w:r>
      <w:r w:rsidRPr="00332D9D">
        <w:rPr>
          <w:sz w:val="20"/>
          <w:lang w:val="en-GB"/>
        </w:rPr>
        <w:t xml:space="preserve"> of </w:t>
      </w:r>
      <w:r w:rsidRPr="00D03A5A">
        <w:rPr>
          <w:sz w:val="20"/>
          <w:lang w:val="en-GB"/>
        </w:rPr>
        <w:t xml:space="preserve">December 2017, there were 7,536 </w:t>
      </w:r>
      <w:r w:rsidRPr="00D03A5A">
        <w:rPr>
          <w:b/>
          <w:sz w:val="20"/>
          <w:lang w:val="en-GB"/>
        </w:rPr>
        <w:t>contact points</w:t>
      </w:r>
      <w:r w:rsidRPr="00D03A5A">
        <w:rPr>
          <w:sz w:val="20"/>
          <w:lang w:val="en-GB"/>
        </w:rPr>
        <w:t xml:space="preserve"> involved in the Czech POINT system in the Czech Republic, out of which 5,937 (79%) were available for citizens</w:t>
      </w:r>
      <w:r w:rsidRPr="00D03A5A">
        <w:rPr>
          <w:b/>
          <w:sz w:val="20"/>
          <w:lang w:val="en-GB"/>
        </w:rPr>
        <w:t xml:space="preserve"> </w:t>
      </w:r>
      <w:r w:rsidRPr="00D03A5A">
        <w:rPr>
          <w:sz w:val="20"/>
          <w:lang w:val="en-GB"/>
        </w:rPr>
        <w:t>at the municipal</w:t>
      </w:r>
      <w:r w:rsidRPr="00D03A5A">
        <w:rPr>
          <w:b/>
          <w:sz w:val="20"/>
          <w:lang w:val="en-GB"/>
        </w:rPr>
        <w:t xml:space="preserve"> </w:t>
      </w:r>
      <w:r w:rsidRPr="00332D9D">
        <w:rPr>
          <w:sz w:val="20"/>
          <w:lang w:val="en-GB"/>
        </w:rPr>
        <w:t>authorities</w:t>
      </w:r>
      <w:r w:rsidRPr="00332D9D">
        <w:rPr>
          <w:sz w:val="20"/>
          <w:szCs w:val="20"/>
        </w:rPr>
        <w:t>,</w:t>
      </w:r>
      <w:r w:rsidRPr="00332D9D">
        <w:rPr>
          <w:sz w:val="20"/>
          <w:lang w:val="en-GB"/>
        </w:rPr>
        <w:t xml:space="preserve"> </w:t>
      </w:r>
      <w:r w:rsidRPr="00D03A5A">
        <w:rPr>
          <w:sz w:val="20"/>
          <w:lang w:val="en-GB"/>
        </w:rPr>
        <w:t xml:space="preserve">and 984 (13%) at post offices. </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By means of </w:t>
      </w:r>
      <w:r w:rsidRPr="00D03A5A">
        <w:rPr>
          <w:b/>
          <w:sz w:val="20"/>
          <w:lang w:val="en-GB"/>
        </w:rPr>
        <w:t>Czech POINT</w:t>
      </w:r>
      <w:r w:rsidRPr="00332D9D">
        <w:rPr>
          <w:sz w:val="20"/>
          <w:szCs w:val="20"/>
        </w:rPr>
        <w:t>,</w:t>
      </w:r>
      <w:r w:rsidRPr="00332D9D">
        <w:rPr>
          <w:b/>
          <w:sz w:val="20"/>
          <w:lang w:val="en-GB"/>
        </w:rPr>
        <w:t xml:space="preserve"> </w:t>
      </w:r>
      <w:r w:rsidRPr="00332D9D">
        <w:rPr>
          <w:sz w:val="20"/>
          <w:lang w:val="en-GB"/>
        </w:rPr>
        <w:t>a</w:t>
      </w:r>
      <w:r w:rsidRPr="00D03A5A">
        <w:rPr>
          <w:sz w:val="20"/>
          <w:lang w:val="en-GB"/>
        </w:rPr>
        <w:t xml:space="preserve">t the aforementioned contact points, Czech citizens were provided with over 2 million (2,124 thousand) </w:t>
      </w:r>
      <w:r w:rsidRPr="00D03A5A">
        <w:rPr>
          <w:b/>
          <w:sz w:val="20"/>
          <w:lang w:val="en-GB"/>
        </w:rPr>
        <w:t>outputs</w:t>
      </w:r>
      <w:r w:rsidRPr="00D03A5A">
        <w:rPr>
          <w:sz w:val="20"/>
          <w:lang w:val="en-GB"/>
        </w:rPr>
        <w:t xml:space="preserve"> in 2017.</w:t>
      </w:r>
      <w:r w:rsidRPr="00D03A5A">
        <w:rPr>
          <w:b/>
          <w:sz w:val="20"/>
          <w:lang w:val="en-GB"/>
        </w:rPr>
        <w:t xml:space="preserve"> </w:t>
      </w:r>
      <w:r w:rsidRPr="00D03A5A">
        <w:rPr>
          <w:sz w:val="20"/>
          <w:lang w:val="en-GB"/>
        </w:rPr>
        <w:t xml:space="preserve">This total number of outputs has not changed significantly in the past five years; the number is still around 2.1 million per year. </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These mainly included</w:t>
      </w:r>
      <w:r w:rsidRPr="00D03A5A">
        <w:rPr>
          <w:b/>
          <w:sz w:val="20"/>
          <w:lang w:val="en-GB"/>
        </w:rPr>
        <w:t xml:space="preserve"> copies of an entry</w:t>
      </w:r>
      <w:r w:rsidRPr="00D03A5A">
        <w:rPr>
          <w:sz w:val="20"/>
          <w:lang w:val="en-GB"/>
        </w:rPr>
        <w:t xml:space="preserve">, creating three quarters (1,522 thousand) </w:t>
      </w:r>
      <w:r w:rsidRPr="00536896">
        <w:rPr>
          <w:color w:val="000000" w:themeColor="text1"/>
          <w:sz w:val="20"/>
          <w:lang w:val="en-GB"/>
        </w:rPr>
        <w:t xml:space="preserve">of </w:t>
      </w:r>
      <w:r w:rsidRPr="00D03A5A">
        <w:rPr>
          <w:sz w:val="20"/>
          <w:lang w:val="en-GB"/>
        </w:rPr>
        <w:t xml:space="preserve">all Czech POINT outputs in 2017. In 2017, less than a quarter (473 thousand) of outputs involved </w:t>
      </w:r>
      <w:r w:rsidRPr="00D03A5A">
        <w:rPr>
          <w:b/>
          <w:sz w:val="20"/>
          <w:lang w:val="en-GB"/>
        </w:rPr>
        <w:t>conversion of documents</w:t>
      </w:r>
      <w:r w:rsidRPr="00D03A5A">
        <w:rPr>
          <w:sz w:val="20"/>
          <w:lang w:val="en-GB"/>
        </w:rPr>
        <w:t xml:space="preserve">, particularly from electronic form to paper form. The other outputs mainly involved </w:t>
      </w:r>
      <w:r w:rsidRPr="00D03A5A">
        <w:rPr>
          <w:b/>
          <w:sz w:val="20"/>
          <w:lang w:val="en-GB"/>
        </w:rPr>
        <w:t>requests on the registration of Data Box</w:t>
      </w:r>
      <w:r w:rsidRPr="00D03A5A">
        <w:rPr>
          <w:sz w:val="20"/>
          <w:lang w:val="en-GB"/>
        </w:rPr>
        <w:t>, as there were over 43 thousand in 2017.</w:t>
      </w:r>
    </w:p>
    <w:p w:rsidR="0026358E" w:rsidRPr="0026358E"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With respect to the individual </w:t>
      </w:r>
      <w:r w:rsidRPr="00D03A5A">
        <w:rPr>
          <w:b/>
          <w:sz w:val="20"/>
          <w:lang w:val="en-GB"/>
        </w:rPr>
        <w:t>types of copies of an entry</w:t>
      </w:r>
      <w:r w:rsidRPr="00D03A5A">
        <w:rPr>
          <w:sz w:val="20"/>
          <w:lang w:val="en-GB"/>
        </w:rPr>
        <w:t xml:space="preserve"> issued by means of Czech POINT, even in </w:t>
      </w:r>
      <w:r w:rsidRPr="00332D9D">
        <w:rPr>
          <w:sz w:val="20"/>
          <w:lang w:val="en-GB"/>
        </w:rPr>
        <w:t>2017</w:t>
      </w:r>
      <w:r w:rsidRPr="00332D9D">
        <w:rPr>
          <w:sz w:val="20"/>
          <w:szCs w:val="20"/>
        </w:rPr>
        <w:t>,</w:t>
      </w:r>
      <w:r w:rsidRPr="00332D9D">
        <w:rPr>
          <w:sz w:val="20"/>
          <w:lang w:val="en-GB"/>
        </w:rPr>
        <w:t xml:space="preserve"> these </w:t>
      </w:r>
      <w:r w:rsidRPr="00D03A5A">
        <w:rPr>
          <w:sz w:val="20"/>
          <w:lang w:val="en-GB"/>
        </w:rPr>
        <w:t xml:space="preserve">were most frequently the copies of an entry in the </w:t>
      </w:r>
      <w:r w:rsidRPr="00D03A5A">
        <w:rPr>
          <w:b/>
          <w:sz w:val="20"/>
          <w:lang w:val="en-GB"/>
        </w:rPr>
        <w:t>Criminal Records</w:t>
      </w:r>
      <w:r w:rsidRPr="00D03A5A">
        <w:rPr>
          <w:sz w:val="20"/>
          <w:lang w:val="en-GB"/>
        </w:rPr>
        <w:t xml:space="preserve"> (902 thousand), in the </w:t>
      </w:r>
      <w:r w:rsidRPr="00D03A5A">
        <w:rPr>
          <w:b/>
          <w:sz w:val="20"/>
          <w:lang w:val="en-GB"/>
        </w:rPr>
        <w:t>Land Registry</w:t>
      </w:r>
      <w:r w:rsidRPr="00D03A5A">
        <w:rPr>
          <w:sz w:val="20"/>
          <w:lang w:val="en-GB"/>
        </w:rPr>
        <w:t xml:space="preserve"> (282 thousand), and in the </w:t>
      </w:r>
      <w:r w:rsidRPr="00D03A5A">
        <w:rPr>
          <w:b/>
          <w:sz w:val="20"/>
          <w:lang w:val="en-GB"/>
        </w:rPr>
        <w:t>Commercial Register</w:t>
      </w:r>
      <w:r w:rsidRPr="00D03A5A">
        <w:rPr>
          <w:sz w:val="20"/>
          <w:lang w:val="en-GB"/>
        </w:rPr>
        <w:t xml:space="preserve"> (180 thousand). With respect to the copies of an entry in the Land </w:t>
      </w:r>
      <w:r w:rsidRPr="00332D9D">
        <w:rPr>
          <w:sz w:val="20"/>
          <w:lang w:val="en-GB"/>
        </w:rPr>
        <w:t>Registry</w:t>
      </w:r>
      <w:r w:rsidRPr="00332D9D">
        <w:rPr>
          <w:sz w:val="20"/>
          <w:szCs w:val="20"/>
        </w:rPr>
        <w:t>,</w:t>
      </w:r>
      <w:r w:rsidRPr="00332D9D">
        <w:rPr>
          <w:sz w:val="20"/>
          <w:lang w:val="en-GB"/>
        </w:rPr>
        <w:t xml:space="preserve"> </w:t>
      </w:r>
      <w:r w:rsidRPr="00D03A5A">
        <w:rPr>
          <w:sz w:val="20"/>
          <w:lang w:val="en-GB"/>
        </w:rPr>
        <w:t>as well as in the Commercial Register, over the recent years</w:t>
      </w:r>
      <w:r w:rsidRPr="00332D9D">
        <w:rPr>
          <w:sz w:val="20"/>
          <w:szCs w:val="20"/>
        </w:rPr>
        <w:t>,</w:t>
      </w:r>
      <w:r w:rsidRPr="00332D9D">
        <w:rPr>
          <w:sz w:val="20"/>
          <w:lang w:val="en-GB"/>
        </w:rPr>
        <w:t xml:space="preserve"> w</w:t>
      </w:r>
      <w:r w:rsidRPr="00D03A5A">
        <w:rPr>
          <w:sz w:val="20"/>
          <w:lang w:val="en-GB"/>
        </w:rPr>
        <w:t>e observe a decrease in the number of their required issuance. For instance, in 2010 there were more than half as many (nearly 450 thousand) copies of an entry in the Land Registry issued</w:t>
      </w:r>
      <w:r w:rsidRPr="00332D9D">
        <w:rPr>
          <w:sz w:val="20"/>
          <w:szCs w:val="20"/>
        </w:rPr>
        <w:t>,</w:t>
      </w:r>
      <w:r w:rsidRPr="00332D9D">
        <w:rPr>
          <w:sz w:val="20"/>
          <w:lang w:val="en-GB"/>
        </w:rPr>
        <w:t xml:space="preserve"> </w:t>
      </w:r>
      <w:r w:rsidRPr="00D03A5A">
        <w:rPr>
          <w:sz w:val="20"/>
          <w:lang w:val="en-GB"/>
        </w:rPr>
        <w:t>at the contact points of Czech POINT</w:t>
      </w:r>
      <w:r w:rsidRPr="00332D9D">
        <w:rPr>
          <w:sz w:val="20"/>
          <w:szCs w:val="20"/>
        </w:rPr>
        <w:t>,</w:t>
      </w:r>
      <w:r w:rsidRPr="00D03A5A">
        <w:rPr>
          <w:sz w:val="20"/>
          <w:lang w:val="en-GB"/>
        </w:rPr>
        <w:t xml:space="preserve"> than in </w:t>
      </w:r>
      <w:r w:rsidRPr="00332D9D">
        <w:rPr>
          <w:sz w:val="20"/>
          <w:lang w:val="en-GB"/>
        </w:rPr>
        <w:t>2017;</w:t>
      </w:r>
      <w:r w:rsidRPr="00D03A5A">
        <w:rPr>
          <w:sz w:val="20"/>
          <w:lang w:val="en-GB"/>
        </w:rPr>
        <w:t xml:space="preserve"> with respect to the copies of an entry in the Commercial Register</w:t>
      </w:r>
      <w:r w:rsidRPr="00332D9D">
        <w:rPr>
          <w:sz w:val="20"/>
          <w:szCs w:val="20"/>
        </w:rPr>
        <w:t>,</w:t>
      </w:r>
      <w:r w:rsidRPr="00D03A5A">
        <w:rPr>
          <w:sz w:val="20"/>
          <w:lang w:val="en-GB"/>
        </w:rPr>
        <w:t xml:space="preserve"> there were even 80% more at the same period of time.</w:t>
      </w:r>
    </w:p>
    <w:p w:rsidR="0026358E" w:rsidRDefault="0026358E" w:rsidP="0026358E">
      <w:pPr>
        <w:pStyle w:val="Zkladntext"/>
        <w:spacing w:before="0" w:line="264" w:lineRule="auto"/>
        <w:rPr>
          <w:noProof/>
          <w:lang w:val="en-GB"/>
        </w:rPr>
      </w:pPr>
      <w:r w:rsidRPr="00D03A5A">
        <w:rPr>
          <w:noProof/>
        </w:rPr>
        <w:drawing>
          <wp:inline distT="0" distB="0" distL="0" distR="0" wp14:anchorId="4F3017D5" wp14:editId="030F30B5">
            <wp:extent cx="3024000" cy="2880000"/>
            <wp:effectExtent l="0" t="0" r="5080" b="15875"/>
            <wp:docPr id="190" name="Graf 190">
              <a:extLst xmlns:a="http://schemas.openxmlformats.org/drawingml/2006/main">
                <a:ext uri="{FF2B5EF4-FFF2-40B4-BE49-F238E27FC236}">
                  <a16:creationId xmlns:a16="http://schemas.microsoft.com/office/drawing/2014/main" id="{00000000-0008-0000-05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03A5A">
        <w:rPr>
          <w:noProof/>
          <w:lang w:val="en-GB"/>
        </w:rPr>
        <w:t xml:space="preserve"> </w:t>
      </w:r>
      <w:r w:rsidRPr="00D03A5A">
        <w:rPr>
          <w:noProof/>
        </w:rPr>
        <w:drawing>
          <wp:inline distT="0" distB="0" distL="0" distR="0" wp14:anchorId="78CC3990" wp14:editId="4DC930CA">
            <wp:extent cx="3024000" cy="2880000"/>
            <wp:effectExtent l="0" t="0" r="5080" b="0"/>
            <wp:docPr id="191" name="Graf 191">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358E" w:rsidRDefault="0026358E" w:rsidP="0026358E">
      <w:pPr>
        <w:pStyle w:val="Zkladntext"/>
        <w:spacing w:before="0" w:line="264" w:lineRule="auto"/>
      </w:pP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Whereas the total number of issued outputs to the citizens</w:t>
      </w:r>
      <w:r w:rsidRPr="00332D9D">
        <w:rPr>
          <w:sz w:val="20"/>
          <w:szCs w:val="20"/>
        </w:rPr>
        <w:t>,</w:t>
      </w:r>
      <w:r w:rsidRPr="00332D9D">
        <w:rPr>
          <w:sz w:val="20"/>
          <w:lang w:val="en-GB"/>
        </w:rPr>
        <w:t xml:space="preserve"> by means of contact points of the Czech POINT</w:t>
      </w:r>
      <w:r w:rsidRPr="00332D9D">
        <w:rPr>
          <w:sz w:val="20"/>
          <w:szCs w:val="20"/>
        </w:rPr>
        <w:t>,</w:t>
      </w:r>
      <w:r w:rsidRPr="00332D9D">
        <w:rPr>
          <w:sz w:val="20"/>
          <w:lang w:val="en-GB"/>
        </w:rPr>
        <w:t xml:space="preserve"> has not changed over the past years, the number of </w:t>
      </w:r>
      <w:r w:rsidRPr="00D03A5A">
        <w:rPr>
          <w:sz w:val="20"/>
          <w:lang w:val="en-GB"/>
        </w:rPr>
        <w:t xml:space="preserve">authorised conversions of documents, in particular </w:t>
      </w:r>
      <w:r w:rsidRPr="00D03A5A">
        <w:rPr>
          <w:b/>
          <w:sz w:val="20"/>
          <w:lang w:val="en-GB"/>
        </w:rPr>
        <w:t>from paper form to the electronic one</w:t>
      </w:r>
      <w:r w:rsidRPr="00332D9D">
        <w:rPr>
          <w:sz w:val="20"/>
          <w:szCs w:val="20"/>
        </w:rPr>
        <w:t>,</w:t>
      </w:r>
      <w:r w:rsidRPr="00332D9D">
        <w:rPr>
          <w:sz w:val="20"/>
          <w:lang w:val="en-GB"/>
        </w:rPr>
        <w:t xml:space="preserve"> has </w:t>
      </w:r>
      <w:r w:rsidRPr="00D03A5A">
        <w:rPr>
          <w:sz w:val="20"/>
          <w:lang w:val="en-GB"/>
        </w:rPr>
        <w:t>been increasing year by year. In 2017, nearly 200</w:t>
      </w:r>
      <w:r>
        <w:rPr>
          <w:sz w:val="20"/>
          <w:lang w:val="en-GB"/>
        </w:rPr>
        <w:t> </w:t>
      </w:r>
      <w:r w:rsidRPr="00D03A5A">
        <w:rPr>
          <w:sz w:val="20"/>
          <w:lang w:val="en-GB"/>
        </w:rPr>
        <w:t xml:space="preserve">thousand paper documents were converted for the </w:t>
      </w:r>
      <w:r w:rsidRPr="00332D9D">
        <w:rPr>
          <w:sz w:val="20"/>
          <w:lang w:val="en-GB"/>
        </w:rPr>
        <w:t>citizens</w:t>
      </w:r>
      <w:r w:rsidRPr="00332D9D">
        <w:rPr>
          <w:sz w:val="20"/>
          <w:szCs w:val="20"/>
        </w:rPr>
        <w:t>,</w:t>
      </w:r>
      <w:r w:rsidRPr="00332D9D">
        <w:rPr>
          <w:sz w:val="20"/>
          <w:lang w:val="en-GB"/>
        </w:rPr>
        <w:t xml:space="preserve"> </w:t>
      </w:r>
      <w:r w:rsidRPr="00D03A5A">
        <w:rPr>
          <w:sz w:val="20"/>
          <w:lang w:val="en-GB"/>
        </w:rPr>
        <w:t>as opposed to 50 thousand in 2012.</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lastRenderedPageBreak/>
        <w:t xml:space="preserve">Since 2009, in order to perform their authorities, the civil servants of public administration </w:t>
      </w:r>
      <w:r w:rsidRPr="00332D9D">
        <w:rPr>
          <w:sz w:val="20"/>
          <w:lang w:val="en-GB"/>
        </w:rPr>
        <w:t>may use the non-public interface of the Czech POINT system at their workplaces, the</w:t>
      </w:r>
      <w:r>
        <w:rPr>
          <w:color w:val="FF0000"/>
          <w:sz w:val="20"/>
          <w:lang w:val="en-GB"/>
        </w:rPr>
        <w:t xml:space="preserve"> </w:t>
      </w:r>
      <w:r w:rsidRPr="00D03A5A">
        <w:rPr>
          <w:sz w:val="20"/>
          <w:lang w:val="en-GB"/>
        </w:rPr>
        <w:t xml:space="preserve">so called </w:t>
      </w:r>
      <w:r w:rsidRPr="00D03A5A">
        <w:rPr>
          <w:b/>
          <w:sz w:val="20"/>
          <w:lang w:val="en-GB"/>
        </w:rPr>
        <w:t>Czech Point@office</w:t>
      </w:r>
      <w:r w:rsidRPr="00D03A5A">
        <w:rPr>
          <w:sz w:val="20"/>
          <w:lang w:val="en-GB"/>
        </w:rPr>
        <w:t>, where they may independently find information, verify, and submit claims within</w:t>
      </w:r>
      <w:r w:rsidRPr="00D03A5A">
        <w:rPr>
          <w:b/>
          <w:sz w:val="20"/>
          <w:lang w:val="en-GB"/>
        </w:rPr>
        <w:t xml:space="preserve"> </w:t>
      </w:r>
      <w:r w:rsidRPr="00D03A5A">
        <w:rPr>
          <w:sz w:val="20"/>
          <w:lang w:val="en-GB"/>
        </w:rPr>
        <w:t>the</w:t>
      </w:r>
      <w:r w:rsidRPr="00D03A5A">
        <w:rPr>
          <w:b/>
          <w:sz w:val="20"/>
          <w:lang w:val="en-GB"/>
        </w:rPr>
        <w:t xml:space="preserve"> </w:t>
      </w:r>
      <w:r w:rsidRPr="00D03A5A">
        <w:rPr>
          <w:sz w:val="20"/>
          <w:lang w:val="en-GB"/>
        </w:rPr>
        <w:t>eGovernment.</w:t>
      </w:r>
      <w:r w:rsidRPr="00D03A5A">
        <w:rPr>
          <w:b/>
          <w:sz w:val="20"/>
          <w:lang w:val="en-GB"/>
        </w:rPr>
        <w:t xml:space="preserve"> </w:t>
      </w:r>
      <w:r w:rsidRPr="00D03A5A">
        <w:rPr>
          <w:sz w:val="20"/>
          <w:lang w:val="en-GB"/>
        </w:rPr>
        <w:t>In</w:t>
      </w:r>
      <w:r>
        <w:rPr>
          <w:sz w:val="20"/>
          <w:lang w:val="en-GB"/>
        </w:rPr>
        <w:t> </w:t>
      </w:r>
      <w:r w:rsidRPr="00D03A5A">
        <w:rPr>
          <w:sz w:val="20"/>
          <w:lang w:val="en-GB"/>
        </w:rPr>
        <w:t xml:space="preserve">2017, civil servants of public administration used this option for the authorised conversion of documents, records of registers, registration offices or courts, or for the copies of an entry in fundamental registers, in total for 6.3 million </w:t>
      </w:r>
      <w:r w:rsidRPr="00D03A5A">
        <w:rPr>
          <w:b/>
          <w:sz w:val="20"/>
          <w:lang w:val="en-GB"/>
        </w:rPr>
        <w:t>outputs</w:t>
      </w:r>
      <w:r w:rsidRPr="00D03A5A">
        <w:rPr>
          <w:sz w:val="20"/>
          <w:lang w:val="en-GB"/>
        </w:rPr>
        <w:t xml:space="preserve">. </w:t>
      </w:r>
    </w:p>
    <w:p w:rsidR="0026358E" w:rsidRPr="00D03A5A" w:rsidRDefault="0026358E" w:rsidP="0026358E">
      <w:pPr>
        <w:pStyle w:val="Zkladntext"/>
        <w:numPr>
          <w:ilvl w:val="0"/>
          <w:numId w:val="15"/>
        </w:numPr>
        <w:spacing w:before="0" w:after="80" w:line="264" w:lineRule="auto"/>
        <w:ind w:left="284" w:hanging="284"/>
        <w:rPr>
          <w:sz w:val="20"/>
          <w:lang w:val="en-GB"/>
        </w:rPr>
      </w:pPr>
      <w:r w:rsidRPr="00061547">
        <w:rPr>
          <w:sz w:val="20"/>
          <w:lang w:val="en-GB"/>
        </w:rPr>
        <w:t xml:space="preserve">Mainly non-public service was </w:t>
      </w:r>
      <w:r w:rsidRPr="00D03A5A">
        <w:rPr>
          <w:sz w:val="20"/>
          <w:lang w:val="en-GB"/>
        </w:rPr>
        <w:t>provided by means of the interface (application) CzechPoint@office</w:t>
      </w:r>
      <w:r w:rsidRPr="005860C6">
        <w:rPr>
          <w:sz w:val="20"/>
          <w:szCs w:val="20"/>
        </w:rPr>
        <w:t>,</w:t>
      </w:r>
      <w:r w:rsidRPr="00D03A5A">
        <w:rPr>
          <w:sz w:val="20"/>
          <w:lang w:val="en-GB"/>
        </w:rPr>
        <w:t xml:space="preserve"> used for the conversion of documents from the electronic form to the paper on</w:t>
      </w:r>
      <w:r w:rsidRPr="00061547">
        <w:rPr>
          <w:sz w:val="20"/>
          <w:lang w:val="en-GB"/>
        </w:rPr>
        <w:t>e</w:t>
      </w:r>
      <w:r w:rsidRPr="00061547">
        <w:rPr>
          <w:sz w:val="20"/>
          <w:szCs w:val="20"/>
        </w:rPr>
        <w:t>,</w:t>
      </w:r>
      <w:r w:rsidRPr="00061547">
        <w:rPr>
          <w:sz w:val="20"/>
          <w:lang w:val="en-GB"/>
        </w:rPr>
        <w:t xml:space="preserve"> </w:t>
      </w:r>
      <w:r w:rsidRPr="00D03A5A">
        <w:rPr>
          <w:sz w:val="20"/>
          <w:lang w:val="en-GB"/>
        </w:rPr>
        <w:t>and vice versa. In 2017, 5</w:t>
      </w:r>
      <w:r>
        <w:rPr>
          <w:sz w:val="20"/>
          <w:lang w:val="en-GB"/>
        </w:rPr>
        <w:t> </w:t>
      </w:r>
      <w:r w:rsidRPr="00D03A5A">
        <w:rPr>
          <w:sz w:val="20"/>
          <w:lang w:val="en-GB"/>
        </w:rPr>
        <w:t xml:space="preserve">million such </w:t>
      </w:r>
      <w:r w:rsidRPr="00D03A5A">
        <w:rPr>
          <w:b/>
          <w:sz w:val="20"/>
          <w:lang w:val="en-GB"/>
        </w:rPr>
        <w:t>authorised conversions</w:t>
      </w:r>
      <w:r w:rsidRPr="00D03A5A">
        <w:rPr>
          <w:sz w:val="20"/>
          <w:lang w:val="en-GB"/>
        </w:rPr>
        <w:t xml:space="preserve"> were performed. </w:t>
      </w:r>
    </w:p>
    <w:p w:rsidR="0026358E" w:rsidRDefault="0026358E" w:rsidP="0026358E">
      <w:pPr>
        <w:pStyle w:val="Titulek"/>
        <w:keepNext/>
        <w:spacing w:after="0"/>
        <w:jc w:val="both"/>
        <w:rPr>
          <w:lang w:val="en-GB"/>
        </w:rPr>
        <w:sectPr w:rsidR="0026358E" w:rsidSect="008B77B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418" w:left="1134" w:header="680" w:footer="680" w:gutter="0"/>
          <w:pgNumType w:start="74"/>
          <w:cols w:space="708"/>
          <w:docGrid w:linePitch="360"/>
        </w:sectPr>
      </w:pPr>
    </w:p>
    <w:p w:rsidR="0026358E" w:rsidRDefault="0026358E" w:rsidP="0026358E">
      <w:pPr>
        <w:pStyle w:val="Zkladntext"/>
        <w:spacing w:before="0" w:after="100" w:line="264" w:lineRule="auto"/>
      </w:pPr>
      <w:r w:rsidRPr="00D03A5A">
        <w:rPr>
          <w:noProof/>
        </w:rPr>
        <w:drawing>
          <wp:inline distT="0" distB="0" distL="0" distR="0" wp14:anchorId="3A61A04E" wp14:editId="4E4FB1E4">
            <wp:extent cx="3024000" cy="2880000"/>
            <wp:effectExtent l="0" t="0" r="5080" b="0"/>
            <wp:docPr id="192" name="Graf 192">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03A5A">
        <w:rPr>
          <w:lang w:val="en-GB"/>
        </w:rPr>
        <w:t xml:space="preserve"> </w:t>
      </w:r>
    </w:p>
    <w:p w:rsidR="0026358E" w:rsidRPr="00D03A5A" w:rsidRDefault="0026358E" w:rsidP="0026358E">
      <w:pPr>
        <w:pStyle w:val="Zkladntext"/>
        <w:spacing w:before="0" w:after="100" w:line="264" w:lineRule="auto"/>
        <w:rPr>
          <w:color w:val="00B050"/>
          <w:sz w:val="20"/>
          <w:lang w:val="en-GB"/>
        </w:rPr>
      </w:pPr>
      <w:r w:rsidRPr="00D03A5A">
        <w:rPr>
          <w:noProof/>
        </w:rPr>
        <w:drawing>
          <wp:inline distT="0" distB="0" distL="0" distR="0" wp14:anchorId="626864B2" wp14:editId="59EBFDF1">
            <wp:extent cx="3024000" cy="2880000"/>
            <wp:effectExtent l="0" t="0" r="5080" b="0"/>
            <wp:docPr id="193" name="Graf 19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358E" w:rsidRDefault="0026358E" w:rsidP="0026358E">
      <w:pPr>
        <w:pStyle w:val="Zkladntext"/>
        <w:spacing w:before="0" w:after="80" w:line="264" w:lineRule="auto"/>
        <w:ind w:left="284"/>
        <w:rPr>
          <w:sz w:val="20"/>
          <w:lang w:val="en-GB"/>
        </w:rPr>
        <w:sectPr w:rsidR="0026358E" w:rsidSect="007B46EA">
          <w:type w:val="continuous"/>
          <w:pgSz w:w="11906" w:h="16838" w:code="9"/>
          <w:pgMar w:top="1134" w:right="1134" w:bottom="1418" w:left="1134" w:header="680" w:footer="680" w:gutter="0"/>
          <w:cols w:num="2" w:space="282"/>
          <w:docGrid w:linePitch="360"/>
        </w:sectPr>
      </w:pPr>
    </w:p>
    <w:p w:rsidR="0026358E" w:rsidRPr="00D03A5A" w:rsidRDefault="0026358E" w:rsidP="0026358E">
      <w:pPr>
        <w:pStyle w:val="Zkladntext"/>
        <w:numPr>
          <w:ilvl w:val="0"/>
          <w:numId w:val="15"/>
        </w:numPr>
        <w:tabs>
          <w:tab w:val="clear" w:pos="360"/>
          <w:tab w:val="num" w:pos="284"/>
        </w:tabs>
        <w:spacing w:before="0" w:after="80" w:line="264" w:lineRule="auto"/>
        <w:ind w:left="284" w:hanging="284"/>
        <w:rPr>
          <w:sz w:val="20"/>
          <w:lang w:val="en-GB"/>
        </w:rPr>
      </w:pPr>
      <w:r w:rsidRPr="00D03A5A">
        <w:rPr>
          <w:sz w:val="20"/>
          <w:lang w:val="en-GB"/>
        </w:rPr>
        <w:t>This service is less frequently used for</w:t>
      </w:r>
      <w:r w:rsidRPr="00061547">
        <w:rPr>
          <w:sz w:val="20"/>
          <w:szCs w:val="20"/>
        </w:rPr>
        <w:t>,</w:t>
      </w:r>
      <w:r w:rsidRPr="00D03A5A">
        <w:rPr>
          <w:sz w:val="20"/>
          <w:lang w:val="en-GB"/>
        </w:rPr>
        <w:t xml:space="preserve"> so called</w:t>
      </w:r>
      <w:r w:rsidRPr="00061547">
        <w:rPr>
          <w:sz w:val="20"/>
          <w:szCs w:val="20"/>
        </w:rPr>
        <w:t>,</w:t>
      </w:r>
      <w:r w:rsidRPr="00061547">
        <w:rPr>
          <w:sz w:val="20"/>
          <w:lang w:val="en-GB"/>
        </w:rPr>
        <w:t xml:space="preserve"> </w:t>
      </w:r>
      <w:r w:rsidRPr="00D03A5A">
        <w:rPr>
          <w:b/>
          <w:sz w:val="20"/>
          <w:lang w:val="en-GB"/>
        </w:rPr>
        <w:t>official records</w:t>
      </w:r>
      <w:r w:rsidRPr="00D03A5A">
        <w:rPr>
          <w:sz w:val="20"/>
          <w:lang w:val="en-GB"/>
        </w:rPr>
        <w:t xml:space="preserve"> of selected administrative tasks.</w:t>
      </w:r>
      <w:r w:rsidRPr="00D03A5A">
        <w:rPr>
          <w:b/>
          <w:sz w:val="20"/>
          <w:lang w:val="en-GB"/>
        </w:rPr>
        <w:t xml:space="preserve"> </w:t>
      </w:r>
      <w:r w:rsidRPr="00D03A5A">
        <w:rPr>
          <w:sz w:val="20"/>
          <w:lang w:val="en-GB"/>
        </w:rPr>
        <w:t>In 2017, civil servants used this option nearly in a million cases</w:t>
      </w:r>
      <w:r w:rsidRPr="00061547">
        <w:rPr>
          <w:sz w:val="20"/>
          <w:szCs w:val="20"/>
        </w:rPr>
        <w:t>,</w:t>
      </w:r>
      <w:r w:rsidRPr="00D03A5A">
        <w:rPr>
          <w:sz w:val="20"/>
          <w:lang w:val="en-GB"/>
        </w:rPr>
        <w:t xml:space="preserve"> total. These were most frequently the official records within the scope of </w:t>
      </w:r>
      <w:r w:rsidRPr="00D03A5A">
        <w:rPr>
          <w:b/>
          <w:sz w:val="20"/>
          <w:lang w:val="en-GB"/>
        </w:rPr>
        <w:t>administrative duties of registers</w:t>
      </w:r>
      <w:r w:rsidRPr="00D03A5A">
        <w:rPr>
          <w:sz w:val="20"/>
          <w:lang w:val="en-GB"/>
        </w:rPr>
        <w:t xml:space="preserve"> (records of data concerning birth, decease, matrimony, and registered partnership)</w:t>
      </w:r>
      <w:r w:rsidRPr="00061547">
        <w:rPr>
          <w:sz w:val="20"/>
          <w:szCs w:val="20"/>
        </w:rPr>
        <w:t>,</w:t>
      </w:r>
      <w:r w:rsidRPr="00061547">
        <w:rPr>
          <w:sz w:val="20"/>
          <w:lang w:val="en-GB"/>
        </w:rPr>
        <w:t xml:space="preserve"> </w:t>
      </w:r>
      <w:r w:rsidRPr="00D03A5A">
        <w:rPr>
          <w:sz w:val="20"/>
          <w:lang w:val="en-GB"/>
        </w:rPr>
        <w:t xml:space="preserve">and within the scope of </w:t>
      </w:r>
      <w:r w:rsidRPr="00D03A5A">
        <w:rPr>
          <w:b/>
          <w:sz w:val="20"/>
          <w:lang w:val="en-GB"/>
        </w:rPr>
        <w:t>administrative duties of registration offices</w:t>
      </w:r>
      <w:r w:rsidRPr="00D03A5A">
        <w:rPr>
          <w:sz w:val="20"/>
          <w:lang w:val="en-GB"/>
        </w:rPr>
        <w:t xml:space="preserve"> (records of mailing address and addresses of permanent residence). With respect to both these administrative duties, the civil servants used this </w:t>
      </w:r>
      <w:r w:rsidRPr="00061547">
        <w:rPr>
          <w:sz w:val="20"/>
          <w:lang w:val="en-GB"/>
        </w:rPr>
        <w:t>option</w:t>
      </w:r>
      <w:r w:rsidRPr="00061547">
        <w:rPr>
          <w:sz w:val="20"/>
          <w:szCs w:val="20"/>
        </w:rPr>
        <w:t>,</w:t>
      </w:r>
      <w:r w:rsidRPr="00061547">
        <w:rPr>
          <w:sz w:val="20"/>
          <w:lang w:val="en-GB"/>
        </w:rPr>
        <w:t xml:space="preserve"> in 2017</w:t>
      </w:r>
      <w:r w:rsidRPr="00061547">
        <w:rPr>
          <w:sz w:val="20"/>
          <w:szCs w:val="20"/>
        </w:rPr>
        <w:t>,</w:t>
      </w:r>
      <w:r w:rsidRPr="00061547">
        <w:rPr>
          <w:sz w:val="20"/>
          <w:lang w:val="en-GB"/>
        </w:rPr>
        <w:t xml:space="preserve"> in </w:t>
      </w:r>
      <w:r w:rsidRPr="00D03A5A">
        <w:rPr>
          <w:sz w:val="20"/>
          <w:lang w:val="en-GB"/>
        </w:rPr>
        <w:t xml:space="preserve">over 400 thousand cases. This option is also less frequently used within the scope of </w:t>
      </w:r>
      <w:r w:rsidRPr="00D03A5A">
        <w:rPr>
          <w:b/>
          <w:sz w:val="20"/>
          <w:lang w:val="en-GB"/>
        </w:rPr>
        <w:t>administrative duties of courts</w:t>
      </w:r>
      <w:r w:rsidRPr="00061547">
        <w:rPr>
          <w:sz w:val="20"/>
          <w:szCs w:val="20"/>
        </w:rPr>
        <w:t>,</w:t>
      </w:r>
      <w:r w:rsidRPr="00D03A5A">
        <w:rPr>
          <w:sz w:val="20"/>
          <w:lang w:val="en-GB"/>
        </w:rPr>
        <w:t xml:space="preserve"> for the records of invalidity, divorce, non-existence of matrimony or a registered partnership, and the limitation of legal capacity or incapacitation.</w:t>
      </w:r>
    </w:p>
    <w:p w:rsidR="0026358E" w:rsidRDefault="0026358E" w:rsidP="0026358E">
      <w:pPr>
        <w:pStyle w:val="Zkladntext"/>
        <w:numPr>
          <w:ilvl w:val="0"/>
          <w:numId w:val="15"/>
        </w:numPr>
        <w:tabs>
          <w:tab w:val="clear" w:pos="360"/>
          <w:tab w:val="num" w:pos="284"/>
        </w:tabs>
        <w:spacing w:before="0" w:after="80" w:line="264" w:lineRule="auto"/>
        <w:ind w:left="284" w:hanging="284"/>
        <w:rPr>
          <w:sz w:val="20"/>
          <w:lang w:val="en-GB"/>
        </w:rPr>
      </w:pPr>
      <w:r w:rsidRPr="00D03A5A">
        <w:rPr>
          <w:sz w:val="20"/>
          <w:lang w:val="en-GB"/>
        </w:rPr>
        <w:t xml:space="preserve">Since 2012, the newest Czech POINT system interface has been the web application </w:t>
      </w:r>
      <w:r w:rsidRPr="00D03A5A">
        <w:rPr>
          <w:b/>
          <w:sz w:val="20"/>
          <w:lang w:val="en-GB"/>
        </w:rPr>
        <w:t xml:space="preserve">CzechPOINT@home, </w:t>
      </w:r>
      <w:r w:rsidRPr="00061547">
        <w:rPr>
          <w:b/>
          <w:sz w:val="20"/>
          <w:lang w:val="en-GB"/>
        </w:rPr>
        <w:t xml:space="preserve">an </w:t>
      </w:r>
      <w:r w:rsidRPr="00D03A5A">
        <w:rPr>
          <w:b/>
          <w:sz w:val="20"/>
          <w:lang w:val="en-GB"/>
        </w:rPr>
        <w:t xml:space="preserve">internet contact point </w:t>
      </w:r>
      <w:r w:rsidRPr="00D03A5A">
        <w:rPr>
          <w:sz w:val="20"/>
          <w:lang w:val="en-GB"/>
        </w:rPr>
        <w:t>designated for citizens owning a Data Box</w:t>
      </w:r>
      <w:r w:rsidRPr="005860C6">
        <w:rPr>
          <w:sz w:val="20"/>
          <w:szCs w:val="20"/>
        </w:rPr>
        <w:t>,</w:t>
      </w:r>
      <w:r w:rsidRPr="00D03A5A">
        <w:rPr>
          <w:sz w:val="20"/>
          <w:lang w:val="en-GB"/>
        </w:rPr>
        <w:t xml:space="preserve"> who may remotely obtain certain copies of an entry in</w:t>
      </w:r>
      <w:r w:rsidRPr="00D03A5A">
        <w:rPr>
          <w:b/>
          <w:sz w:val="20"/>
          <w:lang w:val="en-GB"/>
        </w:rPr>
        <w:t xml:space="preserve"> </w:t>
      </w:r>
      <w:r w:rsidRPr="00061547">
        <w:rPr>
          <w:sz w:val="20"/>
          <w:lang w:val="en-GB"/>
        </w:rPr>
        <w:t>public</w:t>
      </w:r>
      <w:r w:rsidRPr="00061547">
        <w:rPr>
          <w:sz w:val="20"/>
          <w:szCs w:val="20"/>
        </w:rPr>
        <w:t>,</w:t>
      </w:r>
      <w:r w:rsidRPr="00D03A5A">
        <w:rPr>
          <w:b/>
          <w:sz w:val="20"/>
          <w:lang w:val="en-GB"/>
        </w:rPr>
        <w:t xml:space="preserve"> </w:t>
      </w:r>
      <w:r w:rsidRPr="00D03A5A">
        <w:rPr>
          <w:sz w:val="20"/>
          <w:lang w:val="en-GB"/>
        </w:rPr>
        <w:t>and non-public register</w:t>
      </w:r>
      <w:r w:rsidRPr="00061547">
        <w:rPr>
          <w:sz w:val="20"/>
          <w:szCs w:val="20"/>
        </w:rPr>
        <w:t>,</w:t>
      </w:r>
      <w:r w:rsidRPr="00061547">
        <w:rPr>
          <w:sz w:val="20"/>
          <w:lang w:val="en-GB"/>
        </w:rPr>
        <w:t xml:space="preserve"> in order </w:t>
      </w:r>
      <w:r w:rsidRPr="00D03A5A">
        <w:rPr>
          <w:sz w:val="20"/>
          <w:lang w:val="en-GB"/>
        </w:rPr>
        <w:t xml:space="preserve">to their data box by means of forms located within this </w:t>
      </w:r>
      <w:r w:rsidRPr="00061547">
        <w:rPr>
          <w:sz w:val="20"/>
          <w:lang w:val="en-GB"/>
        </w:rPr>
        <w:t>interface</w:t>
      </w:r>
      <w:r w:rsidRPr="00061547">
        <w:rPr>
          <w:sz w:val="20"/>
          <w:szCs w:val="20"/>
        </w:rPr>
        <w:t>,</w:t>
      </w:r>
      <w:r w:rsidRPr="00061547">
        <w:rPr>
          <w:b/>
          <w:sz w:val="20"/>
          <w:lang w:val="en-GB"/>
        </w:rPr>
        <w:t xml:space="preserve"> </w:t>
      </w:r>
      <w:r w:rsidRPr="00D03A5A">
        <w:rPr>
          <w:sz w:val="20"/>
          <w:lang w:val="en-GB"/>
        </w:rPr>
        <w:t xml:space="preserve">without having to go to the “bricks-and-mortar” Czech POINT contact point. In 2017, our citizens requested a total of 14.1 thousand </w:t>
      </w:r>
      <w:r w:rsidRPr="00061547">
        <w:rPr>
          <w:sz w:val="20"/>
          <w:lang w:val="en-GB"/>
        </w:rPr>
        <w:t>outputs</w:t>
      </w:r>
      <w:r w:rsidRPr="00061547">
        <w:rPr>
          <w:sz w:val="20"/>
          <w:szCs w:val="20"/>
        </w:rPr>
        <w:t>,</w:t>
      </w:r>
      <w:r w:rsidRPr="00D03A5A">
        <w:rPr>
          <w:sz w:val="20"/>
          <w:lang w:val="en-GB"/>
        </w:rPr>
        <w:t xml:space="preserve"> by means of this interface</w:t>
      </w:r>
      <w:r w:rsidRPr="005860C6">
        <w:rPr>
          <w:sz w:val="20"/>
          <w:szCs w:val="20"/>
        </w:rPr>
        <w:t>,</w:t>
      </w:r>
      <w:r>
        <w:rPr>
          <w:color w:val="FF0000"/>
          <w:sz w:val="20"/>
          <w:szCs w:val="20"/>
        </w:rPr>
        <w:t xml:space="preserve"> </w:t>
      </w:r>
      <w:r w:rsidRPr="00D03A5A">
        <w:rPr>
          <w:sz w:val="20"/>
          <w:lang w:val="en-GB"/>
        </w:rPr>
        <w:t>their computers or mobile phones. These mainly included the copies of an entry in the Penalty Point System concerning drivers (5.4 thousand copies</w:t>
      </w:r>
      <w:r w:rsidRPr="00061547">
        <w:rPr>
          <w:sz w:val="20"/>
          <w:lang w:val="en-GB"/>
        </w:rPr>
        <w:t>)</w:t>
      </w:r>
      <w:r w:rsidRPr="00061547">
        <w:rPr>
          <w:sz w:val="20"/>
          <w:szCs w:val="20"/>
        </w:rPr>
        <w:t>,</w:t>
      </w:r>
      <w:r w:rsidRPr="00061547">
        <w:rPr>
          <w:sz w:val="20"/>
          <w:lang w:val="en-GB"/>
        </w:rPr>
        <w:t xml:space="preserve"> </w:t>
      </w:r>
      <w:r w:rsidRPr="00D03A5A">
        <w:rPr>
          <w:sz w:val="20"/>
          <w:lang w:val="en-GB"/>
        </w:rPr>
        <w:t>and in Criminal Records (4.6 thousand).</w:t>
      </w:r>
    </w:p>
    <w:p w:rsidR="0026358E" w:rsidRDefault="0026358E" w:rsidP="0026358E">
      <w:pPr>
        <w:spacing w:after="0" w:line="240" w:lineRule="auto"/>
        <w:rPr>
          <w:rFonts w:eastAsia="MS Gothic"/>
          <w:b/>
          <w:bCs/>
          <w:color w:val="009BB4"/>
          <w:sz w:val="28"/>
          <w:szCs w:val="26"/>
        </w:rPr>
      </w:pPr>
      <w:r>
        <w:br w:type="page"/>
      </w:r>
    </w:p>
    <w:p w:rsidR="0026358E" w:rsidRPr="00F8362B" w:rsidRDefault="0026358E" w:rsidP="002875D6">
      <w:pPr>
        <w:pStyle w:val="Nadpis2"/>
        <w:spacing w:before="0"/>
      </w:pPr>
      <w:bookmarkStart w:id="6" w:name="_Toc533697543"/>
      <w:bookmarkStart w:id="7" w:name="_Toc534712042"/>
      <w:r w:rsidRPr="002937D1">
        <w:lastRenderedPageBreak/>
        <w:t xml:space="preserve">E.2 </w:t>
      </w:r>
      <w:r>
        <w:t xml:space="preserve">Use of </w:t>
      </w:r>
      <w:r w:rsidRPr="002937D1">
        <w:t>Data Boxes</w:t>
      </w:r>
      <w:r>
        <w:t xml:space="preserve"> for C</w:t>
      </w:r>
      <w:r w:rsidRPr="002C13E0">
        <w:t xml:space="preserve">ommunication with </w:t>
      </w:r>
      <w:r>
        <w:t>P</w:t>
      </w:r>
      <w:r w:rsidRPr="002C13E0">
        <w:t xml:space="preserve">ublic </w:t>
      </w:r>
      <w:r>
        <w:t>A</w:t>
      </w:r>
      <w:r w:rsidRPr="002C13E0">
        <w:t>uthorities</w:t>
      </w:r>
      <w:bookmarkEnd w:id="6"/>
      <w:bookmarkEnd w:id="7"/>
    </w:p>
    <w:p w:rsidR="0026358E" w:rsidRPr="000F280C" w:rsidRDefault="0026358E" w:rsidP="0026358E">
      <w:pPr>
        <w:pStyle w:val="Zkladntext"/>
        <w:spacing w:before="0" w:after="80" w:line="264" w:lineRule="auto"/>
        <w:rPr>
          <w:i/>
          <w:sz w:val="20"/>
          <w:lang w:val="en-GB"/>
        </w:rPr>
      </w:pPr>
      <w:r w:rsidRPr="00DE7433">
        <w:rPr>
          <w:i/>
          <w:sz w:val="20"/>
          <w:lang w:val="en-GB"/>
        </w:rPr>
        <w:t>Since the launching of D</w:t>
      </w:r>
      <w:r w:rsidRPr="000F280C">
        <w:rPr>
          <w:i/>
          <w:sz w:val="20"/>
          <w:lang w:val="en-GB"/>
        </w:rPr>
        <w:t xml:space="preserve">ata </w:t>
      </w:r>
      <w:r w:rsidRPr="00DE7433">
        <w:rPr>
          <w:i/>
          <w:sz w:val="20"/>
          <w:lang w:val="en-GB"/>
        </w:rPr>
        <w:t>Boxes</w:t>
      </w:r>
      <w:r w:rsidRPr="00DE7433">
        <w:rPr>
          <w:i/>
          <w:sz w:val="20"/>
          <w:szCs w:val="20"/>
        </w:rPr>
        <w:t>,</w:t>
      </w:r>
      <w:r w:rsidRPr="00DE7433">
        <w:rPr>
          <w:i/>
          <w:sz w:val="20"/>
          <w:lang w:val="en-GB"/>
        </w:rPr>
        <w:t xml:space="preserve"> in the 2nd half </w:t>
      </w:r>
      <w:r w:rsidRPr="000F280C">
        <w:rPr>
          <w:i/>
          <w:sz w:val="20"/>
          <w:lang w:val="en-GB"/>
        </w:rPr>
        <w:t>of 2009, Data Boxes represent a new standard for the delivery of official documents. Data Boxes are a communication tool guaranteed by the state</w:t>
      </w:r>
      <w:r w:rsidRPr="00DE7433">
        <w:rPr>
          <w:i/>
          <w:sz w:val="20"/>
          <w:szCs w:val="20"/>
        </w:rPr>
        <w:t>,</w:t>
      </w:r>
      <w:r w:rsidRPr="000F280C">
        <w:rPr>
          <w:i/>
          <w:sz w:val="20"/>
          <w:lang w:val="en-GB"/>
        </w:rPr>
        <w:t xml:space="preserve"> replacing the classic registered delivery of letters, and serving mainly </w:t>
      </w:r>
      <w:r w:rsidRPr="00DE7433">
        <w:rPr>
          <w:i/>
          <w:sz w:val="20"/>
          <w:lang w:val="en-GB"/>
        </w:rPr>
        <w:t xml:space="preserve">as a means of </w:t>
      </w:r>
      <w:r w:rsidRPr="000F280C">
        <w:rPr>
          <w:i/>
          <w:sz w:val="20"/>
          <w:lang w:val="en-GB"/>
        </w:rPr>
        <w:t xml:space="preserve">communication with public authorities. Therefore, </w:t>
      </w:r>
      <w:r w:rsidRPr="00DE7433">
        <w:rPr>
          <w:i/>
          <w:sz w:val="20"/>
          <w:lang w:val="en-GB"/>
        </w:rPr>
        <w:t xml:space="preserve">through </w:t>
      </w:r>
      <w:r w:rsidRPr="000F280C">
        <w:rPr>
          <w:i/>
          <w:sz w:val="20"/>
          <w:lang w:val="en-GB"/>
        </w:rPr>
        <w:t xml:space="preserve">Data Boxes you may send documents to public authorities </w:t>
      </w:r>
      <w:r w:rsidRPr="00DE7433">
        <w:rPr>
          <w:i/>
          <w:sz w:val="20"/>
          <w:lang w:val="en-GB"/>
        </w:rPr>
        <w:t>electronically</w:t>
      </w:r>
      <w:r w:rsidRPr="00DE7433">
        <w:rPr>
          <w:i/>
          <w:sz w:val="20"/>
          <w:szCs w:val="20"/>
        </w:rPr>
        <w:t>,</w:t>
      </w:r>
      <w:r w:rsidRPr="000F280C">
        <w:rPr>
          <w:i/>
          <w:sz w:val="20"/>
          <w:lang w:val="en-GB"/>
        </w:rPr>
        <w:t xml:space="preserve"> and also obtain documents from them the same way</w:t>
      </w:r>
      <w:r w:rsidRPr="000F280C">
        <w:rPr>
          <w:rStyle w:val="Znakapoznpodarou"/>
          <w:i/>
          <w:sz w:val="20"/>
          <w:lang w:val="en-GB"/>
        </w:rPr>
        <w:footnoteReference w:id="5"/>
      </w:r>
      <w:r>
        <w:rPr>
          <w:i/>
          <w:sz w:val="20"/>
          <w:lang w:val="en-GB"/>
        </w:rPr>
        <w:t>.</w:t>
      </w:r>
      <w:r w:rsidRPr="000F280C">
        <w:rPr>
          <w:i/>
          <w:sz w:val="20"/>
          <w:lang w:val="en-GB"/>
        </w:rPr>
        <w:t xml:space="preserve"> </w:t>
      </w:r>
    </w:p>
    <w:p w:rsidR="0026358E" w:rsidRPr="00D03A5A" w:rsidRDefault="0026358E" w:rsidP="0026358E">
      <w:pPr>
        <w:numPr>
          <w:ilvl w:val="0"/>
          <w:numId w:val="15"/>
        </w:numPr>
        <w:tabs>
          <w:tab w:val="clear" w:pos="360"/>
          <w:tab w:val="num" w:pos="284"/>
        </w:tabs>
        <w:autoSpaceDE w:val="0"/>
        <w:autoSpaceDN w:val="0"/>
        <w:adjustRightInd w:val="0"/>
        <w:spacing w:after="80" w:line="264" w:lineRule="auto"/>
        <w:ind w:left="284" w:hanging="284"/>
        <w:jc w:val="both"/>
      </w:pPr>
      <w:r w:rsidRPr="00D03A5A">
        <w:t xml:space="preserve">Up to </w:t>
      </w:r>
      <w:r w:rsidRPr="00DE7433">
        <w:t>the 31</w:t>
      </w:r>
      <w:r w:rsidRPr="00DE7433">
        <w:rPr>
          <w:vertAlign w:val="superscript"/>
        </w:rPr>
        <w:t>st</w:t>
      </w:r>
      <w:r w:rsidRPr="00DE7433">
        <w:t xml:space="preserve"> of December</w:t>
      </w:r>
      <w:r w:rsidRPr="000F280C">
        <w:rPr>
          <w:color w:val="FF0000"/>
        </w:rPr>
        <w:t xml:space="preserve"> </w:t>
      </w:r>
      <w:r w:rsidRPr="00D03A5A">
        <w:t xml:space="preserve">2017, 861 thousand Data Boxes </w:t>
      </w:r>
      <w:r w:rsidRPr="00DE7433">
        <w:t>total</w:t>
      </w:r>
      <w:r w:rsidRPr="000F280C">
        <w:rPr>
          <w:color w:val="FF0000"/>
        </w:rPr>
        <w:t xml:space="preserve"> </w:t>
      </w:r>
      <w:r w:rsidRPr="00D03A5A">
        <w:t>were established in the Czech Republic. A large part of them (361 thousand) was established already in 2009, i.e. during the f</w:t>
      </w:r>
      <w:r>
        <w:t xml:space="preserve">irst year of the operation of </w:t>
      </w:r>
      <w:r w:rsidRPr="00DE7433">
        <w:t>this</w:t>
      </w:r>
      <w:r w:rsidRPr="000F280C">
        <w:rPr>
          <w:color w:val="FF0000"/>
        </w:rPr>
        <w:t xml:space="preserve"> </w:t>
      </w:r>
      <w:r w:rsidRPr="00D03A5A">
        <w:t xml:space="preserve">service, as it was stipulated by law to all public authorities and legal entities recorded in the Commercial Register. In the following years, the number of voluntary requests </w:t>
      </w:r>
      <w:r w:rsidRPr="00DE7433">
        <w:t xml:space="preserve">for a </w:t>
      </w:r>
      <w:r w:rsidRPr="00D03A5A">
        <w:t xml:space="preserve">registration of a Data Box has been on the </w:t>
      </w:r>
      <w:r w:rsidRPr="00DE7433">
        <w:t>increase</w:t>
      </w:r>
      <w:r w:rsidRPr="00DE7433">
        <w:rPr>
          <w:szCs w:val="20"/>
        </w:rPr>
        <w:t>,</w:t>
      </w:r>
      <w:r w:rsidRPr="00DE7433">
        <w:t xml:space="preserve"> and </w:t>
      </w:r>
      <w:r w:rsidRPr="00D03A5A">
        <w:t xml:space="preserve">since </w:t>
      </w:r>
      <w:r w:rsidRPr="00DE7433">
        <w:t>2013</w:t>
      </w:r>
      <w:r w:rsidRPr="00DE7433">
        <w:rPr>
          <w:szCs w:val="20"/>
        </w:rPr>
        <w:t>,</w:t>
      </w:r>
      <w:r w:rsidRPr="00D03A5A">
        <w:t xml:space="preserve"> the number of entities establishing a Data Box voluntarily prevails over the ones who do so by law.</w:t>
      </w:r>
    </w:p>
    <w:p w:rsidR="0026358E" w:rsidRPr="00D03A5A" w:rsidRDefault="0026358E" w:rsidP="0026358E">
      <w:pPr>
        <w:numPr>
          <w:ilvl w:val="0"/>
          <w:numId w:val="15"/>
        </w:numPr>
        <w:tabs>
          <w:tab w:val="clear" w:pos="360"/>
          <w:tab w:val="num" w:pos="284"/>
        </w:tabs>
        <w:autoSpaceDE w:val="0"/>
        <w:autoSpaceDN w:val="0"/>
        <w:adjustRightInd w:val="0"/>
        <w:spacing w:after="80" w:line="264" w:lineRule="auto"/>
        <w:ind w:left="284" w:hanging="284"/>
        <w:jc w:val="both"/>
      </w:pPr>
      <w:r w:rsidRPr="00D03A5A">
        <w:t xml:space="preserve">During the course of 2017, 80 thousand new </w:t>
      </w:r>
      <w:r w:rsidRPr="00D03A5A">
        <w:rPr>
          <w:b/>
        </w:rPr>
        <w:t>Data Boxes</w:t>
      </w:r>
      <w:r w:rsidRPr="00D03A5A">
        <w:t xml:space="preserve"> were established in the Czech Republic. A large part of them (56%) was established </w:t>
      </w:r>
      <w:r w:rsidRPr="00D03A5A">
        <w:rPr>
          <w:b/>
        </w:rPr>
        <w:t>upon request</w:t>
      </w:r>
      <w:r w:rsidRPr="00D03A5A">
        <w:t xml:space="preserve">, 44% new data boxes were established </w:t>
      </w:r>
      <w:r w:rsidRPr="00D03A5A">
        <w:rPr>
          <w:b/>
        </w:rPr>
        <w:t>by law</w:t>
      </w:r>
      <w:r w:rsidRPr="00D03A5A">
        <w:t xml:space="preserve">. The majority of </w:t>
      </w:r>
      <w:r w:rsidRPr="00D03A5A">
        <w:rPr>
          <w:b/>
        </w:rPr>
        <w:t>new Data Box</w:t>
      </w:r>
      <w:r w:rsidRPr="00D03A5A">
        <w:t xml:space="preserve"> owners are legal entities or self-employed individuals. In 2017</w:t>
      </w:r>
      <w:r w:rsidRPr="00DE7433">
        <w:rPr>
          <w:szCs w:val="20"/>
        </w:rPr>
        <w:t>,</w:t>
      </w:r>
      <w:r w:rsidRPr="00D03A5A">
        <w:t xml:space="preserve"> there were nearly 23 thousand Data Boxes established for individuals – non-entrepreneurs (citizens).</w:t>
      </w:r>
    </w:p>
    <w:p w:rsidR="0026358E" w:rsidRDefault="0026358E" w:rsidP="0026358E">
      <w:pPr>
        <w:tabs>
          <w:tab w:val="num" w:pos="284"/>
        </w:tabs>
        <w:autoSpaceDE w:val="0"/>
        <w:autoSpaceDN w:val="0"/>
        <w:adjustRightInd w:val="0"/>
        <w:spacing w:after="100" w:line="264" w:lineRule="auto"/>
        <w:jc w:val="both"/>
      </w:pPr>
      <w:r w:rsidRPr="00D03A5A">
        <w:rPr>
          <w:noProof/>
          <w:lang w:val="cs-CZ"/>
        </w:rPr>
        <w:drawing>
          <wp:inline distT="0" distB="0" distL="0" distR="0" wp14:anchorId="4D79FB5D" wp14:editId="5BACFF71">
            <wp:extent cx="3042000" cy="3240000"/>
            <wp:effectExtent l="0" t="0" r="6350" b="0"/>
            <wp:docPr id="194" name="Graf 194">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03A5A">
        <w:rPr>
          <w:noProof/>
        </w:rPr>
        <w:t xml:space="preserve"> </w:t>
      </w:r>
      <w:r w:rsidRPr="00D03A5A">
        <w:rPr>
          <w:noProof/>
          <w:lang w:val="cs-CZ"/>
        </w:rPr>
        <w:drawing>
          <wp:inline distT="0" distB="0" distL="0" distR="0" wp14:anchorId="16D07808" wp14:editId="5699868C">
            <wp:extent cx="3024000" cy="3240000"/>
            <wp:effectExtent l="0" t="0" r="5080" b="0"/>
            <wp:docPr id="195" name="Graf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358E" w:rsidRDefault="0026358E" w:rsidP="0026358E">
      <w:pPr>
        <w:numPr>
          <w:ilvl w:val="0"/>
          <w:numId w:val="15"/>
        </w:numPr>
        <w:tabs>
          <w:tab w:val="clear" w:pos="360"/>
          <w:tab w:val="num" w:pos="284"/>
        </w:tabs>
        <w:autoSpaceDE w:val="0"/>
        <w:autoSpaceDN w:val="0"/>
        <w:adjustRightInd w:val="0"/>
        <w:spacing w:after="80" w:line="264" w:lineRule="auto"/>
        <w:ind w:left="284" w:hanging="284"/>
        <w:jc w:val="both"/>
      </w:pPr>
      <w:r w:rsidRPr="00D03A5A">
        <w:t xml:space="preserve">Year by year, the </w:t>
      </w:r>
      <w:r w:rsidRPr="00D03A5A">
        <w:rPr>
          <w:b/>
        </w:rPr>
        <w:t>number of transactions</w:t>
      </w:r>
      <w:r w:rsidRPr="00D03A5A">
        <w:t xml:space="preserve"> conducted via Data Boxes is increasing. Overall, between the years 2012 and 2017</w:t>
      </w:r>
      <w:r w:rsidRPr="00DE7433">
        <w:rPr>
          <w:szCs w:val="20"/>
        </w:rPr>
        <w:t>,</w:t>
      </w:r>
      <w:r w:rsidRPr="00DE7433">
        <w:t xml:space="preserve"> </w:t>
      </w:r>
      <w:r w:rsidRPr="00D03A5A">
        <w:t>the number of transactions conducted via Data Boxes has nearly doubled, i.e. from 45.4 million in 2012 to 102.8 million in 2017.</w:t>
      </w:r>
      <w:r w:rsidRPr="00D03A5A">
        <w:rPr>
          <w:noProof/>
        </w:rPr>
        <w:t xml:space="preserve"> </w:t>
      </w:r>
    </w:p>
    <w:p w:rsidR="0026358E" w:rsidRPr="002937D1" w:rsidRDefault="0026358E" w:rsidP="009F1FF5">
      <w:pPr>
        <w:numPr>
          <w:ilvl w:val="0"/>
          <w:numId w:val="15"/>
        </w:numPr>
        <w:tabs>
          <w:tab w:val="clear" w:pos="360"/>
          <w:tab w:val="num" w:pos="284"/>
        </w:tabs>
        <w:autoSpaceDE w:val="0"/>
        <w:autoSpaceDN w:val="0"/>
        <w:adjustRightInd w:val="0"/>
        <w:spacing w:after="0" w:line="264" w:lineRule="auto"/>
        <w:ind w:left="284" w:hanging="284"/>
        <w:jc w:val="both"/>
      </w:pPr>
      <w:r w:rsidRPr="00D03A5A">
        <w:t xml:space="preserve">As it may have been expected, most data messages (i.e. conducted transactions) have been sent by </w:t>
      </w:r>
      <w:r w:rsidRPr="00061547">
        <w:rPr>
          <w:b/>
        </w:rPr>
        <w:t>public authorities</w:t>
      </w:r>
      <w:r w:rsidRPr="00D03A5A">
        <w:t xml:space="preserve">, which have the obligation to use Data Boxes for mutual interchange of information. In 2017, over 71 million transactions were conducted. In 2017, legal entities, self-employed individuals, and other entities conducted a total of 31 million transactions, which is not even a half with respect to the volume of transactions conducted by public authorities. This means of communication has been gaining </w:t>
      </w:r>
      <w:r w:rsidRPr="00DE7433">
        <w:lastRenderedPageBreak/>
        <w:t>popularity</w:t>
      </w:r>
      <w:r w:rsidRPr="00DE7433">
        <w:rPr>
          <w:szCs w:val="20"/>
        </w:rPr>
        <w:t>,</w:t>
      </w:r>
      <w:r w:rsidRPr="00D03A5A">
        <w:t xml:space="preserve"> not only with self-employed individuals (in Czech “OSVČ”), but also with individuals – non-entrepreneurs (citizens).</w:t>
      </w:r>
    </w:p>
    <w:p w:rsidR="0026358E" w:rsidRDefault="009F1FF5" w:rsidP="009F1FF5">
      <w:pPr>
        <w:autoSpaceDE w:val="0"/>
        <w:autoSpaceDN w:val="0"/>
        <w:adjustRightInd w:val="0"/>
        <w:spacing w:after="80" w:line="264" w:lineRule="auto"/>
        <w:jc w:val="both"/>
        <w:sectPr w:rsidR="0026358E" w:rsidSect="007B46EA">
          <w:type w:val="continuous"/>
          <w:pgSz w:w="11906" w:h="16838" w:code="9"/>
          <w:pgMar w:top="1134" w:right="1134" w:bottom="1418" w:left="1134" w:header="680" w:footer="680" w:gutter="0"/>
          <w:cols w:space="708"/>
          <w:docGrid w:linePitch="360"/>
        </w:sectPr>
      </w:pPr>
      <w:r w:rsidRPr="00D03A5A">
        <w:rPr>
          <w:noProof/>
          <w:lang w:val="cs-CZ"/>
        </w:rPr>
        <w:drawing>
          <wp:anchor distT="0" distB="0" distL="114300" distR="114300" simplePos="0" relativeHeight="251655680" behindDoc="1" locked="0" layoutInCell="1" allowOverlap="1" wp14:anchorId="1C2D699E" wp14:editId="15399DEE">
            <wp:simplePos x="0" y="0"/>
            <wp:positionH relativeFrom="column">
              <wp:posOffset>1489710</wp:posOffset>
            </wp:positionH>
            <wp:positionV relativeFrom="paragraph">
              <wp:posOffset>833120</wp:posOffset>
            </wp:positionV>
            <wp:extent cx="1819275" cy="1981200"/>
            <wp:effectExtent l="0" t="0" r="0" b="0"/>
            <wp:wrapTight wrapText="bothSides">
              <wp:wrapPolygon edited="0">
                <wp:start x="2488" y="2908"/>
                <wp:lineTo x="2488" y="3531"/>
                <wp:lineTo x="4750" y="6646"/>
                <wp:lineTo x="3619" y="9762"/>
                <wp:lineTo x="3619" y="13292"/>
                <wp:lineTo x="5654" y="17031"/>
                <wp:lineTo x="10630" y="19523"/>
                <wp:lineTo x="14475" y="19523"/>
                <wp:lineTo x="19451" y="17031"/>
                <wp:lineTo x="19451" y="16615"/>
                <wp:lineTo x="21261" y="13292"/>
                <wp:lineTo x="21261" y="9554"/>
                <wp:lineTo x="21035" y="8723"/>
                <wp:lineTo x="20130" y="6231"/>
                <wp:lineTo x="16059" y="3531"/>
                <wp:lineTo x="14702" y="2908"/>
                <wp:lineTo x="2488" y="2908"/>
              </wp:wrapPolygon>
            </wp:wrapTight>
            <wp:docPr id="84" name="Graf 84">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03A5A">
        <w:rPr>
          <w:noProof/>
          <w:lang w:val="cs-CZ"/>
        </w:rPr>
        <w:drawing>
          <wp:anchor distT="0" distB="0" distL="114300" distR="114300" simplePos="0" relativeHeight="251653632" behindDoc="1" locked="0" layoutInCell="1" allowOverlap="1" wp14:anchorId="5E6C6A88" wp14:editId="003FD0A8">
            <wp:simplePos x="0" y="0"/>
            <wp:positionH relativeFrom="margin">
              <wp:posOffset>0</wp:posOffset>
            </wp:positionH>
            <wp:positionV relativeFrom="paragraph">
              <wp:posOffset>153670</wp:posOffset>
            </wp:positionV>
            <wp:extent cx="3352800" cy="3059430"/>
            <wp:effectExtent l="0" t="0" r="0" b="7620"/>
            <wp:wrapTopAndBottom/>
            <wp:docPr id="79" name="Graf 79">
              <a:extLst xmlns:a="http://schemas.openxmlformats.org/drawingml/2006/main">
                <a:ext uri="{FF2B5EF4-FFF2-40B4-BE49-F238E27FC236}">
                  <a16:creationId xmlns:a16="http://schemas.microsoft.com/office/drawing/2014/main" id="{00000000-0008-0000-0A00-00002B2D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D03A5A">
        <w:rPr>
          <w:noProof/>
          <w:lang w:val="cs-CZ"/>
        </w:rPr>
        <w:drawing>
          <wp:anchor distT="0" distB="0" distL="114300" distR="114300" simplePos="0" relativeHeight="251657728" behindDoc="0" locked="0" layoutInCell="1" allowOverlap="1" wp14:anchorId="5ACB992D" wp14:editId="4FC037E7">
            <wp:simplePos x="0" y="0"/>
            <wp:positionH relativeFrom="column">
              <wp:posOffset>3461385</wp:posOffset>
            </wp:positionH>
            <wp:positionV relativeFrom="paragraph">
              <wp:posOffset>132715</wp:posOffset>
            </wp:positionV>
            <wp:extent cx="2643505" cy="3076575"/>
            <wp:effectExtent l="0" t="0" r="4445" b="0"/>
            <wp:wrapSquare wrapText="bothSides"/>
            <wp:docPr id="86" name="Graf 86">
              <a:extLst xmlns:a="http://schemas.openxmlformats.org/drawingml/2006/main">
                <a:ext uri="{FF2B5EF4-FFF2-40B4-BE49-F238E27FC236}">
                  <a16:creationId xmlns:a16="http://schemas.microsoft.com/office/drawing/2014/main"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26358E" w:rsidRPr="002937D1" w:rsidRDefault="0026358E" w:rsidP="0026358E">
      <w:pPr>
        <w:pStyle w:val="Nadpis2"/>
      </w:pPr>
      <w:bookmarkStart w:id="8" w:name="_Toc533697544"/>
      <w:bookmarkStart w:id="9" w:name="_Toc534712043"/>
      <w:r w:rsidRPr="002937D1">
        <w:t>E.3 Electronic Tax Returns</w:t>
      </w:r>
      <w:r w:rsidRPr="002937D1">
        <w:rPr>
          <w:rStyle w:val="Znakapoznpodarou"/>
          <w:szCs w:val="28"/>
        </w:rPr>
        <w:footnoteReference w:id="6"/>
      </w:r>
      <w:bookmarkEnd w:id="8"/>
      <w:bookmarkEnd w:id="9"/>
    </w:p>
    <w:p w:rsidR="0026358E" w:rsidRPr="007C6640" w:rsidRDefault="0026358E" w:rsidP="0026358E">
      <w:pPr>
        <w:spacing w:after="80" w:line="264" w:lineRule="auto"/>
        <w:jc w:val="both"/>
        <w:rPr>
          <w:i/>
        </w:rPr>
      </w:pPr>
      <w:r w:rsidRPr="007C6640">
        <w:rPr>
          <w:i/>
        </w:rPr>
        <w:t xml:space="preserve">The Czech Financial Administration enables </w:t>
      </w:r>
      <w:r w:rsidRPr="00AD1A07">
        <w:rPr>
          <w:i/>
        </w:rPr>
        <w:t>companies</w:t>
      </w:r>
      <w:r w:rsidRPr="007C6640">
        <w:rPr>
          <w:i/>
          <w:szCs w:val="20"/>
        </w:rPr>
        <w:t>,</w:t>
      </w:r>
      <w:r w:rsidRPr="007C6640">
        <w:rPr>
          <w:i/>
        </w:rPr>
        <w:t xml:space="preserve"> as well as citizens</w:t>
      </w:r>
      <w:r w:rsidRPr="007C6640">
        <w:rPr>
          <w:i/>
          <w:szCs w:val="20"/>
        </w:rPr>
        <w:t>,</w:t>
      </w:r>
      <w:r w:rsidRPr="007C6640">
        <w:rPr>
          <w:i/>
        </w:rPr>
        <w:t xml:space="preserve"> to submit their tax returns, declarations, reports or other documents electronically. In order to do so, the computer application called EPO (electronic submissions) was established for the Czech Financial Administration. It is a form of an electronic registry office of the authorities of the Czech Financial Administration</w:t>
      </w:r>
      <w:r w:rsidRPr="007C6640">
        <w:rPr>
          <w:i/>
          <w:szCs w:val="20"/>
        </w:rPr>
        <w:t>,</w:t>
      </w:r>
      <w:r w:rsidRPr="007C6640">
        <w:rPr>
          <w:i/>
        </w:rPr>
        <w:t xml:space="preserve"> which can be used by means of a common internet browser. Electronic submissions conducted via EPO application must be provided with a qualified electronic signature (QES).</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Year by year, the number of electronic </w:t>
      </w:r>
      <w:r w:rsidRPr="00542B46">
        <w:rPr>
          <w:sz w:val="20"/>
          <w:lang w:val="en-GB"/>
        </w:rPr>
        <w:t xml:space="preserve">submission to </w:t>
      </w:r>
      <w:r w:rsidRPr="00D03A5A">
        <w:rPr>
          <w:sz w:val="20"/>
          <w:lang w:val="en-GB"/>
        </w:rPr>
        <w:t>the Czech Financial Administration is increasing in the Czech Republic. In 2017, a record number of 8.6 million electronic submissions was submitted via EPO application</w:t>
      </w:r>
      <w:r w:rsidRPr="00542B46">
        <w:rPr>
          <w:sz w:val="20"/>
          <w:lang w:val="en-GB"/>
        </w:rPr>
        <w:t>;</w:t>
      </w:r>
      <w:r w:rsidRPr="00D03A5A">
        <w:rPr>
          <w:sz w:val="20"/>
          <w:lang w:val="en-GB"/>
        </w:rPr>
        <w:t xml:space="preserve"> out of which a fifth was provided with a qualified electronic </w:t>
      </w:r>
      <w:r w:rsidRPr="00542B46">
        <w:rPr>
          <w:sz w:val="20"/>
          <w:lang w:val="en-GB"/>
        </w:rPr>
        <w:t>signature</w:t>
      </w:r>
      <w:r w:rsidRPr="00542B46">
        <w:rPr>
          <w:sz w:val="20"/>
          <w:szCs w:val="20"/>
        </w:rPr>
        <w:t>,</w:t>
      </w:r>
      <w:r w:rsidRPr="00D03A5A">
        <w:rPr>
          <w:sz w:val="20"/>
          <w:lang w:val="en-GB"/>
        </w:rPr>
        <w:t xml:space="preserve"> and less than a third was provided with a certified identity of the submitting </w:t>
      </w:r>
      <w:r w:rsidRPr="00542B46">
        <w:rPr>
          <w:sz w:val="20"/>
          <w:lang w:val="en-GB"/>
        </w:rPr>
        <w:t>person</w:t>
      </w:r>
      <w:r w:rsidRPr="00542B46">
        <w:rPr>
          <w:sz w:val="20"/>
          <w:szCs w:val="20"/>
        </w:rPr>
        <w:t>,</w:t>
      </w:r>
      <w:r w:rsidRPr="00D03A5A">
        <w:rPr>
          <w:sz w:val="20"/>
          <w:lang w:val="en-GB"/>
        </w:rPr>
        <w:t xml:space="preserve"> by means of his or her Data Box. Two years ago</w:t>
      </w:r>
      <w:r w:rsidRPr="00542B46">
        <w:rPr>
          <w:sz w:val="20"/>
          <w:szCs w:val="20"/>
        </w:rPr>
        <w:t>,</w:t>
      </w:r>
      <w:r w:rsidRPr="00D03A5A">
        <w:rPr>
          <w:sz w:val="20"/>
          <w:lang w:val="en-GB"/>
        </w:rPr>
        <w:t xml:space="preserve"> it was 2.4 times (5 million) less</w:t>
      </w:r>
      <w:r w:rsidRPr="00542B46">
        <w:rPr>
          <w:sz w:val="20"/>
          <w:szCs w:val="20"/>
        </w:rPr>
        <w:t>,</w:t>
      </w:r>
      <w:r w:rsidRPr="00D03A5A">
        <w:rPr>
          <w:sz w:val="20"/>
          <w:lang w:val="en-GB"/>
        </w:rPr>
        <w:t xml:space="preserve"> and five years ago it was even 5.6 times less (1.5 million in 2012).</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With respect to the total number, since </w:t>
      </w:r>
      <w:r w:rsidRPr="00797854">
        <w:rPr>
          <w:sz w:val="20"/>
          <w:lang w:val="en-GB"/>
        </w:rPr>
        <w:t>2003</w:t>
      </w:r>
      <w:r w:rsidRPr="00797854">
        <w:rPr>
          <w:sz w:val="20"/>
          <w:szCs w:val="20"/>
        </w:rPr>
        <w:t>,</w:t>
      </w:r>
      <w:r w:rsidRPr="00D03A5A">
        <w:rPr>
          <w:sz w:val="20"/>
          <w:lang w:val="en-GB"/>
        </w:rPr>
        <w:t xml:space="preserve"> the largest part (47% in 2017) of electronic submissions </w:t>
      </w:r>
      <w:r w:rsidRPr="00797854">
        <w:rPr>
          <w:sz w:val="20"/>
          <w:lang w:val="en-GB"/>
        </w:rPr>
        <w:t>to</w:t>
      </w:r>
      <w:r w:rsidRPr="000F280C">
        <w:rPr>
          <w:color w:val="FF0000"/>
          <w:sz w:val="20"/>
          <w:lang w:val="en-GB"/>
        </w:rPr>
        <w:t xml:space="preserve"> </w:t>
      </w:r>
      <w:r w:rsidRPr="00D03A5A">
        <w:rPr>
          <w:sz w:val="20"/>
          <w:lang w:val="en-GB"/>
        </w:rPr>
        <w:t xml:space="preserve">the Czech Financial Administration has been formed by </w:t>
      </w:r>
      <w:r w:rsidRPr="00D03A5A">
        <w:rPr>
          <w:b/>
          <w:sz w:val="20"/>
          <w:lang w:val="en-GB"/>
        </w:rPr>
        <w:t>Value Added Tax declaration</w:t>
      </w:r>
      <w:r w:rsidRPr="00D03A5A">
        <w:rPr>
          <w:sz w:val="20"/>
          <w:lang w:val="en-GB"/>
        </w:rPr>
        <w:t>.</w:t>
      </w:r>
      <w:r w:rsidRPr="00D03A5A">
        <w:rPr>
          <w:b/>
          <w:sz w:val="20"/>
          <w:lang w:val="en-GB"/>
        </w:rPr>
        <w:t xml:space="preserve"> </w:t>
      </w:r>
      <w:r w:rsidRPr="00D03A5A">
        <w:rPr>
          <w:sz w:val="20"/>
          <w:lang w:val="en-GB"/>
        </w:rPr>
        <w:t>In 2017, 2.2</w:t>
      </w:r>
      <w:r>
        <w:rPr>
          <w:sz w:val="20"/>
          <w:lang w:val="en-GB"/>
        </w:rPr>
        <w:t> </w:t>
      </w:r>
      <w:r w:rsidRPr="00D03A5A">
        <w:rPr>
          <w:sz w:val="20"/>
          <w:lang w:val="en-GB"/>
        </w:rPr>
        <w:t>million Value Added Tax declarations (VAT</w:t>
      </w:r>
      <w:r>
        <w:rPr>
          <w:sz w:val="20"/>
          <w:lang w:val="en-GB"/>
        </w:rPr>
        <w:t>)</w:t>
      </w:r>
      <w:r w:rsidRPr="00D03A5A">
        <w:rPr>
          <w:sz w:val="20"/>
          <w:lang w:val="en-GB"/>
        </w:rPr>
        <w:t xml:space="preserve"> were submitted via the EPO application. In the last three years (since 2014), the number of these declarations has risen by 50%</w:t>
      </w:r>
      <w:r w:rsidRPr="00797854">
        <w:rPr>
          <w:sz w:val="20"/>
          <w:szCs w:val="20"/>
        </w:rPr>
        <w:t>,</w:t>
      </w:r>
      <w:r w:rsidRPr="00797854">
        <w:rPr>
          <w:sz w:val="20"/>
          <w:lang w:val="en-GB"/>
        </w:rPr>
        <w:t xml:space="preserve"> </w:t>
      </w:r>
      <w:r w:rsidRPr="00D03A5A">
        <w:rPr>
          <w:sz w:val="20"/>
          <w:lang w:val="en-GB"/>
        </w:rPr>
        <w:t xml:space="preserve">and since 2012 it has risen even </w:t>
      </w:r>
      <w:r w:rsidRPr="00797854">
        <w:rPr>
          <w:sz w:val="20"/>
          <w:lang w:val="en-GB"/>
        </w:rPr>
        <w:t>fivefold.</w:t>
      </w:r>
    </w:p>
    <w:p w:rsidR="0026358E" w:rsidRDefault="0026358E" w:rsidP="0026358E">
      <w:pPr>
        <w:pStyle w:val="Zkladntext"/>
        <w:spacing w:before="0" w:after="100" w:line="264" w:lineRule="auto"/>
      </w:pPr>
      <w:r w:rsidRPr="00D03A5A">
        <w:rPr>
          <w:noProof/>
        </w:rPr>
        <w:lastRenderedPageBreak/>
        <w:drawing>
          <wp:inline distT="0" distB="0" distL="0" distR="0" wp14:anchorId="7B6F881A" wp14:editId="00C54256">
            <wp:extent cx="3024000" cy="3420000"/>
            <wp:effectExtent l="0" t="0" r="5080" b="0"/>
            <wp:docPr id="199" name="Graf 19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03A5A">
        <w:rPr>
          <w:lang w:val="en-GB"/>
        </w:rPr>
        <w:t xml:space="preserve"> </w:t>
      </w:r>
      <w:r w:rsidRPr="00D03A5A">
        <w:rPr>
          <w:noProof/>
        </w:rPr>
        <w:drawing>
          <wp:inline distT="0" distB="0" distL="0" distR="0" wp14:anchorId="2A8E9E82" wp14:editId="3C639CB9">
            <wp:extent cx="3024000" cy="3420000"/>
            <wp:effectExtent l="0" t="0" r="5080" b="0"/>
            <wp:docPr id="200" name="Graf 20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The number of electronic submissions of Personal Income</w:t>
      </w:r>
      <w:r w:rsidRPr="00D03A5A">
        <w:rPr>
          <w:b/>
          <w:sz w:val="20"/>
          <w:lang w:val="en-GB"/>
        </w:rPr>
        <w:t xml:space="preserve"> Tax declaration</w:t>
      </w:r>
      <w:r w:rsidRPr="00D03A5A">
        <w:rPr>
          <w:sz w:val="20"/>
          <w:lang w:val="en-GB"/>
        </w:rPr>
        <w:t xml:space="preserve"> and Corporate Income Tax declaration has also been increasing year by year. With respect to </w:t>
      </w:r>
      <w:r w:rsidRPr="00D03A5A">
        <w:rPr>
          <w:b/>
          <w:sz w:val="20"/>
          <w:lang w:val="en-GB"/>
        </w:rPr>
        <w:t>Personal Income</w:t>
      </w:r>
      <w:r w:rsidRPr="00D03A5A">
        <w:rPr>
          <w:sz w:val="20"/>
          <w:lang w:val="en-GB"/>
        </w:rPr>
        <w:t xml:space="preserve"> Tax declaration, in </w:t>
      </w:r>
      <w:r w:rsidRPr="00797854">
        <w:rPr>
          <w:sz w:val="20"/>
          <w:lang w:val="en-GB"/>
        </w:rPr>
        <w:t>2017</w:t>
      </w:r>
      <w:r w:rsidRPr="00797854">
        <w:rPr>
          <w:sz w:val="20"/>
          <w:szCs w:val="20"/>
        </w:rPr>
        <w:t>,</w:t>
      </w:r>
      <w:r w:rsidRPr="00797854">
        <w:rPr>
          <w:sz w:val="20"/>
          <w:lang w:val="en-GB"/>
        </w:rPr>
        <w:t xml:space="preserve"> </w:t>
      </w:r>
      <w:r w:rsidRPr="00D03A5A">
        <w:rPr>
          <w:sz w:val="20"/>
          <w:lang w:val="en-GB"/>
        </w:rPr>
        <w:t xml:space="preserve">there were 262 thousand submissions in </w:t>
      </w:r>
      <w:r w:rsidRPr="00797854">
        <w:rPr>
          <w:sz w:val="20"/>
          <w:lang w:val="en-GB"/>
        </w:rPr>
        <w:t>total</w:t>
      </w:r>
      <w:r w:rsidRPr="00797854">
        <w:rPr>
          <w:sz w:val="20"/>
          <w:szCs w:val="20"/>
        </w:rPr>
        <w:t>,</w:t>
      </w:r>
      <w:r w:rsidRPr="00797854">
        <w:rPr>
          <w:sz w:val="20"/>
          <w:lang w:val="en-GB"/>
        </w:rPr>
        <w:t xml:space="preserve"> </w:t>
      </w:r>
      <w:r w:rsidRPr="00D03A5A">
        <w:rPr>
          <w:sz w:val="20"/>
          <w:lang w:val="en-GB"/>
        </w:rPr>
        <w:t xml:space="preserve">conducted via EPO </w:t>
      </w:r>
      <w:r w:rsidRPr="00797854">
        <w:rPr>
          <w:sz w:val="20"/>
          <w:lang w:val="en-GB"/>
        </w:rPr>
        <w:t>application</w:t>
      </w:r>
      <w:r w:rsidRPr="00797854">
        <w:rPr>
          <w:sz w:val="20"/>
          <w:szCs w:val="20"/>
        </w:rPr>
        <w:t>,</w:t>
      </w:r>
      <w:r w:rsidRPr="00D03A5A">
        <w:rPr>
          <w:sz w:val="20"/>
          <w:lang w:val="en-GB"/>
        </w:rPr>
        <w:t xml:space="preserve"> compared to less than 150 thousand in </w:t>
      </w:r>
      <w:r w:rsidRPr="00797854">
        <w:rPr>
          <w:sz w:val="20"/>
          <w:lang w:val="en-GB"/>
        </w:rPr>
        <w:t>2015</w:t>
      </w:r>
      <w:r w:rsidRPr="00797854">
        <w:rPr>
          <w:sz w:val="20"/>
          <w:szCs w:val="20"/>
        </w:rPr>
        <w:t>,</w:t>
      </w:r>
      <w:r w:rsidRPr="00797854">
        <w:rPr>
          <w:sz w:val="20"/>
          <w:lang w:val="en-GB"/>
        </w:rPr>
        <w:t xml:space="preserve"> or </w:t>
      </w:r>
      <w:r w:rsidRPr="00D03A5A">
        <w:rPr>
          <w:sz w:val="20"/>
          <w:lang w:val="en-GB"/>
        </w:rPr>
        <w:t>32 thousand in 2012. In 2017, the number of such electronic submissions was 12.1% of the total number of “independently submitted” Personal Income Tax declarations (in Czech “DPFO</w:t>
      </w:r>
      <w:r w:rsidRPr="00797854">
        <w:rPr>
          <w:sz w:val="20"/>
          <w:lang w:val="en-GB"/>
        </w:rPr>
        <w:t>”)</w:t>
      </w:r>
      <w:r w:rsidRPr="00797854">
        <w:rPr>
          <w:sz w:val="20"/>
          <w:szCs w:val="20"/>
        </w:rPr>
        <w:t>,</w:t>
      </w:r>
      <w:r w:rsidRPr="00797854">
        <w:rPr>
          <w:sz w:val="20"/>
          <w:lang w:val="en-GB"/>
        </w:rPr>
        <w:t xml:space="preserve"> </w:t>
      </w:r>
      <w:r w:rsidRPr="00D03A5A">
        <w:rPr>
          <w:sz w:val="20"/>
          <w:lang w:val="en-GB"/>
        </w:rPr>
        <w:t>compared to 6.9% in 2015.</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With respect to </w:t>
      </w:r>
      <w:r w:rsidRPr="00D03A5A">
        <w:rPr>
          <w:b/>
          <w:sz w:val="20"/>
          <w:lang w:val="en-GB"/>
        </w:rPr>
        <w:t>Corporate Income</w:t>
      </w:r>
      <w:r w:rsidRPr="00D03A5A">
        <w:rPr>
          <w:sz w:val="20"/>
          <w:lang w:val="en-GB"/>
        </w:rPr>
        <w:t xml:space="preserve"> Tax declaration, in 2017</w:t>
      </w:r>
      <w:r w:rsidRPr="00797854">
        <w:rPr>
          <w:sz w:val="20"/>
          <w:szCs w:val="20"/>
        </w:rPr>
        <w:t>,</w:t>
      </w:r>
      <w:r w:rsidRPr="00797854">
        <w:rPr>
          <w:sz w:val="20"/>
          <w:lang w:val="en-GB"/>
        </w:rPr>
        <w:t xml:space="preserve"> there </w:t>
      </w:r>
      <w:r w:rsidRPr="00D03A5A">
        <w:rPr>
          <w:sz w:val="20"/>
          <w:lang w:val="en-GB"/>
        </w:rPr>
        <w:t xml:space="preserve">were 213 thousand submissions in total conducted via EPO </w:t>
      </w:r>
      <w:r w:rsidRPr="00797854">
        <w:rPr>
          <w:sz w:val="20"/>
          <w:lang w:val="en-GB"/>
        </w:rPr>
        <w:t>application</w:t>
      </w:r>
      <w:r w:rsidRPr="00797854">
        <w:rPr>
          <w:sz w:val="20"/>
          <w:szCs w:val="20"/>
        </w:rPr>
        <w:t>,</w:t>
      </w:r>
      <w:r w:rsidRPr="00D03A5A">
        <w:rPr>
          <w:sz w:val="20"/>
          <w:lang w:val="en-GB"/>
        </w:rPr>
        <w:t xml:space="preserve"> compared to 155 thousand in </w:t>
      </w:r>
      <w:r w:rsidRPr="00797854">
        <w:rPr>
          <w:sz w:val="20"/>
          <w:lang w:val="en-GB"/>
        </w:rPr>
        <w:t>2015</w:t>
      </w:r>
      <w:r w:rsidRPr="00797854">
        <w:rPr>
          <w:sz w:val="20"/>
          <w:szCs w:val="20"/>
        </w:rPr>
        <w:t>,</w:t>
      </w:r>
      <w:r w:rsidRPr="00797854">
        <w:rPr>
          <w:sz w:val="20"/>
          <w:lang w:val="en-GB"/>
        </w:rPr>
        <w:t xml:space="preserve"> </w:t>
      </w:r>
      <w:r w:rsidRPr="00D03A5A">
        <w:rPr>
          <w:sz w:val="20"/>
          <w:lang w:val="en-GB"/>
        </w:rPr>
        <w:t xml:space="preserve">or 23 thousand in 2012. In 2017, there were 44.5% electronic </w:t>
      </w:r>
      <w:r w:rsidRPr="00797854">
        <w:rPr>
          <w:sz w:val="20"/>
          <w:lang w:val="en-GB"/>
        </w:rPr>
        <w:t>submissions</w:t>
      </w:r>
      <w:r w:rsidRPr="00797854">
        <w:rPr>
          <w:sz w:val="20"/>
          <w:szCs w:val="20"/>
        </w:rPr>
        <w:t>,</w:t>
      </w:r>
      <w:r w:rsidRPr="00D03A5A">
        <w:rPr>
          <w:sz w:val="20"/>
          <w:lang w:val="en-GB"/>
        </w:rPr>
        <w:t xml:space="preserve"> out of the total number of Corporate Income Tax </w:t>
      </w:r>
      <w:r w:rsidRPr="00797854">
        <w:rPr>
          <w:sz w:val="20"/>
          <w:lang w:val="en-GB"/>
        </w:rPr>
        <w:t>declarations</w:t>
      </w:r>
      <w:r w:rsidRPr="00797854">
        <w:rPr>
          <w:sz w:val="20"/>
          <w:szCs w:val="20"/>
        </w:rPr>
        <w:t>,</w:t>
      </w:r>
      <w:r w:rsidRPr="00D03A5A">
        <w:rPr>
          <w:sz w:val="20"/>
          <w:lang w:val="en-GB"/>
        </w:rPr>
        <w:t xml:space="preserve"> compared to 37.6% in </w:t>
      </w:r>
      <w:r w:rsidRPr="00797854">
        <w:rPr>
          <w:sz w:val="20"/>
          <w:lang w:val="en-GB"/>
        </w:rPr>
        <w:t>2015</w:t>
      </w:r>
      <w:r w:rsidRPr="00797854">
        <w:rPr>
          <w:sz w:val="20"/>
          <w:szCs w:val="20"/>
        </w:rPr>
        <w:t>,</w:t>
      </w:r>
      <w:r w:rsidRPr="00797854">
        <w:rPr>
          <w:sz w:val="20"/>
          <w:lang w:val="en-GB"/>
        </w:rPr>
        <w:t xml:space="preserve"> or </w:t>
      </w:r>
      <w:r w:rsidRPr="00D03A5A">
        <w:rPr>
          <w:sz w:val="20"/>
          <w:lang w:val="en-GB"/>
        </w:rPr>
        <w:t>6.4% in 2012.</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Apart from the aforementioned tax declarations via </w:t>
      </w:r>
      <w:r w:rsidRPr="00797854">
        <w:rPr>
          <w:sz w:val="20"/>
          <w:lang w:val="en-GB"/>
        </w:rPr>
        <w:t>the</w:t>
      </w:r>
      <w:r>
        <w:rPr>
          <w:color w:val="FF0000"/>
          <w:sz w:val="20"/>
          <w:lang w:val="en-GB"/>
        </w:rPr>
        <w:t xml:space="preserve"> </w:t>
      </w:r>
      <w:r w:rsidRPr="00D03A5A">
        <w:rPr>
          <w:sz w:val="20"/>
          <w:lang w:val="en-GB"/>
        </w:rPr>
        <w:t xml:space="preserve">EPO </w:t>
      </w:r>
      <w:r w:rsidRPr="00797854">
        <w:rPr>
          <w:sz w:val="20"/>
          <w:lang w:val="en-GB"/>
        </w:rPr>
        <w:t>application</w:t>
      </w:r>
      <w:r w:rsidRPr="00797854">
        <w:rPr>
          <w:sz w:val="20"/>
          <w:szCs w:val="20"/>
        </w:rPr>
        <w:t>,</w:t>
      </w:r>
      <w:r w:rsidRPr="00797854">
        <w:rPr>
          <w:sz w:val="20"/>
          <w:lang w:val="en-GB"/>
        </w:rPr>
        <w:t xml:space="preserve"> </w:t>
      </w:r>
      <w:r w:rsidRPr="00D03A5A">
        <w:rPr>
          <w:sz w:val="20"/>
          <w:lang w:val="en-GB"/>
        </w:rPr>
        <w:t xml:space="preserve">available at the website of Czech Financial Administration, since </w:t>
      </w:r>
      <w:r w:rsidRPr="00797854">
        <w:rPr>
          <w:sz w:val="20"/>
          <w:lang w:val="en-GB"/>
        </w:rPr>
        <w:t>2013</w:t>
      </w:r>
      <w:r w:rsidRPr="00797854">
        <w:rPr>
          <w:sz w:val="20"/>
          <w:szCs w:val="20"/>
        </w:rPr>
        <w:t>,</w:t>
      </w:r>
      <w:r w:rsidRPr="00D03A5A">
        <w:rPr>
          <w:sz w:val="20"/>
          <w:lang w:val="en-GB"/>
        </w:rPr>
        <w:t xml:space="preserve"> legal </w:t>
      </w:r>
      <w:r w:rsidRPr="00797854">
        <w:rPr>
          <w:sz w:val="20"/>
          <w:lang w:val="en-GB"/>
        </w:rPr>
        <w:t>entities</w:t>
      </w:r>
      <w:r w:rsidRPr="00797854">
        <w:rPr>
          <w:sz w:val="20"/>
          <w:szCs w:val="20"/>
        </w:rPr>
        <w:t>,</w:t>
      </w:r>
      <w:r w:rsidRPr="00D03A5A">
        <w:rPr>
          <w:sz w:val="20"/>
          <w:lang w:val="en-GB"/>
        </w:rPr>
        <w:t xml:space="preserve"> as well as </w:t>
      </w:r>
      <w:r w:rsidRPr="00797854">
        <w:rPr>
          <w:sz w:val="20"/>
          <w:lang w:val="en-GB"/>
        </w:rPr>
        <w:t>individuals</w:t>
      </w:r>
      <w:r w:rsidRPr="00797854">
        <w:rPr>
          <w:sz w:val="20"/>
          <w:szCs w:val="20"/>
        </w:rPr>
        <w:t>,</w:t>
      </w:r>
      <w:r w:rsidRPr="00D03A5A">
        <w:rPr>
          <w:sz w:val="20"/>
          <w:lang w:val="en-GB"/>
        </w:rPr>
        <w:t xml:space="preserve"> may submit their tax declarations </w:t>
      </w:r>
      <w:r w:rsidRPr="00797854">
        <w:rPr>
          <w:sz w:val="20"/>
          <w:lang w:val="en-GB"/>
        </w:rPr>
        <w:t>electronically</w:t>
      </w:r>
      <w:r w:rsidRPr="00797854">
        <w:rPr>
          <w:sz w:val="20"/>
          <w:szCs w:val="20"/>
        </w:rPr>
        <w:t>,</w:t>
      </w:r>
      <w:r w:rsidRPr="00D03A5A">
        <w:rPr>
          <w:sz w:val="20"/>
          <w:lang w:val="en-GB"/>
        </w:rPr>
        <w:t xml:space="preserve"> by means of their</w:t>
      </w:r>
      <w:r w:rsidRPr="00D03A5A">
        <w:rPr>
          <w:b/>
          <w:sz w:val="20"/>
          <w:lang w:val="en-GB"/>
        </w:rPr>
        <w:t xml:space="preserve"> Data Boxes</w:t>
      </w:r>
      <w:r w:rsidRPr="00797854">
        <w:rPr>
          <w:sz w:val="20"/>
          <w:lang w:val="en-GB"/>
        </w:rPr>
        <w:t>.</w:t>
      </w:r>
      <w:r w:rsidRPr="00D03A5A">
        <w:rPr>
          <w:sz w:val="20"/>
          <w:lang w:val="en-GB"/>
        </w:rPr>
        <w:t xml:space="preserve"> In 2015, it was actually stipulated that all owners of an active Data Box must hold the communication with </w:t>
      </w:r>
      <w:r w:rsidRPr="00797854">
        <w:rPr>
          <w:sz w:val="20"/>
          <w:lang w:val="en-GB"/>
        </w:rPr>
        <w:t>the</w:t>
      </w:r>
      <w:r>
        <w:rPr>
          <w:color w:val="FF0000"/>
          <w:sz w:val="20"/>
          <w:lang w:val="en-GB"/>
        </w:rPr>
        <w:t xml:space="preserve"> </w:t>
      </w:r>
      <w:r w:rsidRPr="00D03A5A">
        <w:rPr>
          <w:sz w:val="20"/>
          <w:lang w:val="en-GB"/>
        </w:rPr>
        <w:t>Czech Financial Administration electronically.</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In 2017, this option of tax declaration submission was used by 146 thousand </w:t>
      </w:r>
      <w:r w:rsidRPr="00D03A5A">
        <w:rPr>
          <w:b/>
          <w:sz w:val="20"/>
          <w:lang w:val="en-GB"/>
        </w:rPr>
        <w:t>individuals</w:t>
      </w:r>
      <w:r w:rsidRPr="00D03A5A">
        <w:rPr>
          <w:sz w:val="20"/>
          <w:lang w:val="en-GB"/>
        </w:rPr>
        <w:t>, which is ten</w:t>
      </w:r>
      <w:r>
        <w:rPr>
          <w:sz w:val="20"/>
          <w:lang w:val="en-GB"/>
        </w:rPr>
        <w:t> </w:t>
      </w:r>
      <w:r w:rsidRPr="00D03A5A">
        <w:rPr>
          <w:sz w:val="20"/>
          <w:lang w:val="en-GB"/>
        </w:rPr>
        <w:t>times more than three years ago. In 2017, tax declarations were submitted electronically – either via EPO application or by means of Data Boxes – by 408 thousand persons. The total share of Personal Income Tax declarations submitted electronically amounted to 21%.</w:t>
      </w:r>
    </w:p>
    <w:p w:rsidR="0026358E" w:rsidRPr="00D03A5A" w:rsidRDefault="0026358E" w:rsidP="0026358E">
      <w:pPr>
        <w:pStyle w:val="Zkladntext"/>
        <w:numPr>
          <w:ilvl w:val="0"/>
          <w:numId w:val="15"/>
        </w:numPr>
        <w:tabs>
          <w:tab w:val="clear" w:pos="360"/>
        </w:tabs>
        <w:spacing w:before="0" w:after="80" w:line="264" w:lineRule="auto"/>
        <w:ind w:left="284" w:hanging="284"/>
        <w:rPr>
          <w:lang w:val="en-GB"/>
        </w:rPr>
      </w:pPr>
      <w:r w:rsidRPr="00D03A5A">
        <w:rPr>
          <w:sz w:val="20"/>
          <w:lang w:val="en-GB"/>
        </w:rPr>
        <w:t xml:space="preserve">With respect to </w:t>
      </w:r>
      <w:r w:rsidRPr="00D03A5A">
        <w:rPr>
          <w:b/>
          <w:sz w:val="20"/>
          <w:lang w:val="en-GB"/>
        </w:rPr>
        <w:t>legal entities</w:t>
      </w:r>
      <w:r w:rsidRPr="00D03A5A">
        <w:rPr>
          <w:sz w:val="20"/>
          <w:lang w:val="en-GB"/>
        </w:rPr>
        <w:t>, in 2017</w:t>
      </w:r>
      <w:r w:rsidRPr="00797854">
        <w:rPr>
          <w:sz w:val="20"/>
          <w:szCs w:val="20"/>
        </w:rPr>
        <w:t>,</w:t>
      </w:r>
      <w:r w:rsidRPr="00D03A5A">
        <w:rPr>
          <w:sz w:val="20"/>
          <w:lang w:val="en-GB"/>
        </w:rPr>
        <w:t xml:space="preserve"> the option to submit tax declarations via Data Boxes was used by 249 thousand entities, which is also ten times more than three years ago. Nearly all companies (legal entities) – as stipulated by law – have been submitting their tax declarations solely electronically in the past two years.</w:t>
      </w:r>
    </w:p>
    <w:p w:rsidR="0026358E" w:rsidRPr="002937D1" w:rsidRDefault="0026358E" w:rsidP="002875D6">
      <w:pPr>
        <w:pStyle w:val="Nadpis2"/>
        <w:pageBreakBefore/>
        <w:spacing w:before="0"/>
      </w:pPr>
      <w:bookmarkStart w:id="10" w:name="_Toc533697545"/>
      <w:bookmarkStart w:id="11" w:name="_Toc534712044"/>
      <w:r w:rsidRPr="002937D1">
        <w:lastRenderedPageBreak/>
        <w:t>E.4 Us</w:t>
      </w:r>
      <w:r>
        <w:t xml:space="preserve">e of eGovernment services </w:t>
      </w:r>
      <w:r w:rsidRPr="002937D1">
        <w:t>by individuals</w:t>
      </w:r>
      <w:bookmarkEnd w:id="10"/>
      <w:bookmarkEnd w:id="11"/>
    </w:p>
    <w:p w:rsidR="0026358E" w:rsidRPr="00D27E87" w:rsidRDefault="0026358E" w:rsidP="0026358E">
      <w:pPr>
        <w:pStyle w:val="Zkladntext"/>
        <w:spacing w:before="0" w:after="80" w:line="264" w:lineRule="auto"/>
        <w:rPr>
          <w:i/>
          <w:sz w:val="20"/>
          <w:lang w:val="en-GB"/>
        </w:rPr>
      </w:pPr>
      <w:r w:rsidRPr="00D27E87">
        <w:rPr>
          <w:i/>
          <w:sz w:val="20"/>
          <w:lang w:val="en-GB"/>
        </w:rPr>
        <w:t xml:space="preserve">Computerization of public administration forms </w:t>
      </w:r>
      <w:r w:rsidRPr="00797854">
        <w:rPr>
          <w:i/>
          <w:sz w:val="20"/>
          <w:lang w:val="en-GB"/>
        </w:rPr>
        <w:t xml:space="preserve">is the integral part of a well-functioning </w:t>
      </w:r>
      <w:r w:rsidRPr="00D27E87">
        <w:rPr>
          <w:i/>
          <w:sz w:val="20"/>
          <w:lang w:val="en-GB"/>
        </w:rPr>
        <w:t>economy and society. Public administration</w:t>
      </w:r>
      <w:r w:rsidRPr="00797854">
        <w:rPr>
          <w:i/>
          <w:sz w:val="20"/>
          <w:szCs w:val="20"/>
        </w:rPr>
        <w:t>,</w:t>
      </w:r>
      <w:r w:rsidRPr="00797854">
        <w:rPr>
          <w:i/>
          <w:sz w:val="20"/>
          <w:lang w:val="en-GB"/>
        </w:rPr>
        <w:t xml:space="preserve"> which </w:t>
      </w:r>
      <w:r w:rsidRPr="00D27E87">
        <w:rPr>
          <w:i/>
          <w:sz w:val="20"/>
          <w:lang w:val="en-GB"/>
        </w:rPr>
        <w:t xml:space="preserve">uses new technological </w:t>
      </w:r>
      <w:r w:rsidRPr="00797854">
        <w:rPr>
          <w:i/>
          <w:sz w:val="20"/>
          <w:lang w:val="en-GB"/>
        </w:rPr>
        <w:t>options</w:t>
      </w:r>
      <w:r w:rsidRPr="00797854">
        <w:rPr>
          <w:i/>
          <w:sz w:val="20"/>
          <w:szCs w:val="20"/>
        </w:rPr>
        <w:t>,</w:t>
      </w:r>
      <w:r w:rsidRPr="00797854">
        <w:rPr>
          <w:i/>
          <w:sz w:val="20"/>
          <w:lang w:val="en-GB"/>
        </w:rPr>
        <w:t xml:space="preserve"> </w:t>
      </w:r>
      <w:r w:rsidRPr="00D27E87">
        <w:rPr>
          <w:i/>
          <w:sz w:val="20"/>
          <w:lang w:val="en-GB"/>
        </w:rPr>
        <w:t xml:space="preserve">contributes to a simplified communication between the state and its citizens. The prerequisite of such communication is the interconnectedness of government </w:t>
      </w:r>
      <w:r w:rsidRPr="00797854">
        <w:rPr>
          <w:i/>
          <w:sz w:val="20"/>
          <w:lang w:val="en-GB"/>
        </w:rPr>
        <w:t>offices</w:t>
      </w:r>
      <w:r w:rsidRPr="00797854">
        <w:rPr>
          <w:i/>
          <w:sz w:val="20"/>
          <w:szCs w:val="20"/>
        </w:rPr>
        <w:t>,</w:t>
      </w:r>
      <w:r w:rsidRPr="00D27E87">
        <w:rPr>
          <w:i/>
          <w:sz w:val="20"/>
          <w:lang w:val="en-GB"/>
        </w:rPr>
        <w:t xml:space="preserve"> as well as a sufficient offer of online eGovernment </w:t>
      </w:r>
      <w:r w:rsidRPr="00797854">
        <w:rPr>
          <w:i/>
          <w:sz w:val="20"/>
          <w:lang w:val="en-GB"/>
        </w:rPr>
        <w:t>services</w:t>
      </w:r>
      <w:r w:rsidRPr="00797854">
        <w:rPr>
          <w:i/>
          <w:sz w:val="20"/>
          <w:szCs w:val="20"/>
        </w:rPr>
        <w:t>,</w:t>
      </w:r>
      <w:r w:rsidRPr="00D27E87">
        <w:rPr>
          <w:i/>
          <w:sz w:val="20"/>
          <w:lang w:val="en-GB"/>
        </w:rPr>
        <w:t xml:space="preserve"> for their possible usage by enterprises and individuals.</w:t>
      </w:r>
    </w:p>
    <w:p w:rsidR="0026358E"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Within the scope of the regular survey of the CZSO</w:t>
      </w:r>
      <w:r w:rsidRPr="00797854">
        <w:rPr>
          <w:sz w:val="20"/>
          <w:szCs w:val="20"/>
        </w:rPr>
        <w:t>,</w:t>
      </w:r>
      <w:r w:rsidRPr="00797854">
        <w:rPr>
          <w:sz w:val="20"/>
          <w:lang w:val="en-GB"/>
        </w:rPr>
        <w:t xml:space="preserve"> </w:t>
      </w:r>
      <w:r w:rsidRPr="00D03A5A">
        <w:rPr>
          <w:sz w:val="20"/>
          <w:lang w:val="en-GB"/>
        </w:rPr>
        <w:t>concerning the usage of information technologies in households and among individuals</w:t>
      </w:r>
      <w:r w:rsidRPr="00D03A5A">
        <w:rPr>
          <w:rStyle w:val="Znakapoznpodarou"/>
          <w:sz w:val="20"/>
          <w:szCs w:val="20"/>
          <w:lang w:val="en-GB"/>
        </w:rPr>
        <w:footnoteReference w:id="7"/>
      </w:r>
      <w:r w:rsidRPr="00D03A5A">
        <w:rPr>
          <w:sz w:val="20"/>
          <w:lang w:val="en-GB"/>
        </w:rPr>
        <w:t xml:space="preserve">, the methods of internet usage by individuals are monitored with respect to public administration. In 2017, the internet was used </w:t>
      </w:r>
      <w:r w:rsidRPr="00D03A5A">
        <w:rPr>
          <w:b/>
          <w:sz w:val="20"/>
          <w:lang w:val="en-GB"/>
        </w:rPr>
        <w:t>for interaction with public authorities</w:t>
      </w:r>
      <w:r w:rsidRPr="00D03A5A">
        <w:rPr>
          <w:rStyle w:val="Znakapoznpodarou"/>
          <w:sz w:val="20"/>
          <w:lang w:val="en-GB"/>
        </w:rPr>
        <w:footnoteReference w:id="8"/>
      </w:r>
      <w:r w:rsidRPr="00D03A5A">
        <w:rPr>
          <w:sz w:val="20"/>
          <w:lang w:val="en-GB"/>
        </w:rPr>
        <w:t xml:space="preserve"> by less than a half (47%) of all internet users, which is more than a third (37%) of all inhabitants over the age of 16. </w:t>
      </w:r>
    </w:p>
    <w:p w:rsidR="0026358E" w:rsidRPr="00C741FE" w:rsidRDefault="0026358E" w:rsidP="0026358E">
      <w:pPr>
        <w:pStyle w:val="Zkladntext"/>
        <w:numPr>
          <w:ilvl w:val="0"/>
          <w:numId w:val="15"/>
        </w:numPr>
        <w:tabs>
          <w:tab w:val="clear" w:pos="360"/>
        </w:tabs>
        <w:spacing w:before="0" w:after="80" w:line="264" w:lineRule="auto"/>
        <w:ind w:left="284" w:hanging="284"/>
        <w:rPr>
          <w:color w:val="FFFFFF" w:themeColor="background1"/>
          <w:sz w:val="20"/>
          <w:lang w:val="en-GB"/>
        </w:rPr>
      </w:pPr>
      <w:bookmarkStart w:id="12" w:name="_Toc533164361"/>
      <w:r w:rsidRPr="00C741FE">
        <w:rPr>
          <w:sz w:val="20"/>
          <w:lang w:val="en-GB"/>
        </w:rPr>
        <w:t>The survey also implies that the highest percentage of users using the internet</w:t>
      </w:r>
      <w:r w:rsidRPr="00C741FE">
        <w:rPr>
          <w:sz w:val="20"/>
          <w:szCs w:val="20"/>
        </w:rPr>
        <w:t>,</w:t>
      </w:r>
      <w:r w:rsidRPr="00C741FE">
        <w:rPr>
          <w:sz w:val="20"/>
          <w:lang w:val="en-GB"/>
        </w:rPr>
        <w:t xml:space="preserve"> for interaction with public authorities</w:t>
      </w:r>
      <w:r w:rsidRPr="00C741FE">
        <w:rPr>
          <w:sz w:val="20"/>
          <w:szCs w:val="20"/>
        </w:rPr>
        <w:t>,</w:t>
      </w:r>
      <w:r w:rsidRPr="00C741FE">
        <w:rPr>
          <w:sz w:val="20"/>
          <w:lang w:val="en-GB"/>
        </w:rPr>
        <w:t xml:space="preserve"> may be found among university graduates – in 2017, this option was used by nearly two thirds (64%) of them. For interaction with public administration, the internet is frequently used by women on parental leave and persons aged 35–44 – in both of these cases 54% of the persons belonging to this category used this option in 2017. With respect to age, the internet is used the least for the interaction with public administration by users</w:t>
      </w:r>
      <w:r w:rsidRPr="00C741FE">
        <w:rPr>
          <w:color w:val="FF0000"/>
          <w:sz w:val="20"/>
          <w:lang w:val="en-GB"/>
        </w:rPr>
        <w:t xml:space="preserve"> </w:t>
      </w:r>
      <w:r w:rsidRPr="00C741FE">
        <w:rPr>
          <w:sz w:val="20"/>
          <w:lang w:val="en-GB"/>
        </w:rPr>
        <w:t>aged 16–24 and, above all, by users over the age of 65.</w:t>
      </w:r>
      <w:bookmarkEnd w:id="12"/>
    </w:p>
    <w:p w:rsidR="0026358E" w:rsidRPr="00797854" w:rsidRDefault="0026358E" w:rsidP="0026358E">
      <w:pPr>
        <w:pStyle w:val="Zkladntext"/>
        <w:spacing w:before="0" w:after="120" w:line="264" w:lineRule="auto"/>
        <w:rPr>
          <w:sz w:val="14"/>
          <w:szCs w:val="14"/>
          <w:lang w:val="en-GB"/>
        </w:rPr>
      </w:pPr>
      <w:r>
        <w:rPr>
          <w:noProof/>
        </w:rPr>
        <w:drawing>
          <wp:inline distT="0" distB="0" distL="0" distR="0" wp14:anchorId="54802CBA" wp14:editId="5440B0B0">
            <wp:extent cx="3024000" cy="3420000"/>
            <wp:effectExtent l="0" t="0" r="5080" b="9525"/>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D03A5A">
        <w:rPr>
          <w:lang w:val="en-GB"/>
        </w:rPr>
        <w:t xml:space="preserve"> </w:t>
      </w:r>
      <w:r w:rsidRPr="00D03A5A">
        <w:rPr>
          <w:noProof/>
        </w:rPr>
        <w:drawing>
          <wp:inline distT="0" distB="0" distL="0" distR="0" wp14:anchorId="50C736F7" wp14:editId="05947235">
            <wp:extent cx="3048000" cy="3419475"/>
            <wp:effectExtent l="0" t="0" r="0" b="28575"/>
            <wp:docPr id="202" name="Graf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 xml:space="preserve">With respect to internet activities concerning public administration, individuals in the Czech Republic use the internet most frequently to </w:t>
      </w:r>
      <w:r w:rsidRPr="00D03A5A">
        <w:rPr>
          <w:b/>
          <w:sz w:val="20"/>
          <w:lang w:val="en-GB"/>
        </w:rPr>
        <w:t>seek information</w:t>
      </w:r>
      <w:r w:rsidRPr="00D03A5A">
        <w:rPr>
          <w:sz w:val="20"/>
          <w:lang w:val="en-GB"/>
        </w:rPr>
        <w:t xml:space="preserve"> on public authorities’ websites. In 2017, this activity was performed by approximately a third (34%) of persons over the age of 16</w:t>
      </w:r>
      <w:r w:rsidRPr="006926EE">
        <w:rPr>
          <w:sz w:val="20"/>
          <w:szCs w:val="20"/>
        </w:rPr>
        <w:t>,</w:t>
      </w:r>
      <w:r w:rsidRPr="006926EE">
        <w:rPr>
          <w:sz w:val="20"/>
          <w:lang w:val="en-GB"/>
        </w:rPr>
        <w:t xml:space="preserve"> </w:t>
      </w:r>
      <w:r w:rsidRPr="00D03A5A">
        <w:rPr>
          <w:sz w:val="20"/>
          <w:lang w:val="en-GB"/>
        </w:rPr>
        <w:t>compared to less than a fifth (19%) in 2010.</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lastRenderedPageBreak/>
        <w:t>Other internet activities</w:t>
      </w:r>
      <w:r w:rsidRPr="006926EE">
        <w:rPr>
          <w:sz w:val="20"/>
          <w:szCs w:val="20"/>
        </w:rPr>
        <w:t>,</w:t>
      </w:r>
      <w:r w:rsidRPr="006926EE">
        <w:rPr>
          <w:sz w:val="20"/>
          <w:lang w:val="en-GB"/>
        </w:rPr>
        <w:t xml:space="preserve"> </w:t>
      </w:r>
      <w:r w:rsidRPr="00D03A5A">
        <w:rPr>
          <w:sz w:val="20"/>
          <w:lang w:val="en-GB"/>
        </w:rPr>
        <w:t xml:space="preserve">concerning public </w:t>
      </w:r>
      <w:r w:rsidRPr="006926EE">
        <w:rPr>
          <w:sz w:val="20"/>
          <w:lang w:val="en-GB"/>
        </w:rPr>
        <w:t>administration</w:t>
      </w:r>
      <w:r w:rsidRPr="006926EE">
        <w:rPr>
          <w:sz w:val="20"/>
          <w:szCs w:val="20"/>
        </w:rPr>
        <w:t>,</w:t>
      </w:r>
      <w:r w:rsidRPr="00D03A5A">
        <w:rPr>
          <w:sz w:val="20"/>
          <w:lang w:val="en-GB"/>
        </w:rPr>
        <w:t xml:space="preserve"> have not been this popular. In 2017, 16% of individuals </w:t>
      </w:r>
      <w:r w:rsidRPr="00D03A5A">
        <w:rPr>
          <w:b/>
          <w:sz w:val="20"/>
          <w:lang w:val="en-GB"/>
        </w:rPr>
        <w:t>communicated</w:t>
      </w:r>
      <w:r w:rsidRPr="00D03A5A">
        <w:rPr>
          <w:sz w:val="20"/>
          <w:lang w:val="en-GB"/>
        </w:rPr>
        <w:t xml:space="preserve"> with public authorities </w:t>
      </w:r>
      <w:r w:rsidRPr="00D03A5A">
        <w:rPr>
          <w:b/>
          <w:sz w:val="20"/>
          <w:lang w:val="en-GB"/>
        </w:rPr>
        <w:t>by email</w:t>
      </w:r>
      <w:r w:rsidRPr="00D03A5A">
        <w:rPr>
          <w:sz w:val="20"/>
          <w:lang w:val="en-GB"/>
        </w:rPr>
        <w:t xml:space="preserve">, and a similar share (15%) </w:t>
      </w:r>
      <w:r w:rsidRPr="00D03A5A">
        <w:rPr>
          <w:b/>
          <w:sz w:val="20"/>
          <w:lang w:val="en-GB"/>
        </w:rPr>
        <w:t>downloaded a form</w:t>
      </w:r>
      <w:r w:rsidRPr="00D03A5A">
        <w:rPr>
          <w:sz w:val="20"/>
          <w:lang w:val="en-GB"/>
        </w:rPr>
        <w:t xml:space="preserve"> from the website of the given institution. Even a lower number of persons – approx. a tenth (11%) – </w:t>
      </w:r>
      <w:r w:rsidRPr="00D03A5A">
        <w:rPr>
          <w:b/>
          <w:sz w:val="20"/>
          <w:lang w:val="en-GB"/>
        </w:rPr>
        <w:t>filled-i</w:t>
      </w:r>
      <w:r w:rsidRPr="001F5976">
        <w:rPr>
          <w:b/>
          <w:sz w:val="20"/>
          <w:lang w:val="en-GB"/>
        </w:rPr>
        <w:t>n</w:t>
      </w:r>
      <w:r w:rsidRPr="006926EE">
        <w:rPr>
          <w:b/>
          <w:sz w:val="20"/>
          <w:szCs w:val="20"/>
        </w:rPr>
        <w:t>,</w:t>
      </w:r>
      <w:r w:rsidRPr="006926EE">
        <w:rPr>
          <w:b/>
          <w:sz w:val="20"/>
          <w:lang w:val="en-GB"/>
        </w:rPr>
        <w:t xml:space="preserve"> </w:t>
      </w:r>
      <w:r w:rsidRPr="00D03A5A">
        <w:rPr>
          <w:b/>
          <w:sz w:val="20"/>
          <w:lang w:val="en-GB"/>
        </w:rPr>
        <w:t>and submitted</w:t>
      </w:r>
      <w:r w:rsidRPr="006926EE">
        <w:rPr>
          <w:b/>
          <w:sz w:val="20"/>
          <w:szCs w:val="20"/>
        </w:rPr>
        <w:t>,</w:t>
      </w:r>
      <w:r w:rsidRPr="00D03A5A">
        <w:rPr>
          <w:b/>
          <w:sz w:val="20"/>
          <w:lang w:val="en-GB"/>
        </w:rPr>
        <w:t xml:space="preserve"> the form to public authorities via the internet</w:t>
      </w:r>
      <w:r w:rsidRPr="00D03A5A">
        <w:rPr>
          <w:sz w:val="20"/>
          <w:lang w:val="en-GB"/>
        </w:rPr>
        <w:t xml:space="preserve">. </w:t>
      </w:r>
    </w:p>
    <w:p w:rsidR="0026358E" w:rsidRPr="00D03A5A" w:rsidRDefault="0026358E" w:rsidP="0026358E">
      <w:pPr>
        <w:pStyle w:val="Zkladntext"/>
        <w:numPr>
          <w:ilvl w:val="0"/>
          <w:numId w:val="15"/>
        </w:numPr>
        <w:tabs>
          <w:tab w:val="clear" w:pos="360"/>
        </w:tabs>
        <w:spacing w:before="0" w:after="80" w:line="264" w:lineRule="auto"/>
        <w:ind w:left="284" w:hanging="284"/>
        <w:rPr>
          <w:sz w:val="20"/>
          <w:lang w:val="en-GB"/>
        </w:rPr>
      </w:pPr>
      <w:r w:rsidRPr="00D03A5A">
        <w:rPr>
          <w:sz w:val="20"/>
          <w:lang w:val="en-GB"/>
        </w:rPr>
        <w:t>Precisely the option to fill in and submit a form online</w:t>
      </w:r>
      <w:r w:rsidRPr="006926EE">
        <w:rPr>
          <w:sz w:val="20"/>
          <w:szCs w:val="20"/>
        </w:rPr>
        <w:t>,</w:t>
      </w:r>
      <w:r w:rsidRPr="006926EE">
        <w:rPr>
          <w:sz w:val="20"/>
          <w:lang w:val="en-GB"/>
        </w:rPr>
        <w:t xml:space="preserve"> </w:t>
      </w:r>
      <w:r w:rsidRPr="00D03A5A">
        <w:rPr>
          <w:sz w:val="20"/>
          <w:lang w:val="en-GB"/>
        </w:rPr>
        <w:t xml:space="preserve">from the person’s home or from any other </w:t>
      </w:r>
      <w:r w:rsidRPr="006926EE">
        <w:rPr>
          <w:sz w:val="20"/>
          <w:lang w:val="en-GB"/>
        </w:rPr>
        <w:t>place</w:t>
      </w:r>
      <w:r w:rsidRPr="006926EE">
        <w:rPr>
          <w:sz w:val="20"/>
          <w:szCs w:val="20"/>
        </w:rPr>
        <w:t>,</w:t>
      </w:r>
      <w:r w:rsidRPr="00D03A5A">
        <w:rPr>
          <w:sz w:val="20"/>
          <w:lang w:val="en-GB"/>
        </w:rPr>
        <w:t xml:space="preserve"> forms part of so called eGovernment, which represents another phase of computerization of public administration. The vast majority of the population in the Czech Republic (89% in 2017) has not been using the option to fill in and submit forms </w:t>
      </w:r>
      <w:r w:rsidRPr="006926EE">
        <w:rPr>
          <w:sz w:val="20"/>
          <w:lang w:val="en-GB"/>
        </w:rPr>
        <w:t>electronically</w:t>
      </w:r>
      <w:r w:rsidRPr="006926EE">
        <w:rPr>
          <w:sz w:val="20"/>
          <w:szCs w:val="20"/>
        </w:rPr>
        <w:t>,</w:t>
      </w:r>
      <w:r w:rsidRPr="00D03A5A">
        <w:rPr>
          <w:sz w:val="20"/>
          <w:lang w:val="en-GB"/>
        </w:rPr>
        <w:t xml:space="preserve"> yet. The most common </w:t>
      </w:r>
      <w:r w:rsidRPr="006926EE">
        <w:rPr>
          <w:sz w:val="20"/>
          <w:lang w:val="en-GB"/>
        </w:rPr>
        <w:t>reason</w:t>
      </w:r>
      <w:r w:rsidRPr="006926EE">
        <w:rPr>
          <w:sz w:val="20"/>
          <w:szCs w:val="20"/>
        </w:rPr>
        <w:t>,</w:t>
      </w:r>
      <w:r w:rsidRPr="006926EE">
        <w:rPr>
          <w:sz w:val="20"/>
          <w:lang w:val="en-GB"/>
        </w:rPr>
        <w:t xml:space="preserve"> </w:t>
      </w:r>
      <w:r w:rsidRPr="00D03A5A">
        <w:rPr>
          <w:sz w:val="20"/>
          <w:lang w:val="en-GB"/>
        </w:rPr>
        <w:t xml:space="preserve">why adult Czech citizens did not complete and submit online forms to authorities in </w:t>
      </w:r>
      <w:r w:rsidRPr="006926EE">
        <w:rPr>
          <w:sz w:val="20"/>
          <w:lang w:val="en-GB"/>
        </w:rPr>
        <w:t>2017</w:t>
      </w:r>
      <w:r w:rsidRPr="006926EE">
        <w:rPr>
          <w:sz w:val="20"/>
          <w:szCs w:val="20"/>
        </w:rPr>
        <w:t>,</w:t>
      </w:r>
      <w:r w:rsidRPr="00D03A5A">
        <w:rPr>
          <w:sz w:val="20"/>
          <w:lang w:val="en-GB"/>
        </w:rPr>
        <w:t xml:space="preserve"> was that </w:t>
      </w:r>
      <w:r w:rsidRPr="00D03A5A">
        <w:rPr>
          <w:b/>
          <w:sz w:val="20"/>
          <w:lang w:val="en-GB"/>
        </w:rPr>
        <w:t>they had no need to fill in any form</w:t>
      </w:r>
      <w:r w:rsidRPr="00D03A5A">
        <w:rPr>
          <w:sz w:val="20"/>
          <w:lang w:val="en-GB"/>
        </w:rPr>
        <w:t xml:space="preserve">. This was the response of nearly a half of all persons (47%). A quarter of all individuals (24%) stated that they had not used the online forms because they </w:t>
      </w:r>
      <w:r w:rsidRPr="00D03A5A">
        <w:rPr>
          <w:b/>
          <w:sz w:val="20"/>
          <w:lang w:val="en-GB"/>
        </w:rPr>
        <w:t>did not use the interne</w:t>
      </w:r>
      <w:r w:rsidRPr="006926EE">
        <w:rPr>
          <w:b/>
          <w:sz w:val="20"/>
          <w:lang w:val="en-GB"/>
        </w:rPr>
        <w:t>t</w:t>
      </w:r>
      <w:r w:rsidRPr="006926EE">
        <w:rPr>
          <w:sz w:val="20"/>
          <w:szCs w:val="20"/>
        </w:rPr>
        <w:t>,</w:t>
      </w:r>
      <w:r w:rsidRPr="006926EE">
        <w:rPr>
          <w:sz w:val="20"/>
          <w:lang w:val="en-GB"/>
        </w:rPr>
        <w:t xml:space="preserve"> </w:t>
      </w:r>
      <w:r w:rsidRPr="00D03A5A">
        <w:rPr>
          <w:sz w:val="20"/>
          <w:lang w:val="en-GB"/>
        </w:rPr>
        <w:t xml:space="preserve">and the other individuals (30%) provided other reasons for not using it, such as insufficient knowledge, skills, concern over personal data protection, or that someone else had submitted the form for them. Some of them also stated that they had wished to fill in the form </w:t>
      </w:r>
      <w:r w:rsidRPr="006926EE">
        <w:rPr>
          <w:sz w:val="20"/>
          <w:lang w:val="en-GB"/>
        </w:rPr>
        <w:t>online</w:t>
      </w:r>
      <w:r w:rsidRPr="006926EE">
        <w:rPr>
          <w:sz w:val="20"/>
          <w:szCs w:val="20"/>
        </w:rPr>
        <w:t>,</w:t>
      </w:r>
      <w:r w:rsidRPr="006926EE">
        <w:rPr>
          <w:sz w:val="20"/>
          <w:lang w:val="en-GB"/>
        </w:rPr>
        <w:t xml:space="preserve"> </w:t>
      </w:r>
      <w:r w:rsidRPr="00D03A5A">
        <w:rPr>
          <w:sz w:val="20"/>
          <w:lang w:val="en-GB"/>
        </w:rPr>
        <w:t xml:space="preserve">but the required form was not available online at </w:t>
      </w:r>
      <w:r w:rsidRPr="006926EE">
        <w:rPr>
          <w:sz w:val="20"/>
          <w:lang w:val="en-GB"/>
        </w:rPr>
        <w:t>the</w:t>
      </w:r>
      <w:r w:rsidRPr="001F5976">
        <w:rPr>
          <w:color w:val="FF0000"/>
          <w:sz w:val="20"/>
          <w:lang w:val="en-GB"/>
        </w:rPr>
        <w:t xml:space="preserve"> </w:t>
      </w:r>
      <w:r w:rsidRPr="00D03A5A">
        <w:rPr>
          <w:sz w:val="20"/>
          <w:lang w:val="en-GB"/>
        </w:rPr>
        <w:t>time.</w:t>
      </w:r>
    </w:p>
    <w:p w:rsidR="0026358E" w:rsidRPr="00D03A5A" w:rsidRDefault="0026358E" w:rsidP="0026358E">
      <w:pPr>
        <w:pStyle w:val="Zkladntext"/>
        <w:numPr>
          <w:ilvl w:val="0"/>
          <w:numId w:val="15"/>
        </w:numPr>
        <w:tabs>
          <w:tab w:val="clear" w:pos="360"/>
        </w:tabs>
        <w:spacing w:before="0" w:after="80" w:line="264" w:lineRule="auto"/>
        <w:ind w:left="284" w:hanging="284"/>
        <w:rPr>
          <w:sz w:val="20"/>
          <w:szCs w:val="20"/>
          <w:lang w:val="en-GB"/>
        </w:rPr>
      </w:pPr>
      <w:r w:rsidRPr="006926EE">
        <w:rPr>
          <w:sz w:val="20"/>
          <w:szCs w:val="20"/>
          <w:lang w:val="en-GB"/>
        </w:rPr>
        <w:t xml:space="preserve">With regards to </w:t>
      </w:r>
      <w:r w:rsidRPr="00D03A5A">
        <w:rPr>
          <w:sz w:val="20"/>
          <w:szCs w:val="20"/>
          <w:lang w:val="en-GB"/>
        </w:rPr>
        <w:t>the usage of the internet for interaction with public authorities</w:t>
      </w:r>
      <w:r w:rsidRPr="00D03A5A">
        <w:rPr>
          <w:rStyle w:val="Znakapoznpodarou"/>
          <w:sz w:val="20"/>
          <w:szCs w:val="20"/>
          <w:lang w:val="en-GB"/>
        </w:rPr>
        <w:footnoteReference w:id="9"/>
      </w:r>
      <w:r w:rsidRPr="006926EE">
        <w:rPr>
          <w:sz w:val="20"/>
          <w:szCs w:val="20"/>
        </w:rPr>
        <w:t>,</w:t>
      </w:r>
      <w:r w:rsidRPr="00D03A5A">
        <w:rPr>
          <w:sz w:val="20"/>
          <w:szCs w:val="20"/>
          <w:lang w:val="en-GB"/>
        </w:rPr>
        <w:t xml:space="preserve"> for selected activities </w:t>
      </w:r>
      <w:r w:rsidRPr="00D03A5A">
        <w:rPr>
          <w:b/>
          <w:sz w:val="20"/>
          <w:szCs w:val="20"/>
          <w:lang w:val="en-GB"/>
        </w:rPr>
        <w:t>in EU countries</w:t>
      </w:r>
      <w:r w:rsidRPr="00D03A5A">
        <w:rPr>
          <w:sz w:val="20"/>
          <w:szCs w:val="20"/>
          <w:lang w:val="en-GB"/>
        </w:rPr>
        <w:t xml:space="preserve">, the Czech Republic </w:t>
      </w:r>
      <w:r w:rsidRPr="006926EE">
        <w:rPr>
          <w:sz w:val="20"/>
          <w:szCs w:val="20"/>
          <w:lang w:val="en-GB"/>
        </w:rPr>
        <w:t xml:space="preserve">is still </w:t>
      </w:r>
      <w:r w:rsidRPr="00D03A5A">
        <w:rPr>
          <w:sz w:val="20"/>
          <w:szCs w:val="20"/>
          <w:lang w:val="en-GB"/>
        </w:rPr>
        <w:t xml:space="preserve">below average. In 2017, the internet was used for the interaction with public </w:t>
      </w:r>
      <w:r w:rsidRPr="006926EE">
        <w:rPr>
          <w:sz w:val="20"/>
          <w:szCs w:val="20"/>
          <w:lang w:val="en-GB"/>
        </w:rPr>
        <w:t>administration</w:t>
      </w:r>
      <w:r w:rsidRPr="006926EE">
        <w:rPr>
          <w:sz w:val="20"/>
          <w:szCs w:val="20"/>
        </w:rPr>
        <w:t>,</w:t>
      </w:r>
      <w:r w:rsidRPr="006926EE">
        <w:rPr>
          <w:sz w:val="20"/>
          <w:szCs w:val="20"/>
          <w:lang w:val="en-GB"/>
        </w:rPr>
        <w:t xml:space="preserve"> by an </w:t>
      </w:r>
      <w:r w:rsidRPr="00D03A5A">
        <w:rPr>
          <w:sz w:val="20"/>
          <w:szCs w:val="20"/>
          <w:lang w:val="en-GB"/>
        </w:rPr>
        <w:t xml:space="preserve">average of 49% of individuals aged 16–74 in the EU, however, only 46% in the Czech Republic. The highest percentage of </w:t>
      </w:r>
      <w:r w:rsidRPr="006926EE">
        <w:rPr>
          <w:sz w:val="20"/>
          <w:szCs w:val="20"/>
          <w:lang w:val="en-GB"/>
        </w:rPr>
        <w:t>individuals</w:t>
      </w:r>
      <w:r w:rsidRPr="006926EE">
        <w:rPr>
          <w:sz w:val="20"/>
          <w:szCs w:val="20"/>
        </w:rPr>
        <w:t>,</w:t>
      </w:r>
      <w:r w:rsidRPr="006926EE">
        <w:rPr>
          <w:sz w:val="20"/>
          <w:szCs w:val="20"/>
          <w:lang w:val="en-GB"/>
        </w:rPr>
        <w:t xml:space="preserve"> </w:t>
      </w:r>
      <w:r w:rsidRPr="00D03A5A">
        <w:rPr>
          <w:sz w:val="20"/>
          <w:szCs w:val="20"/>
          <w:lang w:val="en-GB"/>
        </w:rPr>
        <w:t xml:space="preserve">using the internet with respect to public administration </w:t>
      </w:r>
      <w:r w:rsidRPr="006926EE">
        <w:rPr>
          <w:sz w:val="20"/>
          <w:szCs w:val="20"/>
          <w:lang w:val="en-GB"/>
        </w:rPr>
        <w:t>institutions</w:t>
      </w:r>
      <w:r w:rsidRPr="006926EE">
        <w:rPr>
          <w:sz w:val="20"/>
          <w:szCs w:val="20"/>
        </w:rPr>
        <w:t>,</w:t>
      </w:r>
      <w:r w:rsidRPr="006926EE">
        <w:rPr>
          <w:sz w:val="20"/>
          <w:szCs w:val="20"/>
          <w:lang w:val="en-GB"/>
        </w:rPr>
        <w:t xml:space="preserve"> </w:t>
      </w:r>
      <w:r w:rsidRPr="00D03A5A">
        <w:rPr>
          <w:sz w:val="20"/>
          <w:szCs w:val="20"/>
          <w:lang w:val="en-GB"/>
        </w:rPr>
        <w:t>can be found in the Nordic states, in the Netherlands, and in Estonia.</w:t>
      </w:r>
    </w:p>
    <w:p w:rsidR="0026358E" w:rsidRDefault="0026358E" w:rsidP="0026358E">
      <w:pPr>
        <w:pStyle w:val="Zkladntext"/>
        <w:spacing w:before="0" w:after="100" w:line="264" w:lineRule="auto"/>
        <w:rPr>
          <w:b/>
          <w:bCs/>
          <w:sz w:val="20"/>
          <w:szCs w:val="20"/>
          <w:lang w:val="en-GB"/>
        </w:rPr>
      </w:pPr>
      <w:r w:rsidRPr="00D03A5A">
        <w:rPr>
          <w:noProof/>
        </w:rPr>
        <w:drawing>
          <wp:inline distT="0" distB="0" distL="0" distR="0" wp14:anchorId="2AEE11E1" wp14:editId="0A30A82D">
            <wp:extent cx="6047740" cy="3429000"/>
            <wp:effectExtent l="0" t="0" r="0" b="0"/>
            <wp:docPr id="203" name="Graf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B46EA" w:rsidRPr="008B77BB" w:rsidRDefault="0026358E" w:rsidP="008B77BB">
      <w:pPr>
        <w:pStyle w:val="Zkladntext"/>
        <w:numPr>
          <w:ilvl w:val="0"/>
          <w:numId w:val="15"/>
        </w:numPr>
        <w:tabs>
          <w:tab w:val="clear" w:pos="360"/>
        </w:tabs>
        <w:spacing w:before="0" w:line="264" w:lineRule="auto"/>
        <w:ind w:left="284" w:hanging="284"/>
        <w:rPr>
          <w:sz w:val="20"/>
          <w:szCs w:val="20"/>
          <w:lang w:val="en-GB"/>
        </w:rPr>
      </w:pPr>
      <w:r w:rsidRPr="00EE0E4F">
        <w:rPr>
          <w:sz w:val="20"/>
          <w:szCs w:val="20"/>
          <w:lang w:val="en-GB"/>
        </w:rPr>
        <w:t>Whereas in some EU countries, such as Estonia, Ireland or the Nordic states, the online filling-in and submitting of forms is common for the interaction with public authorities, Czech citizens are more passive in interaction with public authorities, and they use the internet mainly for information seeking on the public authority’s website. In aforementioned Estonia, in 2017, a form was filled-in and submitted via the internet by 70% of individuals, whereas in the Czech Republic the total was solely 14%. The EU-average was 30%.</w:t>
      </w:r>
      <w:bookmarkEnd w:id="2"/>
    </w:p>
    <w:sectPr w:rsidR="007B46EA" w:rsidRPr="008B77BB" w:rsidSect="008B77BB">
      <w:headerReference w:type="even" r:id="rId28"/>
      <w:headerReference w:type="default" r:id="rId29"/>
      <w:footerReference w:type="even" r:id="rId30"/>
      <w:footerReference w:type="default" r:id="rId31"/>
      <w:type w:val="continuous"/>
      <w:pgSz w:w="11906" w:h="16838" w:code="9"/>
      <w:pgMar w:top="1134" w:right="1134" w:bottom="1418" w:left="1134" w:header="680" w:footer="680"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0B" w:rsidRDefault="008E680B" w:rsidP="00E71A58">
      <w:r>
        <w:separator/>
      </w:r>
    </w:p>
  </w:endnote>
  <w:endnote w:type="continuationSeparator" w:id="0">
    <w:p w:rsidR="008E680B" w:rsidRDefault="008E68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3A6B38">
    <w:pPr>
      <w:pStyle w:val="Zpat"/>
    </w:pPr>
    <w:r>
      <w:rPr>
        <w:noProof/>
        <w:lang w:val="cs-CZ" w:eastAsia="cs-CZ"/>
      </w:rPr>
      <w:drawing>
        <wp:anchor distT="0" distB="0" distL="114300" distR="114300" simplePos="0" relativeHeight="251654144" behindDoc="0" locked="0" layoutInCell="1" allowOverlap="1" wp14:anchorId="184F75B6" wp14:editId="3B638861">
          <wp:simplePos x="0" y="0"/>
          <wp:positionH relativeFrom="column">
            <wp:posOffset>5660390</wp:posOffset>
          </wp:positionH>
          <wp:positionV relativeFrom="paragraph">
            <wp:posOffset>-52070</wp:posOffset>
          </wp:positionV>
          <wp:extent cx="466725" cy="219075"/>
          <wp:effectExtent l="0" t="0" r="0" b="0"/>
          <wp:wrapNone/>
          <wp:docPr id="95"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szCs w:val="16"/>
      </w:rPr>
      <w:fldChar w:fldCharType="begin"/>
    </w:r>
    <w:r w:rsidRPr="005A21E0">
      <w:rPr>
        <w:szCs w:val="16"/>
      </w:rPr>
      <w:instrText>PAGE   \* MERGEFORMAT</w:instrText>
    </w:r>
    <w:r w:rsidRPr="005A21E0">
      <w:rPr>
        <w:szCs w:val="16"/>
      </w:rPr>
      <w:fldChar w:fldCharType="separate"/>
    </w:r>
    <w:r w:rsidR="008B77BB">
      <w:rPr>
        <w:noProof/>
        <w:szCs w:val="16"/>
      </w:rPr>
      <w:t>74</w:t>
    </w:r>
    <w:r w:rsidRPr="005A21E0">
      <w:rPr>
        <w:szCs w:val="16"/>
      </w:rPr>
      <w:fldChar w:fldCharType="end"/>
    </w:r>
    <w:r>
      <w:rPr>
        <w:szCs w:val="16"/>
      </w:rPr>
      <w:tab/>
      <w:t>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7B46EA">
    <w:pPr>
      <w:pStyle w:val="Zpat"/>
      <w:tabs>
        <w:tab w:val="clear" w:pos="9639"/>
        <w:tab w:val="left" w:pos="1134"/>
        <w:tab w:val="left" w:pos="1920"/>
        <w:tab w:val="right" w:pos="9498"/>
      </w:tabs>
    </w:pPr>
    <w:r>
      <w:rPr>
        <w:noProof/>
        <w:lang w:val="cs-CZ" w:eastAsia="cs-CZ"/>
      </w:rPr>
      <w:drawing>
        <wp:anchor distT="0" distB="0" distL="114300" distR="114300" simplePos="0" relativeHeight="251657216" behindDoc="0" locked="0" layoutInCell="1" allowOverlap="1" wp14:anchorId="7473D317" wp14:editId="1A76221A">
          <wp:simplePos x="0" y="0"/>
          <wp:positionH relativeFrom="margin">
            <wp:posOffset>0</wp:posOffset>
          </wp:positionH>
          <wp:positionV relativeFrom="paragraph">
            <wp:posOffset>0</wp:posOffset>
          </wp:positionV>
          <wp:extent cx="676910" cy="201930"/>
          <wp:effectExtent l="0" t="0" r="8890" b="7620"/>
          <wp:wrapNone/>
          <wp:docPr id="97"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Cs w:val="16"/>
      </w:rPr>
      <w:tab/>
    </w:r>
    <w:r>
      <w:rPr>
        <w:szCs w:val="16"/>
      </w:rPr>
      <w:tab/>
      <w:t xml:space="preserve">2018 </w:t>
    </w:r>
    <w:r>
      <w:rPr>
        <w:szCs w:val="16"/>
      </w:rPr>
      <w:tab/>
    </w:r>
    <w:r w:rsidRPr="00B6608F">
      <w:rPr>
        <w:szCs w:val="16"/>
      </w:rPr>
      <w:fldChar w:fldCharType="begin"/>
    </w:r>
    <w:r w:rsidRPr="00B6608F">
      <w:rPr>
        <w:szCs w:val="16"/>
      </w:rPr>
      <w:instrText>PAGE   \* MERGEFORMAT</w:instrText>
    </w:r>
    <w:r w:rsidRPr="00B6608F">
      <w:rPr>
        <w:szCs w:val="16"/>
      </w:rPr>
      <w:fldChar w:fldCharType="separate"/>
    </w:r>
    <w:r w:rsidR="008B77BB">
      <w:rPr>
        <w:noProof/>
        <w:szCs w:val="16"/>
      </w:rPr>
      <w:t>75</w:t>
    </w:r>
    <w:r w:rsidRPr="00B6608F">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pPr>
      <w:pStyle w:val="Zpat"/>
    </w:pPr>
  </w:p>
  <w:p w:rsidR="003945DB" w:rsidRDefault="003945D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D44910">
    <w:pPr>
      <w:pStyle w:val="Zpat"/>
    </w:pPr>
    <w:r>
      <w:rPr>
        <w:noProof/>
        <w:lang w:val="cs-CZ" w:eastAsia="cs-CZ"/>
      </w:rPr>
      <w:drawing>
        <wp:anchor distT="0" distB="0" distL="114300" distR="114300" simplePos="0" relativeHeight="251659264" behindDoc="0" locked="0" layoutInCell="1" allowOverlap="1">
          <wp:simplePos x="0" y="0"/>
          <wp:positionH relativeFrom="column">
            <wp:align>right</wp:align>
          </wp:positionH>
          <wp:positionV relativeFrom="paragraph">
            <wp:posOffset>-64770</wp:posOffset>
          </wp:positionV>
          <wp:extent cx="385445" cy="190500"/>
          <wp:effectExtent l="0" t="0" r="0" b="12700"/>
          <wp:wrapNone/>
          <wp:docPr id="81"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910">
      <w:fldChar w:fldCharType="begin"/>
    </w:r>
    <w:r w:rsidRPr="00D44910">
      <w:instrText>PAGE   \* MERGEFORMAT</w:instrText>
    </w:r>
    <w:r w:rsidRPr="00D44910">
      <w:fldChar w:fldCharType="separate"/>
    </w:r>
    <w:r w:rsidR="008B77BB">
      <w:rPr>
        <w:noProof/>
      </w:rPr>
      <w:t>80</w:t>
    </w:r>
    <w:r w:rsidRPr="00D44910">
      <w:fldChar w:fldCharType="end"/>
    </w:r>
    <w:r w:rsidRPr="00D44910">
      <w:tab/>
    </w:r>
    <w:r>
      <w:rPr>
        <w:szCs w:val="16"/>
      </w:rPr>
      <w:t>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FE30D1">
    <w:pPr>
      <w:pStyle w:val="Zpat"/>
    </w:pPr>
    <w:r>
      <w:rPr>
        <w:noProof/>
        <w:lang w:val="cs-CZ" w:eastAsia="cs-CZ"/>
      </w:rPr>
      <w:drawing>
        <wp:anchor distT="0" distB="0" distL="114300" distR="114300" simplePos="0" relativeHeight="251658240" behindDoc="0" locked="0" layoutInCell="1" allowOverlap="1">
          <wp:simplePos x="0" y="0"/>
          <wp:positionH relativeFrom="column">
            <wp:align>left</wp:align>
          </wp:positionH>
          <wp:positionV relativeFrom="paragraph">
            <wp:posOffset>-64770</wp:posOffset>
          </wp:positionV>
          <wp:extent cx="676910" cy="201930"/>
          <wp:effectExtent l="0" t="0" r="8890" b="1270"/>
          <wp:wrapNone/>
          <wp:docPr id="89"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8F3">
      <w:tab/>
    </w:r>
    <w:r>
      <w:rPr>
        <w:szCs w:val="16"/>
      </w:rPr>
      <w:t>2018</w:t>
    </w:r>
    <w:r w:rsidRPr="000B58F3">
      <w:tab/>
    </w:r>
    <w:r w:rsidRPr="000B58F3">
      <w:rPr>
        <w:rStyle w:val="ZpatChar"/>
      </w:rPr>
      <w:fldChar w:fldCharType="begin"/>
    </w:r>
    <w:r w:rsidRPr="000B58F3">
      <w:rPr>
        <w:rStyle w:val="ZpatChar"/>
      </w:rPr>
      <w:instrText>PAGE   \* MERGEFORMAT</w:instrText>
    </w:r>
    <w:r w:rsidRPr="000B58F3">
      <w:rPr>
        <w:rStyle w:val="ZpatChar"/>
      </w:rPr>
      <w:fldChar w:fldCharType="separate"/>
    </w:r>
    <w:r w:rsidR="008B77BB">
      <w:rPr>
        <w:rStyle w:val="ZpatChar"/>
        <w:noProof/>
      </w:rPr>
      <w:t>81</w:t>
    </w:r>
    <w:r w:rsidRPr="000B58F3">
      <w:rPr>
        <w:rStyle w:val="Zpa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0B" w:rsidRDefault="008E680B" w:rsidP="00E71A58">
      <w:r>
        <w:separator/>
      </w:r>
    </w:p>
  </w:footnote>
  <w:footnote w:type="continuationSeparator" w:id="0">
    <w:p w:rsidR="008E680B" w:rsidRDefault="008E680B" w:rsidP="00E71A58">
      <w:r>
        <w:continuationSeparator/>
      </w:r>
    </w:p>
  </w:footnote>
  <w:footnote w:id="1">
    <w:p w:rsidR="003945DB" w:rsidRPr="00421252" w:rsidRDefault="003945DB" w:rsidP="0026358E">
      <w:pPr>
        <w:pStyle w:val="Textpoznpodarou"/>
        <w:rPr>
          <w:rFonts w:ascii="Arial" w:hAnsi="Arial" w:cs="Arial"/>
          <w:sz w:val="18"/>
          <w:szCs w:val="18"/>
          <w:lang w:val="en-GB"/>
        </w:rPr>
      </w:pPr>
      <w:r w:rsidRPr="00421252">
        <w:rPr>
          <w:rStyle w:val="Znakapoznpodarou"/>
          <w:rFonts w:ascii="Arial" w:hAnsi="Arial" w:cs="Arial"/>
          <w:sz w:val="18"/>
          <w:lang w:val="en-GB"/>
        </w:rPr>
        <w:footnoteRef/>
      </w:r>
      <w:r w:rsidRPr="00421252">
        <w:rPr>
          <w:rFonts w:ascii="Arial" w:hAnsi="Arial"/>
          <w:sz w:val="18"/>
          <w:lang w:val="en-GB"/>
        </w:rPr>
        <w:t xml:space="preserve"> In 2007, the ministry was closed.</w:t>
      </w:r>
    </w:p>
  </w:footnote>
  <w:footnote w:id="2">
    <w:p w:rsidR="003945DB" w:rsidRPr="00421252" w:rsidRDefault="003945DB" w:rsidP="0026358E">
      <w:pPr>
        <w:pStyle w:val="Textpoznpodarou"/>
        <w:spacing w:before="60"/>
        <w:jc w:val="both"/>
        <w:rPr>
          <w:rFonts w:ascii="Arial" w:hAnsi="Arial" w:cs="Arial"/>
          <w:sz w:val="18"/>
          <w:szCs w:val="18"/>
          <w:lang w:val="en-GB"/>
        </w:rPr>
      </w:pPr>
      <w:r w:rsidRPr="00421252">
        <w:rPr>
          <w:rStyle w:val="Znakapoznpodarou"/>
          <w:rFonts w:ascii="Arial" w:hAnsi="Arial" w:cs="Arial"/>
          <w:sz w:val="18"/>
          <w:szCs w:val="18"/>
          <w:lang w:val="en-GB"/>
        </w:rPr>
        <w:footnoteRef/>
      </w:r>
      <w:r w:rsidRPr="00421252">
        <w:rPr>
          <w:rFonts w:ascii="Arial" w:hAnsi="Arial" w:cs="Arial"/>
          <w:sz w:val="18"/>
          <w:szCs w:val="18"/>
          <w:lang w:val="en-GB"/>
        </w:rPr>
        <w:t xml:space="preserve"> Electronic submission is parallel to the submission sent by the classic form, but made via the internet. Legal entities or natural persons do not need to go to the offices of the public authorities in person. </w:t>
      </w:r>
    </w:p>
  </w:footnote>
  <w:footnote w:id="3">
    <w:p w:rsidR="003945DB" w:rsidRPr="00421252" w:rsidRDefault="003945DB" w:rsidP="0026358E">
      <w:pPr>
        <w:pStyle w:val="Textpoznpodarou"/>
        <w:spacing w:before="60"/>
        <w:rPr>
          <w:rFonts w:ascii="Arial" w:hAnsi="Arial" w:cs="Arial"/>
          <w:sz w:val="18"/>
          <w:szCs w:val="18"/>
          <w:lang w:val="en-GB"/>
        </w:rPr>
      </w:pPr>
      <w:r w:rsidRPr="00421252">
        <w:rPr>
          <w:rStyle w:val="Znakapoznpodarou"/>
          <w:rFonts w:ascii="Arial" w:hAnsi="Arial" w:cs="Arial"/>
          <w:sz w:val="18"/>
          <w:szCs w:val="18"/>
          <w:lang w:val="en-GB"/>
        </w:rPr>
        <w:footnoteRef/>
      </w:r>
      <w:r w:rsidRPr="00421252">
        <w:rPr>
          <w:rFonts w:ascii="Arial" w:hAnsi="Arial" w:cs="Arial"/>
          <w:sz w:val="18"/>
          <w:szCs w:val="18"/>
          <w:lang w:val="en-GB"/>
        </w:rPr>
        <w:t xml:space="preserve"> Unless a qualified electronic signature or a Data Box is owned.</w:t>
      </w:r>
      <w:bookmarkStart w:id="3" w:name="_GoBack"/>
      <w:bookmarkEnd w:id="3"/>
    </w:p>
  </w:footnote>
  <w:footnote w:id="4">
    <w:p w:rsidR="003945DB" w:rsidRPr="00332D9D" w:rsidRDefault="003945DB" w:rsidP="004C5207">
      <w:pPr>
        <w:pStyle w:val="Textpoznpodarou"/>
        <w:jc w:val="both"/>
        <w:rPr>
          <w:rFonts w:ascii="Arial" w:hAnsi="Arial"/>
          <w:sz w:val="18"/>
          <w:szCs w:val="18"/>
          <w:lang w:val="en-GB"/>
        </w:rPr>
      </w:pPr>
      <w:r w:rsidRPr="00150F8A">
        <w:rPr>
          <w:rStyle w:val="Znakapoznpodarou"/>
          <w:rFonts w:ascii="Arial" w:hAnsi="Arial" w:cs="Arial"/>
          <w:sz w:val="18"/>
          <w:szCs w:val="18"/>
          <w:lang w:val="en-GB"/>
        </w:rPr>
        <w:footnoteRef/>
      </w:r>
      <w:r w:rsidRPr="00150F8A">
        <w:rPr>
          <w:rFonts w:ascii="Arial" w:hAnsi="Arial"/>
          <w:sz w:val="18"/>
          <w:szCs w:val="18"/>
          <w:lang w:val="en-GB"/>
        </w:rPr>
        <w:t xml:space="preserve"> There are currently 3 main interfaces – </w:t>
      </w:r>
      <w:r w:rsidRPr="00150F8A">
        <w:rPr>
          <w:rFonts w:ascii="Arial" w:hAnsi="Arial"/>
          <w:b/>
          <w:sz w:val="18"/>
          <w:szCs w:val="18"/>
          <w:lang w:val="en-GB"/>
        </w:rPr>
        <w:t xml:space="preserve">Czech POINT </w:t>
      </w:r>
      <w:r w:rsidRPr="00150F8A">
        <w:rPr>
          <w:rFonts w:ascii="Arial" w:hAnsi="Arial"/>
          <w:sz w:val="18"/>
          <w:szCs w:val="18"/>
          <w:lang w:val="en-GB"/>
        </w:rPr>
        <w:t>as the</w:t>
      </w:r>
      <w:r w:rsidRPr="00150F8A">
        <w:rPr>
          <w:rFonts w:ascii="Arial" w:hAnsi="Arial"/>
          <w:b/>
          <w:sz w:val="18"/>
          <w:szCs w:val="18"/>
          <w:lang w:val="en-GB"/>
        </w:rPr>
        <w:t xml:space="preserve"> assisted contact point</w:t>
      </w:r>
      <w:r w:rsidRPr="00150F8A">
        <w:rPr>
          <w:rFonts w:ascii="Arial" w:hAnsi="Arial"/>
          <w:sz w:val="18"/>
          <w:szCs w:val="18"/>
          <w:lang w:val="en-GB"/>
        </w:rPr>
        <w:t xml:space="preserve"> of public administration designated for citizens, </w:t>
      </w:r>
      <w:r w:rsidRPr="00150F8A">
        <w:rPr>
          <w:rFonts w:ascii="Arial" w:hAnsi="Arial"/>
          <w:b/>
          <w:sz w:val="18"/>
          <w:szCs w:val="18"/>
          <w:lang w:val="en-GB"/>
        </w:rPr>
        <w:t>CzechPOINT@office</w:t>
      </w:r>
      <w:r w:rsidRPr="00150F8A">
        <w:rPr>
          <w:rFonts w:ascii="Arial" w:hAnsi="Arial"/>
          <w:sz w:val="18"/>
          <w:szCs w:val="18"/>
          <w:lang w:val="en-GB"/>
        </w:rPr>
        <w:t xml:space="preserve"> – a non-public internet application designated for civil servants of public administration who must access the registers by law or perform the conversion of documents by virtue of office, and the newest interface </w:t>
      </w:r>
      <w:r w:rsidRPr="00150F8A">
        <w:rPr>
          <w:rFonts w:ascii="Arial" w:hAnsi="Arial"/>
          <w:b/>
          <w:sz w:val="18"/>
          <w:szCs w:val="18"/>
          <w:lang w:val="en-GB"/>
        </w:rPr>
        <w:t>CzechPOINT@home</w:t>
      </w:r>
      <w:r w:rsidRPr="00150F8A">
        <w:rPr>
          <w:rFonts w:ascii="Arial" w:hAnsi="Arial"/>
          <w:sz w:val="18"/>
          <w:szCs w:val="18"/>
          <w:lang w:val="en-GB"/>
        </w:rPr>
        <w:t xml:space="preserve"> functioning as a contact point with a remote access (not only) from home for the holders of Data Boxes. For more details see: </w:t>
      </w:r>
      <w:hyperlink r:id="rId1" w:history="1">
        <w:r w:rsidRPr="00150F8A">
          <w:rPr>
            <w:rStyle w:val="Hypertextovodkaz"/>
            <w:rFonts w:ascii="Arial" w:hAnsi="Arial"/>
            <w:color w:val="auto"/>
            <w:sz w:val="18"/>
            <w:szCs w:val="18"/>
            <w:u w:val="none"/>
            <w:lang w:val="en-GB"/>
          </w:rPr>
          <w:t>http://www.czechpoint.cz/public</w:t>
        </w:r>
      </w:hyperlink>
    </w:p>
  </w:footnote>
  <w:footnote w:id="5">
    <w:p w:rsidR="003945DB" w:rsidRPr="00B9593C" w:rsidRDefault="003945DB" w:rsidP="0026358E">
      <w:pPr>
        <w:pStyle w:val="Textpoznpodarou"/>
        <w:jc w:val="both"/>
        <w:rPr>
          <w:rFonts w:ascii="Arial" w:hAnsi="Arial" w:cs="Arial"/>
          <w:color w:val="4F6228" w:themeColor="accent3" w:themeShade="80"/>
          <w:sz w:val="18"/>
          <w:szCs w:val="18"/>
          <w:lang w:val="en-GB"/>
        </w:rPr>
      </w:pPr>
      <w:r w:rsidRPr="00B9593C">
        <w:rPr>
          <w:rStyle w:val="Znakapoznpodarou"/>
          <w:rFonts w:ascii="Arial" w:hAnsi="Arial" w:cs="Arial"/>
          <w:sz w:val="18"/>
          <w:szCs w:val="18"/>
          <w:lang w:val="en-GB"/>
        </w:rPr>
        <w:footnoteRef/>
      </w:r>
      <w:r w:rsidRPr="00B9593C">
        <w:rPr>
          <w:rFonts w:ascii="Arial" w:hAnsi="Arial" w:cs="Arial"/>
          <w:sz w:val="18"/>
          <w:szCs w:val="18"/>
          <w:lang w:val="en-GB"/>
        </w:rPr>
        <w:t xml:space="preserve"> </w:t>
      </w:r>
      <w:r w:rsidRPr="00B9593C">
        <w:rPr>
          <w:rFonts w:ascii="Arial" w:hAnsi="Arial" w:cs="Arial"/>
          <w:b/>
          <w:sz w:val="18"/>
          <w:szCs w:val="18"/>
          <w:lang w:val="en-GB"/>
        </w:rPr>
        <w:t>Data Box</w:t>
      </w:r>
      <w:r w:rsidRPr="00B9593C">
        <w:rPr>
          <w:rFonts w:ascii="Arial" w:hAnsi="Arial" w:cs="Arial"/>
          <w:sz w:val="18"/>
          <w:szCs w:val="18"/>
          <w:lang w:val="en-GB"/>
        </w:rPr>
        <w:t xml:space="preserve"> – electronic identity used as an email box from the user’s point of view. Under Czech laws, it is defined as an electronic storage space of a special type serving as a secure and trustworthy delivery method of electronic documents and messages between public authorities on the one side and individuals and legal entities on the other. In the Czech Republic, Data Boxes were implemented by the Act No. 300/2008 Sb., on electronic transactions and authorised conversion of documents, effective as of 1 July 2009. Since 1 January 2010, individuals and legal entities may use Data Boxes between each other as well. Data Boxes are mandatory for public authorities and legal entities recorded in the Commercial Register, they are voluntary for the majority of self-employed individuals and may be established even by individuals – non-entrepreneurs (citizens). For more details see: </w:t>
      </w:r>
      <w:hyperlink r:id="rId2" w:history="1">
        <w:r w:rsidRPr="00776859">
          <w:rPr>
            <w:rStyle w:val="Hypertextovodkaz"/>
            <w:rFonts w:ascii="Arial" w:hAnsi="Arial" w:cs="Arial"/>
            <w:color w:val="auto"/>
            <w:sz w:val="18"/>
            <w:szCs w:val="18"/>
            <w:u w:val="none"/>
            <w:lang w:val="en-GB"/>
          </w:rPr>
          <w:t>http://www.mvcr.cz/clanek/datove-schranky-datove-schranky.aspx</w:t>
        </w:r>
      </w:hyperlink>
    </w:p>
  </w:footnote>
  <w:footnote w:id="6">
    <w:p w:rsidR="003945DB" w:rsidRPr="00856E94" w:rsidRDefault="003945DB" w:rsidP="0026358E">
      <w:pPr>
        <w:pStyle w:val="Textpoznpodarou"/>
        <w:jc w:val="both"/>
        <w:rPr>
          <w:rFonts w:ascii="Arial" w:hAnsi="Arial" w:cs="Arial"/>
          <w:sz w:val="18"/>
          <w:szCs w:val="18"/>
        </w:rPr>
      </w:pPr>
      <w:r w:rsidRPr="00F8362B">
        <w:rPr>
          <w:rStyle w:val="Znakapoznpodarou"/>
          <w:rFonts w:ascii="Arial" w:hAnsi="Arial" w:cs="Arial"/>
          <w:sz w:val="18"/>
          <w:szCs w:val="18"/>
          <w:lang w:val="en-GB"/>
        </w:rPr>
        <w:footnoteRef/>
      </w:r>
      <w:r w:rsidRPr="00F8362B">
        <w:rPr>
          <w:rFonts w:ascii="Arial" w:hAnsi="Arial" w:cs="Arial"/>
          <w:sz w:val="18"/>
          <w:szCs w:val="18"/>
          <w:lang w:val="en-GB"/>
        </w:rPr>
        <w:t xml:space="preserve"> Data concerning the number of </w:t>
      </w:r>
      <w:r w:rsidRPr="00F8362B">
        <w:rPr>
          <w:rFonts w:ascii="Arial" w:hAnsi="Arial" w:cs="Arial"/>
          <w:b/>
          <w:sz w:val="18"/>
          <w:szCs w:val="18"/>
          <w:lang w:val="en-GB"/>
        </w:rPr>
        <w:t>tax returns submitted electronically</w:t>
      </w:r>
      <w:r w:rsidRPr="00F8362B">
        <w:rPr>
          <w:rFonts w:ascii="Arial" w:hAnsi="Arial" w:cs="Arial"/>
          <w:sz w:val="18"/>
          <w:szCs w:val="18"/>
          <w:lang w:val="en-GB"/>
        </w:rPr>
        <w:t xml:space="preserve"> to Czech Financial Administration via the </w:t>
      </w:r>
      <w:r w:rsidRPr="00F8362B">
        <w:rPr>
          <w:rFonts w:ascii="Arial" w:hAnsi="Arial" w:cs="Arial"/>
          <w:b/>
          <w:sz w:val="18"/>
          <w:szCs w:val="18"/>
          <w:lang w:val="en-GB"/>
        </w:rPr>
        <w:t xml:space="preserve">EPO web application </w:t>
      </w:r>
      <w:r w:rsidRPr="00F8362B">
        <w:rPr>
          <w:rFonts w:ascii="Arial" w:hAnsi="Arial" w:cs="Arial"/>
          <w:sz w:val="18"/>
          <w:szCs w:val="18"/>
          <w:lang w:val="en-GB"/>
        </w:rPr>
        <w:t xml:space="preserve">(electronic tax returns) or by means of </w:t>
      </w:r>
      <w:r w:rsidRPr="00F8362B">
        <w:rPr>
          <w:rFonts w:ascii="Arial" w:hAnsi="Arial" w:cs="Arial"/>
          <w:b/>
          <w:sz w:val="18"/>
          <w:szCs w:val="18"/>
          <w:lang w:val="en-GB"/>
        </w:rPr>
        <w:t xml:space="preserve">Data Boxes </w:t>
      </w:r>
      <w:r w:rsidRPr="00F8362B">
        <w:rPr>
          <w:rFonts w:ascii="Arial" w:hAnsi="Arial" w:cs="Arial"/>
          <w:sz w:val="18"/>
          <w:szCs w:val="18"/>
          <w:lang w:val="en-GB"/>
        </w:rPr>
        <w:t>is processed by the CZSO</w:t>
      </w:r>
      <w:r w:rsidRPr="00F8362B">
        <w:rPr>
          <w:rFonts w:ascii="Arial" w:hAnsi="Arial" w:cs="Arial"/>
          <w:b/>
          <w:sz w:val="18"/>
          <w:szCs w:val="18"/>
          <w:lang w:val="en-GB"/>
        </w:rPr>
        <w:t xml:space="preserve"> </w:t>
      </w:r>
      <w:r w:rsidRPr="00F8362B">
        <w:rPr>
          <w:rFonts w:ascii="Arial" w:hAnsi="Arial" w:cs="Arial"/>
          <w:sz w:val="18"/>
          <w:szCs w:val="18"/>
          <w:lang w:val="en-GB"/>
        </w:rPr>
        <w:t>from</w:t>
      </w:r>
      <w:r w:rsidRPr="00F8362B">
        <w:rPr>
          <w:rFonts w:ascii="Arial" w:hAnsi="Arial" w:cs="Arial"/>
          <w:b/>
          <w:sz w:val="18"/>
          <w:szCs w:val="18"/>
          <w:lang w:val="en-GB"/>
        </w:rPr>
        <w:t xml:space="preserve"> </w:t>
      </w:r>
      <w:r w:rsidRPr="00F8362B">
        <w:rPr>
          <w:rFonts w:ascii="Arial" w:hAnsi="Arial" w:cs="Arial"/>
          <w:sz w:val="18"/>
          <w:szCs w:val="18"/>
          <w:lang w:val="en-GB"/>
        </w:rPr>
        <w:t xml:space="preserve">the data publicly available at the </w:t>
      </w:r>
      <w:r w:rsidRPr="00F8362B">
        <w:rPr>
          <w:rFonts w:ascii="Arial" w:hAnsi="Arial" w:cs="Arial"/>
          <w:b/>
          <w:sz w:val="18"/>
          <w:szCs w:val="18"/>
          <w:lang w:val="en-GB"/>
        </w:rPr>
        <w:t>Financial Administration</w:t>
      </w:r>
      <w:r w:rsidRPr="00F8362B">
        <w:rPr>
          <w:rFonts w:ascii="Arial" w:hAnsi="Arial" w:cs="Arial"/>
          <w:sz w:val="18"/>
          <w:szCs w:val="18"/>
          <w:lang w:val="en-GB"/>
        </w:rPr>
        <w:t>.</w:t>
      </w:r>
      <w:r w:rsidRPr="00F8362B">
        <w:rPr>
          <w:rFonts w:ascii="Arial" w:hAnsi="Arial" w:cs="Arial"/>
          <w:b/>
          <w:sz w:val="18"/>
          <w:szCs w:val="18"/>
          <w:lang w:val="en-GB"/>
        </w:rPr>
        <w:t xml:space="preserve"> </w:t>
      </w:r>
      <w:r w:rsidRPr="00F8362B">
        <w:rPr>
          <w:rFonts w:ascii="Arial" w:hAnsi="Arial" w:cs="Arial"/>
          <w:sz w:val="18"/>
          <w:szCs w:val="18"/>
          <w:lang w:val="en-GB"/>
        </w:rPr>
        <w:t>The newest data from these sources relate to the year 2017. In 2015, it was stipulated that for all owners of an active Data Box, the communication with Czech Financial Administration is to be mandatory by means of the Data Box.</w:t>
      </w:r>
    </w:p>
  </w:footnote>
  <w:footnote w:id="7">
    <w:p w:rsidR="003945DB" w:rsidRPr="00F8362B" w:rsidRDefault="003945DB" w:rsidP="0026358E">
      <w:pPr>
        <w:pStyle w:val="Textpoznpodarou"/>
        <w:jc w:val="both"/>
        <w:rPr>
          <w:rFonts w:ascii="Arial" w:hAnsi="Arial" w:cs="Arial"/>
          <w:sz w:val="18"/>
          <w:szCs w:val="18"/>
          <w:lang w:val="en-GB"/>
        </w:rPr>
      </w:pPr>
      <w:r w:rsidRPr="00F8362B">
        <w:rPr>
          <w:rStyle w:val="Znakapoznpodarou"/>
          <w:rFonts w:ascii="Arial" w:hAnsi="Arial" w:cs="Arial"/>
          <w:sz w:val="18"/>
          <w:szCs w:val="18"/>
          <w:lang w:val="en-GB"/>
        </w:rPr>
        <w:footnoteRef/>
      </w:r>
      <w:r w:rsidRPr="00F8362B">
        <w:rPr>
          <w:rFonts w:ascii="Arial" w:hAnsi="Arial" w:cs="Arial"/>
          <w:sz w:val="18"/>
          <w:szCs w:val="18"/>
          <w:lang w:val="en-GB"/>
        </w:rPr>
        <w:t xml:space="preserve"> Data concerning the internet usage with respect to public administration by individuals is obtained from the Selective Survey on ICT usage in households (VŠIT). The survey is carried out by means of personal interviews with a survey sample of approx. 10 thousand individuals. The ascertained data is available to a wide range of demographic and social characteristics of persons living in the monitored households, such as sex, age, highest attained education, etc. Since 2006, the survey is carried out yearly in the 2nd quarter of the monitored year in all EU countries as a mandatory survey stipulated by the Regulation (EC) No. 808/2004 of the European Parliament and of the Council concerning Community statistics on the information society. For more details see Chapter C.</w:t>
      </w:r>
      <w:r w:rsidRPr="00F8362B">
        <w:rPr>
          <w:rFonts w:ascii="Arial" w:hAnsi="Arial"/>
          <w:sz w:val="18"/>
          <w:szCs w:val="18"/>
          <w:lang w:val="en-GB"/>
        </w:rPr>
        <w:t xml:space="preserve"> </w:t>
      </w:r>
    </w:p>
  </w:footnote>
  <w:footnote w:id="8">
    <w:p w:rsidR="003945DB" w:rsidRPr="00F8362B" w:rsidRDefault="003945DB" w:rsidP="0026358E">
      <w:pPr>
        <w:pStyle w:val="Textpoznpodarou"/>
        <w:spacing w:before="60"/>
        <w:jc w:val="both"/>
        <w:rPr>
          <w:rFonts w:ascii="Arial" w:hAnsi="Arial" w:cs="Arial"/>
          <w:sz w:val="18"/>
          <w:szCs w:val="18"/>
          <w:lang w:val="en-GB"/>
        </w:rPr>
      </w:pPr>
      <w:r w:rsidRPr="00F8362B">
        <w:rPr>
          <w:rStyle w:val="Znakapoznpodarou"/>
          <w:rFonts w:ascii="Arial" w:hAnsi="Arial" w:cs="Arial"/>
          <w:sz w:val="18"/>
          <w:szCs w:val="18"/>
          <w:lang w:val="en-GB"/>
        </w:rPr>
        <w:footnoteRef/>
      </w:r>
      <w:r w:rsidRPr="00F8362B">
        <w:rPr>
          <w:rFonts w:ascii="Arial" w:hAnsi="Arial"/>
          <w:sz w:val="18"/>
          <w:szCs w:val="18"/>
          <w:lang w:val="en-GB"/>
        </w:rPr>
        <w:t xml:space="preserve"> This includes individuals who have stated to have used the internet for private purposes at least once in the last 12</w:t>
      </w:r>
      <w:r>
        <w:rPr>
          <w:rFonts w:ascii="Arial" w:hAnsi="Arial"/>
          <w:sz w:val="18"/>
          <w:szCs w:val="18"/>
          <w:lang w:val="en-GB"/>
        </w:rPr>
        <w:t> </w:t>
      </w:r>
      <w:r w:rsidRPr="00F8362B">
        <w:rPr>
          <w:rFonts w:ascii="Arial" w:hAnsi="Arial"/>
          <w:sz w:val="18"/>
          <w:szCs w:val="18"/>
          <w:lang w:val="en-GB"/>
        </w:rPr>
        <w:t>months for at least one of the following activities concerning the interaction with public authorities: information seeking on the public authority’s website; interaction with public authorities via emails; form downloading from the public authority’s website, and/or filling-in and sending a form to public authorities electronically.</w:t>
      </w:r>
    </w:p>
  </w:footnote>
  <w:footnote w:id="9">
    <w:p w:rsidR="003945DB" w:rsidRPr="00F8362B" w:rsidRDefault="003945DB" w:rsidP="0026358E">
      <w:pPr>
        <w:pStyle w:val="Textpoznpodarou"/>
        <w:rPr>
          <w:rFonts w:ascii="Arial" w:hAnsi="Arial" w:cs="Arial"/>
          <w:sz w:val="18"/>
          <w:szCs w:val="18"/>
          <w:lang w:val="en-GB"/>
        </w:rPr>
      </w:pPr>
      <w:r w:rsidRPr="00F8362B">
        <w:rPr>
          <w:rStyle w:val="Znakapoznpodarou"/>
          <w:rFonts w:ascii="Arial" w:hAnsi="Arial" w:cs="Arial"/>
          <w:sz w:val="18"/>
          <w:szCs w:val="18"/>
          <w:lang w:val="en-GB"/>
        </w:rPr>
        <w:footnoteRef/>
      </w:r>
      <w:r w:rsidRPr="00F8362B">
        <w:rPr>
          <w:rFonts w:ascii="Arial" w:hAnsi="Arial" w:cs="Arial"/>
          <w:lang w:val="en-GB"/>
        </w:rPr>
        <w:t xml:space="preserve"> </w:t>
      </w:r>
      <w:r w:rsidRPr="0017212B">
        <w:rPr>
          <w:rFonts w:ascii="Arial" w:hAnsi="Arial" w:cs="Arial"/>
          <w:sz w:val="18"/>
          <w:lang w:val="en-GB"/>
        </w:rPr>
        <w:t xml:space="preserve">Eurostat publishes solely the total data concerning public administration </w:t>
      </w:r>
      <w:r>
        <w:rPr>
          <w:rFonts w:ascii="Arial" w:hAnsi="Arial" w:cs="Arial"/>
          <w:sz w:val="18"/>
          <w:lang w:val="en-GB"/>
        </w:rPr>
        <w:t>–</w:t>
      </w:r>
      <w:r w:rsidRPr="0017212B">
        <w:rPr>
          <w:rFonts w:ascii="Arial" w:hAnsi="Arial" w:cs="Arial"/>
          <w:sz w:val="18"/>
          <w:lang w:val="en-GB"/>
        </w:rPr>
        <w:t xml:space="preserve"> besides public authorities, some other public institutions are included in this indicator.</w:t>
      </w:r>
      <w:r w:rsidRPr="0017212B">
        <w:rPr>
          <w:rFonts w:ascii="Arial" w:hAnsi="Arial" w:cs="Arial"/>
          <w:sz w:val="16"/>
          <w:szCs w:val="18"/>
          <w:lang w:val="en-GB"/>
        </w:rPr>
        <w:t xml:space="preserve"> </w:t>
      </w:r>
      <w:r w:rsidRPr="00F8362B">
        <w:rPr>
          <w:rFonts w:ascii="Arial" w:hAnsi="Arial" w:cs="Arial"/>
          <w:sz w:val="18"/>
          <w:szCs w:val="18"/>
          <w:lang w:val="en-GB"/>
        </w:rPr>
        <w:t>These mainly include public schools, medical facilities, and libraries.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2937D1" w:rsidRDefault="003945DB" w:rsidP="007B46EA">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2937D1" w:rsidRDefault="003945DB" w:rsidP="007B46EA">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pPr>
      <w:pStyle w:val="Zhlav"/>
    </w:pPr>
  </w:p>
  <w:p w:rsidR="003945DB" w:rsidRDefault="003945D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0283F" w:rsidRDefault="003945DB" w:rsidP="00C0283F">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4C7BC9">
    <w:pPr>
      <w:pStyle w:val="Zhlav"/>
      <w:tabs>
        <w:tab w:val="left" w:pos="-6379"/>
        <w:tab w:val="center" w:pos="4820"/>
        <w:tab w:val="right" w:pos="9639"/>
      </w:tabs>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olor w:val="00000A"/>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15969AE"/>
    <w:multiLevelType w:val="hybridMultilevel"/>
    <w:tmpl w:val="E95ADC72"/>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1CC26AA"/>
    <w:multiLevelType w:val="hybridMultilevel"/>
    <w:tmpl w:val="FE9AEF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01D452E8"/>
    <w:multiLevelType w:val="hybridMultilevel"/>
    <w:tmpl w:val="CCF6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C0B74"/>
    <w:multiLevelType w:val="hybridMultilevel"/>
    <w:tmpl w:val="5D9EFA82"/>
    <w:lvl w:ilvl="0" w:tplc="0FBACD0A">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9EA0CB7"/>
    <w:multiLevelType w:val="hybridMultilevel"/>
    <w:tmpl w:val="DC36A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F0B92"/>
    <w:multiLevelType w:val="hybridMultilevel"/>
    <w:tmpl w:val="BD4245A4"/>
    <w:lvl w:ilvl="0" w:tplc="20B6489E">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993651"/>
    <w:multiLevelType w:val="hybridMultilevel"/>
    <w:tmpl w:val="AE92817E"/>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7F720E"/>
    <w:multiLevelType w:val="hybridMultilevel"/>
    <w:tmpl w:val="BCE88976"/>
    <w:lvl w:ilvl="0" w:tplc="FD1255CA">
      <w:start w:val="1"/>
      <w:numFmt w:val="bullet"/>
      <w:lvlText w:val=""/>
      <w:lvlJc w:val="left"/>
      <w:pPr>
        <w:tabs>
          <w:tab w:val="num" w:pos="360"/>
        </w:tabs>
        <w:ind w:left="360" w:hanging="360"/>
      </w:pPr>
      <w:rPr>
        <w:rFonts w:ascii="Symbol" w:hAnsi="Symbol" w:hint="default"/>
        <w:sz w:val="16"/>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276AF"/>
    <w:multiLevelType w:val="hybridMultilevel"/>
    <w:tmpl w:val="B1DCE34C"/>
    <w:lvl w:ilvl="0" w:tplc="3174A966">
      <w:start w:val="1"/>
      <w:numFmt w:val="bullet"/>
      <w:lvlText w:val=""/>
      <w:lvlJc w:val="left"/>
      <w:pPr>
        <w:tabs>
          <w:tab w:val="num" w:pos="417"/>
        </w:tabs>
        <w:ind w:left="417" w:hanging="360"/>
      </w:pPr>
      <w:rPr>
        <w:rFonts w:ascii="Symbol" w:hAnsi="Symbol" w:hint="default"/>
        <w:color w:val="auto"/>
        <w:sz w:val="16"/>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65C51"/>
    <w:multiLevelType w:val="hybridMultilevel"/>
    <w:tmpl w:val="1BD89640"/>
    <w:lvl w:ilvl="0" w:tplc="38C442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2034B"/>
    <w:multiLevelType w:val="hybridMultilevel"/>
    <w:tmpl w:val="0880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33F88"/>
    <w:multiLevelType w:val="hybridMultilevel"/>
    <w:tmpl w:val="0ABABD9E"/>
    <w:lvl w:ilvl="0" w:tplc="DCE25274">
      <w:start w:val="1"/>
      <w:numFmt w:val="bullet"/>
      <w:lvlText w:val=""/>
      <w:lvlJc w:val="left"/>
      <w:pPr>
        <w:ind w:left="774" w:hanging="360"/>
      </w:pPr>
      <w:rPr>
        <w:rFonts w:ascii="Symbol" w:hAnsi="Symbol" w:hint="default"/>
        <w:sz w:val="16"/>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40614"/>
    <w:multiLevelType w:val="hybridMultilevel"/>
    <w:tmpl w:val="83AE24E0"/>
    <w:lvl w:ilvl="0" w:tplc="05B6965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74C44D0"/>
    <w:multiLevelType w:val="hybridMultilevel"/>
    <w:tmpl w:val="3AECC0AA"/>
    <w:lvl w:ilvl="0" w:tplc="04050001">
      <w:start w:val="1"/>
      <w:numFmt w:val="bullet"/>
      <w:lvlText w:val=""/>
      <w:lvlJc w:val="left"/>
      <w:pPr>
        <w:ind w:left="282" w:hanging="360"/>
      </w:pPr>
      <w:rPr>
        <w:rFonts w:ascii="Symbol" w:hAnsi="Symbol" w:hint="default"/>
      </w:rPr>
    </w:lvl>
    <w:lvl w:ilvl="1" w:tplc="04050003" w:tentative="1">
      <w:start w:val="1"/>
      <w:numFmt w:val="bullet"/>
      <w:lvlText w:val="o"/>
      <w:lvlJc w:val="left"/>
      <w:pPr>
        <w:ind w:left="1002" w:hanging="360"/>
      </w:pPr>
      <w:rPr>
        <w:rFonts w:ascii="Courier New" w:hAnsi="Courier New" w:cs="Courier New" w:hint="default"/>
      </w:rPr>
    </w:lvl>
    <w:lvl w:ilvl="2" w:tplc="04050005" w:tentative="1">
      <w:start w:val="1"/>
      <w:numFmt w:val="bullet"/>
      <w:lvlText w:val=""/>
      <w:lvlJc w:val="left"/>
      <w:pPr>
        <w:ind w:left="1722" w:hanging="360"/>
      </w:pPr>
      <w:rPr>
        <w:rFonts w:ascii="Wingdings" w:hAnsi="Wingdings" w:hint="default"/>
      </w:rPr>
    </w:lvl>
    <w:lvl w:ilvl="3" w:tplc="04050001" w:tentative="1">
      <w:start w:val="1"/>
      <w:numFmt w:val="bullet"/>
      <w:lvlText w:val=""/>
      <w:lvlJc w:val="left"/>
      <w:pPr>
        <w:ind w:left="2442" w:hanging="360"/>
      </w:pPr>
      <w:rPr>
        <w:rFonts w:ascii="Symbol" w:hAnsi="Symbol" w:hint="default"/>
      </w:rPr>
    </w:lvl>
    <w:lvl w:ilvl="4" w:tplc="04050003" w:tentative="1">
      <w:start w:val="1"/>
      <w:numFmt w:val="bullet"/>
      <w:lvlText w:val="o"/>
      <w:lvlJc w:val="left"/>
      <w:pPr>
        <w:ind w:left="3162" w:hanging="360"/>
      </w:pPr>
      <w:rPr>
        <w:rFonts w:ascii="Courier New" w:hAnsi="Courier New" w:cs="Courier New" w:hint="default"/>
      </w:rPr>
    </w:lvl>
    <w:lvl w:ilvl="5" w:tplc="04050005" w:tentative="1">
      <w:start w:val="1"/>
      <w:numFmt w:val="bullet"/>
      <w:lvlText w:val=""/>
      <w:lvlJc w:val="left"/>
      <w:pPr>
        <w:ind w:left="3882" w:hanging="360"/>
      </w:pPr>
      <w:rPr>
        <w:rFonts w:ascii="Wingdings" w:hAnsi="Wingdings" w:hint="default"/>
      </w:rPr>
    </w:lvl>
    <w:lvl w:ilvl="6" w:tplc="04050001" w:tentative="1">
      <w:start w:val="1"/>
      <w:numFmt w:val="bullet"/>
      <w:lvlText w:val=""/>
      <w:lvlJc w:val="left"/>
      <w:pPr>
        <w:ind w:left="4602" w:hanging="360"/>
      </w:pPr>
      <w:rPr>
        <w:rFonts w:ascii="Symbol" w:hAnsi="Symbol" w:hint="default"/>
      </w:rPr>
    </w:lvl>
    <w:lvl w:ilvl="7" w:tplc="04050003" w:tentative="1">
      <w:start w:val="1"/>
      <w:numFmt w:val="bullet"/>
      <w:lvlText w:val="o"/>
      <w:lvlJc w:val="left"/>
      <w:pPr>
        <w:ind w:left="5322" w:hanging="360"/>
      </w:pPr>
      <w:rPr>
        <w:rFonts w:ascii="Courier New" w:hAnsi="Courier New" w:cs="Courier New" w:hint="default"/>
      </w:rPr>
    </w:lvl>
    <w:lvl w:ilvl="8" w:tplc="04050005" w:tentative="1">
      <w:start w:val="1"/>
      <w:numFmt w:val="bullet"/>
      <w:lvlText w:val=""/>
      <w:lvlJc w:val="left"/>
      <w:pPr>
        <w:ind w:left="6042" w:hanging="360"/>
      </w:pPr>
      <w:rPr>
        <w:rFonts w:ascii="Wingdings" w:hAnsi="Wingdings" w:hint="default"/>
      </w:rPr>
    </w:lvl>
  </w:abstractNum>
  <w:abstractNum w:abstractNumId="30" w15:restartNumberingAfterBreak="0">
    <w:nsid w:val="58E45F58"/>
    <w:multiLevelType w:val="hybridMultilevel"/>
    <w:tmpl w:val="F21E049E"/>
    <w:lvl w:ilvl="0" w:tplc="3174A966">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CA44C9"/>
    <w:multiLevelType w:val="hybridMultilevel"/>
    <w:tmpl w:val="0F8CB914"/>
    <w:lvl w:ilvl="0" w:tplc="04050015">
      <w:start w:val="1"/>
      <w:numFmt w:val="upperLetter"/>
      <w:lvlText w:val="%1."/>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17271"/>
    <w:multiLevelType w:val="hybridMultilevel"/>
    <w:tmpl w:val="46BA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ED645C"/>
    <w:multiLevelType w:val="hybridMultilevel"/>
    <w:tmpl w:val="CA0A5CA8"/>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879BD"/>
    <w:multiLevelType w:val="hybridMultilevel"/>
    <w:tmpl w:val="D29ADC8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787561"/>
    <w:multiLevelType w:val="hybridMultilevel"/>
    <w:tmpl w:val="8EC8F57C"/>
    <w:lvl w:ilvl="0" w:tplc="237CBAF0">
      <w:start w:val="1"/>
      <w:numFmt w:val="bullet"/>
      <w:lvlText w:val=""/>
      <w:lvlJc w:val="left"/>
      <w:pPr>
        <w:ind w:left="360" w:hanging="360"/>
      </w:pPr>
      <w:rPr>
        <w:rFonts w:ascii="Symbol" w:hAnsi="Symbol"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75A9233E"/>
    <w:multiLevelType w:val="hybridMultilevel"/>
    <w:tmpl w:val="F1829FD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97E87"/>
    <w:multiLevelType w:val="hybridMultilevel"/>
    <w:tmpl w:val="178CAF08"/>
    <w:lvl w:ilvl="0" w:tplc="56962E7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F3B4673"/>
    <w:multiLevelType w:val="hybridMultilevel"/>
    <w:tmpl w:val="2B0A8A1A"/>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4"/>
  </w:num>
  <w:num w:numId="15">
    <w:abstractNumId w:val="38"/>
  </w:num>
  <w:num w:numId="16">
    <w:abstractNumId w:val="37"/>
  </w:num>
  <w:num w:numId="17">
    <w:abstractNumId w:val="21"/>
  </w:num>
  <w:num w:numId="18">
    <w:abstractNumId w:val="28"/>
  </w:num>
  <w:num w:numId="19">
    <w:abstractNumId w:val="14"/>
  </w:num>
  <w:num w:numId="20">
    <w:abstractNumId w:val="23"/>
  </w:num>
  <w:num w:numId="21">
    <w:abstractNumId w:val="31"/>
  </w:num>
  <w:num w:numId="22">
    <w:abstractNumId w:val="34"/>
  </w:num>
  <w:num w:numId="23">
    <w:abstractNumId w:val="16"/>
  </w:num>
  <w:num w:numId="24">
    <w:abstractNumId w:val="19"/>
  </w:num>
  <w:num w:numId="25">
    <w:abstractNumId w:val="36"/>
  </w:num>
  <w:num w:numId="26">
    <w:abstractNumId w:val="32"/>
  </w:num>
  <w:num w:numId="27">
    <w:abstractNumId w:val="33"/>
  </w:num>
  <w:num w:numId="28">
    <w:abstractNumId w:val="17"/>
  </w:num>
  <w:num w:numId="29">
    <w:abstractNumId w:val="12"/>
  </w:num>
  <w:num w:numId="30">
    <w:abstractNumId w:val="22"/>
  </w:num>
  <w:num w:numId="31">
    <w:abstractNumId w:val="25"/>
  </w:num>
  <w:num w:numId="32">
    <w:abstractNumId w:val="29"/>
  </w:num>
  <w:num w:numId="33">
    <w:abstractNumId w:val="15"/>
  </w:num>
  <w:num w:numId="34">
    <w:abstractNumId w:val="35"/>
  </w:num>
  <w:num w:numId="35">
    <w:abstractNumId w:val="30"/>
  </w:num>
  <w:num w:numId="36">
    <w:abstractNumId w:val="10"/>
  </w:num>
  <w:num w:numId="37">
    <w:abstractNumId w:val="13"/>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3F"/>
    <w:rsid w:val="0000209D"/>
    <w:rsid w:val="00004D5A"/>
    <w:rsid w:val="000056D5"/>
    <w:rsid w:val="0000767A"/>
    <w:rsid w:val="00010702"/>
    <w:rsid w:val="000234D6"/>
    <w:rsid w:val="00023D29"/>
    <w:rsid w:val="00026389"/>
    <w:rsid w:val="00031AE0"/>
    <w:rsid w:val="000322EF"/>
    <w:rsid w:val="00033FCD"/>
    <w:rsid w:val="00036BF1"/>
    <w:rsid w:val="00041CEC"/>
    <w:rsid w:val="0004694F"/>
    <w:rsid w:val="000522E4"/>
    <w:rsid w:val="000610E1"/>
    <w:rsid w:val="00062EC5"/>
    <w:rsid w:val="00062F22"/>
    <w:rsid w:val="000712B3"/>
    <w:rsid w:val="00080A01"/>
    <w:rsid w:val="0008263E"/>
    <w:rsid w:val="00082C19"/>
    <w:rsid w:val="00085395"/>
    <w:rsid w:val="00087634"/>
    <w:rsid w:val="00087F2B"/>
    <w:rsid w:val="0009465A"/>
    <w:rsid w:val="000971C4"/>
    <w:rsid w:val="000974D1"/>
    <w:rsid w:val="0009799E"/>
    <w:rsid w:val="000A1183"/>
    <w:rsid w:val="000A256D"/>
    <w:rsid w:val="000A3A2C"/>
    <w:rsid w:val="000A3B3A"/>
    <w:rsid w:val="000A76B6"/>
    <w:rsid w:val="000B58F3"/>
    <w:rsid w:val="000C3165"/>
    <w:rsid w:val="000C3408"/>
    <w:rsid w:val="000C6AFD"/>
    <w:rsid w:val="000D5637"/>
    <w:rsid w:val="000E2751"/>
    <w:rsid w:val="000E6FBD"/>
    <w:rsid w:val="00100F5C"/>
    <w:rsid w:val="00104C4C"/>
    <w:rsid w:val="00114D6F"/>
    <w:rsid w:val="0012030F"/>
    <w:rsid w:val="0012192F"/>
    <w:rsid w:val="00125D69"/>
    <w:rsid w:val="001405FA"/>
    <w:rsid w:val="001425C3"/>
    <w:rsid w:val="00150F8A"/>
    <w:rsid w:val="00150FDD"/>
    <w:rsid w:val="0016256B"/>
    <w:rsid w:val="00163793"/>
    <w:rsid w:val="001706D6"/>
    <w:rsid w:val="001714F2"/>
    <w:rsid w:val="00171A89"/>
    <w:rsid w:val="001756A6"/>
    <w:rsid w:val="00184B08"/>
    <w:rsid w:val="00185010"/>
    <w:rsid w:val="001A552F"/>
    <w:rsid w:val="001B2CA9"/>
    <w:rsid w:val="001B3110"/>
    <w:rsid w:val="001B4729"/>
    <w:rsid w:val="001B6C09"/>
    <w:rsid w:val="001C05CD"/>
    <w:rsid w:val="001C255B"/>
    <w:rsid w:val="001D563B"/>
    <w:rsid w:val="001D68B2"/>
    <w:rsid w:val="001F4597"/>
    <w:rsid w:val="001F551B"/>
    <w:rsid w:val="0020583C"/>
    <w:rsid w:val="0020679C"/>
    <w:rsid w:val="002071ED"/>
    <w:rsid w:val="0020767E"/>
    <w:rsid w:val="002118B9"/>
    <w:rsid w:val="00217C5B"/>
    <w:rsid w:val="0022139E"/>
    <w:rsid w:val="002252E0"/>
    <w:rsid w:val="002255F6"/>
    <w:rsid w:val="00227850"/>
    <w:rsid w:val="00230C6E"/>
    <w:rsid w:val="00232B62"/>
    <w:rsid w:val="00236443"/>
    <w:rsid w:val="002436BA"/>
    <w:rsid w:val="00244A15"/>
    <w:rsid w:val="00247319"/>
    <w:rsid w:val="0024799E"/>
    <w:rsid w:val="00253C0F"/>
    <w:rsid w:val="0026358E"/>
    <w:rsid w:val="00264520"/>
    <w:rsid w:val="00271465"/>
    <w:rsid w:val="00283615"/>
    <w:rsid w:val="00285412"/>
    <w:rsid w:val="0028697E"/>
    <w:rsid w:val="002875D6"/>
    <w:rsid w:val="002974BA"/>
    <w:rsid w:val="002A16D4"/>
    <w:rsid w:val="002A1701"/>
    <w:rsid w:val="002A230C"/>
    <w:rsid w:val="002C01B0"/>
    <w:rsid w:val="002C43BD"/>
    <w:rsid w:val="002C69EC"/>
    <w:rsid w:val="002C79A7"/>
    <w:rsid w:val="002D0E59"/>
    <w:rsid w:val="002E02A1"/>
    <w:rsid w:val="002E4E4C"/>
    <w:rsid w:val="002E73A7"/>
    <w:rsid w:val="002F2092"/>
    <w:rsid w:val="00304771"/>
    <w:rsid w:val="003052D4"/>
    <w:rsid w:val="00306C5B"/>
    <w:rsid w:val="003209D6"/>
    <w:rsid w:val="00322C8B"/>
    <w:rsid w:val="0032656E"/>
    <w:rsid w:val="003278D8"/>
    <w:rsid w:val="003312EF"/>
    <w:rsid w:val="00332190"/>
    <w:rsid w:val="00344668"/>
    <w:rsid w:val="003462D9"/>
    <w:rsid w:val="0034658D"/>
    <w:rsid w:val="00351A75"/>
    <w:rsid w:val="003657F3"/>
    <w:rsid w:val="00374F1D"/>
    <w:rsid w:val="003818DC"/>
    <w:rsid w:val="0038283A"/>
    <w:rsid w:val="00385D98"/>
    <w:rsid w:val="003901A1"/>
    <w:rsid w:val="003945DB"/>
    <w:rsid w:val="003A1883"/>
    <w:rsid w:val="003A2AD1"/>
    <w:rsid w:val="003A2B4D"/>
    <w:rsid w:val="003A478C"/>
    <w:rsid w:val="003A5525"/>
    <w:rsid w:val="003A6B38"/>
    <w:rsid w:val="003B57DF"/>
    <w:rsid w:val="003B5A32"/>
    <w:rsid w:val="003C3490"/>
    <w:rsid w:val="003D6920"/>
    <w:rsid w:val="003E20EF"/>
    <w:rsid w:val="003E4C91"/>
    <w:rsid w:val="003F18AD"/>
    <w:rsid w:val="003F313C"/>
    <w:rsid w:val="003F505A"/>
    <w:rsid w:val="003F551C"/>
    <w:rsid w:val="00407C13"/>
    <w:rsid w:val="00410638"/>
    <w:rsid w:val="00431CD9"/>
    <w:rsid w:val="00432A58"/>
    <w:rsid w:val="00434617"/>
    <w:rsid w:val="00440900"/>
    <w:rsid w:val="00441BB5"/>
    <w:rsid w:val="004441A0"/>
    <w:rsid w:val="004450B0"/>
    <w:rsid w:val="00476240"/>
    <w:rsid w:val="00476439"/>
    <w:rsid w:val="0047735C"/>
    <w:rsid w:val="004776BC"/>
    <w:rsid w:val="0048139F"/>
    <w:rsid w:val="00481E40"/>
    <w:rsid w:val="00484ECE"/>
    <w:rsid w:val="004915CB"/>
    <w:rsid w:val="004A011F"/>
    <w:rsid w:val="004A3212"/>
    <w:rsid w:val="004A61C5"/>
    <w:rsid w:val="004A77DF"/>
    <w:rsid w:val="004B1417"/>
    <w:rsid w:val="004B2082"/>
    <w:rsid w:val="004B55B7"/>
    <w:rsid w:val="004B6468"/>
    <w:rsid w:val="004C384C"/>
    <w:rsid w:val="004C3867"/>
    <w:rsid w:val="004C4CD0"/>
    <w:rsid w:val="004C5207"/>
    <w:rsid w:val="004C70DC"/>
    <w:rsid w:val="004C7BC9"/>
    <w:rsid w:val="004D0211"/>
    <w:rsid w:val="004D0794"/>
    <w:rsid w:val="004E3FD8"/>
    <w:rsid w:val="004F06F5"/>
    <w:rsid w:val="004F33A0"/>
    <w:rsid w:val="005108C0"/>
    <w:rsid w:val="00511873"/>
    <w:rsid w:val="00512A2F"/>
    <w:rsid w:val="00513B7E"/>
    <w:rsid w:val="00515C74"/>
    <w:rsid w:val="00515EB3"/>
    <w:rsid w:val="0052007E"/>
    <w:rsid w:val="0052337A"/>
    <w:rsid w:val="00525137"/>
    <w:rsid w:val="005251DD"/>
    <w:rsid w:val="00526043"/>
    <w:rsid w:val="005317C0"/>
    <w:rsid w:val="00532CE7"/>
    <w:rsid w:val="0053324C"/>
    <w:rsid w:val="00534715"/>
    <w:rsid w:val="00534A28"/>
    <w:rsid w:val="00535F6C"/>
    <w:rsid w:val="00541508"/>
    <w:rsid w:val="0055599F"/>
    <w:rsid w:val="00556D68"/>
    <w:rsid w:val="005647BF"/>
    <w:rsid w:val="0057364B"/>
    <w:rsid w:val="00574773"/>
    <w:rsid w:val="00583FFD"/>
    <w:rsid w:val="005860C6"/>
    <w:rsid w:val="005911BE"/>
    <w:rsid w:val="00593152"/>
    <w:rsid w:val="005A10F2"/>
    <w:rsid w:val="005A21E0"/>
    <w:rsid w:val="005A28FF"/>
    <w:rsid w:val="005A3DF8"/>
    <w:rsid w:val="005A5549"/>
    <w:rsid w:val="005A607D"/>
    <w:rsid w:val="005B121D"/>
    <w:rsid w:val="005C06ED"/>
    <w:rsid w:val="005D0602"/>
    <w:rsid w:val="005D5802"/>
    <w:rsid w:val="005D7890"/>
    <w:rsid w:val="005E7C78"/>
    <w:rsid w:val="005F3EB1"/>
    <w:rsid w:val="00604307"/>
    <w:rsid w:val="0060487F"/>
    <w:rsid w:val="00604EAD"/>
    <w:rsid w:val="006103A6"/>
    <w:rsid w:val="006104FB"/>
    <w:rsid w:val="00612A2F"/>
    <w:rsid w:val="00616E05"/>
    <w:rsid w:val="00624093"/>
    <w:rsid w:val="006404A7"/>
    <w:rsid w:val="00642197"/>
    <w:rsid w:val="006451E4"/>
    <w:rsid w:val="00645B33"/>
    <w:rsid w:val="006516CB"/>
    <w:rsid w:val="00657E87"/>
    <w:rsid w:val="00664803"/>
    <w:rsid w:val="00664ABE"/>
    <w:rsid w:val="00665BA4"/>
    <w:rsid w:val="00667AF2"/>
    <w:rsid w:val="006710C9"/>
    <w:rsid w:val="00674D89"/>
    <w:rsid w:val="00675E37"/>
    <w:rsid w:val="0068174E"/>
    <w:rsid w:val="00681833"/>
    <w:rsid w:val="00681DCE"/>
    <w:rsid w:val="0068260E"/>
    <w:rsid w:val="00695BEF"/>
    <w:rsid w:val="006977F6"/>
    <w:rsid w:val="00697A13"/>
    <w:rsid w:val="006A0FA2"/>
    <w:rsid w:val="006A109C"/>
    <w:rsid w:val="006B344A"/>
    <w:rsid w:val="006B3DB5"/>
    <w:rsid w:val="006B6740"/>
    <w:rsid w:val="006B78D8"/>
    <w:rsid w:val="006C113F"/>
    <w:rsid w:val="006C56D4"/>
    <w:rsid w:val="006C6924"/>
    <w:rsid w:val="006C7CA6"/>
    <w:rsid w:val="006D3E8A"/>
    <w:rsid w:val="006D61F6"/>
    <w:rsid w:val="006E279A"/>
    <w:rsid w:val="006E313B"/>
    <w:rsid w:val="00706AD4"/>
    <w:rsid w:val="007071F7"/>
    <w:rsid w:val="0070757C"/>
    <w:rsid w:val="007140BE"/>
    <w:rsid w:val="007211F5"/>
    <w:rsid w:val="00725BB5"/>
    <w:rsid w:val="00730AE8"/>
    <w:rsid w:val="00741493"/>
    <w:rsid w:val="00752180"/>
    <w:rsid w:val="00755202"/>
    <w:rsid w:val="00755D3A"/>
    <w:rsid w:val="007578D3"/>
    <w:rsid w:val="007609C6"/>
    <w:rsid w:val="00762D3E"/>
    <w:rsid w:val="0076521E"/>
    <w:rsid w:val="007661E9"/>
    <w:rsid w:val="0076638F"/>
    <w:rsid w:val="00774FE8"/>
    <w:rsid w:val="00776169"/>
    <w:rsid w:val="00776527"/>
    <w:rsid w:val="00780EF1"/>
    <w:rsid w:val="00781D70"/>
    <w:rsid w:val="007904A3"/>
    <w:rsid w:val="00790764"/>
    <w:rsid w:val="0079453C"/>
    <w:rsid w:val="00794677"/>
    <w:rsid w:val="007964F5"/>
    <w:rsid w:val="007A44A7"/>
    <w:rsid w:val="007A5CB8"/>
    <w:rsid w:val="007B46EA"/>
    <w:rsid w:val="007B6689"/>
    <w:rsid w:val="007D40DF"/>
    <w:rsid w:val="007D79E7"/>
    <w:rsid w:val="007E2BDC"/>
    <w:rsid w:val="007E7E61"/>
    <w:rsid w:val="007F0845"/>
    <w:rsid w:val="007F3A7B"/>
    <w:rsid w:val="00807C82"/>
    <w:rsid w:val="00816905"/>
    <w:rsid w:val="00821FF6"/>
    <w:rsid w:val="00823849"/>
    <w:rsid w:val="00823FD1"/>
    <w:rsid w:val="0083143E"/>
    <w:rsid w:val="00831CDE"/>
    <w:rsid w:val="00834304"/>
    <w:rsid w:val="00834FAA"/>
    <w:rsid w:val="00836086"/>
    <w:rsid w:val="0084708F"/>
    <w:rsid w:val="008477C8"/>
    <w:rsid w:val="0085114D"/>
    <w:rsid w:val="00852217"/>
    <w:rsid w:val="00852CCA"/>
    <w:rsid w:val="00855408"/>
    <w:rsid w:val="00856D65"/>
    <w:rsid w:val="00861B41"/>
    <w:rsid w:val="00863434"/>
    <w:rsid w:val="00865E4C"/>
    <w:rsid w:val="00867835"/>
    <w:rsid w:val="008701E4"/>
    <w:rsid w:val="00874476"/>
    <w:rsid w:val="00875A32"/>
    <w:rsid w:val="00876086"/>
    <w:rsid w:val="0088154E"/>
    <w:rsid w:val="00885CD7"/>
    <w:rsid w:val="008873D4"/>
    <w:rsid w:val="00893E85"/>
    <w:rsid w:val="00894031"/>
    <w:rsid w:val="00895063"/>
    <w:rsid w:val="008A4C97"/>
    <w:rsid w:val="008A7576"/>
    <w:rsid w:val="008B77BB"/>
    <w:rsid w:val="008B7C02"/>
    <w:rsid w:val="008B7D2B"/>
    <w:rsid w:val="008C0049"/>
    <w:rsid w:val="008C0E88"/>
    <w:rsid w:val="008C4CA2"/>
    <w:rsid w:val="008D1E6A"/>
    <w:rsid w:val="008D2A16"/>
    <w:rsid w:val="008E2C57"/>
    <w:rsid w:val="008E31FF"/>
    <w:rsid w:val="008E55E4"/>
    <w:rsid w:val="008E680B"/>
    <w:rsid w:val="008E6F06"/>
    <w:rsid w:val="008F029B"/>
    <w:rsid w:val="008F3BC4"/>
    <w:rsid w:val="008F3FC9"/>
    <w:rsid w:val="008F585B"/>
    <w:rsid w:val="009003A8"/>
    <w:rsid w:val="00900D5B"/>
    <w:rsid w:val="00902500"/>
    <w:rsid w:val="00902EFF"/>
    <w:rsid w:val="0091155E"/>
    <w:rsid w:val="00912A92"/>
    <w:rsid w:val="0091728D"/>
    <w:rsid w:val="0092180B"/>
    <w:rsid w:val="00921F14"/>
    <w:rsid w:val="00924AC8"/>
    <w:rsid w:val="0092597A"/>
    <w:rsid w:val="00937AE2"/>
    <w:rsid w:val="0094427A"/>
    <w:rsid w:val="00973CC5"/>
    <w:rsid w:val="00974923"/>
    <w:rsid w:val="00980D3D"/>
    <w:rsid w:val="009812B5"/>
    <w:rsid w:val="00983696"/>
    <w:rsid w:val="00992CF3"/>
    <w:rsid w:val="009968D6"/>
    <w:rsid w:val="009A1CAB"/>
    <w:rsid w:val="009A60D1"/>
    <w:rsid w:val="009A66B7"/>
    <w:rsid w:val="009B32FB"/>
    <w:rsid w:val="009B4877"/>
    <w:rsid w:val="009B63B1"/>
    <w:rsid w:val="009B6FD3"/>
    <w:rsid w:val="009B70FB"/>
    <w:rsid w:val="009C1750"/>
    <w:rsid w:val="009C2E29"/>
    <w:rsid w:val="009C554B"/>
    <w:rsid w:val="009C719E"/>
    <w:rsid w:val="009D3ACD"/>
    <w:rsid w:val="009E3FCE"/>
    <w:rsid w:val="009E5DDB"/>
    <w:rsid w:val="009F1FF5"/>
    <w:rsid w:val="009F4CA7"/>
    <w:rsid w:val="00A10D66"/>
    <w:rsid w:val="00A14114"/>
    <w:rsid w:val="00A23E43"/>
    <w:rsid w:val="00A24E14"/>
    <w:rsid w:val="00A30F65"/>
    <w:rsid w:val="00A418BC"/>
    <w:rsid w:val="00A43B47"/>
    <w:rsid w:val="00A46DE0"/>
    <w:rsid w:val="00A50D73"/>
    <w:rsid w:val="00A52CAD"/>
    <w:rsid w:val="00A53FC7"/>
    <w:rsid w:val="00A62CE1"/>
    <w:rsid w:val="00A650F3"/>
    <w:rsid w:val="00A6741E"/>
    <w:rsid w:val="00A75E40"/>
    <w:rsid w:val="00A77AB7"/>
    <w:rsid w:val="00A77D1D"/>
    <w:rsid w:val="00A857C0"/>
    <w:rsid w:val="00A97559"/>
    <w:rsid w:val="00AA2996"/>
    <w:rsid w:val="00AA3280"/>
    <w:rsid w:val="00AA52BF"/>
    <w:rsid w:val="00AA559A"/>
    <w:rsid w:val="00AA60B7"/>
    <w:rsid w:val="00AA63BD"/>
    <w:rsid w:val="00AB2AF1"/>
    <w:rsid w:val="00AB5498"/>
    <w:rsid w:val="00AC7F0B"/>
    <w:rsid w:val="00AD1A07"/>
    <w:rsid w:val="00AD306C"/>
    <w:rsid w:val="00AD6861"/>
    <w:rsid w:val="00AE09B3"/>
    <w:rsid w:val="00AE1A83"/>
    <w:rsid w:val="00AF6468"/>
    <w:rsid w:val="00AF7BCA"/>
    <w:rsid w:val="00B00913"/>
    <w:rsid w:val="00B0132E"/>
    <w:rsid w:val="00B01593"/>
    <w:rsid w:val="00B10A4D"/>
    <w:rsid w:val="00B17E71"/>
    <w:rsid w:val="00B17FDE"/>
    <w:rsid w:val="00B2379C"/>
    <w:rsid w:val="00B2687D"/>
    <w:rsid w:val="00B32DDB"/>
    <w:rsid w:val="00B34528"/>
    <w:rsid w:val="00B402FC"/>
    <w:rsid w:val="00B46604"/>
    <w:rsid w:val="00B55F5E"/>
    <w:rsid w:val="00B5752E"/>
    <w:rsid w:val="00B60FC2"/>
    <w:rsid w:val="00B63A11"/>
    <w:rsid w:val="00B64C24"/>
    <w:rsid w:val="00B6608F"/>
    <w:rsid w:val="00B66B7A"/>
    <w:rsid w:val="00B679FB"/>
    <w:rsid w:val="00B75431"/>
    <w:rsid w:val="00B76D1E"/>
    <w:rsid w:val="00B80523"/>
    <w:rsid w:val="00B80EC6"/>
    <w:rsid w:val="00B85781"/>
    <w:rsid w:val="00B92D1D"/>
    <w:rsid w:val="00B938C5"/>
    <w:rsid w:val="00B95940"/>
    <w:rsid w:val="00BA457C"/>
    <w:rsid w:val="00BB46F3"/>
    <w:rsid w:val="00BB4CB1"/>
    <w:rsid w:val="00BB4F98"/>
    <w:rsid w:val="00BB54DF"/>
    <w:rsid w:val="00BB78A6"/>
    <w:rsid w:val="00BC6ABD"/>
    <w:rsid w:val="00BC7154"/>
    <w:rsid w:val="00BD366B"/>
    <w:rsid w:val="00BD6D50"/>
    <w:rsid w:val="00BE18B9"/>
    <w:rsid w:val="00BE2495"/>
    <w:rsid w:val="00BF1578"/>
    <w:rsid w:val="00C0283F"/>
    <w:rsid w:val="00C21F94"/>
    <w:rsid w:val="00C23478"/>
    <w:rsid w:val="00C256E4"/>
    <w:rsid w:val="00C25BCC"/>
    <w:rsid w:val="00C27913"/>
    <w:rsid w:val="00C31520"/>
    <w:rsid w:val="00C33B68"/>
    <w:rsid w:val="00C33F0D"/>
    <w:rsid w:val="00C36A79"/>
    <w:rsid w:val="00C405D4"/>
    <w:rsid w:val="00C4513B"/>
    <w:rsid w:val="00C50C63"/>
    <w:rsid w:val="00C54697"/>
    <w:rsid w:val="00C73885"/>
    <w:rsid w:val="00C747B1"/>
    <w:rsid w:val="00C801C5"/>
    <w:rsid w:val="00C82191"/>
    <w:rsid w:val="00C90CF4"/>
    <w:rsid w:val="00C92EB6"/>
    <w:rsid w:val="00C93389"/>
    <w:rsid w:val="00CA6923"/>
    <w:rsid w:val="00CB4930"/>
    <w:rsid w:val="00CC2E7D"/>
    <w:rsid w:val="00CC76CD"/>
    <w:rsid w:val="00CD10A5"/>
    <w:rsid w:val="00CD2076"/>
    <w:rsid w:val="00CD2299"/>
    <w:rsid w:val="00CE670B"/>
    <w:rsid w:val="00CF51EC"/>
    <w:rsid w:val="00CF73AE"/>
    <w:rsid w:val="00D040DD"/>
    <w:rsid w:val="00D13986"/>
    <w:rsid w:val="00D151BF"/>
    <w:rsid w:val="00D25F28"/>
    <w:rsid w:val="00D27973"/>
    <w:rsid w:val="00D3587A"/>
    <w:rsid w:val="00D44910"/>
    <w:rsid w:val="00D50F46"/>
    <w:rsid w:val="00D62FA6"/>
    <w:rsid w:val="00D656B7"/>
    <w:rsid w:val="00D66223"/>
    <w:rsid w:val="00D74777"/>
    <w:rsid w:val="00D8084C"/>
    <w:rsid w:val="00D9055B"/>
    <w:rsid w:val="00D97127"/>
    <w:rsid w:val="00DA2855"/>
    <w:rsid w:val="00DA3469"/>
    <w:rsid w:val="00DA7C0C"/>
    <w:rsid w:val="00DB1149"/>
    <w:rsid w:val="00DB2EC8"/>
    <w:rsid w:val="00DB4A23"/>
    <w:rsid w:val="00DC5B3B"/>
    <w:rsid w:val="00DD129F"/>
    <w:rsid w:val="00DD685B"/>
    <w:rsid w:val="00DE59BE"/>
    <w:rsid w:val="00DE695F"/>
    <w:rsid w:val="00DF42FF"/>
    <w:rsid w:val="00E01C0E"/>
    <w:rsid w:val="00E03F9A"/>
    <w:rsid w:val="00E04694"/>
    <w:rsid w:val="00E12B1E"/>
    <w:rsid w:val="00E14600"/>
    <w:rsid w:val="00E17262"/>
    <w:rsid w:val="00E22A11"/>
    <w:rsid w:val="00E253A2"/>
    <w:rsid w:val="00E3309D"/>
    <w:rsid w:val="00E50156"/>
    <w:rsid w:val="00E53470"/>
    <w:rsid w:val="00E539F6"/>
    <w:rsid w:val="00E57525"/>
    <w:rsid w:val="00E637D5"/>
    <w:rsid w:val="00E6519D"/>
    <w:rsid w:val="00E655BD"/>
    <w:rsid w:val="00E67696"/>
    <w:rsid w:val="00E71A58"/>
    <w:rsid w:val="00E72A7A"/>
    <w:rsid w:val="00E75C94"/>
    <w:rsid w:val="00E81B77"/>
    <w:rsid w:val="00E93820"/>
    <w:rsid w:val="00EA0C68"/>
    <w:rsid w:val="00EB2C44"/>
    <w:rsid w:val="00EC03D7"/>
    <w:rsid w:val="00ED2C2C"/>
    <w:rsid w:val="00ED62C6"/>
    <w:rsid w:val="00ED64C1"/>
    <w:rsid w:val="00ED78E3"/>
    <w:rsid w:val="00EE0E4F"/>
    <w:rsid w:val="00EE3446"/>
    <w:rsid w:val="00EE3E78"/>
    <w:rsid w:val="00EE4B1B"/>
    <w:rsid w:val="00EE7DB4"/>
    <w:rsid w:val="00EF150D"/>
    <w:rsid w:val="00EF1F5A"/>
    <w:rsid w:val="00F04811"/>
    <w:rsid w:val="00F0488C"/>
    <w:rsid w:val="00F15AAA"/>
    <w:rsid w:val="00F15BEF"/>
    <w:rsid w:val="00F1639F"/>
    <w:rsid w:val="00F24407"/>
    <w:rsid w:val="00F24FAA"/>
    <w:rsid w:val="00F3364D"/>
    <w:rsid w:val="00F437CC"/>
    <w:rsid w:val="00F453D4"/>
    <w:rsid w:val="00F47067"/>
    <w:rsid w:val="00F474C0"/>
    <w:rsid w:val="00F525EB"/>
    <w:rsid w:val="00F63DDE"/>
    <w:rsid w:val="00F63FB7"/>
    <w:rsid w:val="00F649D2"/>
    <w:rsid w:val="00F6602B"/>
    <w:rsid w:val="00F73A0C"/>
    <w:rsid w:val="00F756DB"/>
    <w:rsid w:val="00F82F1A"/>
    <w:rsid w:val="00F85066"/>
    <w:rsid w:val="00FA0C79"/>
    <w:rsid w:val="00FA22FB"/>
    <w:rsid w:val="00FA5D4D"/>
    <w:rsid w:val="00FB1D12"/>
    <w:rsid w:val="00FC0AB6"/>
    <w:rsid w:val="00FC0E5F"/>
    <w:rsid w:val="00FC185E"/>
    <w:rsid w:val="00FC1A95"/>
    <w:rsid w:val="00FC56DE"/>
    <w:rsid w:val="00FC684B"/>
    <w:rsid w:val="00FC7274"/>
    <w:rsid w:val="00FD4377"/>
    <w:rsid w:val="00FE2F78"/>
    <w:rsid w:val="00FE30D1"/>
    <w:rsid w:val="00FF3EC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A710F59"/>
  <w15:docId w15:val="{6E013BCA-4E1F-4CDB-B6B2-5F0AC7A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8F3"/>
    <w:pPr>
      <w:spacing w:after="240" w:line="288" w:lineRule="auto"/>
    </w:pPr>
    <w:rPr>
      <w:rFonts w:ascii="Arial" w:eastAsia="Times New Roman" w:hAnsi="Arial"/>
      <w:szCs w:val="24"/>
      <w:lang w:val="en-GB" w:eastAsia="cs-CZ"/>
    </w:rPr>
  </w:style>
  <w:style w:type="paragraph" w:styleId="Nadpis1">
    <w:name w:val="heading 1"/>
    <w:next w:val="Normln"/>
    <w:link w:val="Nadpis1Char"/>
    <w:qFormat/>
    <w:rsid w:val="00874476"/>
    <w:pPr>
      <w:keepNext/>
      <w:keepLines/>
      <w:spacing w:after="100" w:line="288" w:lineRule="auto"/>
      <w:contextualSpacing/>
      <w:outlineLvl w:val="0"/>
    </w:pPr>
    <w:rPr>
      <w:rFonts w:ascii="Arial" w:eastAsia="MS Gothic" w:hAnsi="Arial"/>
      <w:b/>
      <w:bCs/>
      <w:color w:val="009BB4"/>
      <w:sz w:val="32"/>
      <w:szCs w:val="28"/>
      <w:lang w:val="en-GB" w:eastAsia="cs-CZ"/>
    </w:rPr>
  </w:style>
  <w:style w:type="paragraph" w:styleId="Nadpis2">
    <w:name w:val="heading 2"/>
    <w:next w:val="Normln"/>
    <w:link w:val="Nadpis2Char"/>
    <w:qFormat/>
    <w:rsid w:val="00BB78A6"/>
    <w:pPr>
      <w:keepNext/>
      <w:keepLines/>
      <w:spacing w:before="240" w:after="120" w:line="288" w:lineRule="auto"/>
      <w:outlineLvl w:val="1"/>
    </w:pPr>
    <w:rPr>
      <w:rFonts w:ascii="Arial" w:eastAsia="MS Gothic" w:hAnsi="Arial"/>
      <w:b/>
      <w:bCs/>
      <w:color w:val="009BB4"/>
      <w:sz w:val="28"/>
      <w:szCs w:val="26"/>
      <w:lang w:val="en-GB" w:eastAsia="cs-CZ"/>
    </w:rPr>
  </w:style>
  <w:style w:type="paragraph" w:styleId="Nadpis3">
    <w:name w:val="heading 3"/>
    <w:next w:val="Normln"/>
    <w:link w:val="Nadpis3Char"/>
    <w:qFormat/>
    <w:rsid w:val="00BB78A6"/>
    <w:pPr>
      <w:keepNext/>
      <w:keepLines/>
      <w:spacing w:before="240" w:after="120" w:line="288" w:lineRule="auto"/>
      <w:outlineLvl w:val="2"/>
    </w:pPr>
    <w:rPr>
      <w:rFonts w:ascii="Arial" w:eastAsia="MS Gothic" w:hAnsi="Arial"/>
      <w:b/>
      <w:bCs/>
      <w:color w:val="009BB4"/>
      <w:sz w:val="24"/>
      <w:szCs w:val="24"/>
      <w:lang w:val="en-GB" w:eastAsia="cs-CZ"/>
    </w:rPr>
  </w:style>
  <w:style w:type="paragraph" w:styleId="Nadpis4">
    <w:name w:val="heading 4"/>
    <w:next w:val="Normln"/>
    <w:link w:val="Nadpis4Char"/>
    <w:uiPriority w:val="9"/>
    <w:qFormat/>
    <w:rsid w:val="00351A75"/>
    <w:pPr>
      <w:keepNext/>
      <w:keepLines/>
      <w:spacing w:line="288" w:lineRule="auto"/>
      <w:outlineLvl w:val="3"/>
    </w:pPr>
    <w:rPr>
      <w:rFonts w:ascii="Arial" w:eastAsia="MS Gothic" w:hAnsi="Arial"/>
      <w:b/>
      <w:bCs/>
      <w:iCs/>
      <w:color w:val="BD1B21"/>
      <w:szCs w:val="24"/>
      <w:lang w:val="en-GB" w:eastAsia="cs-CZ"/>
    </w:rPr>
  </w:style>
  <w:style w:type="paragraph" w:styleId="Nadpis5">
    <w:name w:val="heading 5"/>
    <w:basedOn w:val="Normln"/>
    <w:next w:val="Normln"/>
    <w:link w:val="Nadpis5Char"/>
    <w:qFormat/>
    <w:rsid w:val="009B63B1"/>
    <w:pPr>
      <w:spacing w:before="240" w:after="60" w:line="240" w:lineRule="auto"/>
      <w:outlineLvl w:val="4"/>
    </w:pPr>
    <w:rPr>
      <w:rFonts w:ascii="Times New Roman" w:hAnsi="Times New Roman"/>
      <w:b/>
      <w:bCs/>
      <w:i/>
      <w:iCs/>
      <w:sz w:val="26"/>
      <w:szCs w:val="26"/>
      <w:lang w:val="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74476"/>
    <w:rPr>
      <w:rFonts w:ascii="Arial" w:eastAsia="MS Gothic" w:hAnsi="Arial"/>
      <w:b/>
      <w:bCs/>
      <w:color w:val="009BB4"/>
      <w:sz w:val="32"/>
      <w:szCs w:val="28"/>
      <w:lang w:val="en-GB" w:eastAsia="cs-CZ"/>
    </w:rPr>
  </w:style>
  <w:style w:type="character" w:customStyle="1" w:styleId="Nadpis2Char">
    <w:name w:val="Nadpis 2 Char"/>
    <w:link w:val="Nadpis2"/>
    <w:uiPriority w:val="9"/>
    <w:rsid w:val="00BB78A6"/>
    <w:rPr>
      <w:rFonts w:ascii="Arial" w:eastAsia="MS Gothic" w:hAnsi="Arial"/>
      <w:b/>
      <w:bCs/>
      <w:color w:val="009BB4"/>
      <w:sz w:val="28"/>
      <w:szCs w:val="26"/>
      <w:lang w:val="en-GB" w:eastAsia="cs-CZ"/>
    </w:rPr>
  </w:style>
  <w:style w:type="character" w:customStyle="1" w:styleId="Nadpis3Char">
    <w:name w:val="Nadpis 3 Char"/>
    <w:link w:val="Nadpis3"/>
    <w:uiPriority w:val="9"/>
    <w:rsid w:val="00BB78A6"/>
    <w:rPr>
      <w:rFonts w:ascii="Arial" w:eastAsia="MS Gothic" w:hAnsi="Arial"/>
      <w:b/>
      <w:bCs/>
      <w:color w:val="009BB4"/>
      <w:sz w:val="24"/>
      <w:szCs w:val="24"/>
      <w:lang w:val="en-GB" w:eastAsia="cs-CZ"/>
    </w:rPr>
  </w:style>
  <w:style w:type="character" w:customStyle="1" w:styleId="Nadpis4Char">
    <w:name w:val="Nadpis 4 Char"/>
    <w:link w:val="Nadpis4"/>
    <w:uiPriority w:val="9"/>
    <w:rsid w:val="00351A75"/>
    <w:rPr>
      <w:rFonts w:ascii="Arial" w:eastAsia="MS Gothic" w:hAnsi="Arial"/>
      <w:b/>
      <w:bCs/>
      <w:iCs/>
      <w:color w:val="BD1B21"/>
      <w:szCs w:val="24"/>
      <w:lang w:val="en-GB"/>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nhideWhenUsed/>
    <w:qFormat/>
    <w:rsid w:val="00351A75"/>
    <w:pPr>
      <w:spacing w:line="288" w:lineRule="auto"/>
    </w:pPr>
    <w:rPr>
      <w:rFonts w:ascii="Arial" w:hAnsi="Arial"/>
      <w:sz w:val="16"/>
      <w:szCs w:val="22"/>
      <w:lang w:val="en-GB"/>
    </w:rPr>
  </w:style>
  <w:style w:type="character" w:customStyle="1" w:styleId="ZhlavChar">
    <w:name w:val="Záhlaví Char"/>
    <w:link w:val="Zhlav"/>
    <w:rsid w:val="00351A75"/>
    <w:rPr>
      <w:rFonts w:ascii="Arial" w:hAnsi="Arial"/>
      <w:sz w:val="16"/>
      <w:szCs w:val="22"/>
      <w:lang w:val="en-GB" w:eastAsia="en-US"/>
    </w:rPr>
  </w:style>
  <w:style w:type="paragraph" w:styleId="Zpat">
    <w:name w:val="footer"/>
    <w:link w:val="ZpatChar"/>
    <w:unhideWhenUsed/>
    <w:qFormat/>
    <w:rsid w:val="00FE30D1"/>
    <w:pPr>
      <w:tabs>
        <w:tab w:val="center" w:pos="4820"/>
        <w:tab w:val="right" w:pos="9639"/>
      </w:tabs>
    </w:pPr>
    <w:rPr>
      <w:rFonts w:ascii="Arial" w:hAnsi="Arial" w:cs="Arial"/>
      <w:sz w:val="16"/>
      <w:lang w:val="en-GB"/>
    </w:rPr>
  </w:style>
  <w:style w:type="character" w:customStyle="1" w:styleId="ZpatChar">
    <w:name w:val="Zápatí Char"/>
    <w:link w:val="Zpat"/>
    <w:uiPriority w:val="99"/>
    <w:rsid w:val="00FE30D1"/>
    <w:rPr>
      <w:rFonts w:ascii="Arial" w:hAnsi="Arial" w:cs="Arial"/>
      <w:sz w:val="16"/>
      <w:lang w:val="en-GB"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38283A"/>
    <w:pPr>
      <w:spacing w:before="80"/>
    </w:pPr>
    <w:rPr>
      <w:b/>
      <w:noProof/>
    </w:rPr>
  </w:style>
  <w:style w:type="paragraph" w:customStyle="1" w:styleId="TLIdentifikace-sted">
    <w:name w:val="TL Identifikace - střed"/>
    <w:qFormat/>
    <w:rsid w:val="00351A75"/>
    <w:pPr>
      <w:spacing w:after="200" w:line="288" w:lineRule="auto"/>
    </w:pPr>
    <w:rPr>
      <w:rFonts w:ascii="Arial" w:eastAsia="Times New Roman" w:hAnsi="Arial"/>
      <w:sz w:val="24"/>
      <w:szCs w:val="24"/>
      <w:lang w:val="en-GB" w:eastAsia="cs-CZ"/>
    </w:rPr>
  </w:style>
  <w:style w:type="paragraph" w:customStyle="1" w:styleId="Obsah">
    <w:name w:val="Obsah"/>
    <w:next w:val="Normln"/>
    <w:qFormat/>
    <w:rsid w:val="004C7BC9"/>
    <w:pPr>
      <w:spacing w:after="80" w:line="288" w:lineRule="auto"/>
    </w:pPr>
    <w:rPr>
      <w:rFonts w:ascii="Arial" w:eastAsia="Times New Roman" w:hAnsi="Arial"/>
      <w:b/>
      <w:color w:val="009BB4"/>
      <w:sz w:val="32"/>
      <w:szCs w:val="24"/>
      <w:lang w:val="en-GB" w:eastAsia="cs-CZ"/>
    </w:rPr>
  </w:style>
  <w:style w:type="paragraph" w:customStyle="1" w:styleId="Obsahpoloky">
    <w:name w:val="Obsah položky"/>
    <w:qFormat/>
    <w:rsid w:val="00351A75"/>
    <w:pPr>
      <w:tabs>
        <w:tab w:val="right" w:leader="dot" w:pos="9639"/>
      </w:tabs>
      <w:spacing w:line="288" w:lineRule="auto"/>
    </w:pPr>
    <w:rPr>
      <w:rFonts w:ascii="Arial" w:eastAsia="Times New Roman" w:hAnsi="Arial"/>
      <w:szCs w:val="24"/>
      <w:lang w:val="en-GB" w:eastAsia="cs-CZ"/>
    </w:rPr>
  </w:style>
  <w:style w:type="paragraph" w:customStyle="1" w:styleId="Box1">
    <w:name w:val="Box 1"/>
    <w:next w:val="Normln"/>
    <w:qFormat/>
    <w:rsid w:val="00351A75"/>
    <w:pPr>
      <w:shd w:val="clear" w:color="auto" w:fill="D9EAF5"/>
      <w:spacing w:before="240" w:after="240" w:line="288" w:lineRule="auto"/>
      <w:ind w:left="709"/>
      <w:contextualSpacing/>
    </w:pPr>
    <w:rPr>
      <w:rFonts w:ascii="Arial" w:hAnsi="Arial" w:cs="Arial"/>
      <w:lang w:val="en-GB" w:eastAsia="cs-CZ"/>
    </w:rPr>
  </w:style>
  <w:style w:type="paragraph" w:customStyle="1" w:styleId="Box2">
    <w:name w:val="Box 2"/>
    <w:link w:val="Box2Char"/>
    <w:qFormat/>
    <w:rsid w:val="00351A75"/>
    <w:pPr>
      <w:spacing w:before="240" w:after="240" w:line="288" w:lineRule="auto"/>
      <w:ind w:left="709"/>
      <w:contextualSpacing/>
    </w:pPr>
    <w:rPr>
      <w:rFonts w:ascii="Arial" w:hAnsi="Arial" w:cs="Arial"/>
      <w:color w:val="0071BC"/>
      <w:lang w:val="en-GB" w:eastAsia="cs-CZ"/>
    </w:rPr>
  </w:style>
  <w:style w:type="paragraph" w:styleId="Seznam">
    <w:name w:val="List"/>
    <w:basedOn w:val="Normln"/>
    <w:uiPriority w:val="99"/>
    <w:unhideWhenUsed/>
    <w:qFormat/>
    <w:rsid w:val="00351A75"/>
    <w:pPr>
      <w:contextualSpacing/>
    </w:pPr>
  </w:style>
  <w:style w:type="character" w:styleId="Siln">
    <w:name w:val="Strong"/>
    <w:aliases w:val="Tučné"/>
    <w:uiPriority w:val="22"/>
    <w:qFormat/>
    <w:rsid w:val="00351A75"/>
    <w:rPr>
      <w:rFonts w:ascii="Arial" w:hAnsi="Arial"/>
      <w:b/>
      <w:bCs/>
      <w:sz w:val="20"/>
      <w:lang w:val="en-GB"/>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351A75"/>
    <w:pPr>
      <w:spacing w:after="160" w:line="259" w:lineRule="auto"/>
      <w:contextualSpacing/>
    </w:pPr>
    <w:rPr>
      <w:rFonts w:ascii="Arial" w:eastAsia="Times New Roman" w:hAnsi="Arial"/>
      <w:b/>
      <w:color w:val="0071BC"/>
      <w:lang w:val="en-GB" w:eastAsia="cs-CZ"/>
    </w:rPr>
  </w:style>
  <w:style w:type="paragraph" w:styleId="Nzev">
    <w:name w:val="Title"/>
    <w:link w:val="NzevChar"/>
    <w:qFormat/>
    <w:rsid w:val="00351A75"/>
    <w:pPr>
      <w:spacing w:line="288" w:lineRule="auto"/>
    </w:pPr>
    <w:rPr>
      <w:rFonts w:ascii="Arial" w:eastAsia="Times New Roman" w:hAnsi="Arial"/>
      <w:b/>
      <w:bCs/>
      <w:caps/>
      <w:kern w:val="28"/>
      <w:sz w:val="56"/>
      <w:szCs w:val="32"/>
      <w:lang w:val="en-GB" w:eastAsia="cs-CZ"/>
    </w:rPr>
  </w:style>
  <w:style w:type="character" w:customStyle="1" w:styleId="NzevChar">
    <w:name w:val="Název Char"/>
    <w:link w:val="Nzev"/>
    <w:rsid w:val="00351A75"/>
    <w:rPr>
      <w:rFonts w:ascii="Arial" w:eastAsia="Times New Roman" w:hAnsi="Arial"/>
      <w:b/>
      <w:bCs/>
      <w:caps/>
      <w:kern w:val="28"/>
      <w:sz w:val="56"/>
      <w:szCs w:val="32"/>
      <w:lang w:val="en-GB"/>
    </w:rPr>
  </w:style>
  <w:style w:type="paragraph" w:styleId="Podnadpis">
    <w:name w:val="Subtitle"/>
    <w:link w:val="PodnadpisChar"/>
    <w:uiPriority w:val="11"/>
    <w:qFormat/>
    <w:rsid w:val="00351A75"/>
    <w:pPr>
      <w:spacing w:line="288" w:lineRule="auto"/>
    </w:pPr>
    <w:rPr>
      <w:rFonts w:ascii="Arial" w:eastAsia="Times New Roman" w:hAnsi="Arial" w:cs="Arial"/>
      <w:b/>
      <w:sz w:val="28"/>
      <w:szCs w:val="24"/>
      <w:lang w:val="en-GB" w:eastAsia="cs-CZ"/>
    </w:rPr>
  </w:style>
  <w:style w:type="character" w:customStyle="1" w:styleId="PodnadpisChar">
    <w:name w:val="Podnadpis Char"/>
    <w:link w:val="Podnadpis"/>
    <w:uiPriority w:val="11"/>
    <w:rsid w:val="00351A75"/>
    <w:rPr>
      <w:rFonts w:ascii="Arial" w:eastAsia="Times New Roman" w:hAnsi="Arial" w:cs="Arial"/>
      <w:b/>
      <w:sz w:val="28"/>
      <w:szCs w:val="24"/>
      <w:lang w:val="en-GB"/>
    </w:rPr>
  </w:style>
  <w:style w:type="paragraph" w:styleId="Obsah2">
    <w:name w:val="toc 2"/>
    <w:basedOn w:val="Obsahpoloky"/>
    <w:next w:val="Obsahpoloky"/>
    <w:autoRedefine/>
    <w:uiPriority w:val="39"/>
    <w:unhideWhenUsed/>
    <w:rsid w:val="0038283A"/>
    <w:pPr>
      <w:spacing w:before="40"/>
      <w:ind w:left="200"/>
    </w:pPr>
    <w:rPr>
      <w:b/>
      <w:noProof/>
    </w:r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874476"/>
    <w:pPr>
      <w:spacing w:before="240" w:after="0" w:line="240" w:lineRule="auto"/>
      <w:jc w:val="both"/>
    </w:pPr>
    <w:rPr>
      <w:sz w:val="15"/>
      <w:lang w:val="cs-CZ"/>
    </w:rPr>
  </w:style>
  <w:style w:type="character" w:customStyle="1" w:styleId="ZkladntextChar">
    <w:name w:val="Základní text Char"/>
    <w:basedOn w:val="Standardnpsmoodstavce"/>
    <w:link w:val="Zkladntext"/>
    <w:semiHidden/>
    <w:rsid w:val="00874476"/>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874476"/>
    <w:pPr>
      <w:spacing w:after="0" w:line="240" w:lineRule="auto"/>
    </w:pPr>
    <w:rPr>
      <w:rFonts w:ascii="Times New Roman" w:hAnsi="Times New Roman"/>
      <w:szCs w:val="20"/>
      <w:lang w:val="cs-CZ"/>
    </w:rPr>
  </w:style>
  <w:style w:type="character" w:customStyle="1" w:styleId="TextpoznpodarouChar">
    <w:name w:val="Text pozn. pod čarou Char"/>
    <w:basedOn w:val="Standardnpsmoodstavce"/>
    <w:link w:val="Textpoznpodarou"/>
    <w:uiPriority w:val="99"/>
    <w:rsid w:val="00874476"/>
    <w:rPr>
      <w:rFonts w:ascii="Times New Roman" w:eastAsia="Times New Roman" w:hAnsi="Times New Roman"/>
      <w:lang w:eastAsia="cs-CZ"/>
    </w:rPr>
  </w:style>
  <w:style w:type="character" w:styleId="Znakapoznpodarou">
    <w:name w:val="footnote reference"/>
    <w:uiPriority w:val="99"/>
    <w:semiHidden/>
    <w:unhideWhenUsed/>
    <w:rsid w:val="00874476"/>
    <w:rPr>
      <w:vertAlign w:val="superscript"/>
    </w:rPr>
  </w:style>
  <w:style w:type="paragraph" w:styleId="Titulek">
    <w:name w:val="caption"/>
    <w:basedOn w:val="Normln"/>
    <w:next w:val="Normln"/>
    <w:uiPriority w:val="35"/>
    <w:unhideWhenUsed/>
    <w:qFormat/>
    <w:rsid w:val="00874476"/>
    <w:pPr>
      <w:spacing w:after="200" w:line="240" w:lineRule="auto"/>
    </w:pPr>
    <w:rPr>
      <w:b/>
      <w:bCs/>
      <w:color w:val="4F81BD" w:themeColor="accent1"/>
      <w:sz w:val="18"/>
      <w:szCs w:val="18"/>
      <w:lang w:val="cs-CZ"/>
    </w:rPr>
  </w:style>
  <w:style w:type="character" w:customStyle="1" w:styleId="Nadpis5Char">
    <w:name w:val="Nadpis 5 Char"/>
    <w:basedOn w:val="Standardnpsmoodstavce"/>
    <w:link w:val="Nadpis5"/>
    <w:rsid w:val="009B63B1"/>
    <w:rPr>
      <w:rFonts w:ascii="Times New Roman" w:eastAsia="Times New Roman" w:hAnsi="Times New Roman"/>
      <w:b/>
      <w:bCs/>
      <w:i/>
      <w:iCs/>
      <w:sz w:val="26"/>
      <w:szCs w:val="26"/>
      <w:lang w:eastAsia="cs-CZ"/>
    </w:rPr>
  </w:style>
  <w:style w:type="paragraph" w:styleId="Seznamobrzk">
    <w:name w:val="table of figures"/>
    <w:basedOn w:val="Normln"/>
    <w:next w:val="Normln"/>
    <w:uiPriority w:val="99"/>
    <w:unhideWhenUsed/>
    <w:rsid w:val="009B63B1"/>
    <w:pPr>
      <w:spacing w:after="0"/>
    </w:pPr>
    <w:rPr>
      <w:lang w:val="cs-CZ"/>
    </w:rPr>
  </w:style>
  <w:style w:type="paragraph" w:customStyle="1" w:styleId="Styl1">
    <w:name w:val="Styl1"/>
    <w:rsid w:val="009B63B1"/>
    <w:pPr>
      <w:suppressAutoHyphens/>
      <w:autoSpaceDE w:val="0"/>
    </w:pPr>
    <w:rPr>
      <w:rFonts w:ascii="Arial" w:eastAsia="Times New Roman" w:hAnsi="Arial"/>
      <w:sz w:val="24"/>
      <w:szCs w:val="24"/>
      <w:lang w:eastAsia="ar-SA"/>
    </w:rPr>
  </w:style>
  <w:style w:type="paragraph" w:customStyle="1" w:styleId="Bezmezer1">
    <w:name w:val="Bez mezer1"/>
    <w:aliases w:val="Bez zarážky"/>
    <w:link w:val="NoSpacingChar"/>
    <w:uiPriority w:val="1"/>
    <w:qFormat/>
    <w:rsid w:val="009B63B1"/>
    <w:pPr>
      <w:spacing w:line="288" w:lineRule="auto"/>
    </w:pPr>
    <w:rPr>
      <w:rFonts w:ascii="Arial" w:eastAsia="Times New Roman" w:hAnsi="Arial"/>
      <w:szCs w:val="24"/>
      <w:lang w:eastAsia="cs-CZ"/>
    </w:rPr>
  </w:style>
  <w:style w:type="character" w:customStyle="1" w:styleId="NoSpacingChar">
    <w:name w:val="No Spacing Char"/>
    <w:aliases w:val="Bez zarážky Char"/>
    <w:link w:val="Bezmezer1"/>
    <w:uiPriority w:val="1"/>
    <w:rsid w:val="009B63B1"/>
    <w:rPr>
      <w:rFonts w:ascii="Arial" w:eastAsia="Times New Roman" w:hAnsi="Arial"/>
      <w:szCs w:val="24"/>
      <w:lang w:eastAsia="cs-CZ"/>
    </w:rPr>
  </w:style>
  <w:style w:type="character" w:customStyle="1" w:styleId="Box2Char">
    <w:name w:val="Box 2 Char"/>
    <w:link w:val="Box2"/>
    <w:rsid w:val="009B63B1"/>
    <w:rPr>
      <w:rFonts w:ascii="Arial" w:hAnsi="Arial" w:cs="Arial"/>
      <w:color w:val="0071BC"/>
      <w:lang w:val="en-GB" w:eastAsia="cs-CZ"/>
    </w:rPr>
  </w:style>
  <w:style w:type="paragraph" w:customStyle="1" w:styleId="Box">
    <w:name w:val="Box"/>
    <w:next w:val="Normln"/>
    <w:link w:val="BoxChar"/>
    <w:qFormat/>
    <w:rsid w:val="009B63B1"/>
    <w:pPr>
      <w:shd w:val="clear" w:color="auto" w:fill="D9F0F4"/>
      <w:spacing w:line="288" w:lineRule="auto"/>
      <w:ind w:left="1134"/>
    </w:pPr>
    <w:rPr>
      <w:rFonts w:ascii="Arial" w:hAnsi="Arial" w:cs="Arial"/>
      <w:lang w:eastAsia="cs-CZ"/>
    </w:rPr>
  </w:style>
  <w:style w:type="character" w:customStyle="1" w:styleId="BoxChar">
    <w:name w:val="Box Char"/>
    <w:link w:val="Box"/>
    <w:rsid w:val="009B63B1"/>
    <w:rPr>
      <w:rFonts w:ascii="Arial" w:hAnsi="Arial" w:cs="Arial"/>
      <w:shd w:val="clear" w:color="auto" w:fill="D9F0F4"/>
      <w:lang w:eastAsia="cs-CZ"/>
    </w:rPr>
  </w:style>
  <w:style w:type="paragraph" w:customStyle="1" w:styleId="TL-Kontakty">
    <w:name w:val="TL - Kontakty"/>
    <w:next w:val="Normln"/>
    <w:link w:val="TL-KontaktyChar"/>
    <w:qFormat/>
    <w:rsid w:val="009B63B1"/>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B63B1"/>
    <w:rPr>
      <w:rFonts w:ascii="Arial" w:eastAsia="Times New Roman" w:hAnsi="Arial"/>
      <w:b/>
      <w:caps/>
      <w:color w:val="BD1B21"/>
      <w:sz w:val="24"/>
      <w:szCs w:val="24"/>
      <w:lang w:eastAsia="cs-CZ"/>
    </w:rPr>
  </w:style>
  <w:style w:type="paragraph" w:customStyle="1" w:styleId="TL-Identifikace">
    <w:name w:val="TL - Identifikace"/>
    <w:next w:val="Normln"/>
    <w:link w:val="TL-IdentifikaceChar"/>
    <w:qFormat/>
    <w:rsid w:val="009B63B1"/>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9B63B1"/>
    <w:rPr>
      <w:rFonts w:ascii="Arial" w:eastAsia="Times New Roman" w:hAnsi="Arial"/>
      <w:sz w:val="24"/>
      <w:szCs w:val="24"/>
      <w:lang w:eastAsia="cs-CZ"/>
    </w:rPr>
  </w:style>
  <w:style w:type="paragraph" w:customStyle="1" w:styleId="3372873BB58A4DED866D2BE34882C06C">
    <w:name w:val="3372873BB58A4DED866D2BE34882C06C"/>
    <w:rsid w:val="009B63B1"/>
    <w:pPr>
      <w:spacing w:after="200" w:line="276" w:lineRule="auto"/>
    </w:pPr>
    <w:rPr>
      <w:rFonts w:eastAsia="MS Mincho"/>
      <w:sz w:val="22"/>
      <w:szCs w:val="22"/>
      <w:lang w:eastAsia="cs-CZ"/>
    </w:rPr>
  </w:style>
  <w:style w:type="paragraph" w:customStyle="1" w:styleId="233E5CD5853943F4BD7E8C4B124C0E1D">
    <w:name w:val="233E5CD5853943F4BD7E8C4B124C0E1D"/>
    <w:rsid w:val="009B63B1"/>
    <w:pPr>
      <w:spacing w:after="200" w:line="276" w:lineRule="auto"/>
    </w:pPr>
    <w:rPr>
      <w:rFonts w:eastAsia="MS Mincho"/>
      <w:sz w:val="22"/>
      <w:szCs w:val="22"/>
      <w:lang w:eastAsia="cs-CZ"/>
    </w:rPr>
  </w:style>
  <w:style w:type="paragraph" w:customStyle="1" w:styleId="D345FF3D873148C5AE3FBF3267827368">
    <w:name w:val="D345FF3D873148C5AE3FBF3267827368"/>
    <w:rsid w:val="009B63B1"/>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9B63B1"/>
    <w:pPr>
      <w:spacing w:after="200"/>
    </w:pPr>
    <w:rPr>
      <w:sz w:val="24"/>
      <w:lang w:val="cs-CZ"/>
    </w:rPr>
  </w:style>
  <w:style w:type="character" w:customStyle="1" w:styleId="TL-identifikace-stedChar">
    <w:name w:val="TL - identifikace - střed Char"/>
    <w:link w:val="TL-identifikace-sted"/>
    <w:rsid w:val="009B63B1"/>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9B63B1"/>
    <w:pPr>
      <w:spacing w:after="200"/>
    </w:pPr>
    <w:rPr>
      <w:rFonts w:cs="Arial"/>
      <w:szCs w:val="20"/>
      <w:lang w:val="cs-CZ" w:eastAsia="ar-SA"/>
    </w:rPr>
  </w:style>
  <w:style w:type="character" w:customStyle="1" w:styleId="TL-Identifikace-doleChar">
    <w:name w:val="TL - Identifikace - dole Char"/>
    <w:link w:val="TL-Identifikace-dole"/>
    <w:rsid w:val="009B63B1"/>
    <w:rPr>
      <w:rFonts w:ascii="Arial" w:eastAsia="Times New Roman" w:hAnsi="Arial" w:cs="Arial"/>
      <w:lang w:eastAsia="ar-SA"/>
    </w:rPr>
  </w:style>
  <w:style w:type="paragraph" w:styleId="Rozloendokumentu">
    <w:name w:val="Document Map"/>
    <w:basedOn w:val="Normln"/>
    <w:link w:val="RozloendokumentuChar"/>
    <w:semiHidden/>
    <w:rsid w:val="009B63B1"/>
    <w:pPr>
      <w:shd w:val="clear" w:color="auto" w:fill="000080"/>
      <w:spacing w:after="0" w:line="240" w:lineRule="auto"/>
    </w:pPr>
    <w:rPr>
      <w:rFonts w:ascii="Tahoma" w:hAnsi="Tahoma" w:cs="Tahoma"/>
      <w:sz w:val="24"/>
      <w:lang w:val="cs-CZ"/>
    </w:rPr>
  </w:style>
  <w:style w:type="character" w:customStyle="1" w:styleId="RozloendokumentuChar">
    <w:name w:val="Rozložení dokumentu Char"/>
    <w:basedOn w:val="Standardnpsmoodstavce"/>
    <w:link w:val="Rozloendokumentu"/>
    <w:semiHidden/>
    <w:rsid w:val="009B63B1"/>
    <w:rPr>
      <w:rFonts w:ascii="Tahoma" w:eastAsia="Times New Roman" w:hAnsi="Tahoma" w:cs="Tahoma"/>
      <w:sz w:val="24"/>
      <w:szCs w:val="24"/>
      <w:shd w:val="clear" w:color="auto" w:fill="000080"/>
      <w:lang w:eastAsia="cs-CZ"/>
    </w:rPr>
  </w:style>
  <w:style w:type="paragraph" w:styleId="Zkladntextodsazen">
    <w:name w:val="Body Text Indent"/>
    <w:basedOn w:val="Normln"/>
    <w:link w:val="ZkladntextodsazenChar"/>
    <w:semiHidden/>
    <w:rsid w:val="009B63B1"/>
    <w:pPr>
      <w:spacing w:after="0" w:line="240" w:lineRule="auto"/>
      <w:ind w:left="360" w:hanging="360"/>
      <w:jc w:val="both"/>
    </w:pPr>
    <w:rPr>
      <w:rFonts w:ascii="Times New Roman" w:hAnsi="Times New Roman"/>
      <w:sz w:val="22"/>
      <w:lang w:val="cs-CZ"/>
    </w:rPr>
  </w:style>
  <w:style w:type="character" w:customStyle="1" w:styleId="ZkladntextodsazenChar">
    <w:name w:val="Základní text odsazený Char"/>
    <w:basedOn w:val="Standardnpsmoodstavce"/>
    <w:link w:val="Zkladntextodsazen"/>
    <w:semiHidden/>
    <w:rsid w:val="009B63B1"/>
    <w:rPr>
      <w:rFonts w:ascii="Times New Roman" w:eastAsia="Times New Roman" w:hAnsi="Times New Roman"/>
      <w:sz w:val="22"/>
      <w:szCs w:val="24"/>
      <w:lang w:eastAsia="cs-CZ"/>
    </w:rPr>
  </w:style>
  <w:style w:type="paragraph" w:styleId="Zkladntextodsazen2">
    <w:name w:val="Body Text Indent 2"/>
    <w:basedOn w:val="Normln"/>
    <w:link w:val="Zkladntextodsazen2Char"/>
    <w:semiHidden/>
    <w:rsid w:val="009B63B1"/>
    <w:pPr>
      <w:spacing w:after="0" w:line="240" w:lineRule="auto"/>
      <w:ind w:left="360" w:hanging="360"/>
      <w:jc w:val="both"/>
    </w:pPr>
    <w:rPr>
      <w:rFonts w:ascii="Times New Roman" w:hAnsi="Times New Roman"/>
      <w:sz w:val="24"/>
      <w:lang w:val="cs-CZ"/>
    </w:rPr>
  </w:style>
  <w:style w:type="character" w:customStyle="1" w:styleId="Zkladntextodsazen2Char">
    <w:name w:val="Základní text odsazený 2 Char"/>
    <w:basedOn w:val="Standardnpsmoodstavce"/>
    <w:link w:val="Zkladntextodsazen2"/>
    <w:semiHidden/>
    <w:rsid w:val="009B63B1"/>
    <w:rPr>
      <w:rFonts w:ascii="Times New Roman" w:eastAsia="Times New Roman" w:hAnsi="Times New Roman"/>
      <w:sz w:val="24"/>
      <w:szCs w:val="24"/>
      <w:lang w:eastAsia="cs-CZ"/>
    </w:rPr>
  </w:style>
  <w:style w:type="character" w:styleId="Sledovanodkaz">
    <w:name w:val="FollowedHyperlink"/>
    <w:semiHidden/>
    <w:rsid w:val="009B63B1"/>
    <w:rPr>
      <w:color w:val="800080"/>
      <w:u w:val="single"/>
    </w:rPr>
  </w:style>
  <w:style w:type="paragraph" w:styleId="Zkladntext3">
    <w:name w:val="Body Text 3"/>
    <w:basedOn w:val="Normln"/>
    <w:link w:val="Zkladntext3Char"/>
    <w:semiHidden/>
    <w:rsid w:val="009B63B1"/>
    <w:pPr>
      <w:spacing w:after="0" w:line="240" w:lineRule="auto"/>
      <w:jc w:val="both"/>
    </w:pPr>
    <w:rPr>
      <w:rFonts w:cs="Arial"/>
      <w:b/>
      <w:bCs/>
      <w:lang w:val="cs-CZ"/>
    </w:rPr>
  </w:style>
  <w:style w:type="character" w:customStyle="1" w:styleId="Zkladntext3Char">
    <w:name w:val="Základní text 3 Char"/>
    <w:basedOn w:val="Standardnpsmoodstavce"/>
    <w:link w:val="Zkladntext3"/>
    <w:semiHidden/>
    <w:rsid w:val="009B63B1"/>
    <w:rPr>
      <w:rFonts w:ascii="Arial" w:eastAsia="Times New Roman" w:hAnsi="Arial" w:cs="Arial"/>
      <w:b/>
      <w:bCs/>
      <w:szCs w:val="24"/>
      <w:lang w:eastAsia="cs-CZ"/>
    </w:rPr>
  </w:style>
  <w:style w:type="paragraph" w:styleId="Odstavecseseznamem">
    <w:name w:val="List Paragraph"/>
    <w:basedOn w:val="Normln"/>
    <w:uiPriority w:val="34"/>
    <w:qFormat/>
    <w:rsid w:val="009B63B1"/>
    <w:pPr>
      <w:spacing w:after="0" w:line="240" w:lineRule="auto"/>
      <w:ind w:left="720"/>
      <w:contextualSpacing/>
    </w:pPr>
    <w:rPr>
      <w:rFonts w:ascii="Times New Roman" w:hAnsi="Times New Roman"/>
      <w:sz w:val="24"/>
      <w:lang w:val="cs-CZ"/>
    </w:rPr>
  </w:style>
  <w:style w:type="paragraph" w:styleId="Textkomente">
    <w:name w:val="annotation text"/>
    <w:basedOn w:val="Normln"/>
    <w:link w:val="TextkomenteChar"/>
    <w:uiPriority w:val="99"/>
    <w:semiHidden/>
    <w:unhideWhenUsed/>
    <w:rsid w:val="009B63B1"/>
    <w:pPr>
      <w:spacing w:after="0" w:line="240" w:lineRule="auto"/>
    </w:pPr>
    <w:rPr>
      <w:rFonts w:ascii="Times New Roman" w:hAnsi="Times New Roman"/>
      <w:szCs w:val="20"/>
      <w:lang w:val="cs-CZ"/>
    </w:rPr>
  </w:style>
  <w:style w:type="character" w:customStyle="1" w:styleId="TextkomenteChar">
    <w:name w:val="Text komentáře Char"/>
    <w:basedOn w:val="Standardnpsmoodstavce"/>
    <w:link w:val="Textkomente"/>
    <w:uiPriority w:val="99"/>
    <w:semiHidden/>
    <w:rsid w:val="009B63B1"/>
    <w:rPr>
      <w:rFonts w:ascii="Times New Roman" w:eastAsia="Times New Roman" w:hAnsi="Times New Roman"/>
      <w:lang w:eastAsia="cs-CZ"/>
    </w:rPr>
  </w:style>
  <w:style w:type="paragraph" w:styleId="Pedmtkomente">
    <w:name w:val="annotation subject"/>
    <w:basedOn w:val="Textkomente"/>
    <w:next w:val="Textkomente"/>
    <w:link w:val="PedmtkomenteChar"/>
    <w:uiPriority w:val="99"/>
    <w:semiHidden/>
    <w:unhideWhenUsed/>
    <w:rsid w:val="009B63B1"/>
    <w:rPr>
      <w:b/>
      <w:bCs/>
    </w:rPr>
  </w:style>
  <w:style w:type="character" w:customStyle="1" w:styleId="PedmtkomenteChar">
    <w:name w:val="Předmět komentáře Char"/>
    <w:basedOn w:val="TextkomenteChar"/>
    <w:link w:val="Pedmtkomente"/>
    <w:uiPriority w:val="99"/>
    <w:semiHidden/>
    <w:rsid w:val="009B63B1"/>
    <w:rPr>
      <w:rFonts w:ascii="Times New Roman" w:eastAsia="Times New Roman" w:hAnsi="Times New Roman"/>
      <w:b/>
      <w:bCs/>
      <w:lang w:eastAsia="cs-CZ"/>
    </w:rPr>
  </w:style>
  <w:style w:type="paragraph" w:styleId="Normlnweb">
    <w:name w:val="Normal (Web)"/>
    <w:basedOn w:val="Normln"/>
    <w:uiPriority w:val="99"/>
    <w:semiHidden/>
    <w:unhideWhenUsed/>
    <w:rsid w:val="009B63B1"/>
    <w:pPr>
      <w:spacing w:after="0"/>
    </w:pPr>
    <w:rPr>
      <w:rFonts w:ascii="Times New Roman" w:hAnsi="Times New Roman"/>
      <w:sz w:val="24"/>
      <w:lang w:val="cs-CZ"/>
    </w:rPr>
  </w:style>
  <w:style w:type="character" w:styleId="Odkaznakoment">
    <w:name w:val="annotation reference"/>
    <w:basedOn w:val="Standardnpsmoodstavce"/>
    <w:uiPriority w:val="99"/>
    <w:semiHidden/>
    <w:unhideWhenUsed/>
    <w:rsid w:val="009B63B1"/>
    <w:rPr>
      <w:sz w:val="16"/>
      <w:szCs w:val="16"/>
    </w:rPr>
  </w:style>
  <w:style w:type="paragraph" w:styleId="Bezmezer">
    <w:name w:val="No Spacing"/>
    <w:uiPriority w:val="1"/>
    <w:qFormat/>
    <w:rsid w:val="009B63B1"/>
    <w:pPr>
      <w:spacing w:line="360" w:lineRule="auto"/>
      <w:ind w:firstLine="709"/>
      <w:jc w:val="both"/>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459454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0.xm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oter" Target="footer4.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mvcr.cz/clanek/datove-schranky-datove-schranky.aspx" TargetMode="External"/><Relationship Id="rId1" Type="http://schemas.openxmlformats.org/officeDocument/2006/relationships/hyperlink" Target="http://www.czechpoint.cz/publi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EN_2017-08-14-3.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Rozvoj%20IS%20v%20&#268;R%20a%20zem&#237;ch%20EU\grafy\IS2018_grafy_Shrnut&#237;_E.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grafy\IS2018_grafy_Shrnut&#237;_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552535232459E-2"/>
          <c:y val="0.17694644804891199"/>
          <c:w val="0.96885976842926902"/>
          <c:h val="0.66102274504039904"/>
        </c:manualLayout>
      </c:layout>
      <c:barChart>
        <c:barDir val="col"/>
        <c:grouping val="clustered"/>
        <c:varyColors val="0"/>
        <c:ser>
          <c:idx val="0"/>
          <c:order val="0"/>
          <c:tx>
            <c:strRef>
              <c:f>E_EN!$I$4</c:f>
              <c:strCache>
                <c:ptCount val="1"/>
                <c:pt idx="0">
                  <c:v> Criminal register</c:v>
                </c:pt>
              </c:strCache>
            </c:strRef>
          </c:tx>
          <c:spPr>
            <a:solidFill>
              <a:srgbClr val="009BB4"/>
            </a:solidFill>
            <a:ln w="25400">
              <a:noFill/>
            </a:ln>
          </c:spPr>
          <c:invertIfNegative val="0"/>
          <c:dLbls>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E_EN!$J$3:$Q$3</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E_EN!$J$4:$Q$4</c:f>
              <c:numCache>
                <c:formatCode>#,##0</c:formatCode>
                <c:ptCount val="8"/>
                <c:pt idx="0">
                  <c:v>790.13</c:v>
                </c:pt>
                <c:pt idx="1">
                  <c:v>818.88400000000001</c:v>
                </c:pt>
                <c:pt idx="2">
                  <c:v>749.15</c:v>
                </c:pt>
                <c:pt idx="3">
                  <c:v>752.01800000000003</c:v>
                </c:pt>
                <c:pt idx="4">
                  <c:v>776.35699999999827</c:v>
                </c:pt>
                <c:pt idx="5">
                  <c:v>828.95499999999936</c:v>
                </c:pt>
                <c:pt idx="6">
                  <c:v>920.60400000000004</c:v>
                </c:pt>
                <c:pt idx="7">
                  <c:v>901.83399999999938</c:v>
                </c:pt>
              </c:numCache>
            </c:numRef>
          </c:val>
          <c:extLst>
            <c:ext xmlns:c16="http://schemas.microsoft.com/office/drawing/2014/chart" uri="{C3380CC4-5D6E-409C-BE32-E72D297353CC}">
              <c16:uniqueId val="{00000000-A7A1-4B36-9447-05956F7F6BB0}"/>
            </c:ext>
          </c:extLst>
        </c:ser>
        <c:ser>
          <c:idx val="1"/>
          <c:order val="1"/>
          <c:tx>
            <c:strRef>
              <c:f>E_EN!$I$5</c:f>
              <c:strCache>
                <c:ptCount val="1"/>
                <c:pt idx="0">
                  <c:v> Land register</c:v>
                </c:pt>
              </c:strCache>
            </c:strRef>
          </c:tx>
          <c:spPr>
            <a:solidFill>
              <a:srgbClr val="47E5FF"/>
            </a:solidFill>
            <a:ln w="25400">
              <a:noFill/>
            </a:ln>
          </c:spPr>
          <c:invertIfNegative val="0"/>
          <c:dLbls>
            <c:dLbl>
              <c:idx val="4"/>
              <c:layout>
                <c:manualLayout>
                  <c:x val="0"/>
                  <c:y val="0.2405764090045640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7A1-4B36-9447-05956F7F6BB0}"/>
                </c:ext>
              </c:extLst>
            </c:dLbl>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E_EN!$J$3:$Q$3</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E_EN!$J$5:$Q$5</c:f>
              <c:numCache>
                <c:formatCode>#,##0</c:formatCode>
                <c:ptCount val="8"/>
                <c:pt idx="0">
                  <c:v>441.72599999999898</c:v>
                </c:pt>
                <c:pt idx="1">
                  <c:v>414.63299999999992</c:v>
                </c:pt>
                <c:pt idx="2">
                  <c:v>407.47800000000001</c:v>
                </c:pt>
                <c:pt idx="3">
                  <c:v>399.92500000000001</c:v>
                </c:pt>
                <c:pt idx="4">
                  <c:v>376.37799999999999</c:v>
                </c:pt>
                <c:pt idx="5">
                  <c:v>349.21800000000002</c:v>
                </c:pt>
                <c:pt idx="6">
                  <c:v>320.41199999999901</c:v>
                </c:pt>
                <c:pt idx="7">
                  <c:v>282.36799999999999</c:v>
                </c:pt>
              </c:numCache>
            </c:numRef>
          </c:val>
          <c:extLst>
            <c:ext xmlns:c16="http://schemas.microsoft.com/office/drawing/2014/chart" uri="{C3380CC4-5D6E-409C-BE32-E72D297353CC}">
              <c16:uniqueId val="{00000002-A7A1-4B36-9447-05956F7F6BB0}"/>
            </c:ext>
          </c:extLst>
        </c:ser>
        <c:ser>
          <c:idx val="2"/>
          <c:order val="2"/>
          <c:tx>
            <c:strRef>
              <c:f>E_EN!$I$6</c:f>
              <c:strCache>
                <c:ptCount val="1"/>
                <c:pt idx="0">
                  <c:v> Commercial register</c:v>
                </c:pt>
              </c:strCache>
            </c:strRef>
          </c:tx>
          <c:spPr>
            <a:solidFill>
              <a:srgbClr val="ABF3FF"/>
            </a:solidFill>
            <a:ln w="25400">
              <a:noFill/>
            </a:ln>
          </c:spPr>
          <c:invertIfNegative val="0"/>
          <c:dLbls>
            <c:dLbl>
              <c:idx val="3"/>
              <c:layout>
                <c:manualLayout>
                  <c:x val="0"/>
                  <c:y val="9.44521110118966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7A1-4B36-9447-05956F7F6BB0}"/>
                </c:ext>
              </c:extLst>
            </c:dLbl>
            <c:dLbl>
              <c:idx val="4"/>
              <c:layout>
                <c:manualLayout>
                  <c:x val="1.03796866511246E-16"/>
                  <c:y val="9.05531653904089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7A1-4B36-9447-05956F7F6BB0}"/>
                </c:ext>
              </c:extLst>
            </c:dLbl>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E_EN!$J$3:$Q$3</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E_EN!$J$6:$Q$6</c:f>
              <c:numCache>
                <c:formatCode>#,##0</c:formatCode>
                <c:ptCount val="8"/>
                <c:pt idx="0">
                  <c:v>327.22500000000002</c:v>
                </c:pt>
                <c:pt idx="1">
                  <c:v>326.45499999999993</c:v>
                </c:pt>
                <c:pt idx="2">
                  <c:v>348.49200000000002</c:v>
                </c:pt>
                <c:pt idx="3">
                  <c:v>297.11799999999999</c:v>
                </c:pt>
                <c:pt idx="4">
                  <c:v>295.39100000000002</c:v>
                </c:pt>
                <c:pt idx="5">
                  <c:v>241.304</c:v>
                </c:pt>
                <c:pt idx="6">
                  <c:v>210.72</c:v>
                </c:pt>
                <c:pt idx="7">
                  <c:v>179.60400000000001</c:v>
                </c:pt>
              </c:numCache>
            </c:numRef>
          </c:val>
          <c:extLst>
            <c:ext xmlns:c16="http://schemas.microsoft.com/office/drawing/2014/chart" uri="{C3380CC4-5D6E-409C-BE32-E72D297353CC}">
              <c16:uniqueId val="{00000005-A7A1-4B36-9447-05956F7F6BB0}"/>
            </c:ext>
          </c:extLst>
        </c:ser>
        <c:dLbls>
          <c:showLegendKey val="0"/>
          <c:showVal val="1"/>
          <c:showCatName val="0"/>
          <c:showSerName val="0"/>
          <c:showPercent val="0"/>
          <c:showBubbleSize val="0"/>
        </c:dLbls>
        <c:gapWidth val="70"/>
        <c:axId val="197167104"/>
        <c:axId val="196668800"/>
      </c:barChart>
      <c:catAx>
        <c:axId val="197167104"/>
        <c:scaling>
          <c:orientation val="minMax"/>
        </c:scaling>
        <c:delete val="0"/>
        <c:axPos val="b"/>
        <c:numFmt formatCode="0" sourceLinked="0"/>
        <c:majorTickMark val="out"/>
        <c:minorTickMark val="none"/>
        <c:tickLblPos val="nextTo"/>
        <c:spPr>
          <a:ln w="3175">
            <a:solidFill>
              <a:schemeClr val="tx1"/>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96668800"/>
        <c:crosses val="autoZero"/>
        <c:auto val="1"/>
        <c:lblAlgn val="ctr"/>
        <c:lblOffset val="100"/>
        <c:noMultiLvlLbl val="0"/>
      </c:catAx>
      <c:valAx>
        <c:axId val="196668800"/>
        <c:scaling>
          <c:orientation val="minMax"/>
          <c:max val="1150"/>
          <c:min val="0"/>
        </c:scaling>
        <c:delete val="0"/>
        <c:axPos val="l"/>
        <c:numFmt formatCode="#,##0" sourceLinked="0"/>
        <c:majorTickMark val="none"/>
        <c:minorTickMark val="none"/>
        <c:tickLblPos val="none"/>
        <c:spPr>
          <a:ln w="3175">
            <a:solidFill>
              <a:srgbClr val="808080"/>
            </a:solidFill>
            <a:prstDash val="solid"/>
          </a:ln>
        </c:spPr>
        <c:crossAx val="197167104"/>
        <c:crosses val="autoZero"/>
        <c:crossBetween val="between"/>
        <c:majorUnit val="200"/>
        <c:minorUnit val="10"/>
      </c:valAx>
      <c:spPr>
        <a:noFill/>
        <a:ln w="12700">
          <a:solidFill>
            <a:srgbClr val="A6A6A6"/>
          </a:solidFill>
          <a:prstDash val="solid"/>
        </a:ln>
      </c:spPr>
    </c:plotArea>
    <c:legend>
      <c:legendPos val="t"/>
      <c:layout>
        <c:manualLayout>
          <c:xMode val="edge"/>
          <c:yMode val="edge"/>
          <c:x val="4.8124557678697798E-2"/>
          <c:y val="0.19781409741810899"/>
          <c:w val="0.89401706720679497"/>
          <c:h val="9.61267702012637E-2"/>
        </c:manualLayout>
      </c:layout>
      <c:overlay val="0"/>
      <c:spPr>
        <a:ln>
          <a:solidFill>
            <a:schemeClr val="bg1">
              <a:lumMod val="50000"/>
            </a:schemeClr>
          </a:solidFill>
        </a:ln>
      </c:spPr>
      <c:txPr>
        <a:bodyPr/>
        <a:lstStyle/>
        <a:p>
          <a:pPr>
            <a:defRPr sz="800" b="0" i="0" u="none" strike="noStrike" baseline="0">
              <a:solidFill>
                <a:srgbClr val="000000"/>
              </a:solidFill>
              <a:latin typeface="Arial CE"/>
              <a:ea typeface="Arial CE"/>
              <a:cs typeface="Arial CE"/>
            </a:defRPr>
          </a:pPr>
          <a:endParaRPr lang="cs-CZ"/>
        </a:p>
      </c:txPr>
    </c:legend>
    <c:plotVisOnly val="1"/>
    <c:dispBlanksAs val="gap"/>
    <c:showDLblsOverMax val="0"/>
  </c:chart>
  <c:spPr>
    <a:ln>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effectLst/>
                <a:latin typeface="Arial" panose="020B0604020202020204" pitchFamily="34" charset="0"/>
                <a:cs typeface="Arial" panose="020B0604020202020204" pitchFamily="34" charset="0"/>
              </a:rPr>
              <a:t>Figure E9 Personal Income Tax forms </a:t>
            </a:r>
          </a:p>
          <a:p>
            <a:pPr>
              <a:defRPr sz="800" b="1"/>
            </a:pPr>
            <a:r>
              <a:rPr lang="cs-CZ" sz="800" b="1">
                <a:effectLst/>
                <a:latin typeface="Arial" panose="020B0604020202020204" pitchFamily="34" charset="0"/>
                <a:cs typeface="Arial" panose="020B0604020202020204" pitchFamily="34" charset="0"/>
              </a:rPr>
              <a:t>sent electronically</a:t>
            </a:r>
            <a:r>
              <a:rPr lang="cs-CZ" sz="800" b="1" baseline="0">
                <a:effectLst/>
                <a:latin typeface="Arial" panose="020B0604020202020204" pitchFamily="34" charset="0"/>
                <a:cs typeface="Arial" panose="020B0604020202020204" pitchFamily="34" charset="0"/>
              </a:rPr>
              <a:t> to the Czech Financial Administration via EPO application</a:t>
            </a:r>
            <a:endParaRPr lang="cs-CZ" sz="100">
              <a:effectLst/>
              <a:latin typeface="Arial" panose="020B0604020202020204" pitchFamily="34" charset="0"/>
              <a:cs typeface="Arial" panose="020B0604020202020204" pitchFamily="34" charset="0"/>
            </a:endParaRPr>
          </a:p>
        </c:rich>
      </c:tx>
      <c:layout>
        <c:manualLayout>
          <c:xMode val="edge"/>
          <c:yMode val="edge"/>
          <c:x val="0.14244934640522899"/>
          <c:y val="0"/>
        </c:manualLayout>
      </c:layout>
      <c:overlay val="1"/>
    </c:title>
    <c:autoTitleDeleted val="0"/>
    <c:plotArea>
      <c:layout>
        <c:manualLayout>
          <c:layoutTarget val="inner"/>
          <c:xMode val="edge"/>
          <c:yMode val="edge"/>
          <c:x val="2.90522875816994E-2"/>
          <c:y val="0.29248002172993764"/>
          <c:w val="0.966503267973856"/>
          <c:h val="0.56950308200890809"/>
        </c:manualLayout>
      </c:layout>
      <c:barChart>
        <c:barDir val="col"/>
        <c:grouping val="clustered"/>
        <c:varyColors val="0"/>
        <c:ser>
          <c:idx val="0"/>
          <c:order val="0"/>
          <c:tx>
            <c:strRef>
              <c:f>E_EN!$I$121</c:f>
              <c:strCache>
                <c:ptCount val="1"/>
                <c:pt idx="0">
                  <c:v> Total</c:v>
                </c:pt>
              </c:strCache>
            </c:strRef>
          </c:tx>
          <c:spPr>
            <a:solidFill>
              <a:srgbClr val="009BB4"/>
            </a:solidFill>
            <a:ln w="25400">
              <a:noFill/>
            </a:ln>
          </c:spPr>
          <c:invertIfNegative val="0"/>
          <c:dLbls>
            <c:numFmt formatCode="#,##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E_EN!$J$120:$N$120</c:f>
              <c:numCache>
                <c:formatCode>General</c:formatCode>
                <c:ptCount val="5"/>
                <c:pt idx="0" formatCode="@">
                  <c:v>2013</c:v>
                </c:pt>
                <c:pt idx="1">
                  <c:v>2014</c:v>
                </c:pt>
                <c:pt idx="2" formatCode="@">
                  <c:v>2015</c:v>
                </c:pt>
                <c:pt idx="3">
                  <c:v>2016</c:v>
                </c:pt>
                <c:pt idx="4" formatCode="@">
                  <c:v>2017</c:v>
                </c:pt>
              </c:numCache>
            </c:numRef>
          </c:cat>
          <c:val>
            <c:numRef>
              <c:f>E_EN!$J$121:$N$121</c:f>
              <c:numCache>
                <c:formatCode>#,##0.0</c:formatCode>
                <c:ptCount val="5"/>
                <c:pt idx="0">
                  <c:v>42.836000000000013</c:v>
                </c:pt>
                <c:pt idx="1">
                  <c:v>72.034999999999997</c:v>
                </c:pt>
                <c:pt idx="2">
                  <c:v>146.798</c:v>
                </c:pt>
                <c:pt idx="3">
                  <c:v>226.90299999999999</c:v>
                </c:pt>
                <c:pt idx="4">
                  <c:v>261.67</c:v>
                </c:pt>
              </c:numCache>
            </c:numRef>
          </c:val>
          <c:extLst>
            <c:ext xmlns:c16="http://schemas.microsoft.com/office/drawing/2014/chart" uri="{C3380CC4-5D6E-409C-BE32-E72D297353CC}">
              <c16:uniqueId val="{00000000-BC86-4270-81F3-B2E36C4C7865}"/>
            </c:ext>
          </c:extLst>
        </c:ser>
        <c:ser>
          <c:idx val="2"/>
          <c:order val="1"/>
          <c:tx>
            <c:strRef>
              <c:f>E_EN!$I$122</c:f>
              <c:strCache>
                <c:ptCount val="1"/>
                <c:pt idx="0">
                  <c:v> of which submissions with certified electronic signature</c:v>
                </c:pt>
              </c:strCache>
            </c:strRef>
          </c:tx>
          <c:spPr>
            <a:solidFill>
              <a:srgbClr val="47E5FF"/>
            </a:solidFill>
          </c:spPr>
          <c:invertIfNegative val="0"/>
          <c:dLbls>
            <c:numFmt formatCode="#,##0" sourceLinked="0"/>
            <c:spPr>
              <a:noFill/>
              <a:ln>
                <a:noFill/>
              </a:ln>
              <a:effectLst/>
            </c:spPr>
            <c:txPr>
              <a:bodyPr rot="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E_EN!$J$120:$N$120</c:f>
              <c:numCache>
                <c:formatCode>General</c:formatCode>
                <c:ptCount val="5"/>
                <c:pt idx="0" formatCode="@">
                  <c:v>2013</c:v>
                </c:pt>
                <c:pt idx="1">
                  <c:v>2014</c:v>
                </c:pt>
                <c:pt idx="2" formatCode="@">
                  <c:v>2015</c:v>
                </c:pt>
                <c:pt idx="3">
                  <c:v>2016</c:v>
                </c:pt>
                <c:pt idx="4" formatCode="@">
                  <c:v>2017</c:v>
                </c:pt>
              </c:numCache>
            </c:numRef>
          </c:cat>
          <c:val>
            <c:numRef>
              <c:f>E_EN!$J$122:$N$122</c:f>
              <c:numCache>
                <c:formatCode>#,##0.0</c:formatCode>
                <c:ptCount val="5"/>
                <c:pt idx="0">
                  <c:v>20.83</c:v>
                </c:pt>
                <c:pt idx="1">
                  <c:v>30.506</c:v>
                </c:pt>
                <c:pt idx="2">
                  <c:v>54.533000000000001</c:v>
                </c:pt>
                <c:pt idx="3">
                  <c:v>61.424999999999997</c:v>
                </c:pt>
                <c:pt idx="4">
                  <c:v>63.027999999999999</c:v>
                </c:pt>
              </c:numCache>
            </c:numRef>
          </c:val>
          <c:extLst>
            <c:ext xmlns:c16="http://schemas.microsoft.com/office/drawing/2014/chart" uri="{C3380CC4-5D6E-409C-BE32-E72D297353CC}">
              <c16:uniqueId val="{00000001-BC86-4270-81F3-B2E36C4C7865}"/>
            </c:ext>
          </c:extLst>
        </c:ser>
        <c:dLbls>
          <c:showLegendKey val="0"/>
          <c:showVal val="0"/>
          <c:showCatName val="0"/>
          <c:showSerName val="0"/>
          <c:showPercent val="0"/>
          <c:showBubbleSize val="0"/>
        </c:dLbls>
        <c:gapWidth val="40"/>
        <c:axId val="197547520"/>
        <c:axId val="197314240"/>
      </c:barChart>
      <c:lineChart>
        <c:grouping val="standard"/>
        <c:varyColors val="0"/>
        <c:ser>
          <c:idx val="1"/>
          <c:order val="2"/>
          <c:tx>
            <c:strRef>
              <c:f>E_EN!$I$123</c:f>
              <c:strCache>
                <c:ptCount val="1"/>
                <c:pt idx="0">
                  <c:v> of all submitted Personal Income Tax forms</c:v>
                </c:pt>
              </c:strCache>
            </c:strRef>
          </c:tx>
          <c:spPr>
            <a:ln>
              <a:solidFill>
                <a:srgbClr val="47E5FF"/>
              </a:solidFill>
            </a:ln>
          </c:spPr>
          <c:marker>
            <c:symbol val="diamond"/>
            <c:size val="4"/>
            <c:spPr>
              <a:solidFill>
                <a:srgbClr val="009BB4"/>
              </a:solidFill>
              <a:ln>
                <a:solidFill>
                  <a:srgbClr val="47E5FF"/>
                </a:solidFill>
              </a:ln>
            </c:spPr>
          </c:marker>
          <c:dLbls>
            <c:numFmt formatCode="0.0%" sourceLinked="0"/>
            <c:spPr>
              <a:noFill/>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E_EN!$J$120:$N$120</c:f>
              <c:numCache>
                <c:formatCode>General</c:formatCode>
                <c:ptCount val="5"/>
                <c:pt idx="0" formatCode="@">
                  <c:v>2013</c:v>
                </c:pt>
                <c:pt idx="1">
                  <c:v>2014</c:v>
                </c:pt>
                <c:pt idx="2" formatCode="@">
                  <c:v>2015</c:v>
                </c:pt>
                <c:pt idx="3">
                  <c:v>2016</c:v>
                </c:pt>
                <c:pt idx="4" formatCode="@">
                  <c:v>2017</c:v>
                </c:pt>
              </c:numCache>
            </c:numRef>
          </c:cat>
          <c:val>
            <c:numRef>
              <c:f>E_EN!$J$123:$N$123</c:f>
              <c:numCache>
                <c:formatCode>0.00%</c:formatCode>
                <c:ptCount val="5"/>
                <c:pt idx="0">
                  <c:v>2.20490209299955E-2</c:v>
                </c:pt>
                <c:pt idx="1">
                  <c:v>3.3324451130769102E-2</c:v>
                </c:pt>
                <c:pt idx="2">
                  <c:v>6.8752371005587398E-2</c:v>
                </c:pt>
                <c:pt idx="3">
                  <c:v>0.10767428981701301</c:v>
                </c:pt>
                <c:pt idx="4" formatCode="0%">
                  <c:v>0.120865751116416</c:v>
                </c:pt>
              </c:numCache>
            </c:numRef>
          </c:val>
          <c:smooth val="0"/>
          <c:extLst>
            <c:ext xmlns:c16="http://schemas.microsoft.com/office/drawing/2014/chart" uri="{C3380CC4-5D6E-409C-BE32-E72D297353CC}">
              <c16:uniqueId val="{00000002-BC86-4270-81F3-B2E36C4C7865}"/>
            </c:ext>
          </c:extLst>
        </c:ser>
        <c:dLbls>
          <c:showLegendKey val="0"/>
          <c:showVal val="0"/>
          <c:showCatName val="0"/>
          <c:showSerName val="0"/>
          <c:showPercent val="0"/>
          <c:showBubbleSize val="0"/>
        </c:dLbls>
        <c:marker val="1"/>
        <c:smooth val="0"/>
        <c:axId val="197548032"/>
        <c:axId val="197314816"/>
      </c:lineChart>
      <c:catAx>
        <c:axId val="197547520"/>
        <c:scaling>
          <c:orientation val="minMax"/>
        </c:scaling>
        <c:delete val="0"/>
        <c:axPos val="b"/>
        <c:numFmt formatCode="@" sourceLinked="1"/>
        <c:majorTickMark val="out"/>
        <c:minorTickMark val="none"/>
        <c:tickLblPos val="nextTo"/>
        <c:spPr>
          <a:ln w="3175">
            <a:solidFill>
              <a:schemeClr val="tx1"/>
            </a:solidFill>
          </a:ln>
        </c:spPr>
        <c:txPr>
          <a:bodyPr rot="0" vert="horz"/>
          <a:lstStyle/>
          <a:p>
            <a:pPr>
              <a:defRPr/>
            </a:pPr>
            <a:endParaRPr lang="cs-CZ"/>
          </a:p>
        </c:txPr>
        <c:crossAx val="197314240"/>
        <c:crosses val="autoZero"/>
        <c:auto val="1"/>
        <c:lblAlgn val="ctr"/>
        <c:lblOffset val="100"/>
        <c:noMultiLvlLbl val="0"/>
      </c:catAx>
      <c:valAx>
        <c:axId val="197314240"/>
        <c:scaling>
          <c:orientation val="minMax"/>
          <c:max val="350"/>
          <c:min val="0"/>
        </c:scaling>
        <c:delete val="0"/>
        <c:axPos val="l"/>
        <c:numFmt formatCode="#,##0" sourceLinked="0"/>
        <c:majorTickMark val="none"/>
        <c:minorTickMark val="none"/>
        <c:tickLblPos val="none"/>
        <c:crossAx val="197547520"/>
        <c:crosses val="autoZero"/>
        <c:crossBetween val="between"/>
        <c:majorUnit val="50"/>
        <c:minorUnit val="10"/>
      </c:valAx>
      <c:valAx>
        <c:axId val="197314816"/>
        <c:scaling>
          <c:orientation val="minMax"/>
        </c:scaling>
        <c:delete val="0"/>
        <c:axPos val="r"/>
        <c:numFmt formatCode="0.00%" sourceLinked="1"/>
        <c:majorTickMark val="none"/>
        <c:minorTickMark val="none"/>
        <c:tickLblPos val="none"/>
        <c:crossAx val="197548032"/>
        <c:crosses val="max"/>
        <c:crossBetween val="between"/>
      </c:valAx>
      <c:catAx>
        <c:axId val="197548032"/>
        <c:scaling>
          <c:orientation val="minMax"/>
        </c:scaling>
        <c:delete val="1"/>
        <c:axPos val="b"/>
        <c:numFmt formatCode="@" sourceLinked="1"/>
        <c:majorTickMark val="out"/>
        <c:minorTickMark val="none"/>
        <c:tickLblPos val="nextTo"/>
        <c:crossAx val="197314816"/>
        <c:crosses val="autoZero"/>
        <c:auto val="1"/>
        <c:lblAlgn val="ctr"/>
        <c:lblOffset val="100"/>
        <c:noMultiLvlLbl val="0"/>
      </c:catAx>
      <c:spPr>
        <a:noFill/>
        <a:ln w="12700">
          <a:solidFill>
            <a:srgbClr val="A6A6A6"/>
          </a:solidFill>
          <a:prstDash val="solid"/>
        </a:ln>
      </c:spPr>
    </c:plotArea>
    <c:legend>
      <c:legendPos val="t"/>
      <c:legendEntry>
        <c:idx val="2"/>
        <c:txPr>
          <a:bodyPr/>
          <a:lstStyle/>
          <a:p>
            <a:pPr>
              <a:defRPr i="0"/>
            </a:pPr>
            <a:endParaRPr lang="cs-CZ"/>
          </a:p>
        </c:txPr>
      </c:legendEntry>
      <c:layout>
        <c:manualLayout>
          <c:xMode val="edge"/>
          <c:yMode val="edge"/>
          <c:x val="2.9414052287581701E-2"/>
          <c:y val="0.13796269895232455"/>
          <c:w val="0.96561756953837297"/>
          <c:h val="0.14555713961938602"/>
        </c:manualLayout>
      </c:layout>
      <c:overlay val="0"/>
      <c:spPr>
        <a:noFill/>
        <a:ln w="9525">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effectLst/>
                <a:latin typeface="Arial" panose="020B0604020202020204" pitchFamily="34" charset="0"/>
                <a:cs typeface="Arial" panose="020B0604020202020204" pitchFamily="34" charset="0"/>
              </a:rPr>
              <a:t>Figure E10</a:t>
            </a:r>
            <a:r>
              <a:rPr lang="cs-CZ" sz="800" b="1" baseline="0">
                <a:effectLst/>
                <a:latin typeface="Arial" panose="020B0604020202020204" pitchFamily="34" charset="0"/>
                <a:cs typeface="Arial" panose="020B0604020202020204" pitchFamily="34" charset="0"/>
              </a:rPr>
              <a:t> </a:t>
            </a:r>
            <a:r>
              <a:rPr lang="cs-CZ" sz="800" b="1">
                <a:effectLst/>
                <a:latin typeface="Arial" panose="020B0604020202020204" pitchFamily="34" charset="0"/>
                <a:cs typeface="Arial" panose="020B0604020202020204" pitchFamily="34" charset="0"/>
              </a:rPr>
              <a:t>Corporate Income Tax forms </a:t>
            </a:r>
          </a:p>
          <a:p>
            <a:pPr>
              <a:defRPr sz="800" b="1"/>
            </a:pPr>
            <a:r>
              <a:rPr lang="cs-CZ" sz="800" b="1">
                <a:effectLst/>
                <a:latin typeface="Arial" panose="020B0604020202020204" pitchFamily="34" charset="0"/>
                <a:cs typeface="Arial" panose="020B0604020202020204" pitchFamily="34" charset="0"/>
              </a:rPr>
              <a:t>sent electronically to the Czech Financial Administration via EPO application</a:t>
            </a:r>
            <a:endParaRPr lang="cs-CZ" sz="100">
              <a:effectLst/>
              <a:latin typeface="Arial" panose="020B0604020202020204" pitchFamily="34" charset="0"/>
              <a:cs typeface="Arial" panose="020B0604020202020204" pitchFamily="34" charset="0"/>
            </a:endParaRPr>
          </a:p>
        </c:rich>
      </c:tx>
      <c:layout>
        <c:manualLayout>
          <c:xMode val="edge"/>
          <c:yMode val="edge"/>
          <c:x val="0.124488888888889"/>
          <c:y val="0"/>
        </c:manualLayout>
      </c:layout>
      <c:overlay val="1"/>
    </c:title>
    <c:autoTitleDeleted val="0"/>
    <c:plotArea>
      <c:layout>
        <c:manualLayout>
          <c:layoutTarget val="inner"/>
          <c:xMode val="edge"/>
          <c:yMode val="edge"/>
          <c:x val="2.90522875816994E-2"/>
          <c:y val="0.29640005309018852"/>
          <c:w val="0.966503267973856"/>
          <c:h val="0.5655830506486571"/>
        </c:manualLayout>
      </c:layout>
      <c:barChart>
        <c:barDir val="col"/>
        <c:grouping val="clustered"/>
        <c:varyColors val="0"/>
        <c:ser>
          <c:idx val="0"/>
          <c:order val="0"/>
          <c:tx>
            <c:strRef>
              <c:f>E_EN!$I$137</c:f>
              <c:strCache>
                <c:ptCount val="1"/>
                <c:pt idx="0">
                  <c:v> Total</c:v>
                </c:pt>
              </c:strCache>
            </c:strRef>
          </c:tx>
          <c:spPr>
            <a:solidFill>
              <a:srgbClr val="009BB4"/>
            </a:solidFill>
            <a:ln w="25400">
              <a:noFill/>
            </a:ln>
          </c:spPr>
          <c:invertIfNegative val="0"/>
          <c:dLbls>
            <c:numFmt formatCode="#,##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E_EN!$J$136:$N$136</c:f>
              <c:strCache>
                <c:ptCount val="5"/>
                <c:pt idx="0">
                  <c:v>2013</c:v>
                </c:pt>
                <c:pt idx="1">
                  <c:v>2014</c:v>
                </c:pt>
                <c:pt idx="2">
                  <c:v>2015</c:v>
                </c:pt>
                <c:pt idx="3">
                  <c:v>2016</c:v>
                </c:pt>
                <c:pt idx="4">
                  <c:v>2017</c:v>
                </c:pt>
              </c:strCache>
            </c:strRef>
          </c:cat>
          <c:val>
            <c:numRef>
              <c:f>E_EN!$J$137:$N$137</c:f>
              <c:numCache>
                <c:formatCode>#,##0.0</c:formatCode>
                <c:ptCount val="5"/>
                <c:pt idx="0">
                  <c:v>28.547000000000001</c:v>
                </c:pt>
                <c:pt idx="1">
                  <c:v>43.139000000000003</c:v>
                </c:pt>
                <c:pt idx="2">
                  <c:v>154.745</c:v>
                </c:pt>
                <c:pt idx="3">
                  <c:v>185.93799999999999</c:v>
                </c:pt>
                <c:pt idx="4">
                  <c:v>212.643</c:v>
                </c:pt>
              </c:numCache>
            </c:numRef>
          </c:val>
          <c:extLst>
            <c:ext xmlns:c16="http://schemas.microsoft.com/office/drawing/2014/chart" uri="{C3380CC4-5D6E-409C-BE32-E72D297353CC}">
              <c16:uniqueId val="{00000000-52A0-4C32-A8CD-98443747CC8A}"/>
            </c:ext>
          </c:extLst>
        </c:ser>
        <c:ser>
          <c:idx val="2"/>
          <c:order val="1"/>
          <c:tx>
            <c:strRef>
              <c:f>E_EN!$I$138</c:f>
              <c:strCache>
                <c:ptCount val="1"/>
                <c:pt idx="0">
                  <c:v> of which submissions with certified electronic signature</c:v>
                </c:pt>
              </c:strCache>
            </c:strRef>
          </c:tx>
          <c:spPr>
            <a:solidFill>
              <a:srgbClr val="47E5FF"/>
            </a:solidFill>
          </c:spPr>
          <c:invertIfNegative val="0"/>
          <c:dLbls>
            <c:numFmt formatCode="#,##0" sourceLinked="0"/>
            <c:spPr>
              <a:noFill/>
              <a:ln>
                <a:noFill/>
              </a:ln>
              <a:effectLst/>
            </c:spPr>
            <c:txPr>
              <a:bodyPr rot="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E_EN!$J$136:$N$136</c:f>
              <c:strCache>
                <c:ptCount val="5"/>
                <c:pt idx="0">
                  <c:v>2013</c:v>
                </c:pt>
                <c:pt idx="1">
                  <c:v>2014</c:v>
                </c:pt>
                <c:pt idx="2">
                  <c:v>2015</c:v>
                </c:pt>
                <c:pt idx="3">
                  <c:v>2016</c:v>
                </c:pt>
                <c:pt idx="4">
                  <c:v>2017</c:v>
                </c:pt>
              </c:strCache>
            </c:strRef>
          </c:cat>
          <c:val>
            <c:numRef>
              <c:f>E_EN!$J$138:$N$138</c:f>
              <c:numCache>
                <c:formatCode>#,##0.0</c:formatCode>
                <c:ptCount val="5"/>
                <c:pt idx="0">
                  <c:v>22.834</c:v>
                </c:pt>
                <c:pt idx="1">
                  <c:v>29.997</c:v>
                </c:pt>
                <c:pt idx="2">
                  <c:v>65.599000000000004</c:v>
                </c:pt>
                <c:pt idx="3">
                  <c:v>65.187999999999974</c:v>
                </c:pt>
                <c:pt idx="4">
                  <c:v>67.206000000000003</c:v>
                </c:pt>
              </c:numCache>
            </c:numRef>
          </c:val>
          <c:extLst>
            <c:ext xmlns:c16="http://schemas.microsoft.com/office/drawing/2014/chart" uri="{C3380CC4-5D6E-409C-BE32-E72D297353CC}">
              <c16:uniqueId val="{00000001-52A0-4C32-A8CD-98443747CC8A}"/>
            </c:ext>
          </c:extLst>
        </c:ser>
        <c:dLbls>
          <c:showLegendKey val="0"/>
          <c:showVal val="0"/>
          <c:showCatName val="0"/>
          <c:showSerName val="0"/>
          <c:showPercent val="0"/>
          <c:showBubbleSize val="0"/>
        </c:dLbls>
        <c:gapWidth val="40"/>
        <c:axId val="197577216"/>
        <c:axId val="197316544"/>
      </c:barChart>
      <c:lineChart>
        <c:grouping val="standard"/>
        <c:varyColors val="0"/>
        <c:ser>
          <c:idx val="1"/>
          <c:order val="2"/>
          <c:tx>
            <c:strRef>
              <c:f>E_EN!$I$139</c:f>
              <c:strCache>
                <c:ptCount val="1"/>
                <c:pt idx="0">
                  <c:v> of all submitted Corporate Income Tax forms</c:v>
                </c:pt>
              </c:strCache>
            </c:strRef>
          </c:tx>
          <c:spPr>
            <a:ln>
              <a:solidFill>
                <a:srgbClr val="00C5E6"/>
              </a:solidFill>
            </a:ln>
          </c:spPr>
          <c:marker>
            <c:symbol val="diamond"/>
            <c:size val="4"/>
            <c:spPr>
              <a:solidFill>
                <a:srgbClr val="009BB4"/>
              </a:solidFill>
              <a:ln>
                <a:solidFill>
                  <a:srgbClr val="00C5E6"/>
                </a:solidFill>
              </a:ln>
            </c:spPr>
          </c:marker>
          <c:dLbls>
            <c:numFmt formatCode="0.0%" sourceLinked="0"/>
            <c:spPr>
              <a:noFill/>
            </c:spPr>
            <c:txPr>
              <a:bodyPr/>
              <a:lstStyle/>
              <a:p>
                <a:pPr>
                  <a:defRPr b="1" i="1"/>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E_EN!$J$136:$N$136</c:f>
              <c:strCache>
                <c:ptCount val="5"/>
                <c:pt idx="0">
                  <c:v>2013</c:v>
                </c:pt>
                <c:pt idx="1">
                  <c:v>2014</c:v>
                </c:pt>
                <c:pt idx="2">
                  <c:v>2015</c:v>
                </c:pt>
                <c:pt idx="3">
                  <c:v>2016</c:v>
                </c:pt>
                <c:pt idx="4">
                  <c:v>2017</c:v>
                </c:pt>
              </c:strCache>
            </c:strRef>
          </c:cat>
          <c:val>
            <c:numRef>
              <c:f>E_EN!$J$139:$N$139</c:f>
              <c:numCache>
                <c:formatCode>0%</c:formatCode>
                <c:ptCount val="5"/>
                <c:pt idx="0">
                  <c:v>7.4409936269207194E-2</c:v>
                </c:pt>
                <c:pt idx="1">
                  <c:v>0.108860721162217</c:v>
                </c:pt>
                <c:pt idx="2">
                  <c:v>0.37570682509584202</c:v>
                </c:pt>
                <c:pt idx="3">
                  <c:v>0.42712358094852998</c:v>
                </c:pt>
                <c:pt idx="4">
                  <c:v>0.44453619540585498</c:v>
                </c:pt>
              </c:numCache>
            </c:numRef>
          </c:val>
          <c:smooth val="0"/>
          <c:extLst>
            <c:ext xmlns:c16="http://schemas.microsoft.com/office/drawing/2014/chart" uri="{C3380CC4-5D6E-409C-BE32-E72D297353CC}">
              <c16:uniqueId val="{00000002-52A0-4C32-A8CD-98443747CC8A}"/>
            </c:ext>
          </c:extLst>
        </c:ser>
        <c:dLbls>
          <c:showLegendKey val="0"/>
          <c:showVal val="0"/>
          <c:showCatName val="0"/>
          <c:showSerName val="0"/>
          <c:showPercent val="0"/>
          <c:showBubbleSize val="0"/>
        </c:dLbls>
        <c:marker val="1"/>
        <c:smooth val="0"/>
        <c:axId val="197577728"/>
        <c:axId val="197317120"/>
      </c:lineChart>
      <c:catAx>
        <c:axId val="197577216"/>
        <c:scaling>
          <c:orientation val="minMax"/>
        </c:scaling>
        <c:delete val="0"/>
        <c:axPos val="b"/>
        <c:numFmt formatCode="General" sourceLinked="1"/>
        <c:majorTickMark val="out"/>
        <c:minorTickMark val="none"/>
        <c:tickLblPos val="nextTo"/>
        <c:spPr>
          <a:ln w="3175">
            <a:solidFill>
              <a:schemeClr val="tx1"/>
            </a:solidFill>
          </a:ln>
        </c:spPr>
        <c:txPr>
          <a:bodyPr rot="0" vert="horz"/>
          <a:lstStyle/>
          <a:p>
            <a:pPr>
              <a:defRPr/>
            </a:pPr>
            <a:endParaRPr lang="cs-CZ"/>
          </a:p>
        </c:txPr>
        <c:crossAx val="197316544"/>
        <c:crosses val="autoZero"/>
        <c:auto val="1"/>
        <c:lblAlgn val="ctr"/>
        <c:lblOffset val="100"/>
        <c:noMultiLvlLbl val="0"/>
      </c:catAx>
      <c:valAx>
        <c:axId val="197316544"/>
        <c:scaling>
          <c:orientation val="minMax"/>
          <c:max val="350"/>
          <c:min val="0"/>
        </c:scaling>
        <c:delete val="0"/>
        <c:axPos val="l"/>
        <c:numFmt formatCode="#,##0" sourceLinked="0"/>
        <c:majorTickMark val="none"/>
        <c:minorTickMark val="none"/>
        <c:tickLblPos val="none"/>
        <c:crossAx val="197577216"/>
        <c:crosses val="autoZero"/>
        <c:crossBetween val="between"/>
        <c:majorUnit val="50"/>
        <c:minorUnit val="10"/>
      </c:valAx>
      <c:valAx>
        <c:axId val="197317120"/>
        <c:scaling>
          <c:orientation val="minMax"/>
          <c:max val="0.6"/>
        </c:scaling>
        <c:delete val="0"/>
        <c:axPos val="r"/>
        <c:numFmt formatCode="0%" sourceLinked="1"/>
        <c:majorTickMark val="none"/>
        <c:minorTickMark val="none"/>
        <c:tickLblPos val="none"/>
        <c:crossAx val="197577728"/>
        <c:crosses val="max"/>
        <c:crossBetween val="between"/>
        <c:majorUnit val="0.05"/>
      </c:valAx>
      <c:catAx>
        <c:axId val="197577728"/>
        <c:scaling>
          <c:orientation val="minMax"/>
        </c:scaling>
        <c:delete val="1"/>
        <c:axPos val="b"/>
        <c:numFmt formatCode="General" sourceLinked="1"/>
        <c:majorTickMark val="out"/>
        <c:minorTickMark val="none"/>
        <c:tickLblPos val="nextTo"/>
        <c:crossAx val="197317120"/>
        <c:crosses val="autoZero"/>
        <c:auto val="1"/>
        <c:lblAlgn val="ctr"/>
        <c:lblOffset val="100"/>
        <c:noMultiLvlLbl val="0"/>
      </c:catAx>
      <c:spPr>
        <a:noFill/>
        <a:ln w="12700">
          <a:solidFill>
            <a:srgbClr val="A6A6A6"/>
          </a:solidFill>
          <a:prstDash val="solid"/>
        </a:ln>
      </c:spPr>
    </c:plotArea>
    <c:legend>
      <c:legendPos val="t"/>
      <c:legendEntry>
        <c:idx val="2"/>
        <c:txPr>
          <a:bodyPr/>
          <a:lstStyle/>
          <a:p>
            <a:pPr>
              <a:defRPr i="0"/>
            </a:pPr>
            <a:endParaRPr lang="cs-CZ"/>
          </a:p>
        </c:txPr>
      </c:legendEntry>
      <c:layout>
        <c:manualLayout>
          <c:xMode val="edge"/>
          <c:yMode val="edge"/>
          <c:x val="2.9413962901844327E-2"/>
          <c:y val="0.12901502267136247"/>
          <c:w val="0.96561764705882402"/>
          <c:h val="0.15450243055555599"/>
        </c:manualLayout>
      </c:layout>
      <c:overlay val="0"/>
      <c:spPr>
        <a:noFill/>
        <a:ln w="9525">
          <a:solidFill>
            <a:schemeClr val="bg1">
              <a:lumMod val="50000"/>
            </a:schemeClr>
          </a:solidFill>
        </a:ln>
      </c:spPr>
      <c:txPr>
        <a:bodyPr/>
        <a:lstStyle/>
        <a:p>
          <a:pPr>
            <a:defRPr i="0"/>
          </a:pPr>
          <a:endParaRPr lang="cs-CZ"/>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cs-CZ" sz="800" b="1"/>
              <a:t>Figure E11 Individuals in the Czech Republic</a:t>
            </a:r>
            <a:r>
              <a:rPr lang="cs-CZ" sz="800" b="1" baseline="0"/>
              <a:t> </a:t>
            </a:r>
            <a:r>
              <a:rPr lang="cs-CZ" sz="800" b="1"/>
              <a:t>using the internet for interaction </a:t>
            </a:r>
          </a:p>
          <a:p>
            <a:pPr>
              <a:defRPr sz="800" b="1"/>
            </a:pPr>
            <a:r>
              <a:rPr lang="cs-CZ" sz="800" b="1"/>
              <a:t>with public authorities (%)*</a:t>
            </a:r>
            <a:endParaRPr lang="en-US" sz="800" b="1"/>
          </a:p>
        </c:rich>
      </c:tx>
      <c:layout>
        <c:manualLayout>
          <c:xMode val="edge"/>
          <c:yMode val="edge"/>
          <c:x val="0.12984023784091248"/>
          <c:y val="1.1142061281337047E-2"/>
        </c:manualLayout>
      </c:layout>
      <c:overlay val="1"/>
    </c:title>
    <c:autoTitleDeleted val="0"/>
    <c:plotArea>
      <c:layout>
        <c:manualLayout>
          <c:layoutTarget val="inner"/>
          <c:xMode val="edge"/>
          <c:yMode val="edge"/>
          <c:x val="0.22181712962962999"/>
          <c:y val="0.15154872098667899"/>
          <c:w val="0.74219179894179899"/>
          <c:h val="0.71167477106114096"/>
        </c:manualLayout>
      </c:layout>
      <c:barChart>
        <c:barDir val="bar"/>
        <c:grouping val="clustered"/>
        <c:varyColors val="0"/>
        <c:ser>
          <c:idx val="0"/>
          <c:order val="0"/>
          <c:tx>
            <c:strRef>
              <c:f>E_EN!$B$152</c:f>
              <c:strCache>
                <c:ptCount val="1"/>
                <c:pt idx="0">
                  <c:v> 2010</c:v>
                </c:pt>
              </c:strCache>
            </c:strRef>
          </c:tx>
          <c:spPr>
            <a:solidFill>
              <a:srgbClr val="00C5E6"/>
            </a:solidFill>
          </c:spPr>
          <c:invertIfNegative val="0"/>
          <c:dLbls>
            <c:dLbl>
              <c:idx val="0"/>
              <c:layout>
                <c:manualLayout>
                  <c:x val="-4.7588686021555159E-2"/>
                  <c:y val="-1.3617917584065954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883-4E1E-B68D-AAA96C19A61F}"/>
                </c:ext>
              </c:extLst>
            </c:dLbl>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E_EN!$A$153:$A$163</c:f>
              <c:strCache>
                <c:ptCount val="11"/>
                <c:pt idx="0">
                  <c:v>  65+</c:v>
                </c:pt>
                <c:pt idx="1">
                  <c:v>  55–64</c:v>
                </c:pt>
                <c:pt idx="2">
                  <c:v>  45–54</c:v>
                </c:pt>
                <c:pt idx="3">
                  <c:v>  35–44</c:v>
                </c:pt>
                <c:pt idx="4">
                  <c:v>  25–34</c:v>
                </c:pt>
                <c:pt idx="5">
                  <c:v>  16–24</c:v>
                </c:pt>
                <c:pt idx="7">
                  <c:v>   Females</c:v>
                </c:pt>
                <c:pt idx="8">
                  <c:v>Males</c:v>
                </c:pt>
                <c:pt idx="10">
                  <c:v>Total</c:v>
                </c:pt>
              </c:strCache>
            </c:strRef>
          </c:cat>
          <c:val>
            <c:numRef>
              <c:f>E_EN!$B$153:$B$163</c:f>
              <c:numCache>
                <c:formatCode>0%</c:formatCode>
                <c:ptCount val="11"/>
                <c:pt idx="0">
                  <c:v>3.3000000000000002E-2</c:v>
                </c:pt>
                <c:pt idx="1">
                  <c:v>0.13900000000000001</c:v>
                </c:pt>
                <c:pt idx="2">
                  <c:v>0.26100000000000001</c:v>
                </c:pt>
                <c:pt idx="3">
                  <c:v>0.32</c:v>
                </c:pt>
                <c:pt idx="4">
                  <c:v>0.34699999999999998</c:v>
                </c:pt>
                <c:pt idx="5">
                  <c:v>0.17</c:v>
                </c:pt>
                <c:pt idx="7">
                  <c:v>0.17100000000000001</c:v>
                </c:pt>
                <c:pt idx="8">
                  <c:v>0.21299999999999999</c:v>
                </c:pt>
                <c:pt idx="10">
                  <c:v>0.191</c:v>
                </c:pt>
              </c:numCache>
            </c:numRef>
          </c:val>
          <c:extLst>
            <c:ext xmlns:c16="http://schemas.microsoft.com/office/drawing/2014/chart" uri="{C3380CC4-5D6E-409C-BE32-E72D297353CC}">
              <c16:uniqueId val="{00000000-F715-4F70-B4A7-3B5672C27787}"/>
            </c:ext>
          </c:extLst>
        </c:ser>
        <c:ser>
          <c:idx val="1"/>
          <c:order val="1"/>
          <c:tx>
            <c:strRef>
              <c:f>E_EN!$C$152</c:f>
              <c:strCache>
                <c:ptCount val="1"/>
                <c:pt idx="0">
                  <c:v> 2017</c:v>
                </c:pt>
              </c:strCache>
            </c:strRef>
          </c:tx>
          <c:spPr>
            <a:solidFill>
              <a:srgbClr val="009BB4"/>
            </a:solidFill>
          </c:spPr>
          <c:invertIfNegative val="0"/>
          <c:dLbls>
            <c:dLbl>
              <c:idx val="1"/>
              <c:layout>
                <c:manualLayout>
                  <c:x val="-9.50255780996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715-4F70-B4A7-3B5672C27787}"/>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E_EN!$A$153:$A$163</c:f>
              <c:strCache>
                <c:ptCount val="11"/>
                <c:pt idx="0">
                  <c:v>  65+</c:v>
                </c:pt>
                <c:pt idx="1">
                  <c:v>  55–64</c:v>
                </c:pt>
                <c:pt idx="2">
                  <c:v>  45–54</c:v>
                </c:pt>
                <c:pt idx="3">
                  <c:v>  35–44</c:v>
                </c:pt>
                <c:pt idx="4">
                  <c:v>  25–34</c:v>
                </c:pt>
                <c:pt idx="5">
                  <c:v>  16–24</c:v>
                </c:pt>
                <c:pt idx="7">
                  <c:v>   Females</c:v>
                </c:pt>
                <c:pt idx="8">
                  <c:v>Males</c:v>
                </c:pt>
                <c:pt idx="10">
                  <c:v>Total</c:v>
                </c:pt>
              </c:strCache>
            </c:strRef>
          </c:cat>
          <c:val>
            <c:numRef>
              <c:f>E_EN!$C$153:$C$163</c:f>
              <c:numCache>
                <c:formatCode>0%</c:formatCode>
                <c:ptCount val="11"/>
                <c:pt idx="0">
                  <c:v>0.124875525037177</c:v>
                </c:pt>
                <c:pt idx="1">
                  <c:v>0.33517384229327002</c:v>
                </c:pt>
                <c:pt idx="2">
                  <c:v>0.46797213725276499</c:v>
                </c:pt>
                <c:pt idx="3">
                  <c:v>0.53500008584624303</c:v>
                </c:pt>
                <c:pt idx="4">
                  <c:v>0.50928391641613402</c:v>
                </c:pt>
                <c:pt idx="5">
                  <c:v>0.28669639703285099</c:v>
                </c:pt>
                <c:pt idx="7">
                  <c:v>0.35721920068060597</c:v>
                </c:pt>
                <c:pt idx="8">
                  <c:v>0.38773560343413199</c:v>
                </c:pt>
                <c:pt idx="10">
                  <c:v>0.372133545629449</c:v>
                </c:pt>
              </c:numCache>
            </c:numRef>
          </c:val>
          <c:extLst>
            <c:ext xmlns:c16="http://schemas.microsoft.com/office/drawing/2014/chart" uri="{C3380CC4-5D6E-409C-BE32-E72D297353CC}">
              <c16:uniqueId val="{00000002-F715-4F70-B4A7-3B5672C27787}"/>
            </c:ext>
          </c:extLst>
        </c:ser>
        <c:dLbls>
          <c:showLegendKey val="0"/>
          <c:showVal val="0"/>
          <c:showCatName val="0"/>
          <c:showSerName val="0"/>
          <c:showPercent val="0"/>
          <c:showBubbleSize val="0"/>
        </c:dLbls>
        <c:gapWidth val="30"/>
        <c:axId val="197576704"/>
        <c:axId val="197319424"/>
      </c:barChart>
      <c:catAx>
        <c:axId val="197576704"/>
        <c:scaling>
          <c:orientation val="minMax"/>
        </c:scaling>
        <c:delete val="0"/>
        <c:axPos val="l"/>
        <c:numFmt formatCode="General" sourceLinked="1"/>
        <c:majorTickMark val="out"/>
        <c:minorTickMark val="none"/>
        <c:tickLblPos val="nextTo"/>
        <c:spPr>
          <a:ln w="3175">
            <a:solidFill>
              <a:schemeClr val="tx1"/>
            </a:solidFill>
          </a:ln>
        </c:spPr>
        <c:crossAx val="197319424"/>
        <c:crosses val="autoZero"/>
        <c:auto val="1"/>
        <c:lblAlgn val="ctr"/>
        <c:lblOffset val="100"/>
        <c:noMultiLvlLbl val="0"/>
      </c:catAx>
      <c:valAx>
        <c:axId val="197319424"/>
        <c:scaling>
          <c:orientation val="minMax"/>
          <c:max val="0.7"/>
        </c:scaling>
        <c:delete val="0"/>
        <c:axPos val="b"/>
        <c:numFmt formatCode="0%" sourceLinked="1"/>
        <c:majorTickMark val="none"/>
        <c:minorTickMark val="none"/>
        <c:tickLblPos val="none"/>
        <c:crossAx val="197576704"/>
        <c:crosses val="autoZero"/>
        <c:crossBetween val="between"/>
        <c:majorUnit val="0.1"/>
        <c:minorUnit val="0.05"/>
      </c:valAx>
      <c:spPr>
        <a:ln w="12700">
          <a:solidFill>
            <a:schemeClr val="bg1">
              <a:lumMod val="65000"/>
            </a:schemeClr>
          </a:solidFill>
        </a:ln>
      </c:spPr>
    </c:plotArea>
    <c:legend>
      <c:legendPos val="r"/>
      <c:layout>
        <c:manualLayout>
          <c:xMode val="edge"/>
          <c:yMode val="edge"/>
          <c:x val="0.69500496031745995"/>
          <c:y val="0.20426957602086601"/>
          <c:w val="0.23234523809523799"/>
          <c:h val="7.7120679012345705E-2"/>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21395502645501"/>
          <c:y val="0.16066286549707601"/>
          <c:w val="0.68759523809523804"/>
          <c:h val="0.66416842105263096"/>
        </c:manualLayout>
      </c:layout>
      <c:barChart>
        <c:barDir val="bar"/>
        <c:grouping val="clustered"/>
        <c:varyColors val="0"/>
        <c:ser>
          <c:idx val="0"/>
          <c:order val="0"/>
          <c:tx>
            <c:strRef>
              <c:f>E_EN!$B$169</c:f>
              <c:strCache>
                <c:ptCount val="1"/>
                <c:pt idx="0">
                  <c:v> 2010</c:v>
                </c:pt>
              </c:strCache>
            </c:strRef>
          </c:tx>
          <c:spPr>
            <a:solidFill>
              <a:srgbClr val="00C5E6"/>
            </a:solidFill>
          </c:spPr>
          <c:invertIfNegative val="0"/>
          <c:dLbls>
            <c:spPr>
              <a:noFill/>
              <a:ln>
                <a:noFill/>
              </a:ln>
              <a:effectLst/>
            </c:spPr>
            <c:txPr>
              <a:bodyPr/>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E_EN!$A$170:$A$175</c:f>
              <c:strCache>
                <c:ptCount val="6"/>
                <c:pt idx="0">
                  <c:v>Submitting forms online</c:v>
                </c:pt>
                <c:pt idx="1">
                  <c:v>Downloading 
forms</c:v>
                </c:pt>
                <c:pt idx="2">
                  <c:v>Communicating 
by e-mail</c:v>
                </c:pt>
                <c:pt idx="3">
                  <c:v>Obtaining information from website</c:v>
                </c:pt>
                <c:pt idx="5">
                  <c:v>Total</c:v>
                </c:pt>
              </c:strCache>
            </c:strRef>
          </c:cat>
          <c:val>
            <c:numRef>
              <c:f>E_EN!$B$170:$B$175</c:f>
              <c:numCache>
                <c:formatCode>0%</c:formatCode>
                <c:ptCount val="6"/>
                <c:pt idx="0">
                  <c:v>5.2853099829607203E-2</c:v>
                </c:pt>
                <c:pt idx="1">
                  <c:v>9.4483935853873102E-2</c:v>
                </c:pt>
                <c:pt idx="2">
                  <c:v>8.67998009410402E-2</c:v>
                </c:pt>
                <c:pt idx="3">
                  <c:v>0.19117451988612999</c:v>
                </c:pt>
                <c:pt idx="5">
                  <c:v>0.191</c:v>
                </c:pt>
              </c:numCache>
            </c:numRef>
          </c:val>
          <c:extLst>
            <c:ext xmlns:c16="http://schemas.microsoft.com/office/drawing/2014/chart" uri="{C3380CC4-5D6E-409C-BE32-E72D297353CC}">
              <c16:uniqueId val="{00000000-5444-460D-908C-DEEC71A71F67}"/>
            </c:ext>
          </c:extLst>
        </c:ser>
        <c:ser>
          <c:idx val="1"/>
          <c:order val="1"/>
          <c:tx>
            <c:strRef>
              <c:f>E_EN!$C$169</c:f>
              <c:strCache>
                <c:ptCount val="1"/>
                <c:pt idx="0">
                  <c:v> 2017</c:v>
                </c:pt>
              </c:strCache>
            </c:strRef>
          </c:tx>
          <c:spPr>
            <a:solidFill>
              <a:srgbClr val="009BB4"/>
            </a:solidFill>
          </c:spPr>
          <c:invertIfNegative val="0"/>
          <c:dLbls>
            <c:dLbl>
              <c:idx val="1"/>
              <c:layout>
                <c:manualLayout>
                  <c:x val="-9.50255780996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44-460D-908C-DEEC71A71F67}"/>
                </c:ext>
              </c:extLst>
            </c:dLbl>
            <c:spPr>
              <a:noFill/>
              <a:ln>
                <a:noFill/>
              </a:ln>
              <a:effectLst/>
            </c:spPr>
            <c:txPr>
              <a:bodyPr/>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E_EN!$A$170:$A$175</c:f>
              <c:strCache>
                <c:ptCount val="6"/>
                <c:pt idx="0">
                  <c:v>Submitting forms online</c:v>
                </c:pt>
                <c:pt idx="1">
                  <c:v>Downloading 
forms</c:v>
                </c:pt>
                <c:pt idx="2">
                  <c:v>Communicating 
by e-mail</c:v>
                </c:pt>
                <c:pt idx="3">
                  <c:v>Obtaining information from website</c:v>
                </c:pt>
                <c:pt idx="5">
                  <c:v>Total</c:v>
                </c:pt>
              </c:strCache>
            </c:strRef>
          </c:cat>
          <c:val>
            <c:numRef>
              <c:f>E_EN!$C$170:$C$175</c:f>
              <c:numCache>
                <c:formatCode>0%</c:formatCode>
                <c:ptCount val="6"/>
                <c:pt idx="0">
                  <c:v>0.106031813037455</c:v>
                </c:pt>
                <c:pt idx="1">
                  <c:v>0.14520847535473899</c:v>
                </c:pt>
                <c:pt idx="2">
                  <c:v>0.15949454297617599</c:v>
                </c:pt>
                <c:pt idx="3">
                  <c:v>0.34143145219394599</c:v>
                </c:pt>
                <c:pt idx="5">
                  <c:v>0.372133545629449</c:v>
                </c:pt>
              </c:numCache>
            </c:numRef>
          </c:val>
          <c:extLst>
            <c:ext xmlns:c16="http://schemas.microsoft.com/office/drawing/2014/chart" uri="{C3380CC4-5D6E-409C-BE32-E72D297353CC}">
              <c16:uniqueId val="{00000002-5444-460D-908C-DEEC71A71F67}"/>
            </c:ext>
          </c:extLst>
        </c:ser>
        <c:dLbls>
          <c:showLegendKey val="0"/>
          <c:showVal val="0"/>
          <c:showCatName val="0"/>
          <c:showSerName val="0"/>
          <c:showPercent val="0"/>
          <c:showBubbleSize val="0"/>
        </c:dLbls>
        <c:gapWidth val="30"/>
        <c:axId val="198167552"/>
        <c:axId val="197318848"/>
      </c:barChart>
      <c:catAx>
        <c:axId val="198167552"/>
        <c:scaling>
          <c:orientation val="minMax"/>
        </c:scaling>
        <c:delete val="0"/>
        <c:axPos val="l"/>
        <c:numFmt formatCode="General" sourceLinked="1"/>
        <c:majorTickMark val="out"/>
        <c:minorTickMark val="none"/>
        <c:tickLblPos val="nextTo"/>
        <c:spPr>
          <a:ln w="3175">
            <a:solidFill>
              <a:schemeClr val="tx1"/>
            </a:solidFill>
          </a:ln>
        </c:spPr>
        <c:crossAx val="197318848"/>
        <c:crosses val="autoZero"/>
        <c:auto val="1"/>
        <c:lblAlgn val="ctr"/>
        <c:lblOffset val="100"/>
        <c:noMultiLvlLbl val="0"/>
      </c:catAx>
      <c:valAx>
        <c:axId val="197318848"/>
        <c:scaling>
          <c:orientation val="minMax"/>
          <c:max val="0.5"/>
        </c:scaling>
        <c:delete val="0"/>
        <c:axPos val="b"/>
        <c:numFmt formatCode="0%" sourceLinked="1"/>
        <c:majorTickMark val="none"/>
        <c:minorTickMark val="none"/>
        <c:tickLblPos val="none"/>
        <c:crossAx val="198167552"/>
        <c:crosses val="autoZero"/>
        <c:crossBetween val="between"/>
        <c:majorUnit val="0.05"/>
        <c:minorUnit val="0.01"/>
      </c:valAx>
      <c:spPr>
        <a:ln w="12700">
          <a:solidFill>
            <a:schemeClr val="bg1">
              <a:lumMod val="65000"/>
            </a:schemeClr>
          </a:solidFill>
        </a:ln>
      </c:spPr>
    </c:plotArea>
    <c:legend>
      <c:legendPos val="r"/>
      <c:layout>
        <c:manualLayout>
          <c:xMode val="edge"/>
          <c:yMode val="edge"/>
          <c:x val="0.69920469576719602"/>
          <c:y val="0.26061049382716001"/>
          <c:w val="0.21554629629629601"/>
          <c:h val="0.116318209876543"/>
        </c:manualLayout>
      </c:layout>
      <c:overlay val="0"/>
      <c:spPr>
        <a:solidFill>
          <a:schemeClr val="bg1"/>
        </a:solidFill>
        <a:ln>
          <a:solidFill>
            <a:schemeClr val="bg1">
              <a:lumMod val="50000"/>
            </a:schemeClr>
          </a:solidFill>
        </a:ln>
      </c:spPr>
    </c:legend>
    <c:plotVisOnly val="1"/>
    <c:dispBlanksAs val="gap"/>
    <c:showDLblsOverMax val="0"/>
  </c:chart>
  <c:spPr>
    <a:ln>
      <a:noFill/>
    </a:ln>
  </c:spPr>
  <c:txPr>
    <a:bodyPr/>
    <a:lstStyle/>
    <a:p>
      <a:pPr>
        <a:defRPr sz="800" b="0">
          <a:latin typeface="Arial" pitchFamily="34" charset="0"/>
          <a:cs typeface="Arial"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9801764417296E-2"/>
          <c:y val="0.137561419753086"/>
          <c:w val="0.90411750841750804"/>
          <c:h val="0.486666975308642"/>
        </c:manualLayout>
      </c:layout>
      <c:barChart>
        <c:barDir val="col"/>
        <c:grouping val="clustered"/>
        <c:varyColors val="0"/>
        <c:ser>
          <c:idx val="0"/>
          <c:order val="0"/>
          <c:tx>
            <c:strRef>
              <c:f>E_EN!$O$194</c:f>
              <c:strCache>
                <c:ptCount val="1"/>
                <c:pt idx="0">
                  <c:v> Total </c:v>
                </c:pt>
              </c:strCache>
            </c:strRef>
          </c:tx>
          <c:spPr>
            <a:solidFill>
              <a:srgbClr val="009BB4"/>
            </a:solidFill>
            <a:ln>
              <a:noFill/>
            </a:ln>
          </c:spPr>
          <c:invertIfNegative val="0"/>
          <c:dPt>
            <c:idx val="7"/>
            <c:invertIfNegative val="0"/>
            <c:bubble3D val="0"/>
            <c:spPr>
              <a:solidFill>
                <a:srgbClr val="009BB4"/>
              </a:solidFill>
              <a:ln w="19050">
                <a:noFill/>
              </a:ln>
            </c:spPr>
            <c:extLst>
              <c:ext xmlns:c16="http://schemas.microsoft.com/office/drawing/2014/chart" uri="{C3380CC4-5D6E-409C-BE32-E72D297353CC}">
                <c16:uniqueId val="{00000001-FAEF-456B-A000-77AEC34B437D}"/>
              </c:ext>
            </c:extLst>
          </c:dPt>
          <c:dPt>
            <c:idx val="8"/>
            <c:invertIfNegative val="0"/>
            <c:bubble3D val="0"/>
            <c:spPr>
              <a:solidFill>
                <a:srgbClr val="009BB4"/>
              </a:solidFill>
              <a:ln w="19050">
                <a:noFill/>
              </a:ln>
            </c:spPr>
            <c:extLst>
              <c:ext xmlns:c16="http://schemas.microsoft.com/office/drawing/2014/chart" uri="{C3380CC4-5D6E-409C-BE32-E72D297353CC}">
                <c16:uniqueId val="{00000003-FAEF-456B-A000-77AEC34B437D}"/>
              </c:ext>
            </c:extLst>
          </c:dPt>
          <c:dPt>
            <c:idx val="13"/>
            <c:invertIfNegative val="0"/>
            <c:bubble3D val="0"/>
            <c:spPr>
              <a:solidFill>
                <a:srgbClr val="009BB4"/>
              </a:solidFill>
              <a:ln w="19050">
                <a:noFill/>
              </a:ln>
            </c:spPr>
            <c:extLst>
              <c:ext xmlns:c16="http://schemas.microsoft.com/office/drawing/2014/chart" uri="{C3380CC4-5D6E-409C-BE32-E72D297353CC}">
                <c16:uniqueId val="{00000005-FAEF-456B-A000-77AEC34B437D}"/>
              </c:ext>
            </c:extLst>
          </c:dPt>
          <c:dPt>
            <c:idx val="15"/>
            <c:invertIfNegative val="0"/>
            <c:bubble3D val="0"/>
            <c:spPr>
              <a:solidFill>
                <a:srgbClr val="009BB4"/>
              </a:solidFill>
              <a:ln>
                <a:solidFill>
                  <a:srgbClr val="FF0000"/>
                </a:solidFill>
              </a:ln>
            </c:spPr>
            <c:extLst>
              <c:ext xmlns:c16="http://schemas.microsoft.com/office/drawing/2014/chart" uri="{C3380CC4-5D6E-409C-BE32-E72D297353CC}">
                <c16:uniqueId val="{00000007-FAEF-456B-A000-77AEC34B437D}"/>
              </c:ext>
            </c:extLst>
          </c:dPt>
          <c:dPt>
            <c:idx val="16"/>
            <c:invertIfNegative val="0"/>
            <c:bubble3D val="0"/>
            <c:spPr>
              <a:solidFill>
                <a:srgbClr val="009BB4"/>
              </a:solidFill>
              <a:ln w="19050">
                <a:noFill/>
              </a:ln>
            </c:spPr>
            <c:extLst>
              <c:ext xmlns:c16="http://schemas.microsoft.com/office/drawing/2014/chart" uri="{C3380CC4-5D6E-409C-BE32-E72D297353CC}">
                <c16:uniqueId val="{00000009-FAEF-456B-A000-77AEC34B437D}"/>
              </c:ext>
            </c:extLst>
          </c:dPt>
          <c:dPt>
            <c:idx val="21"/>
            <c:invertIfNegative val="0"/>
            <c:bubble3D val="0"/>
            <c:spPr>
              <a:solidFill>
                <a:srgbClr val="009BB4"/>
              </a:solidFill>
              <a:ln>
                <a:solidFill>
                  <a:srgbClr val="FF0000"/>
                </a:solidFill>
              </a:ln>
            </c:spPr>
            <c:extLst>
              <c:ext xmlns:c16="http://schemas.microsoft.com/office/drawing/2014/chart" uri="{C3380CC4-5D6E-409C-BE32-E72D297353CC}">
                <c16:uniqueId val="{0000000B-FAEF-456B-A000-77AEC34B437D}"/>
              </c:ext>
            </c:extLst>
          </c:dPt>
          <c:dLbls>
            <c:dLbl>
              <c:idx val="0"/>
              <c:layout>
                <c:manualLayout>
                  <c:x val="-2.0426709128487201E-3"/>
                  <c:y val="9.727882368888990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AEF-456B-A000-77AEC34B437D}"/>
                </c:ext>
              </c:extLst>
            </c:dLbl>
            <c:dLbl>
              <c:idx val="1"/>
              <c:layout>
                <c:manualLayout>
                  <c:x val="0"/>
                  <c:y val="8.1422863808690585E-2"/>
                </c:manualLayout>
              </c:layout>
              <c:spPr>
                <a:noFill/>
                <a:ln>
                  <a:noFill/>
                </a:ln>
                <a:effectLs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AEF-456B-A000-77AEC34B437D}"/>
                </c:ext>
              </c:extLst>
            </c:dLbl>
            <c:dLbl>
              <c:idx val="2"/>
              <c:layout>
                <c:manualLayout>
                  <c:x val="-1.8724267063449001E-17"/>
                  <c:y val="9.32280777296684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AEF-456B-A000-77AEC34B437D}"/>
                </c:ext>
              </c:extLst>
            </c:dLbl>
            <c:dLbl>
              <c:idx val="4"/>
              <c:layout>
                <c:manualLayout>
                  <c:x val="0"/>
                  <c:y val="0.14993852115876899"/>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AEF-456B-A000-77AEC34B437D}"/>
                </c:ext>
              </c:extLst>
            </c:dLbl>
            <c:dLbl>
              <c:idx val="7"/>
              <c:layout>
                <c:manualLayout>
                  <c:x val="-3.7448534126898101E-17"/>
                  <c:y val="9.32280777296684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AEF-456B-A000-77AEC34B437D}"/>
                </c:ext>
              </c:extLst>
            </c:dLbl>
            <c:dLbl>
              <c:idx val="9"/>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10-FAEF-456B-A000-77AEC34B437D}"/>
                </c:ext>
              </c:extLst>
            </c:dLbl>
            <c:dLbl>
              <c:idx val="10"/>
              <c:layout>
                <c:manualLayout>
                  <c:x val="0"/>
                  <c:y val="0.1013295696481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FAEF-456B-A000-77AEC34B437D}"/>
                </c:ext>
              </c:extLst>
            </c:dLbl>
            <c:dLbl>
              <c:idx val="14"/>
              <c:layout>
                <c:manualLayout>
                  <c:x val="0"/>
                  <c:y val="9.32280777296684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FAEF-456B-A000-77AEC34B437D}"/>
                </c:ext>
              </c:extLst>
            </c:dLbl>
            <c:dLbl>
              <c:idx val="16"/>
              <c:layout>
                <c:manualLayout>
                  <c:x val="-7.4897068253797103E-17"/>
                  <c:y val="7.7025093892782795E-2"/>
                </c:manualLayout>
              </c:layout>
              <c:spPr>
                <a:noFill/>
                <a:ln>
                  <a:noFill/>
                </a:ln>
                <a:effectLs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AEF-456B-A000-77AEC34B437D}"/>
                </c:ext>
              </c:extLst>
            </c:dLbl>
            <c:dLbl>
              <c:idx val="20"/>
              <c:layout>
                <c:manualLayout>
                  <c:x val="0"/>
                  <c:y val="8.894459025955088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5AD-4642-AB47-3EB8DF597BEA}"/>
                </c:ext>
              </c:extLst>
            </c:dLbl>
            <c:dLbl>
              <c:idx val="24"/>
              <c:layout>
                <c:manualLayout>
                  <c:x val="0"/>
                  <c:y val="8.91773317704469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FAEF-456B-A000-77AEC34B437D}"/>
                </c:ext>
              </c:extLst>
            </c:dLbl>
            <c:dLbl>
              <c:idx val="25"/>
              <c:layout>
                <c:manualLayout>
                  <c:x val="0"/>
                  <c:y val="4.11166662679705E-3"/>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FAEF-456B-A000-77AEC34B437D}"/>
                </c:ext>
              </c:extLst>
            </c:dLbl>
            <c:dLbl>
              <c:idx val="26"/>
              <c:layout>
                <c:manualLayout>
                  <c:x val="2.0426709128487201E-3"/>
                  <c:y val="6.0920667575692303E-5"/>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FAEF-456B-A000-77AEC34B437D}"/>
                </c:ext>
              </c:extLst>
            </c:dLbl>
            <c:dLbl>
              <c:idx val="27"/>
              <c:layout>
                <c:manualLayout>
                  <c:x val="0"/>
                  <c:y val="-4.7355452957921701E-3"/>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FAEF-456B-A000-77AEC34B437D}"/>
                </c:ext>
              </c:extLst>
            </c:dLbl>
            <c:dLbl>
              <c:idx val="28"/>
              <c:layout>
                <c:manualLayout>
                  <c:x val="-2.0426709128487201E-3"/>
                  <c:y val="-5.0668452822365199E-2"/>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FAEF-456B-A000-77AEC34B437D}"/>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E_EN!$N$195:$N$223</c:f>
              <c:strCache>
                <c:ptCount val="29"/>
                <c:pt idx="0">
                  <c:v>Denmark</c:v>
                </c:pt>
                <c:pt idx="1">
                  <c:v>Sweden</c:v>
                </c:pt>
                <c:pt idx="2">
                  <c:v>Finland</c:v>
                </c:pt>
                <c:pt idx="3">
                  <c:v>Netherlands</c:v>
                </c:pt>
                <c:pt idx="4">
                  <c:v>Estonia</c:v>
                </c:pt>
                <c:pt idx="5">
                  <c:v>Luxembourg</c:v>
                </c:pt>
                <c:pt idx="6">
                  <c:v>Latvia</c:v>
                </c:pt>
                <c:pt idx="7">
                  <c:v>France</c:v>
                </c:pt>
                <c:pt idx="8">
                  <c:v>Austria</c:v>
                </c:pt>
                <c:pt idx="9">
                  <c:v>Ireland</c:v>
                </c:pt>
                <c:pt idx="10">
                  <c:v>Belgium</c:v>
                </c:pt>
                <c:pt idx="11">
                  <c:v>Germany</c:v>
                </c:pt>
                <c:pt idx="12">
                  <c:v>Spain</c:v>
                </c:pt>
                <c:pt idx="13">
                  <c:v>Slovenia</c:v>
                </c:pt>
                <c:pt idx="14">
                  <c:v>United Kingdom</c:v>
                </c:pt>
                <c:pt idx="15">
                  <c:v>EU28</c:v>
                </c:pt>
                <c:pt idx="16">
                  <c:v>Lithuania</c:v>
                </c:pt>
                <c:pt idx="17">
                  <c:v>Slovakia</c:v>
                </c:pt>
                <c:pt idx="18">
                  <c:v>Greece</c:v>
                </c:pt>
                <c:pt idx="19">
                  <c:v>Hungary</c:v>
                </c:pt>
                <c:pt idx="20">
                  <c:v>Portugal</c:v>
                </c:pt>
                <c:pt idx="21">
                  <c:v>Czech Republic</c:v>
                </c:pt>
                <c:pt idx="22">
                  <c:v>Malta</c:v>
                </c:pt>
                <c:pt idx="23">
                  <c:v>Cyprus</c:v>
                </c:pt>
                <c:pt idx="24">
                  <c:v>Croatia</c:v>
                </c:pt>
                <c:pt idx="25">
                  <c:v>Poland</c:v>
                </c:pt>
                <c:pt idx="26">
                  <c:v>Italy</c:v>
                </c:pt>
                <c:pt idx="27">
                  <c:v>Bulgaria</c:v>
                </c:pt>
                <c:pt idx="28">
                  <c:v>Romania</c:v>
                </c:pt>
              </c:strCache>
            </c:strRef>
          </c:cat>
          <c:val>
            <c:numRef>
              <c:f>E_EN!$O$195:$O$223</c:f>
              <c:numCache>
                <c:formatCode>0%</c:formatCode>
                <c:ptCount val="29"/>
                <c:pt idx="0">
                  <c:v>0.89213699999999996</c:v>
                </c:pt>
                <c:pt idx="1">
                  <c:v>0.84186499999999997</c:v>
                </c:pt>
                <c:pt idx="2">
                  <c:v>0.82969000000000004</c:v>
                </c:pt>
                <c:pt idx="3">
                  <c:v>0.79115500000000005</c:v>
                </c:pt>
                <c:pt idx="4">
                  <c:v>0.77984299999999995</c:v>
                </c:pt>
                <c:pt idx="5">
                  <c:v>0.75126599999999999</c:v>
                </c:pt>
                <c:pt idx="6">
                  <c:v>0.68506400000000001</c:v>
                </c:pt>
                <c:pt idx="7">
                  <c:v>0.67922199999999999</c:v>
                </c:pt>
                <c:pt idx="8">
                  <c:v>0.61977899999999997</c:v>
                </c:pt>
                <c:pt idx="9">
                  <c:v>0.55340699999999998</c:v>
                </c:pt>
                <c:pt idx="10">
                  <c:v>0.55138299999999996</c:v>
                </c:pt>
                <c:pt idx="11">
                  <c:v>0.53472399999999998</c:v>
                </c:pt>
                <c:pt idx="12">
                  <c:v>0.52351199999999998</c:v>
                </c:pt>
                <c:pt idx="13">
                  <c:v>0.49860500000000002</c:v>
                </c:pt>
                <c:pt idx="14">
                  <c:v>0.490124</c:v>
                </c:pt>
                <c:pt idx="15">
                  <c:v>0.48795699999999997</c:v>
                </c:pt>
                <c:pt idx="16">
                  <c:v>0.48401100000000002</c:v>
                </c:pt>
                <c:pt idx="17">
                  <c:v>0.47484500000000002</c:v>
                </c:pt>
                <c:pt idx="18">
                  <c:v>0.47353099999999998</c:v>
                </c:pt>
                <c:pt idx="19">
                  <c:v>0.47131099999999998</c:v>
                </c:pt>
                <c:pt idx="20">
                  <c:v>0.45983800000000002</c:v>
                </c:pt>
                <c:pt idx="21">
                  <c:v>0.45595999999999998</c:v>
                </c:pt>
                <c:pt idx="22">
                  <c:v>0.45066800000000001</c:v>
                </c:pt>
                <c:pt idx="23">
                  <c:v>0.42303400000000002</c:v>
                </c:pt>
                <c:pt idx="24">
                  <c:v>0.32195600000000002</c:v>
                </c:pt>
                <c:pt idx="25">
                  <c:v>0.308139</c:v>
                </c:pt>
                <c:pt idx="26">
                  <c:v>0.245563</c:v>
                </c:pt>
                <c:pt idx="27">
                  <c:v>0.206679</c:v>
                </c:pt>
                <c:pt idx="28">
                  <c:v>8.7326000000000001E-2</c:v>
                </c:pt>
              </c:numCache>
            </c:numRef>
          </c:val>
          <c:extLst>
            <c:ext xmlns:c16="http://schemas.microsoft.com/office/drawing/2014/chart" uri="{C3380CC4-5D6E-409C-BE32-E72D297353CC}">
              <c16:uniqueId val="{00000018-FAEF-456B-A000-77AEC34B437D}"/>
            </c:ext>
          </c:extLst>
        </c:ser>
        <c:dLbls>
          <c:showLegendKey val="0"/>
          <c:showVal val="0"/>
          <c:showCatName val="0"/>
          <c:showSerName val="0"/>
          <c:showPercent val="0"/>
          <c:showBubbleSize val="0"/>
        </c:dLbls>
        <c:gapWidth val="50"/>
        <c:axId val="198268928"/>
        <c:axId val="197281472"/>
      </c:barChart>
      <c:barChart>
        <c:barDir val="col"/>
        <c:grouping val="clustered"/>
        <c:varyColors val="0"/>
        <c:ser>
          <c:idx val="1"/>
          <c:order val="1"/>
          <c:tx>
            <c:strRef>
              <c:f>E_EN!$P$194</c:f>
              <c:strCache>
                <c:ptCount val="1"/>
                <c:pt idx="0">
                  <c:v> of which submitting forms online</c:v>
                </c:pt>
              </c:strCache>
            </c:strRef>
          </c:tx>
          <c:spPr>
            <a:solidFill>
              <a:srgbClr val="47E5FF"/>
            </a:solidFill>
          </c:spPr>
          <c:invertIfNegative val="0"/>
          <c:dLbls>
            <c:dLbl>
              <c:idx val="26"/>
              <c:layout>
                <c:manualLayout>
                  <c:x val="2.0426709128487201E-3"/>
                  <c:y val="6.49002862633463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FAEF-456B-A000-77AEC34B437D}"/>
                </c:ext>
              </c:extLst>
            </c:dLbl>
            <c:dLbl>
              <c:idx val="28"/>
              <c:layout>
                <c:manualLayout>
                  <c:x val="-2.0427465466438702E-3"/>
                  <c:y val="-3.308115476990447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FAEF-456B-A000-77AEC34B437D}"/>
                </c:ext>
              </c:extLst>
            </c:dLbl>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E_EN!$N$195:$N$223</c:f>
              <c:strCache>
                <c:ptCount val="29"/>
                <c:pt idx="0">
                  <c:v>Denmark</c:v>
                </c:pt>
                <c:pt idx="1">
                  <c:v>Sweden</c:v>
                </c:pt>
                <c:pt idx="2">
                  <c:v>Finland</c:v>
                </c:pt>
                <c:pt idx="3">
                  <c:v>Netherlands</c:v>
                </c:pt>
                <c:pt idx="4">
                  <c:v>Estonia</c:v>
                </c:pt>
                <c:pt idx="5">
                  <c:v>Luxembourg</c:v>
                </c:pt>
                <c:pt idx="6">
                  <c:v>Latvia</c:v>
                </c:pt>
                <c:pt idx="7">
                  <c:v>France</c:v>
                </c:pt>
                <c:pt idx="8">
                  <c:v>Austria</c:v>
                </c:pt>
                <c:pt idx="9">
                  <c:v>Ireland</c:v>
                </c:pt>
                <c:pt idx="10">
                  <c:v>Belgium</c:v>
                </c:pt>
                <c:pt idx="11">
                  <c:v>Germany</c:v>
                </c:pt>
                <c:pt idx="12">
                  <c:v>Spain</c:v>
                </c:pt>
                <c:pt idx="13">
                  <c:v>Slovenia</c:v>
                </c:pt>
                <c:pt idx="14">
                  <c:v>United Kingdom</c:v>
                </c:pt>
                <c:pt idx="15">
                  <c:v>EU28</c:v>
                </c:pt>
                <c:pt idx="16">
                  <c:v>Lithuania</c:v>
                </c:pt>
                <c:pt idx="17">
                  <c:v>Slovakia</c:v>
                </c:pt>
                <c:pt idx="18">
                  <c:v>Greece</c:v>
                </c:pt>
                <c:pt idx="19">
                  <c:v>Hungary</c:v>
                </c:pt>
                <c:pt idx="20">
                  <c:v>Portugal</c:v>
                </c:pt>
                <c:pt idx="21">
                  <c:v>Czech Republic</c:v>
                </c:pt>
                <c:pt idx="22">
                  <c:v>Malta</c:v>
                </c:pt>
                <c:pt idx="23">
                  <c:v>Cyprus</c:v>
                </c:pt>
                <c:pt idx="24">
                  <c:v>Croatia</c:v>
                </c:pt>
                <c:pt idx="25">
                  <c:v>Poland</c:v>
                </c:pt>
                <c:pt idx="26">
                  <c:v>Italy</c:v>
                </c:pt>
                <c:pt idx="27">
                  <c:v>Bulgaria</c:v>
                </c:pt>
                <c:pt idx="28">
                  <c:v>Romania</c:v>
                </c:pt>
              </c:strCache>
            </c:strRef>
          </c:cat>
          <c:val>
            <c:numRef>
              <c:f>E_EN!$P$195:$P$223</c:f>
              <c:numCache>
                <c:formatCode>0%</c:formatCode>
                <c:ptCount val="29"/>
                <c:pt idx="0">
                  <c:v>0.70931599999999995</c:v>
                </c:pt>
                <c:pt idx="1">
                  <c:v>0.71543000000000001</c:v>
                </c:pt>
                <c:pt idx="2">
                  <c:v>0.657443</c:v>
                </c:pt>
                <c:pt idx="3">
                  <c:v>0.56178300000000003</c:v>
                </c:pt>
                <c:pt idx="4">
                  <c:v>0.69696999999999998</c:v>
                </c:pt>
                <c:pt idx="5">
                  <c:v>0.36044199999999998</c:v>
                </c:pt>
                <c:pt idx="6">
                  <c:v>0.38529099999999999</c:v>
                </c:pt>
                <c:pt idx="7">
                  <c:v>0.53162799999999999</c:v>
                </c:pt>
                <c:pt idx="8">
                  <c:v>0.36660399999999999</c:v>
                </c:pt>
                <c:pt idx="9">
                  <c:v>0.52155700000000005</c:v>
                </c:pt>
                <c:pt idx="10">
                  <c:v>0.369535</c:v>
                </c:pt>
                <c:pt idx="11">
                  <c:v>0.179562</c:v>
                </c:pt>
                <c:pt idx="12">
                  <c:v>0.33166400000000001</c:v>
                </c:pt>
                <c:pt idx="13">
                  <c:v>0.18104500000000001</c:v>
                </c:pt>
                <c:pt idx="14">
                  <c:v>0.34507599999999999</c:v>
                </c:pt>
                <c:pt idx="15">
                  <c:v>0.30114299999999999</c:v>
                </c:pt>
                <c:pt idx="16">
                  <c:v>0.37434899999999999</c:v>
                </c:pt>
                <c:pt idx="17">
                  <c:v>0.153804</c:v>
                </c:pt>
                <c:pt idx="18">
                  <c:v>0.24301200000000001</c:v>
                </c:pt>
                <c:pt idx="19">
                  <c:v>0.29060999999999998</c:v>
                </c:pt>
                <c:pt idx="20">
                  <c:v>0.31686399999999998</c:v>
                </c:pt>
                <c:pt idx="21">
                  <c:v>0.13939699999999999</c:v>
                </c:pt>
                <c:pt idx="22">
                  <c:v>0.202292</c:v>
                </c:pt>
                <c:pt idx="23">
                  <c:v>0.24356700000000001</c:v>
                </c:pt>
                <c:pt idx="24">
                  <c:v>0.14794299999999999</c:v>
                </c:pt>
                <c:pt idx="25">
                  <c:v>0.21038299999999999</c:v>
                </c:pt>
                <c:pt idx="26">
                  <c:v>0.133357</c:v>
                </c:pt>
                <c:pt idx="27">
                  <c:v>8.2916000000000004E-2</c:v>
                </c:pt>
                <c:pt idx="28">
                  <c:v>3.5020000000000003E-2</c:v>
                </c:pt>
              </c:numCache>
            </c:numRef>
          </c:val>
          <c:extLst>
            <c:ext xmlns:c16="http://schemas.microsoft.com/office/drawing/2014/chart" uri="{C3380CC4-5D6E-409C-BE32-E72D297353CC}">
              <c16:uniqueId val="{0000001B-FAEF-456B-A000-77AEC34B437D}"/>
            </c:ext>
          </c:extLst>
        </c:ser>
        <c:dLbls>
          <c:showLegendKey val="0"/>
          <c:showVal val="0"/>
          <c:showCatName val="0"/>
          <c:showSerName val="0"/>
          <c:showPercent val="0"/>
          <c:showBubbleSize val="0"/>
        </c:dLbls>
        <c:gapWidth val="200"/>
        <c:axId val="199342080"/>
        <c:axId val="197282048"/>
      </c:barChart>
      <c:catAx>
        <c:axId val="198268928"/>
        <c:scaling>
          <c:orientation val="minMax"/>
        </c:scaling>
        <c:delete val="0"/>
        <c:axPos val="b"/>
        <c:numFmt formatCode="General" sourceLinked="0"/>
        <c:majorTickMark val="out"/>
        <c:minorTickMark val="none"/>
        <c:tickLblPos val="nextTo"/>
        <c:spPr>
          <a:ln w="3175">
            <a:solidFill>
              <a:schemeClr val="tx1"/>
            </a:solidFill>
          </a:ln>
        </c:spPr>
        <c:crossAx val="197281472"/>
        <c:crosses val="autoZero"/>
        <c:auto val="1"/>
        <c:lblAlgn val="ctr"/>
        <c:lblOffset val="100"/>
        <c:noMultiLvlLbl val="0"/>
      </c:catAx>
      <c:valAx>
        <c:axId val="197281472"/>
        <c:scaling>
          <c:orientation val="minMax"/>
          <c:max val="1"/>
          <c:min val="0"/>
        </c:scaling>
        <c:delete val="1"/>
        <c:axPos val="l"/>
        <c:numFmt formatCode="0%" sourceLinked="1"/>
        <c:majorTickMark val="out"/>
        <c:minorTickMark val="none"/>
        <c:tickLblPos val="nextTo"/>
        <c:crossAx val="198268928"/>
        <c:crosses val="autoZero"/>
        <c:crossBetween val="between"/>
        <c:majorUnit val="0.1"/>
        <c:minorUnit val="0.05"/>
      </c:valAx>
      <c:valAx>
        <c:axId val="197282048"/>
        <c:scaling>
          <c:orientation val="minMax"/>
          <c:max val="1"/>
        </c:scaling>
        <c:delete val="0"/>
        <c:axPos val="r"/>
        <c:numFmt formatCode="0%" sourceLinked="1"/>
        <c:majorTickMark val="none"/>
        <c:minorTickMark val="none"/>
        <c:tickLblPos val="none"/>
        <c:crossAx val="199342080"/>
        <c:crosses val="max"/>
        <c:crossBetween val="between"/>
      </c:valAx>
      <c:catAx>
        <c:axId val="199342080"/>
        <c:scaling>
          <c:orientation val="minMax"/>
        </c:scaling>
        <c:delete val="1"/>
        <c:axPos val="b"/>
        <c:numFmt formatCode="General" sourceLinked="0"/>
        <c:majorTickMark val="out"/>
        <c:minorTickMark val="none"/>
        <c:tickLblPos val="none"/>
        <c:crossAx val="19728204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65669537664760702"/>
          <c:y val="0.17172802589925801"/>
          <c:w val="0.29019517961832603"/>
          <c:h val="9.6386204999484235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4343354963948E-2"/>
          <c:y val="0.17225896762904599"/>
          <c:w val="0.95496995571899601"/>
          <c:h val="0.673976060452121"/>
        </c:manualLayout>
      </c:layout>
      <c:barChart>
        <c:barDir val="col"/>
        <c:grouping val="clustered"/>
        <c:varyColors val="0"/>
        <c:ser>
          <c:idx val="0"/>
          <c:order val="0"/>
          <c:tx>
            <c:strRef>
              <c:f>E_EN!$G$23</c:f>
              <c:strCache>
                <c:ptCount val="1"/>
                <c:pt idx="0">
                  <c:v> from electronic to paper form</c:v>
                </c:pt>
              </c:strCache>
            </c:strRef>
          </c:tx>
          <c:spPr>
            <a:solidFill>
              <a:srgbClr val="009BB4"/>
            </a:solidFill>
            <a:ln w="25400">
              <a:noFill/>
            </a:ln>
          </c:spPr>
          <c:invertIfNegative val="0"/>
          <c:dLbls>
            <c:numFmt formatCode="#,##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E_EN!$H$22:$O$22</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E_EN!$H$23:$O$23</c:f>
              <c:numCache>
                <c:formatCode>#,##0</c:formatCode>
                <c:ptCount val="8"/>
                <c:pt idx="0">
                  <c:v>83.483999999999995</c:v>
                </c:pt>
                <c:pt idx="1">
                  <c:v>97.775999999999982</c:v>
                </c:pt>
                <c:pt idx="2">
                  <c:v>165.26300000000001</c:v>
                </c:pt>
                <c:pt idx="3" formatCode="#,##0.0">
                  <c:v>302.66899999999993</c:v>
                </c:pt>
                <c:pt idx="4" formatCode="#,##0.0">
                  <c:v>310.07299999999992</c:v>
                </c:pt>
                <c:pt idx="5" formatCode="#,##0.0">
                  <c:v>301.92500000000001</c:v>
                </c:pt>
                <c:pt idx="6" formatCode="#,##0.0">
                  <c:v>283.97899999999902</c:v>
                </c:pt>
                <c:pt idx="7" formatCode="#,##0.0">
                  <c:v>274.80599999999993</c:v>
                </c:pt>
              </c:numCache>
            </c:numRef>
          </c:val>
          <c:extLst>
            <c:ext xmlns:c16="http://schemas.microsoft.com/office/drawing/2014/chart" uri="{C3380CC4-5D6E-409C-BE32-E72D297353CC}">
              <c16:uniqueId val="{00000000-13BE-4A58-B34C-C6467ECC8FCD}"/>
            </c:ext>
          </c:extLst>
        </c:ser>
        <c:ser>
          <c:idx val="2"/>
          <c:order val="1"/>
          <c:tx>
            <c:strRef>
              <c:f>E_EN!$G$24</c:f>
              <c:strCache>
                <c:ptCount val="1"/>
                <c:pt idx="0">
                  <c:v> from paper to electronic form</c:v>
                </c:pt>
              </c:strCache>
            </c:strRef>
          </c:tx>
          <c:spPr>
            <a:solidFill>
              <a:srgbClr val="47E5FF"/>
            </a:solidFill>
          </c:spPr>
          <c:invertIfNegative val="0"/>
          <c:dLbls>
            <c:numFmt formatCode="#,##0" sourceLinked="0"/>
            <c:spPr>
              <a:noFill/>
              <a:ln>
                <a:noFill/>
              </a:ln>
              <a:effectLst/>
            </c:spPr>
            <c:txPr>
              <a:bodyPr rot="-5400000" vert="horz" anchor="t" anchorCtr="1"/>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E_EN!$H$22:$O$22</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E_EN!$H$24:$O$24</c:f>
              <c:numCache>
                <c:formatCode>#,##0</c:formatCode>
                <c:ptCount val="8"/>
                <c:pt idx="0">
                  <c:v>7.6949999999999887</c:v>
                </c:pt>
                <c:pt idx="1">
                  <c:v>24.678999999999991</c:v>
                </c:pt>
                <c:pt idx="2">
                  <c:v>50.821000000000012</c:v>
                </c:pt>
                <c:pt idx="3" formatCode="#,##0.0">
                  <c:v>94.200999999999993</c:v>
                </c:pt>
                <c:pt idx="4" formatCode="#,##0.0">
                  <c:v>95.851999999999975</c:v>
                </c:pt>
                <c:pt idx="5" formatCode="#,##0.0">
                  <c:v>139.35499999999999</c:v>
                </c:pt>
                <c:pt idx="6" formatCode="#,##0.0">
                  <c:v>160.298</c:v>
                </c:pt>
                <c:pt idx="7" formatCode="#,##0.0">
                  <c:v>198.08199999999999</c:v>
                </c:pt>
              </c:numCache>
            </c:numRef>
          </c:val>
          <c:extLst>
            <c:ext xmlns:c16="http://schemas.microsoft.com/office/drawing/2014/chart" uri="{C3380CC4-5D6E-409C-BE32-E72D297353CC}">
              <c16:uniqueId val="{00000001-13BE-4A58-B34C-C6467ECC8FCD}"/>
            </c:ext>
          </c:extLst>
        </c:ser>
        <c:dLbls>
          <c:showLegendKey val="0"/>
          <c:showVal val="0"/>
          <c:showCatName val="0"/>
          <c:showSerName val="0"/>
          <c:showPercent val="0"/>
          <c:showBubbleSize val="0"/>
        </c:dLbls>
        <c:gapWidth val="40"/>
        <c:axId val="197382144"/>
        <c:axId val="196670528"/>
      </c:barChart>
      <c:catAx>
        <c:axId val="197382144"/>
        <c:scaling>
          <c:orientation val="minMax"/>
        </c:scaling>
        <c:delete val="0"/>
        <c:axPos val="b"/>
        <c:numFmt formatCode="General" sourceLinked="1"/>
        <c:majorTickMark val="out"/>
        <c:minorTickMark val="none"/>
        <c:tickLblPos val="nextTo"/>
        <c:spPr>
          <a:ln w="3175">
            <a:solidFill>
              <a:schemeClr val="tx1"/>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96670528"/>
        <c:crosses val="autoZero"/>
        <c:auto val="1"/>
        <c:lblAlgn val="ctr"/>
        <c:lblOffset val="100"/>
        <c:noMultiLvlLbl val="0"/>
      </c:catAx>
      <c:valAx>
        <c:axId val="196670528"/>
        <c:scaling>
          <c:orientation val="minMax"/>
          <c:max val="400"/>
          <c:min val="0"/>
        </c:scaling>
        <c:delete val="0"/>
        <c:axPos val="l"/>
        <c:numFmt formatCode="#,##0" sourceLinked="0"/>
        <c:majorTickMark val="none"/>
        <c:minorTickMark val="none"/>
        <c:tickLblPos val="none"/>
        <c:crossAx val="197382144"/>
        <c:crosses val="autoZero"/>
        <c:crossBetween val="between"/>
        <c:majorUnit val="50"/>
        <c:minorUnit val="10"/>
      </c:valAx>
      <c:spPr>
        <a:noFill/>
        <a:ln w="12700">
          <a:solidFill>
            <a:srgbClr val="A6A6A6"/>
          </a:solidFill>
          <a:prstDash val="solid"/>
        </a:ln>
      </c:spPr>
    </c:plotArea>
    <c:legend>
      <c:legendPos val="t"/>
      <c:layout>
        <c:manualLayout>
          <c:xMode val="edge"/>
          <c:yMode val="edge"/>
          <c:x val="0.155535456220009"/>
          <c:y val="0.180518810148731"/>
          <c:w val="0.64763357261730303"/>
          <c:h val="0.11674055770085701"/>
        </c:manualLayout>
      </c:layout>
      <c:overlay val="0"/>
      <c:spPr>
        <a:noFill/>
        <a:ln w="9525">
          <a:solidFill>
            <a:schemeClr val="bg1">
              <a:lumMod val="50000"/>
            </a:schemeClr>
          </a:solidFill>
        </a:ln>
      </c:spPr>
      <c:txPr>
        <a:bodyPr/>
        <a:lstStyle/>
        <a:p>
          <a:pPr>
            <a:defRPr sz="800" b="0" i="0" u="none" strike="noStrike" baseline="0">
              <a:solidFill>
                <a:srgbClr val="000000"/>
              </a:solidFill>
              <a:latin typeface="Arial CE"/>
              <a:ea typeface="Arial CE"/>
              <a:cs typeface="Arial CE"/>
            </a:defRPr>
          </a:pPr>
          <a:endParaRPr lang="cs-CZ"/>
        </a:p>
      </c:txPr>
    </c:legend>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t>Figure E3 Verified copies/extracts issued </a:t>
            </a:r>
          </a:p>
          <a:p>
            <a:pPr>
              <a:defRPr/>
            </a:pPr>
            <a:r>
              <a:rPr lang="cs-CZ" sz="800" b="1"/>
              <a:t>from the CzechPoint@office interface </a:t>
            </a:r>
          </a:p>
          <a:p>
            <a:pPr>
              <a:defRPr/>
            </a:pPr>
            <a:r>
              <a:rPr lang="cs-CZ" sz="800" b="1"/>
              <a:t>for selected services (thous.)</a:t>
            </a:r>
          </a:p>
        </c:rich>
      </c:tx>
      <c:layout/>
      <c:overlay val="0"/>
    </c:title>
    <c:autoTitleDeleted val="0"/>
    <c:plotArea>
      <c:layout>
        <c:manualLayout>
          <c:layoutTarget val="inner"/>
          <c:xMode val="edge"/>
          <c:yMode val="edge"/>
          <c:x val="1.2694396089388899E-2"/>
          <c:y val="0.17892457782399801"/>
          <c:w val="0.94601223742931195"/>
          <c:h val="0.62359426593853196"/>
        </c:manualLayout>
      </c:layout>
      <c:barChart>
        <c:barDir val="col"/>
        <c:grouping val="clustered"/>
        <c:varyColors val="0"/>
        <c:ser>
          <c:idx val="0"/>
          <c:order val="0"/>
          <c:tx>
            <c:strRef>
              <c:f>E_EN!$B$37</c:f>
              <c:strCache>
                <c:ptCount val="1"/>
                <c:pt idx="0">
                  <c:v> Register of vital records</c:v>
                </c:pt>
              </c:strCache>
            </c:strRef>
          </c:tx>
          <c:spPr>
            <a:solidFill>
              <a:srgbClr val="009BB4"/>
            </a:solidFill>
            <a:ln w="25400">
              <a:noFill/>
            </a:ln>
          </c:spPr>
          <c:invertIfNegative val="0"/>
          <c:dLbls>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E_EN!$C$36:$J$36</c:f>
              <c:numCache>
                <c:formatCode>General</c:formatCode>
                <c:ptCount val="8"/>
                <c:pt idx="0">
                  <c:v>2010</c:v>
                </c:pt>
                <c:pt idx="1">
                  <c:v>2011</c:v>
                </c:pt>
                <c:pt idx="2">
                  <c:v>2012</c:v>
                </c:pt>
                <c:pt idx="3">
                  <c:v>2013</c:v>
                </c:pt>
                <c:pt idx="4">
                  <c:v>2014</c:v>
                </c:pt>
                <c:pt idx="5">
                  <c:v>2015</c:v>
                </c:pt>
                <c:pt idx="6">
                  <c:v>2016</c:v>
                </c:pt>
                <c:pt idx="7">
                  <c:v>2017</c:v>
                </c:pt>
              </c:numCache>
            </c:numRef>
          </c:cat>
          <c:val>
            <c:numRef>
              <c:f>E_EN!$C$37:$J$37</c:f>
              <c:numCache>
                <c:formatCode>#,##0</c:formatCode>
                <c:ptCount val="8"/>
                <c:pt idx="0">
                  <c:v>196.89599999999999</c:v>
                </c:pt>
                <c:pt idx="1">
                  <c:v>392.834</c:v>
                </c:pt>
                <c:pt idx="2">
                  <c:v>401.54199999999992</c:v>
                </c:pt>
                <c:pt idx="3">
                  <c:v>402.14299999999997</c:v>
                </c:pt>
                <c:pt idx="4">
                  <c:v>406.42500000000001</c:v>
                </c:pt>
                <c:pt idx="5">
                  <c:v>420.49799999999902</c:v>
                </c:pt>
                <c:pt idx="6">
                  <c:v>426.017</c:v>
                </c:pt>
                <c:pt idx="7">
                  <c:v>434.24099999999999</c:v>
                </c:pt>
              </c:numCache>
            </c:numRef>
          </c:val>
          <c:extLst>
            <c:ext xmlns:c16="http://schemas.microsoft.com/office/drawing/2014/chart" uri="{C3380CC4-5D6E-409C-BE32-E72D297353CC}">
              <c16:uniqueId val="{00000000-5339-4CB4-94EE-9D47CB7789AA}"/>
            </c:ext>
          </c:extLst>
        </c:ser>
        <c:ser>
          <c:idx val="1"/>
          <c:order val="1"/>
          <c:tx>
            <c:strRef>
              <c:f>E_EN!$B$38</c:f>
              <c:strCache>
                <c:ptCount val="1"/>
                <c:pt idx="0">
                  <c:v> Register of residents</c:v>
                </c:pt>
              </c:strCache>
            </c:strRef>
          </c:tx>
          <c:spPr>
            <a:solidFill>
              <a:srgbClr val="47E5FF"/>
            </a:solidFill>
            <a:ln w="25400">
              <a:noFill/>
            </a:ln>
          </c:spPr>
          <c:invertIfNegative val="0"/>
          <c:dLbls>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E_EN!$C$36:$J$36</c:f>
              <c:numCache>
                <c:formatCode>General</c:formatCode>
                <c:ptCount val="8"/>
                <c:pt idx="0">
                  <c:v>2010</c:v>
                </c:pt>
                <c:pt idx="1">
                  <c:v>2011</c:v>
                </c:pt>
                <c:pt idx="2">
                  <c:v>2012</c:v>
                </c:pt>
                <c:pt idx="3">
                  <c:v>2013</c:v>
                </c:pt>
                <c:pt idx="4">
                  <c:v>2014</c:v>
                </c:pt>
                <c:pt idx="5">
                  <c:v>2015</c:v>
                </c:pt>
                <c:pt idx="6">
                  <c:v>2016</c:v>
                </c:pt>
                <c:pt idx="7">
                  <c:v>2017</c:v>
                </c:pt>
              </c:numCache>
            </c:numRef>
          </c:cat>
          <c:val>
            <c:numRef>
              <c:f>E_EN!$C$38:$J$38</c:f>
              <c:numCache>
                <c:formatCode>#,##0</c:formatCode>
                <c:ptCount val="8"/>
                <c:pt idx="0">
                  <c:v>134.82900000000001</c:v>
                </c:pt>
                <c:pt idx="1">
                  <c:v>285.65499999999997</c:v>
                </c:pt>
                <c:pt idx="2">
                  <c:v>317.154</c:v>
                </c:pt>
                <c:pt idx="3">
                  <c:v>384.78399999999903</c:v>
                </c:pt>
                <c:pt idx="4">
                  <c:v>398.52199999999903</c:v>
                </c:pt>
                <c:pt idx="5">
                  <c:v>423.54899999999992</c:v>
                </c:pt>
                <c:pt idx="6">
                  <c:v>455.61599999999999</c:v>
                </c:pt>
                <c:pt idx="7">
                  <c:v>448.86799999999999</c:v>
                </c:pt>
              </c:numCache>
            </c:numRef>
          </c:val>
          <c:extLst>
            <c:ext xmlns:c16="http://schemas.microsoft.com/office/drawing/2014/chart" uri="{C3380CC4-5D6E-409C-BE32-E72D297353CC}">
              <c16:uniqueId val="{00000001-5339-4CB4-94EE-9D47CB7789AA}"/>
            </c:ext>
          </c:extLst>
        </c:ser>
        <c:ser>
          <c:idx val="2"/>
          <c:order val="2"/>
          <c:tx>
            <c:strRef>
              <c:f>E_EN!$B$39</c:f>
              <c:strCache>
                <c:ptCount val="1"/>
                <c:pt idx="0">
                  <c:v> Register of persons</c:v>
                </c:pt>
              </c:strCache>
            </c:strRef>
          </c:tx>
          <c:spPr>
            <a:solidFill>
              <a:srgbClr val="ABF3FF"/>
            </a:solidFill>
            <a:ln w="25400">
              <a:noFill/>
            </a:ln>
          </c:spPr>
          <c:invertIfNegative val="0"/>
          <c:dLbls>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E_EN!$C$36:$J$36</c:f>
              <c:numCache>
                <c:formatCode>General</c:formatCode>
                <c:ptCount val="8"/>
                <c:pt idx="0">
                  <c:v>2010</c:v>
                </c:pt>
                <c:pt idx="1">
                  <c:v>2011</c:v>
                </c:pt>
                <c:pt idx="2">
                  <c:v>2012</c:v>
                </c:pt>
                <c:pt idx="3">
                  <c:v>2013</c:v>
                </c:pt>
                <c:pt idx="4">
                  <c:v>2014</c:v>
                </c:pt>
                <c:pt idx="5">
                  <c:v>2015</c:v>
                </c:pt>
                <c:pt idx="6">
                  <c:v>2016</c:v>
                </c:pt>
                <c:pt idx="7">
                  <c:v>2017</c:v>
                </c:pt>
              </c:numCache>
            </c:numRef>
          </c:cat>
          <c:val>
            <c:numRef>
              <c:f>E_EN!$C$39:$J$39</c:f>
              <c:numCache>
                <c:formatCode>#,##0</c:formatCode>
                <c:ptCount val="8"/>
                <c:pt idx="0">
                  <c:v>12.73</c:v>
                </c:pt>
                <c:pt idx="1">
                  <c:v>28.988</c:v>
                </c:pt>
                <c:pt idx="2">
                  <c:v>27.933</c:v>
                </c:pt>
                <c:pt idx="3">
                  <c:v>207.703</c:v>
                </c:pt>
                <c:pt idx="4">
                  <c:v>305.209</c:v>
                </c:pt>
                <c:pt idx="5">
                  <c:v>271.67899999999992</c:v>
                </c:pt>
                <c:pt idx="6">
                  <c:v>237.816</c:v>
                </c:pt>
                <c:pt idx="7">
                  <c:v>225.87299999999999</c:v>
                </c:pt>
              </c:numCache>
            </c:numRef>
          </c:val>
          <c:extLst>
            <c:ext xmlns:c16="http://schemas.microsoft.com/office/drawing/2014/chart" uri="{C3380CC4-5D6E-409C-BE32-E72D297353CC}">
              <c16:uniqueId val="{00000002-5339-4CB4-94EE-9D47CB7789AA}"/>
            </c:ext>
          </c:extLst>
        </c:ser>
        <c:dLbls>
          <c:showLegendKey val="0"/>
          <c:showVal val="1"/>
          <c:showCatName val="0"/>
          <c:showSerName val="0"/>
          <c:showPercent val="0"/>
          <c:showBubbleSize val="0"/>
        </c:dLbls>
        <c:gapWidth val="70"/>
        <c:axId val="197383680"/>
        <c:axId val="196672832"/>
      </c:barChart>
      <c:catAx>
        <c:axId val="197383680"/>
        <c:scaling>
          <c:orientation val="minMax"/>
        </c:scaling>
        <c:delete val="0"/>
        <c:axPos val="b"/>
        <c:numFmt formatCode="0" sourceLinked="0"/>
        <c:majorTickMark val="out"/>
        <c:minorTickMark val="none"/>
        <c:tickLblPos val="nextTo"/>
        <c:spPr>
          <a:ln w="3175">
            <a:solidFill>
              <a:schemeClr val="tx1"/>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96672832"/>
        <c:crosses val="autoZero"/>
        <c:auto val="1"/>
        <c:lblAlgn val="ctr"/>
        <c:lblOffset val="100"/>
        <c:noMultiLvlLbl val="0"/>
      </c:catAx>
      <c:valAx>
        <c:axId val="196672832"/>
        <c:scaling>
          <c:orientation val="minMax"/>
          <c:max val="600"/>
          <c:min val="0"/>
        </c:scaling>
        <c:delete val="0"/>
        <c:axPos val="l"/>
        <c:numFmt formatCode="#,##0" sourceLinked="0"/>
        <c:majorTickMark val="none"/>
        <c:minorTickMark val="none"/>
        <c:tickLblPos val="none"/>
        <c:spPr>
          <a:ln w="3175">
            <a:solidFill>
              <a:srgbClr val="808080"/>
            </a:solidFill>
            <a:prstDash val="solid"/>
          </a:ln>
        </c:spPr>
        <c:crossAx val="197383680"/>
        <c:crosses val="autoZero"/>
        <c:crossBetween val="between"/>
        <c:majorUnit val="100"/>
        <c:minorUnit val="10"/>
      </c:valAx>
      <c:spPr>
        <a:noFill/>
        <a:ln w="12700">
          <a:solidFill>
            <a:srgbClr val="A6A6A6"/>
          </a:solidFill>
          <a:prstDash val="solid"/>
        </a:ln>
      </c:spPr>
    </c:plotArea>
    <c:legend>
      <c:legendPos val="t"/>
      <c:layout>
        <c:manualLayout>
          <c:xMode val="edge"/>
          <c:yMode val="edge"/>
          <c:x val="2.2381413679756899E-2"/>
          <c:y val="0.204597409194818"/>
          <c:w val="0.91512357485282803"/>
          <c:h val="0.10556626984127"/>
        </c:manualLayout>
      </c:layout>
      <c:overlay val="0"/>
      <c:spPr>
        <a:ln>
          <a:solidFill>
            <a:schemeClr val="bg1">
              <a:lumMod val="50000"/>
            </a:schemeClr>
          </a:solidFill>
        </a:ln>
      </c:spPr>
      <c:txPr>
        <a:bodyPr/>
        <a:lstStyle/>
        <a:p>
          <a:pPr>
            <a:defRPr sz="800" b="0" i="0" u="none" strike="noStrike" baseline="0">
              <a:solidFill>
                <a:srgbClr val="000000"/>
              </a:solidFill>
              <a:latin typeface="Arial CE"/>
              <a:ea typeface="Arial CE"/>
              <a:cs typeface="Arial CE"/>
            </a:defRPr>
          </a:pPr>
          <a:endParaRPr lang="cs-CZ"/>
        </a:p>
      </c:txPr>
    </c:legend>
    <c:plotVisOnly val="1"/>
    <c:dispBlanksAs val="gap"/>
    <c:showDLblsOverMax val="0"/>
  </c:chart>
  <c:spPr>
    <a:ln>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i="0" u="none" strike="noStrike" baseline="0">
                <a:effectLst/>
              </a:rPr>
              <a:t>Figure E4 Number of authorized conversions of documents issued from </a:t>
            </a:r>
          </a:p>
          <a:p>
            <a:pPr>
              <a:defRPr/>
            </a:pPr>
            <a:r>
              <a:rPr lang="cs-CZ" sz="800" b="1" i="0" u="none" strike="noStrike" baseline="0">
                <a:effectLst/>
              </a:rPr>
              <a:t>the CzechPoint@office interface (thous.)</a:t>
            </a:r>
            <a:r>
              <a:rPr lang="cs-CZ" sz="800" b="1" i="0" u="none" strike="noStrike" baseline="0"/>
              <a:t> </a:t>
            </a:r>
            <a:endParaRPr lang="cs-CZ" sz="800" b="1"/>
          </a:p>
        </c:rich>
      </c:tx>
      <c:layout/>
      <c:overlay val="0"/>
    </c:title>
    <c:autoTitleDeleted val="0"/>
    <c:plotArea>
      <c:layout>
        <c:manualLayout>
          <c:layoutTarget val="inner"/>
          <c:xMode val="edge"/>
          <c:yMode val="edge"/>
          <c:x val="2.22221118259271E-2"/>
          <c:y val="0.182716666666667"/>
          <c:w val="0.94518481283917699"/>
          <c:h val="0.61157726377952804"/>
        </c:manualLayout>
      </c:layout>
      <c:barChart>
        <c:barDir val="col"/>
        <c:grouping val="clustered"/>
        <c:varyColors val="0"/>
        <c:ser>
          <c:idx val="0"/>
          <c:order val="0"/>
          <c:tx>
            <c:strRef>
              <c:f>E_EN!$A$43</c:f>
              <c:strCache>
                <c:ptCount val="1"/>
                <c:pt idx="0">
                  <c:v> from electronic to paper form</c:v>
                </c:pt>
              </c:strCache>
            </c:strRef>
          </c:tx>
          <c:spPr>
            <a:solidFill>
              <a:srgbClr val="009BB4"/>
            </a:solidFill>
            <a:ln w="25400">
              <a:noFill/>
            </a:ln>
          </c:spPr>
          <c:invertIfNegative val="0"/>
          <c:dLbls>
            <c:numFmt formatCode="#,##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E_EN!$B$42:$I$42</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E_EN!$B$43:$I$43</c:f>
              <c:numCache>
                <c:formatCode>#,##0</c:formatCode>
                <c:ptCount val="8"/>
                <c:pt idx="0">
                  <c:v>1008.2670000000001</c:v>
                </c:pt>
                <c:pt idx="1">
                  <c:v>1555.415</c:v>
                </c:pt>
                <c:pt idx="2">
                  <c:v>1712.84</c:v>
                </c:pt>
                <c:pt idx="3">
                  <c:v>1219.6869999999999</c:v>
                </c:pt>
                <c:pt idx="4">
                  <c:v>1009.792</c:v>
                </c:pt>
                <c:pt idx="5">
                  <c:v>891.90300000000002</c:v>
                </c:pt>
                <c:pt idx="6">
                  <c:v>739.81199999999887</c:v>
                </c:pt>
                <c:pt idx="7">
                  <c:v>624.10299999999938</c:v>
                </c:pt>
              </c:numCache>
            </c:numRef>
          </c:val>
          <c:extLst>
            <c:ext xmlns:c16="http://schemas.microsoft.com/office/drawing/2014/chart" uri="{C3380CC4-5D6E-409C-BE32-E72D297353CC}">
              <c16:uniqueId val="{00000000-9237-45EC-9535-964FDCEFE579}"/>
            </c:ext>
          </c:extLst>
        </c:ser>
        <c:ser>
          <c:idx val="2"/>
          <c:order val="1"/>
          <c:tx>
            <c:strRef>
              <c:f>E_EN!$A$44</c:f>
              <c:strCache>
                <c:ptCount val="1"/>
                <c:pt idx="0">
                  <c:v> from paper to electronic form</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E_EN!$B$42:$I$42</c:f>
              <c:numCache>
                <c:formatCode>General</c:formatCode>
                <c:ptCount val="8"/>
                <c:pt idx="0">
                  <c:v>2010</c:v>
                </c:pt>
                <c:pt idx="1">
                  <c:v>2011</c:v>
                </c:pt>
                <c:pt idx="2">
                  <c:v>2012</c:v>
                </c:pt>
                <c:pt idx="3" formatCode="@">
                  <c:v>2013</c:v>
                </c:pt>
                <c:pt idx="4" formatCode="@">
                  <c:v>2014</c:v>
                </c:pt>
                <c:pt idx="5" formatCode="@">
                  <c:v>2015</c:v>
                </c:pt>
                <c:pt idx="6">
                  <c:v>2016</c:v>
                </c:pt>
                <c:pt idx="7">
                  <c:v>2017</c:v>
                </c:pt>
              </c:numCache>
            </c:numRef>
          </c:cat>
          <c:val>
            <c:numRef>
              <c:f>E_EN!$B$44:$I$44</c:f>
              <c:numCache>
                <c:formatCode>#,##0</c:formatCode>
                <c:ptCount val="8"/>
                <c:pt idx="0">
                  <c:v>4587.09</c:v>
                </c:pt>
                <c:pt idx="1">
                  <c:v>6247.6949999999997</c:v>
                </c:pt>
                <c:pt idx="2">
                  <c:v>7183.1109999999999</c:v>
                </c:pt>
                <c:pt idx="3">
                  <c:v>6005.7120000000004</c:v>
                </c:pt>
                <c:pt idx="4">
                  <c:v>6248.1660000000002</c:v>
                </c:pt>
                <c:pt idx="5">
                  <c:v>5662.3860000000004</c:v>
                </c:pt>
                <c:pt idx="6">
                  <c:v>5136.4970000000003</c:v>
                </c:pt>
                <c:pt idx="7">
                  <c:v>4402.125</c:v>
                </c:pt>
              </c:numCache>
            </c:numRef>
          </c:val>
          <c:extLst>
            <c:ext xmlns:c16="http://schemas.microsoft.com/office/drawing/2014/chart" uri="{C3380CC4-5D6E-409C-BE32-E72D297353CC}">
              <c16:uniqueId val="{00000001-9237-45EC-9535-964FDCEFE579}"/>
            </c:ext>
          </c:extLst>
        </c:ser>
        <c:dLbls>
          <c:showLegendKey val="0"/>
          <c:showVal val="0"/>
          <c:showCatName val="0"/>
          <c:showSerName val="0"/>
          <c:showPercent val="0"/>
          <c:showBubbleSize val="0"/>
        </c:dLbls>
        <c:gapWidth val="40"/>
        <c:axId val="197124096"/>
        <c:axId val="196764224"/>
      </c:barChart>
      <c:catAx>
        <c:axId val="197124096"/>
        <c:scaling>
          <c:orientation val="minMax"/>
        </c:scaling>
        <c:delete val="0"/>
        <c:axPos val="b"/>
        <c:numFmt formatCode="General" sourceLinked="1"/>
        <c:majorTickMark val="out"/>
        <c:minorTickMark val="none"/>
        <c:tickLblPos val="nextTo"/>
        <c:spPr>
          <a:ln w="3175">
            <a:solidFill>
              <a:schemeClr val="tx1"/>
            </a:solidFill>
          </a:ln>
        </c:spPr>
        <c:txPr>
          <a:bodyPr rot="0" vert="horz"/>
          <a:lstStyle/>
          <a:p>
            <a:pPr>
              <a:defRPr/>
            </a:pPr>
            <a:endParaRPr lang="cs-CZ"/>
          </a:p>
        </c:txPr>
        <c:crossAx val="196764224"/>
        <c:crosses val="autoZero"/>
        <c:auto val="1"/>
        <c:lblAlgn val="ctr"/>
        <c:lblOffset val="100"/>
        <c:noMultiLvlLbl val="0"/>
      </c:catAx>
      <c:valAx>
        <c:axId val="196764224"/>
        <c:scaling>
          <c:orientation val="minMax"/>
          <c:max val="10000"/>
          <c:min val="0"/>
        </c:scaling>
        <c:delete val="0"/>
        <c:axPos val="l"/>
        <c:numFmt formatCode="#,##0" sourceLinked="0"/>
        <c:majorTickMark val="none"/>
        <c:minorTickMark val="none"/>
        <c:tickLblPos val="none"/>
        <c:crossAx val="197124096"/>
        <c:crosses val="autoZero"/>
        <c:crossBetween val="between"/>
        <c:majorUnit val="1000"/>
        <c:minorUnit val="10"/>
      </c:valAx>
      <c:spPr>
        <a:noFill/>
        <a:ln w="12700">
          <a:solidFill>
            <a:srgbClr val="A6A6A6"/>
          </a:solidFill>
          <a:prstDash val="solid"/>
        </a:ln>
      </c:spPr>
    </c:plotArea>
    <c:legend>
      <c:legendPos val="t"/>
      <c:layout>
        <c:manualLayout>
          <c:xMode val="edge"/>
          <c:yMode val="edge"/>
          <c:x val="0.25887047994740298"/>
          <c:y val="0.21273095238095199"/>
          <c:w val="0.52001183431952702"/>
          <c:h val="0.12191587301587301"/>
        </c:manualLayout>
      </c:layout>
      <c:overlay val="0"/>
      <c:spPr>
        <a:noFill/>
        <a:ln w="9525">
          <a:solidFill>
            <a:schemeClr val="bg1">
              <a:lumMod val="50000"/>
            </a:schemeClr>
          </a:solidFill>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17746345055284"/>
          <c:w val="0.96863945111332705"/>
          <c:h val="0.68135200294533305"/>
        </c:manualLayout>
      </c:layout>
      <c:barChart>
        <c:barDir val="col"/>
        <c:grouping val="clustered"/>
        <c:varyColors val="0"/>
        <c:ser>
          <c:idx val="0"/>
          <c:order val="0"/>
          <c:tx>
            <c:strRef>
              <c:f>E_EN!$G$63</c:f>
              <c:strCache>
                <c:ptCount val="1"/>
                <c:pt idx="0">
                  <c:v> By law</c:v>
                </c:pt>
              </c:strCache>
            </c:strRef>
          </c:tx>
          <c:spPr>
            <a:solidFill>
              <a:srgbClr val="009BB4"/>
            </a:solidFill>
          </c:spPr>
          <c:invertIfNegative val="0"/>
          <c:dLbls>
            <c:dLbl>
              <c:idx val="0"/>
              <c:layout/>
              <c:numFmt formatCode="#,##0" sourceLinked="0"/>
              <c:spPr>
                <a:noFill/>
                <a:ln>
                  <a:noFill/>
                </a:ln>
                <a:effectLst/>
              </c:spPr>
              <c:txPr>
                <a:bodyPr rot="-5400000" vert="horz"/>
                <a:lstStyle/>
                <a:p>
                  <a:pPr>
                    <a:defRPr sz="800" b="1">
                      <a:solidFill>
                        <a:schemeClr val="bg1"/>
                      </a:solidFill>
                    </a:defRPr>
                  </a:pPr>
                  <a:endParaRPr lang="cs-CZ"/>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6A5-4E87-BAD7-42853F8EC487}"/>
                </c:ext>
              </c:extLst>
            </c:dLbl>
            <c:numFmt formatCode="#,##0" sourceLinked="0"/>
            <c:spPr>
              <a:noFill/>
              <a:ln>
                <a:noFill/>
              </a:ln>
              <a:effectLst/>
            </c:spPr>
            <c:txPr>
              <a:bodyPr rot="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E_EN!$H$62:$P$62</c:f>
              <c:numCache>
                <c:formatCode>@</c:formatCode>
                <c:ptCount val="9"/>
                <c:pt idx="0">
                  <c:v>2009</c:v>
                </c:pt>
                <c:pt idx="1">
                  <c:v>2010</c:v>
                </c:pt>
                <c:pt idx="2">
                  <c:v>2011</c:v>
                </c:pt>
                <c:pt idx="3">
                  <c:v>2012</c:v>
                </c:pt>
                <c:pt idx="4" formatCode="General">
                  <c:v>2013</c:v>
                </c:pt>
                <c:pt idx="5">
                  <c:v>2014</c:v>
                </c:pt>
                <c:pt idx="6" formatCode="General">
                  <c:v>2015</c:v>
                </c:pt>
                <c:pt idx="7" formatCode="General">
                  <c:v>2016</c:v>
                </c:pt>
                <c:pt idx="8" formatCode="General">
                  <c:v>2017</c:v>
                </c:pt>
              </c:numCache>
            </c:numRef>
          </c:cat>
          <c:val>
            <c:numRef>
              <c:f>E_EN!$H$63:$P$63</c:f>
              <c:numCache>
                <c:formatCode>#,##0</c:formatCode>
                <c:ptCount val="9"/>
                <c:pt idx="0">
                  <c:v>360.52699999999902</c:v>
                </c:pt>
                <c:pt idx="1">
                  <c:v>27.620999999999999</c:v>
                </c:pt>
                <c:pt idx="2">
                  <c:v>24.806999999999999</c:v>
                </c:pt>
                <c:pt idx="3">
                  <c:v>36.664999999999999</c:v>
                </c:pt>
                <c:pt idx="4" formatCode="#,##0.0">
                  <c:v>25.210999999999999</c:v>
                </c:pt>
                <c:pt idx="5" formatCode="#,##0.0">
                  <c:v>30.954000000000001</c:v>
                </c:pt>
                <c:pt idx="6" formatCode="#,##0.0">
                  <c:v>28.548999999999999</c:v>
                </c:pt>
                <c:pt idx="7" formatCode="#,##0.0">
                  <c:v>30.349</c:v>
                </c:pt>
                <c:pt idx="8" formatCode="#,##0.0">
                  <c:v>35.464000000000013</c:v>
                </c:pt>
              </c:numCache>
            </c:numRef>
          </c:val>
          <c:extLst>
            <c:ext xmlns:c16="http://schemas.microsoft.com/office/drawing/2014/chart" uri="{C3380CC4-5D6E-409C-BE32-E72D297353CC}">
              <c16:uniqueId val="{00000001-A6A5-4E87-BAD7-42853F8EC487}"/>
            </c:ext>
          </c:extLst>
        </c:ser>
        <c:ser>
          <c:idx val="1"/>
          <c:order val="1"/>
          <c:tx>
            <c:strRef>
              <c:f>E_EN!$G$64</c:f>
              <c:strCache>
                <c:ptCount val="1"/>
                <c:pt idx="0">
                  <c:v> Upon request</c:v>
                </c:pt>
              </c:strCache>
            </c:strRef>
          </c:tx>
          <c:spPr>
            <a:solidFill>
              <a:srgbClr val="47E5FF"/>
            </a:solidFill>
          </c:spPr>
          <c:invertIfNegative val="0"/>
          <c:dLbls>
            <c:numFmt formatCode="#,##0" sourceLinked="0"/>
            <c:spPr>
              <a:noFill/>
              <a:ln>
                <a:noFill/>
              </a:ln>
              <a:effectLst/>
            </c:spPr>
            <c:txPr>
              <a:bodyPr rot="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E_EN!$H$62:$P$62</c:f>
              <c:numCache>
                <c:formatCode>@</c:formatCode>
                <c:ptCount val="9"/>
                <c:pt idx="0">
                  <c:v>2009</c:v>
                </c:pt>
                <c:pt idx="1">
                  <c:v>2010</c:v>
                </c:pt>
                <c:pt idx="2">
                  <c:v>2011</c:v>
                </c:pt>
                <c:pt idx="3">
                  <c:v>2012</c:v>
                </c:pt>
                <c:pt idx="4" formatCode="General">
                  <c:v>2013</c:v>
                </c:pt>
                <c:pt idx="5">
                  <c:v>2014</c:v>
                </c:pt>
                <c:pt idx="6" formatCode="General">
                  <c:v>2015</c:v>
                </c:pt>
                <c:pt idx="7" formatCode="General">
                  <c:v>2016</c:v>
                </c:pt>
                <c:pt idx="8" formatCode="General">
                  <c:v>2017</c:v>
                </c:pt>
              </c:numCache>
            </c:numRef>
          </c:cat>
          <c:val>
            <c:numRef>
              <c:f>E_EN!$H$64:$P$64</c:f>
              <c:numCache>
                <c:formatCode>#,##0</c:formatCode>
                <c:ptCount val="9"/>
                <c:pt idx="0">
                  <c:v>18.303000000000001</c:v>
                </c:pt>
                <c:pt idx="1">
                  <c:v>13.798</c:v>
                </c:pt>
                <c:pt idx="2">
                  <c:v>7.1369999999999996</c:v>
                </c:pt>
                <c:pt idx="3">
                  <c:v>13.769</c:v>
                </c:pt>
                <c:pt idx="4" formatCode="#,##0.0">
                  <c:v>30.669</c:v>
                </c:pt>
                <c:pt idx="5" formatCode="#,##0.0">
                  <c:v>35.719000000000001</c:v>
                </c:pt>
                <c:pt idx="6" formatCode="#,##0.0">
                  <c:v>36.82</c:v>
                </c:pt>
                <c:pt idx="7" formatCode="#,##0.0">
                  <c:v>60.185000000000002</c:v>
                </c:pt>
                <c:pt idx="8" formatCode="#,##0.0">
                  <c:v>44.436</c:v>
                </c:pt>
              </c:numCache>
            </c:numRef>
          </c:val>
          <c:extLst>
            <c:ext xmlns:c16="http://schemas.microsoft.com/office/drawing/2014/chart" uri="{C3380CC4-5D6E-409C-BE32-E72D297353CC}">
              <c16:uniqueId val="{00000002-A6A5-4E87-BAD7-42853F8EC487}"/>
            </c:ext>
          </c:extLst>
        </c:ser>
        <c:dLbls>
          <c:showLegendKey val="0"/>
          <c:showVal val="1"/>
          <c:showCatName val="0"/>
          <c:showSerName val="0"/>
          <c:showPercent val="0"/>
          <c:showBubbleSize val="0"/>
        </c:dLbls>
        <c:gapWidth val="79"/>
        <c:overlap val="1"/>
        <c:axId val="197382656"/>
        <c:axId val="196765952"/>
      </c:barChart>
      <c:catAx>
        <c:axId val="197382656"/>
        <c:scaling>
          <c:orientation val="minMax"/>
        </c:scaling>
        <c:delete val="0"/>
        <c:axPos val="b"/>
        <c:numFmt formatCode="@" sourceLinked="1"/>
        <c:majorTickMark val="out"/>
        <c:minorTickMark val="none"/>
        <c:tickLblPos val="nextTo"/>
        <c:spPr>
          <a:ln w="3175">
            <a:solidFill>
              <a:schemeClr val="tx1"/>
            </a:solidFill>
          </a:ln>
        </c:spPr>
        <c:txPr>
          <a:bodyPr/>
          <a:lstStyle/>
          <a:p>
            <a:pPr>
              <a:defRPr sz="800"/>
            </a:pPr>
            <a:endParaRPr lang="cs-CZ"/>
          </a:p>
        </c:txPr>
        <c:crossAx val="196765952"/>
        <c:crosses val="autoZero"/>
        <c:auto val="1"/>
        <c:lblAlgn val="ctr"/>
        <c:lblOffset val="100"/>
        <c:noMultiLvlLbl val="0"/>
      </c:catAx>
      <c:valAx>
        <c:axId val="196765952"/>
        <c:scaling>
          <c:orientation val="minMax"/>
          <c:max val="80"/>
        </c:scaling>
        <c:delete val="0"/>
        <c:axPos val="l"/>
        <c:numFmt formatCode="#,##0" sourceLinked="1"/>
        <c:majorTickMark val="none"/>
        <c:minorTickMark val="none"/>
        <c:tickLblPos val="none"/>
        <c:crossAx val="197382656"/>
        <c:crosses val="autoZero"/>
        <c:crossBetween val="between"/>
        <c:majorUnit val="10"/>
        <c:minorUnit val="5"/>
      </c:valAx>
      <c:spPr>
        <a:ln w="12700">
          <a:solidFill>
            <a:srgbClr val="A6A6A6"/>
          </a:solidFill>
        </a:ln>
      </c:spPr>
    </c:plotArea>
    <c:legend>
      <c:legendPos val="t"/>
      <c:layout>
        <c:manualLayout>
          <c:xMode val="edge"/>
          <c:yMode val="edge"/>
          <c:x val="9.9913862541712556E-2"/>
          <c:y val="0.14576426568509146"/>
          <c:w val="0.63402960107301898"/>
          <c:h val="8.6570071795049858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3552546659803E-2"/>
          <c:y val="0.118525368300737"/>
          <c:w val="0.97019526080366703"/>
          <c:h val="0.68372366661714501"/>
        </c:manualLayout>
      </c:layout>
      <c:barChart>
        <c:barDir val="col"/>
        <c:grouping val="clustered"/>
        <c:varyColors val="0"/>
        <c:ser>
          <c:idx val="2"/>
          <c:order val="0"/>
          <c:tx>
            <c:strRef>
              <c:f>E_EN!$B$79</c:f>
              <c:strCache>
                <c:ptCount val="1"/>
                <c:pt idx="0">
                  <c:v> Citizens</c:v>
                </c:pt>
              </c:strCache>
            </c:strRef>
          </c:tx>
          <c:spPr>
            <a:solidFill>
              <a:srgbClr val="009BB4"/>
            </a:solidFill>
          </c:spPr>
          <c:invertIfNegative val="0"/>
          <c:dLbls>
            <c:spPr>
              <a:noFill/>
              <a:ln>
                <a:noFill/>
              </a:ln>
              <a:effectLst/>
            </c:spPr>
            <c:txPr>
              <a:bodyPr rot="-5400000" vert="horz"/>
              <a:lstStyle/>
              <a:p>
                <a:pPr>
                  <a:defRPr sz="800" b="1">
                    <a:solidFill>
                      <a:schemeClr val="bg1"/>
                    </a:solidFill>
                    <a:latin typeface="Arial" panose="020B0604020202020204" pitchFamily="34" charset="0"/>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E_EN!$C$76:$G$76</c:f>
              <c:numCache>
                <c:formatCode>General</c:formatCode>
                <c:ptCount val="5"/>
                <c:pt idx="0">
                  <c:v>2013</c:v>
                </c:pt>
                <c:pt idx="1">
                  <c:v>2014</c:v>
                </c:pt>
                <c:pt idx="2">
                  <c:v>2015</c:v>
                </c:pt>
                <c:pt idx="3">
                  <c:v>2016</c:v>
                </c:pt>
                <c:pt idx="4">
                  <c:v>2017</c:v>
                </c:pt>
              </c:numCache>
            </c:numRef>
          </c:cat>
          <c:val>
            <c:numRef>
              <c:f>E_EN!$C$79:$G$79</c:f>
              <c:numCache>
                <c:formatCode>0.0</c:formatCode>
                <c:ptCount val="5"/>
                <c:pt idx="0">
                  <c:v>12.119</c:v>
                </c:pt>
                <c:pt idx="1">
                  <c:v>13.95</c:v>
                </c:pt>
                <c:pt idx="2">
                  <c:v>17.204999999999991</c:v>
                </c:pt>
                <c:pt idx="3">
                  <c:v>26.234000000000009</c:v>
                </c:pt>
                <c:pt idx="4">
                  <c:v>22.869</c:v>
                </c:pt>
              </c:numCache>
            </c:numRef>
          </c:val>
          <c:extLst>
            <c:ext xmlns:c16="http://schemas.microsoft.com/office/drawing/2014/chart" uri="{C3380CC4-5D6E-409C-BE32-E72D297353CC}">
              <c16:uniqueId val="{00000000-9567-4AD6-8C2E-32A2A0A423FE}"/>
            </c:ext>
          </c:extLst>
        </c:ser>
        <c:ser>
          <c:idx val="1"/>
          <c:order val="1"/>
          <c:tx>
            <c:strRef>
              <c:f>E_EN!$B$78</c:f>
              <c:strCache>
                <c:ptCount val="1"/>
                <c:pt idx="0">
                  <c:v> Self-employed persons</c:v>
                </c:pt>
              </c:strCache>
            </c:strRef>
          </c:tx>
          <c:spPr>
            <a:solidFill>
              <a:srgbClr val="47E5FF"/>
            </a:solidFill>
            <a:ln w="12700">
              <a:noFill/>
            </a:ln>
          </c:spPr>
          <c:invertIfNegative val="0"/>
          <c:dLbls>
            <c:dLbl>
              <c:idx val="1"/>
              <c:layout>
                <c:manualLayout>
                  <c:x val="-2.95737680711668E-7"/>
                  <c:y val="0.15249941858533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567-4AD6-8C2E-32A2A0A423FE}"/>
                </c:ext>
              </c:extLst>
            </c:dLbl>
            <c:spPr>
              <a:noFill/>
              <a:ln>
                <a:noFill/>
              </a:ln>
              <a:effectLst/>
            </c:spPr>
            <c:txPr>
              <a:bodyPr rot="-5400000" vert="horz"/>
              <a:lstStyle/>
              <a:p>
                <a:pPr>
                  <a:defRPr sz="800" b="1">
                    <a:latin typeface="Arial" panose="020B0604020202020204" pitchFamily="34" charset="0"/>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E_EN!$C$76:$G$76</c:f>
              <c:numCache>
                <c:formatCode>General</c:formatCode>
                <c:ptCount val="5"/>
                <c:pt idx="0">
                  <c:v>2013</c:v>
                </c:pt>
                <c:pt idx="1">
                  <c:v>2014</c:v>
                </c:pt>
                <c:pt idx="2">
                  <c:v>2015</c:v>
                </c:pt>
                <c:pt idx="3">
                  <c:v>2016</c:v>
                </c:pt>
                <c:pt idx="4">
                  <c:v>2017</c:v>
                </c:pt>
              </c:numCache>
            </c:numRef>
          </c:cat>
          <c:val>
            <c:numRef>
              <c:f>E_EN!$C$78:$G$78</c:f>
              <c:numCache>
                <c:formatCode>0.0</c:formatCode>
                <c:ptCount val="5"/>
                <c:pt idx="0">
                  <c:v>17.684999999999999</c:v>
                </c:pt>
                <c:pt idx="1">
                  <c:v>20.126000000000001</c:v>
                </c:pt>
                <c:pt idx="2">
                  <c:v>17.663</c:v>
                </c:pt>
                <c:pt idx="3">
                  <c:v>34.683999999999997</c:v>
                </c:pt>
                <c:pt idx="4">
                  <c:v>20.018000000000001</c:v>
                </c:pt>
              </c:numCache>
            </c:numRef>
          </c:val>
          <c:extLst>
            <c:ext xmlns:c16="http://schemas.microsoft.com/office/drawing/2014/chart" uri="{C3380CC4-5D6E-409C-BE32-E72D297353CC}">
              <c16:uniqueId val="{00000002-9567-4AD6-8C2E-32A2A0A423FE}"/>
            </c:ext>
          </c:extLst>
        </c:ser>
        <c:ser>
          <c:idx val="0"/>
          <c:order val="2"/>
          <c:tx>
            <c:strRef>
              <c:f>E_EN!$B$77</c:f>
              <c:strCache>
                <c:ptCount val="1"/>
                <c:pt idx="0">
                  <c:v> Enterprises</c:v>
                </c:pt>
              </c:strCache>
            </c:strRef>
          </c:tx>
          <c:spPr>
            <a:solidFill>
              <a:srgbClr val="ABF3FF"/>
            </a:solidFill>
          </c:spPr>
          <c:invertIfNegative val="0"/>
          <c:dLbls>
            <c:spPr>
              <a:noFill/>
              <a:ln>
                <a:noFill/>
              </a:ln>
              <a:effectLst/>
            </c:spPr>
            <c:txPr>
              <a:bodyPr rot="-5400000" vert="horz"/>
              <a:lstStyle/>
              <a:p>
                <a:pPr>
                  <a:defRPr sz="800" b="1">
                    <a:solidFill>
                      <a:sysClr val="windowText" lastClr="000000"/>
                    </a:solidFill>
                    <a:latin typeface="Arial CE" pitchFamily="34" charset="0"/>
                    <a:cs typeface="Arial CE"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E_EN!$C$76:$G$76</c:f>
              <c:numCache>
                <c:formatCode>General</c:formatCode>
                <c:ptCount val="5"/>
                <c:pt idx="0">
                  <c:v>2013</c:v>
                </c:pt>
                <c:pt idx="1">
                  <c:v>2014</c:v>
                </c:pt>
                <c:pt idx="2">
                  <c:v>2015</c:v>
                </c:pt>
                <c:pt idx="3">
                  <c:v>2016</c:v>
                </c:pt>
                <c:pt idx="4">
                  <c:v>2017</c:v>
                </c:pt>
              </c:numCache>
            </c:numRef>
          </c:cat>
          <c:val>
            <c:numRef>
              <c:f>E_EN!$C$77:$G$77</c:f>
              <c:numCache>
                <c:formatCode>0.0</c:formatCode>
                <c:ptCount val="5"/>
                <c:pt idx="0">
                  <c:v>26.038</c:v>
                </c:pt>
                <c:pt idx="1">
                  <c:v>32.546999999999997</c:v>
                </c:pt>
                <c:pt idx="2">
                  <c:v>30.408999999999999</c:v>
                </c:pt>
                <c:pt idx="3">
                  <c:v>29.501000000000001</c:v>
                </c:pt>
                <c:pt idx="4">
                  <c:v>36.368000000000002</c:v>
                </c:pt>
              </c:numCache>
            </c:numRef>
          </c:val>
          <c:extLst>
            <c:ext xmlns:c16="http://schemas.microsoft.com/office/drawing/2014/chart" uri="{C3380CC4-5D6E-409C-BE32-E72D297353CC}">
              <c16:uniqueId val="{00000003-9567-4AD6-8C2E-32A2A0A423FE}"/>
            </c:ext>
          </c:extLst>
        </c:ser>
        <c:dLbls>
          <c:showLegendKey val="0"/>
          <c:showVal val="0"/>
          <c:showCatName val="0"/>
          <c:showSerName val="0"/>
          <c:showPercent val="0"/>
          <c:showBubbleSize val="0"/>
        </c:dLbls>
        <c:gapWidth val="37"/>
        <c:axId val="197127168"/>
        <c:axId val="196767680"/>
      </c:barChart>
      <c:catAx>
        <c:axId val="197127168"/>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latin typeface="Arial CE" pitchFamily="34" charset="0"/>
                <a:cs typeface="Arial CE" pitchFamily="34" charset="0"/>
              </a:defRPr>
            </a:pPr>
            <a:endParaRPr lang="cs-CZ"/>
          </a:p>
        </c:txPr>
        <c:crossAx val="196767680"/>
        <c:crosses val="autoZero"/>
        <c:auto val="1"/>
        <c:lblAlgn val="ctr"/>
        <c:lblOffset val="100"/>
        <c:noMultiLvlLbl val="0"/>
      </c:catAx>
      <c:valAx>
        <c:axId val="196767680"/>
        <c:scaling>
          <c:orientation val="minMax"/>
          <c:max val="60"/>
          <c:min val="0"/>
        </c:scaling>
        <c:delete val="0"/>
        <c:axPos val="l"/>
        <c:numFmt formatCode="0.0" sourceLinked="1"/>
        <c:majorTickMark val="none"/>
        <c:minorTickMark val="none"/>
        <c:tickLblPos val="none"/>
        <c:spPr>
          <a:ln w="9525">
            <a:noFill/>
          </a:ln>
        </c:spPr>
        <c:crossAx val="197127168"/>
        <c:crosses val="autoZero"/>
        <c:crossBetween val="between"/>
        <c:majorUnit val="10"/>
      </c:valAx>
      <c:spPr>
        <a:noFill/>
        <a:ln w="12700">
          <a:solidFill>
            <a:srgbClr val="A6A6A6"/>
          </a:solidFill>
        </a:ln>
      </c:spPr>
    </c:plotArea>
    <c:legend>
      <c:legendPos val="t"/>
      <c:layout>
        <c:manualLayout>
          <c:xMode val="edge"/>
          <c:yMode val="edge"/>
          <c:x val="9.2215935208854877E-2"/>
          <c:y val="0.16572450494404847"/>
          <c:w val="0.81823222801375195"/>
          <c:h val="8.3519496771764304E-2"/>
        </c:manualLayout>
      </c:layout>
      <c:overlay val="0"/>
      <c:spPr>
        <a:ln>
          <a:solidFill>
            <a:schemeClr val="bg1">
              <a:lumMod val="50000"/>
            </a:schemeClr>
          </a:solidFill>
        </a:ln>
      </c:spPr>
      <c:txPr>
        <a:bodyPr/>
        <a:lstStyle/>
        <a:p>
          <a:pPr>
            <a:defRPr sz="800">
              <a:latin typeface="Arial CE" pitchFamily="34" charset="0"/>
              <a:cs typeface="Arial CE" pitchFamily="34" charset="0"/>
            </a:defRPr>
          </a:pPr>
          <a:endParaRPr lang="cs-CZ"/>
        </a:p>
      </c:txPr>
    </c:legend>
    <c:plotVisOnly val="1"/>
    <c:dispBlanksAs val="gap"/>
    <c:showDLblsOverMax val="0"/>
  </c:chart>
  <c:spPr>
    <a:ln>
      <a:noFill/>
    </a:ln>
  </c:spPr>
  <c:txPr>
    <a:bodyPr/>
    <a:lstStyle/>
    <a:p>
      <a:pPr>
        <a:defRPr sz="550" baseline="0"/>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800" b="1"/>
              <a:t>201</a:t>
            </a:r>
            <a:r>
              <a:rPr lang="cs-CZ" sz="800" b="1"/>
              <a:t>7</a:t>
            </a:r>
            <a:endParaRPr lang="en-US" sz="800" b="1"/>
          </a:p>
        </c:rich>
      </c:tx>
      <c:layout>
        <c:manualLayout>
          <c:xMode val="edge"/>
          <c:yMode val="edge"/>
          <c:x val="0.11671847301809785"/>
          <c:y val="0.13513123359580048"/>
        </c:manualLayout>
      </c:layout>
      <c:overlay val="0"/>
    </c:title>
    <c:autoTitleDeleted val="0"/>
    <c:plotArea>
      <c:layout>
        <c:manualLayout>
          <c:layoutTarget val="inner"/>
          <c:xMode val="edge"/>
          <c:yMode val="edge"/>
          <c:x val="0.18372813345975733"/>
          <c:y val="9.514435695538058E-2"/>
          <c:w val="0.80253899095111803"/>
          <c:h val="0.85204577106039103"/>
        </c:manualLayout>
      </c:layout>
      <c:doughnutChart>
        <c:varyColors val="1"/>
        <c:ser>
          <c:idx val="0"/>
          <c:order val="0"/>
          <c:tx>
            <c:strRef>
              <c:f>E_EN!$L$87</c:f>
              <c:strCache>
                <c:ptCount val="1"/>
                <c:pt idx="0">
                  <c:v>2017</c:v>
                </c:pt>
              </c:strCache>
            </c:strRef>
          </c:tx>
          <c:spPr>
            <a:solidFill>
              <a:srgbClr val="000080"/>
            </a:solidFill>
            <a:ln w="12700">
              <a:noFill/>
              <a:prstDash val="solid"/>
            </a:ln>
          </c:spPr>
          <c:dPt>
            <c:idx val="0"/>
            <c:bubble3D val="0"/>
            <c:spPr>
              <a:solidFill>
                <a:srgbClr val="009BB4"/>
              </a:solidFill>
              <a:ln w="25400">
                <a:noFill/>
              </a:ln>
            </c:spPr>
            <c:extLst>
              <c:ext xmlns:c16="http://schemas.microsoft.com/office/drawing/2014/chart" uri="{C3380CC4-5D6E-409C-BE32-E72D297353CC}">
                <c16:uniqueId val="{00000001-E323-44E9-9468-04463AD60B7D}"/>
              </c:ext>
            </c:extLst>
          </c:dPt>
          <c:dPt>
            <c:idx val="1"/>
            <c:bubble3D val="0"/>
            <c:spPr>
              <a:solidFill>
                <a:srgbClr val="47E5FF"/>
              </a:solidFill>
              <a:ln w="25400">
                <a:noFill/>
              </a:ln>
            </c:spPr>
            <c:extLst>
              <c:ext xmlns:c16="http://schemas.microsoft.com/office/drawing/2014/chart" uri="{C3380CC4-5D6E-409C-BE32-E72D297353CC}">
                <c16:uniqueId val="{00000003-E323-44E9-9468-04463AD60B7D}"/>
              </c:ext>
            </c:extLst>
          </c:dPt>
          <c:dPt>
            <c:idx val="2"/>
            <c:bubble3D val="0"/>
            <c:spPr>
              <a:solidFill>
                <a:srgbClr val="ABF3FF"/>
              </a:solidFill>
              <a:ln w="25400">
                <a:noFill/>
              </a:ln>
            </c:spPr>
            <c:extLst>
              <c:ext xmlns:c16="http://schemas.microsoft.com/office/drawing/2014/chart" uri="{C3380CC4-5D6E-409C-BE32-E72D297353CC}">
                <c16:uniqueId val="{00000005-E323-44E9-9468-04463AD60B7D}"/>
              </c:ext>
            </c:extLst>
          </c:dPt>
          <c:dPt>
            <c:idx val="3"/>
            <c:bubble3D val="0"/>
            <c:spPr>
              <a:solidFill>
                <a:schemeClr val="tx1"/>
              </a:solidFill>
              <a:ln w="25400">
                <a:noFill/>
              </a:ln>
            </c:spPr>
            <c:extLst>
              <c:ext xmlns:c16="http://schemas.microsoft.com/office/drawing/2014/chart" uri="{C3380CC4-5D6E-409C-BE32-E72D297353CC}">
                <c16:uniqueId val="{00000007-E323-44E9-9468-04463AD60B7D}"/>
              </c:ext>
            </c:extLst>
          </c:dPt>
          <c:dPt>
            <c:idx val="4"/>
            <c:bubble3D val="0"/>
            <c:spPr>
              <a:solidFill>
                <a:srgbClr val="ABF3FF"/>
              </a:solidFill>
              <a:ln w="12700">
                <a:noFill/>
                <a:prstDash val="solid"/>
              </a:ln>
            </c:spPr>
            <c:extLst>
              <c:ext xmlns:c16="http://schemas.microsoft.com/office/drawing/2014/chart" uri="{C3380CC4-5D6E-409C-BE32-E72D297353CC}">
                <c16:uniqueId val="{00000009-E323-44E9-9468-04463AD60B7D}"/>
              </c:ext>
            </c:extLst>
          </c:dPt>
          <c:dLbls>
            <c:dLbl>
              <c:idx val="0"/>
              <c:layout/>
              <c:spPr/>
              <c:txPr>
                <a:bodyPr/>
                <a:lstStyle/>
                <a:p>
                  <a:pPr>
                    <a:defRPr sz="800" b="1">
                      <a:solidFill>
                        <a:schemeClr val="bg1"/>
                      </a:solidFill>
                    </a:defRPr>
                  </a:pPr>
                  <a:endParaRPr lang="cs-CZ"/>
                </a:p>
              </c:txP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323-44E9-9468-04463AD60B7D}"/>
                </c:ext>
              </c:extLst>
            </c:dLbl>
            <c:dLbl>
              <c:idx val="1"/>
              <c:layout/>
              <c:spPr/>
              <c:txPr>
                <a:bodyPr/>
                <a:lstStyle/>
                <a:p>
                  <a:pPr>
                    <a:defRPr sz="800" b="1">
                      <a:solidFill>
                        <a:schemeClr val="tx1"/>
                      </a:solidFill>
                    </a:defRPr>
                  </a:pPr>
                  <a:endParaRPr lang="cs-CZ"/>
                </a:p>
              </c:txP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323-44E9-9468-04463AD60B7D}"/>
                </c:ext>
              </c:extLst>
            </c:dLbl>
            <c:dLbl>
              <c:idx val="2"/>
              <c:layout>
                <c:manualLayout>
                  <c:x val="-1.06302214685274E-2"/>
                  <c:y val="-1.0789970255365501E-2"/>
                </c:manualLayout>
              </c:layout>
              <c:showLegendKey val="0"/>
              <c:showVal val="1"/>
              <c:showCatName val="0"/>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E323-44E9-9468-04463AD60B7D}"/>
                </c:ext>
              </c:extLst>
            </c:dLbl>
            <c:dLbl>
              <c:idx val="3"/>
              <c:delete val="1"/>
              <c:extLst>
                <c:ext xmlns:c15="http://schemas.microsoft.com/office/drawing/2012/chart" uri="{CE6537A1-D6FC-4f65-9D91-7224C49458BB}"/>
                <c:ext xmlns:c16="http://schemas.microsoft.com/office/drawing/2014/chart" uri="{C3380CC4-5D6E-409C-BE32-E72D297353CC}">
                  <c16:uniqueId val="{00000007-E323-44E9-9468-04463AD60B7D}"/>
                </c:ext>
              </c:extLst>
            </c:dLbl>
            <c:dLbl>
              <c:idx val="4"/>
              <c:tx>
                <c:rich>
                  <a:bodyPr/>
                  <a:lstStyle/>
                  <a:p>
                    <a:r>
                      <a:rPr lang="en-US" sz="800"/>
                      <a:t>1</a:t>
                    </a:r>
                    <a:r>
                      <a:rPr lang="en-US"/>
                      <a:t>068
35%</a:t>
                    </a:r>
                  </a:p>
                </c:rich>
              </c:tx>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E323-44E9-9468-04463AD60B7D}"/>
                </c:ext>
              </c:extLst>
            </c:dLbl>
            <c:spPr>
              <a:noFill/>
              <a:ln>
                <a:noFill/>
              </a:ln>
              <a:effectLst/>
            </c:spPr>
            <c:txPr>
              <a:bodyPr/>
              <a:lstStyle/>
              <a:p>
                <a:pPr>
                  <a:defRPr sz="800" b="1"/>
                </a:pPr>
                <a:endParaRPr lang="cs-CZ"/>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E_EN!$J$88:$J$91</c:f>
              <c:strCache>
                <c:ptCount val="4"/>
                <c:pt idx="0">
                  <c:v> Public authorities</c:v>
                </c:pt>
                <c:pt idx="1">
                  <c:v> Enterprises</c:v>
                </c:pt>
                <c:pt idx="2">
                  <c:v> Self-employed persons</c:v>
                </c:pt>
                <c:pt idx="3">
                  <c:v> Citizens</c:v>
                </c:pt>
              </c:strCache>
            </c:strRef>
          </c:cat>
          <c:val>
            <c:numRef>
              <c:f>E_EN!$L$88:$L$91</c:f>
              <c:numCache>
                <c:formatCode>#,##0.0</c:formatCode>
                <c:ptCount val="4"/>
                <c:pt idx="0">
                  <c:v>71.494517000000002</c:v>
                </c:pt>
                <c:pt idx="1">
                  <c:v>26.65436200000001</c:v>
                </c:pt>
                <c:pt idx="2">
                  <c:v>4.1513590000000002</c:v>
                </c:pt>
                <c:pt idx="3">
                  <c:v>0.53007800000000005</c:v>
                </c:pt>
              </c:numCache>
            </c:numRef>
          </c:val>
          <c:extLst>
            <c:ext xmlns:c16="http://schemas.microsoft.com/office/drawing/2014/chart" uri="{C3380CC4-5D6E-409C-BE32-E72D297353CC}">
              <c16:uniqueId val="{0000000A-E323-44E9-9468-04463AD60B7D}"/>
            </c:ext>
          </c:extLst>
        </c:ser>
        <c:dLbls>
          <c:showLegendKey val="0"/>
          <c:showVal val="1"/>
          <c:showCatName val="0"/>
          <c:showSerName val="0"/>
          <c:showPercent val="0"/>
          <c:showBubbleSize val="0"/>
          <c:showLeaderLines val="0"/>
        </c:dLbls>
        <c:firstSliceAng val="0"/>
        <c:holeSize val="50"/>
      </c:doughnutChart>
    </c:plotArea>
    <c:plotVisOnly val="1"/>
    <c:dispBlanksAs val="zero"/>
    <c:showDLblsOverMax val="0"/>
  </c:chart>
  <c:spPr>
    <a:noFill/>
    <a:ln w="9525">
      <a:noFill/>
    </a:ln>
  </c:spPr>
  <c:txPr>
    <a:bodyPr/>
    <a:lstStyle/>
    <a:p>
      <a:pPr>
        <a:defRPr sz="500" b="0" i="0" u="none" strike="noStrike" baseline="0">
          <a:solidFill>
            <a:srgbClr val="000000"/>
          </a:solidFill>
          <a:latin typeface="Arial CE"/>
          <a:ea typeface="Arial CE"/>
          <a:cs typeface="Arial CE"/>
        </a:defRPr>
      </a:pPr>
      <a:endParaRPr lang="cs-CZ"/>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800"/>
              <a:t>2012</a:t>
            </a:r>
          </a:p>
        </c:rich>
      </c:tx>
      <c:layout>
        <c:manualLayout>
          <c:xMode val="edge"/>
          <c:yMode val="edge"/>
          <c:x val="5.5840789787640184E-2"/>
          <c:y val="0.30600667444589358"/>
        </c:manualLayout>
      </c:layout>
      <c:overlay val="1"/>
    </c:title>
    <c:autoTitleDeleted val="0"/>
    <c:plotArea>
      <c:layout>
        <c:manualLayout>
          <c:layoutTarget val="inner"/>
          <c:xMode val="edge"/>
          <c:yMode val="edge"/>
          <c:x val="8.6500277777777801E-2"/>
          <c:y val="0.30555869049996098"/>
          <c:w val="0.43729867573371511"/>
          <c:h val="0.50913715719382924"/>
        </c:manualLayout>
      </c:layout>
      <c:doughnutChart>
        <c:varyColors val="1"/>
        <c:ser>
          <c:idx val="0"/>
          <c:order val="0"/>
          <c:tx>
            <c:strRef>
              <c:f>E_EN!$K$87</c:f>
              <c:strCache>
                <c:ptCount val="1"/>
                <c:pt idx="0">
                  <c:v>2012</c:v>
                </c:pt>
              </c:strCache>
            </c:strRef>
          </c:tx>
          <c:spPr>
            <a:solidFill>
              <a:srgbClr val="000080"/>
            </a:solidFill>
            <a:ln w="12700">
              <a:solidFill>
                <a:srgbClr val="000000"/>
              </a:solidFill>
              <a:prstDash val="solid"/>
            </a:ln>
          </c:spPr>
          <c:dPt>
            <c:idx val="0"/>
            <c:bubble3D val="0"/>
            <c:spPr>
              <a:solidFill>
                <a:srgbClr val="009BB4"/>
              </a:solidFill>
              <a:ln w="25400">
                <a:noFill/>
              </a:ln>
            </c:spPr>
            <c:extLst>
              <c:ext xmlns:c16="http://schemas.microsoft.com/office/drawing/2014/chart" uri="{C3380CC4-5D6E-409C-BE32-E72D297353CC}">
                <c16:uniqueId val="{00000001-8E0B-476B-8BAF-FFA1D38D2D57}"/>
              </c:ext>
            </c:extLst>
          </c:dPt>
          <c:dPt>
            <c:idx val="1"/>
            <c:bubble3D val="0"/>
            <c:spPr>
              <a:solidFill>
                <a:srgbClr val="47E5FF"/>
              </a:solidFill>
              <a:ln w="25400">
                <a:noFill/>
              </a:ln>
            </c:spPr>
            <c:extLst>
              <c:ext xmlns:c16="http://schemas.microsoft.com/office/drawing/2014/chart" uri="{C3380CC4-5D6E-409C-BE32-E72D297353CC}">
                <c16:uniqueId val="{00000003-8E0B-476B-8BAF-FFA1D38D2D57}"/>
              </c:ext>
            </c:extLst>
          </c:dPt>
          <c:dPt>
            <c:idx val="2"/>
            <c:bubble3D val="0"/>
            <c:spPr>
              <a:solidFill>
                <a:srgbClr val="ABF3FF"/>
              </a:solidFill>
              <a:ln w="25400">
                <a:noFill/>
              </a:ln>
            </c:spPr>
            <c:extLst>
              <c:ext xmlns:c16="http://schemas.microsoft.com/office/drawing/2014/chart" uri="{C3380CC4-5D6E-409C-BE32-E72D297353CC}">
                <c16:uniqueId val="{00000005-8E0B-476B-8BAF-FFA1D38D2D57}"/>
              </c:ext>
            </c:extLst>
          </c:dPt>
          <c:dPt>
            <c:idx val="3"/>
            <c:bubble3D val="0"/>
            <c:spPr>
              <a:solidFill>
                <a:schemeClr val="tx1"/>
              </a:solidFill>
              <a:ln w="25400">
                <a:noFill/>
              </a:ln>
            </c:spPr>
            <c:extLst>
              <c:ext xmlns:c16="http://schemas.microsoft.com/office/drawing/2014/chart" uri="{C3380CC4-5D6E-409C-BE32-E72D297353CC}">
                <c16:uniqueId val="{00000007-8E0B-476B-8BAF-FFA1D38D2D57}"/>
              </c:ext>
            </c:extLst>
          </c:dPt>
          <c:dPt>
            <c:idx val="4"/>
            <c:bubble3D val="0"/>
            <c:spPr>
              <a:solidFill>
                <a:srgbClr val="ABF3FF"/>
              </a:solidFill>
              <a:ln w="12700">
                <a:noFill/>
                <a:prstDash val="solid"/>
              </a:ln>
            </c:spPr>
            <c:extLst>
              <c:ext xmlns:c16="http://schemas.microsoft.com/office/drawing/2014/chart" uri="{C3380CC4-5D6E-409C-BE32-E72D297353CC}">
                <c16:uniqueId val="{00000009-8E0B-476B-8BAF-FFA1D38D2D57}"/>
              </c:ext>
            </c:extLst>
          </c:dPt>
          <c:dLbls>
            <c:dLbl>
              <c:idx val="0"/>
              <c:layout/>
              <c:spPr/>
              <c:txPr>
                <a:bodyPr/>
                <a:lstStyle/>
                <a:p>
                  <a:pPr>
                    <a:defRPr sz="800" b="1">
                      <a:solidFill>
                        <a:schemeClr val="bg1"/>
                      </a:solidFill>
                    </a:defRPr>
                  </a:pPr>
                  <a:endParaRPr lang="cs-CZ"/>
                </a:p>
              </c:txP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E0B-476B-8BAF-FFA1D38D2D57}"/>
                </c:ext>
              </c:extLst>
            </c:dLbl>
            <c:dLbl>
              <c:idx val="1"/>
              <c:layout/>
              <c:spPr/>
              <c:txPr>
                <a:bodyPr/>
                <a:lstStyle/>
                <a:p>
                  <a:pPr>
                    <a:defRPr sz="800" b="1">
                      <a:solidFill>
                        <a:schemeClr val="tx1"/>
                      </a:solidFill>
                    </a:defRPr>
                  </a:pPr>
                  <a:endParaRPr lang="cs-CZ"/>
                </a:p>
              </c:txP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8E0B-476B-8BAF-FFA1D38D2D57}"/>
                </c:ext>
              </c:extLst>
            </c:dLbl>
            <c:dLbl>
              <c:idx val="2"/>
              <c:delete val="1"/>
              <c:extLst>
                <c:ext xmlns:c15="http://schemas.microsoft.com/office/drawing/2012/chart" uri="{CE6537A1-D6FC-4f65-9D91-7224C49458BB}"/>
                <c:ext xmlns:c16="http://schemas.microsoft.com/office/drawing/2014/chart" uri="{C3380CC4-5D6E-409C-BE32-E72D297353CC}">
                  <c16:uniqueId val="{00000005-8E0B-476B-8BAF-FFA1D38D2D57}"/>
                </c:ext>
              </c:extLst>
            </c:dLbl>
            <c:dLbl>
              <c:idx val="3"/>
              <c:delete val="1"/>
              <c:extLst>
                <c:ext xmlns:c15="http://schemas.microsoft.com/office/drawing/2012/chart" uri="{CE6537A1-D6FC-4f65-9D91-7224C49458BB}"/>
                <c:ext xmlns:c16="http://schemas.microsoft.com/office/drawing/2014/chart" uri="{C3380CC4-5D6E-409C-BE32-E72D297353CC}">
                  <c16:uniqueId val="{00000007-8E0B-476B-8BAF-FFA1D38D2D57}"/>
                </c:ext>
              </c:extLst>
            </c:dLbl>
            <c:spPr>
              <a:noFill/>
              <a:ln>
                <a:noFill/>
              </a:ln>
              <a:effectLst/>
            </c:spPr>
            <c:txPr>
              <a:bodyPr/>
              <a:lstStyle/>
              <a:p>
                <a:pPr>
                  <a:defRPr sz="800" b="1"/>
                </a:pPr>
                <a:endParaRPr lang="cs-CZ"/>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E_EN!$J$88:$J$91</c:f>
              <c:strCache>
                <c:ptCount val="4"/>
                <c:pt idx="0">
                  <c:v> Public authorities</c:v>
                </c:pt>
                <c:pt idx="1">
                  <c:v> Enterprises</c:v>
                </c:pt>
                <c:pt idx="2">
                  <c:v> Self-employed persons</c:v>
                </c:pt>
                <c:pt idx="3">
                  <c:v> Citizens</c:v>
                </c:pt>
              </c:strCache>
            </c:strRef>
          </c:cat>
          <c:val>
            <c:numRef>
              <c:f>E_EN!$K$88:$K$91</c:f>
              <c:numCache>
                <c:formatCode>#,##0.0</c:formatCode>
                <c:ptCount val="4"/>
                <c:pt idx="0">
                  <c:v>40.091679000000013</c:v>
                </c:pt>
                <c:pt idx="1">
                  <c:v>4.6499489999999977</c:v>
                </c:pt>
                <c:pt idx="2">
                  <c:v>0.62139800000000001</c:v>
                </c:pt>
                <c:pt idx="3">
                  <c:v>6.2015000000000001E-2</c:v>
                </c:pt>
              </c:numCache>
            </c:numRef>
          </c:val>
          <c:extLst>
            <c:ext xmlns:c16="http://schemas.microsoft.com/office/drawing/2014/chart" uri="{C3380CC4-5D6E-409C-BE32-E72D297353CC}">
              <c16:uniqueId val="{0000000A-8E0B-476B-8BAF-FFA1D38D2D57}"/>
            </c:ext>
          </c:extLst>
        </c:ser>
        <c:dLbls>
          <c:showLegendKey val="0"/>
          <c:showVal val="1"/>
          <c:showCatName val="0"/>
          <c:showSerName val="0"/>
          <c:showPercent val="0"/>
          <c:showBubbleSize val="0"/>
          <c:showLeaderLines val="0"/>
        </c:dLbls>
        <c:firstSliceAng val="0"/>
        <c:holeSize val="50"/>
      </c:doughnutChart>
    </c:plotArea>
    <c:legend>
      <c:legendPos val="t"/>
      <c:layout>
        <c:manualLayout>
          <c:xMode val="edge"/>
          <c:yMode val="edge"/>
          <c:x val="6.0606060606060608E-2"/>
          <c:y val="0.17783192195315212"/>
          <c:w val="0.914111975198725"/>
          <c:h val="0.10505897574295101"/>
        </c:manualLayout>
      </c:layout>
      <c:overlay val="0"/>
      <c:spPr>
        <a:ln>
          <a:solidFill>
            <a:schemeClr val="bg1">
              <a:lumMod val="50000"/>
            </a:schemeClr>
          </a:solidFill>
        </a:ln>
      </c:spPr>
      <c:txPr>
        <a:bodyPr/>
        <a:lstStyle/>
        <a:p>
          <a:pPr rtl="0">
            <a:defRPr sz="800"/>
          </a:pPr>
          <a:endParaRPr lang="cs-CZ"/>
        </a:p>
      </c:txPr>
    </c:legend>
    <c:plotVisOnly val="1"/>
    <c:dispBlanksAs val="zero"/>
    <c:showDLblsOverMax val="0"/>
  </c:chart>
  <c:spPr>
    <a:solidFill>
      <a:srgbClr val="FFFFFF"/>
    </a:solidFill>
    <a:ln w="9525">
      <a:noFill/>
    </a:ln>
  </c:spPr>
  <c:txPr>
    <a:bodyPr/>
    <a:lstStyle/>
    <a:p>
      <a:pPr>
        <a:defRPr sz="5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a:t> Figure E</a:t>
            </a:r>
            <a:r>
              <a:rPr lang="cs-CZ" sz="800" b="1"/>
              <a:t>8</a:t>
            </a:r>
            <a:r>
              <a:rPr lang="en-US" sz="800" b="1"/>
              <a:t> Number of e-transactions made via Data Boxes </a:t>
            </a:r>
            <a:r>
              <a:rPr lang="cs-CZ" sz="800" b="1"/>
              <a:t>in the Czech Republic </a:t>
            </a:r>
            <a:r>
              <a:rPr lang="en-US" sz="800" b="1"/>
              <a:t>by citizens (thous.)</a:t>
            </a:r>
          </a:p>
        </c:rich>
      </c:tx>
      <c:layout>
        <c:manualLayout>
          <c:xMode val="edge"/>
          <c:yMode val="edge"/>
          <c:x val="0.120387509700822"/>
          <c:y val="1.6666666666666701E-2"/>
        </c:manualLayout>
      </c:layout>
      <c:overlay val="0"/>
    </c:title>
    <c:autoTitleDeleted val="0"/>
    <c:plotArea>
      <c:layout>
        <c:manualLayout>
          <c:layoutTarget val="inner"/>
          <c:xMode val="edge"/>
          <c:yMode val="edge"/>
          <c:x val="0.16901651405993182"/>
          <c:y val="0.18382658730158699"/>
          <c:w val="0.77418465257300428"/>
          <c:h val="0.68369007936507997"/>
        </c:manualLayout>
      </c:layout>
      <c:barChart>
        <c:barDir val="bar"/>
        <c:grouping val="clustered"/>
        <c:varyColors val="0"/>
        <c:ser>
          <c:idx val="0"/>
          <c:order val="0"/>
          <c:tx>
            <c:strRef>
              <c:f>E_EN!$A$106</c:f>
              <c:strCache>
                <c:ptCount val="1"/>
                <c:pt idx="0">
                  <c:v> Total</c:v>
                </c:pt>
              </c:strCache>
            </c:strRef>
          </c:tx>
          <c:spPr>
            <a:solidFill>
              <a:srgbClr val="009BB4"/>
            </a:solidFill>
            <a:ln w="25400">
              <a:noFill/>
            </a:ln>
          </c:spPr>
          <c:invertIfNegative val="0"/>
          <c:dLbls>
            <c:dLbl>
              <c:idx val="0"/>
              <c:layout>
                <c:manualLayout>
                  <c:x val="4.6902276750289702E-3"/>
                  <c:y val="-8.5476815398075198E-4"/>
                </c:manualLayout>
              </c:layout>
              <c:numFmt formatCode="#,##0.0" sourceLinked="0"/>
              <c:spPr>
                <a:noFill/>
                <a:ln>
                  <a:noFill/>
                </a:ln>
                <a:effectLst/>
              </c:spPr>
              <c:txPr>
                <a:bodyPr rot="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36C-4A1C-8E28-D0E9828FFA34}"/>
                </c:ext>
              </c:extLst>
            </c:dLbl>
            <c:dLbl>
              <c:idx val="1"/>
              <c:layout>
                <c:manualLayout>
                  <c:x val="-3.0854282749540199E-3"/>
                  <c:y val="-1.0185067526416E-16"/>
                </c:manualLayout>
              </c:layout>
              <c:numFmt formatCode="#,##0.0" sourceLinked="0"/>
              <c:spPr>
                <a:noFill/>
                <a:ln>
                  <a:noFill/>
                </a:ln>
                <a:effectLst/>
              </c:spPr>
              <c:txPr>
                <a:bodyPr rot="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36C-4A1C-8E28-D0E9828FFA34}"/>
                </c:ext>
              </c:extLst>
            </c:dLbl>
            <c:dLbl>
              <c:idx val="2"/>
              <c:layout>
                <c:manualLayout>
                  <c:x val="-1.4396107463311301E-2"/>
                  <c:y val="-1.0185067526416E-16"/>
                </c:manualLayout>
              </c:layout>
              <c:numFmt formatCode="#,##0.0" sourceLinked="0"/>
              <c:spPr>
                <a:noFill/>
                <a:ln>
                  <a:noFill/>
                </a:ln>
                <a:effectLst/>
              </c:spPr>
              <c:txPr>
                <a:bodyPr rot="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36C-4A1C-8E28-D0E9828FFA34}"/>
                </c:ext>
              </c:extLst>
            </c:dLbl>
            <c:dLbl>
              <c:idx val="3"/>
              <c:layout>
                <c:manualLayout>
                  <c:x val="-2.5468909409579999E-3"/>
                  <c:y val="-5.5555555555555497E-3"/>
                </c:manualLayout>
              </c:layout>
              <c:numFmt formatCode="#,##0.0" sourceLinked="0"/>
              <c:spPr>
                <a:noFill/>
                <a:ln>
                  <a:noFill/>
                </a:ln>
                <a:effectLst/>
              </c:spPr>
              <c:txPr>
                <a:bodyPr rot="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36C-4A1C-8E28-D0E9828FFA34}"/>
                </c:ext>
              </c:extLst>
            </c:dLbl>
            <c:numFmt formatCode="#,##0.0" sourceLinked="0"/>
            <c:spPr>
              <a:noFill/>
              <a:ln>
                <a:noFill/>
              </a:ln>
              <a:effectLst/>
            </c:spPr>
            <c:txPr>
              <a:bodyPr rot="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E_EN!$B$105:$I$105</c:f>
              <c:numCache>
                <c:formatCode>General</c:formatCode>
                <c:ptCount val="8"/>
                <c:pt idx="0" formatCode="@">
                  <c:v>2010</c:v>
                </c:pt>
                <c:pt idx="1">
                  <c:v>2011</c:v>
                </c:pt>
                <c:pt idx="2" formatCode="@">
                  <c:v>2012</c:v>
                </c:pt>
                <c:pt idx="3">
                  <c:v>2013</c:v>
                </c:pt>
                <c:pt idx="4" formatCode="@">
                  <c:v>2014</c:v>
                </c:pt>
                <c:pt idx="5">
                  <c:v>2015</c:v>
                </c:pt>
                <c:pt idx="6">
                  <c:v>2016</c:v>
                </c:pt>
                <c:pt idx="7">
                  <c:v>2017</c:v>
                </c:pt>
              </c:numCache>
            </c:numRef>
          </c:cat>
          <c:val>
            <c:numRef>
              <c:f>E_EN!$B$106:$I$106</c:f>
              <c:numCache>
                <c:formatCode>#,##0.0</c:formatCode>
                <c:ptCount val="8"/>
                <c:pt idx="0">
                  <c:v>29.756</c:v>
                </c:pt>
                <c:pt idx="1">
                  <c:v>43.144000000000013</c:v>
                </c:pt>
                <c:pt idx="2">
                  <c:v>62.015000000000001</c:v>
                </c:pt>
                <c:pt idx="3">
                  <c:v>94.242999999999995</c:v>
                </c:pt>
                <c:pt idx="4">
                  <c:v>221.369</c:v>
                </c:pt>
                <c:pt idx="5">
                  <c:v>310.90199999999902</c:v>
                </c:pt>
                <c:pt idx="6">
                  <c:v>429.16399999999999</c:v>
                </c:pt>
                <c:pt idx="7">
                  <c:v>530.07799999999997</c:v>
                </c:pt>
              </c:numCache>
            </c:numRef>
          </c:val>
          <c:extLst>
            <c:ext xmlns:c16="http://schemas.microsoft.com/office/drawing/2014/chart" uri="{C3380CC4-5D6E-409C-BE32-E72D297353CC}">
              <c16:uniqueId val="{00000004-036C-4A1C-8E28-D0E9828FFA34}"/>
            </c:ext>
          </c:extLst>
        </c:ser>
        <c:dLbls>
          <c:showLegendKey val="0"/>
          <c:showVal val="0"/>
          <c:showCatName val="0"/>
          <c:showSerName val="0"/>
          <c:showPercent val="0"/>
          <c:showBubbleSize val="0"/>
        </c:dLbls>
        <c:gapWidth val="40"/>
        <c:axId val="197548544"/>
        <c:axId val="197313088"/>
      </c:barChart>
      <c:catAx>
        <c:axId val="197548544"/>
        <c:scaling>
          <c:orientation val="minMax"/>
        </c:scaling>
        <c:delete val="0"/>
        <c:axPos val="l"/>
        <c:numFmt formatCode="@" sourceLinked="1"/>
        <c:majorTickMark val="out"/>
        <c:minorTickMark val="none"/>
        <c:tickLblPos val="nextTo"/>
        <c:spPr>
          <a:ln w="3175">
            <a:solidFill>
              <a:schemeClr val="tx1"/>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97313088"/>
        <c:crosses val="autoZero"/>
        <c:auto val="1"/>
        <c:lblAlgn val="ctr"/>
        <c:lblOffset val="100"/>
        <c:noMultiLvlLbl val="0"/>
      </c:catAx>
      <c:valAx>
        <c:axId val="197313088"/>
        <c:scaling>
          <c:orientation val="minMax"/>
          <c:max val="600"/>
          <c:min val="0"/>
        </c:scaling>
        <c:delete val="0"/>
        <c:axPos val="b"/>
        <c:numFmt formatCode="#,##0" sourceLinked="0"/>
        <c:majorTickMark val="none"/>
        <c:minorTickMark val="none"/>
        <c:tickLblPos val="none"/>
        <c:crossAx val="197548544"/>
        <c:crosses val="autoZero"/>
        <c:crossBetween val="between"/>
        <c:majorUnit val="50"/>
        <c:minorUnit val="10"/>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0.04671</cdr:x>
      <cdr:y>0.08247</cdr:y>
    </cdr:from>
    <cdr:to>
      <cdr:x>0.99151</cdr:x>
      <cdr:y>0.12367</cdr:y>
    </cdr:to>
    <cdr:sp macro="" textlink="">
      <cdr:nvSpPr>
        <cdr:cNvPr id="2" name="TextovéPole 1"/>
        <cdr:cNvSpPr txBox="1"/>
      </cdr:nvSpPr>
      <cdr:spPr>
        <a:xfrm xmlns:a="http://schemas.openxmlformats.org/drawingml/2006/main">
          <a:off x="209551" y="222316"/>
          <a:ext cx="4238625" cy="111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0.04246</cdr:x>
      <cdr:y>0</cdr:y>
    </cdr:from>
    <cdr:to>
      <cdr:x>0.98089</cdr:x>
      <cdr:y>0.20512</cdr:y>
    </cdr:to>
    <cdr:sp macro="" textlink="">
      <cdr:nvSpPr>
        <cdr:cNvPr id="3" name="TextovéPole 2"/>
        <cdr:cNvSpPr txBox="1"/>
      </cdr:nvSpPr>
      <cdr:spPr>
        <a:xfrm xmlns:a="http://schemas.openxmlformats.org/drawingml/2006/main">
          <a:off x="129928" y="0"/>
          <a:ext cx="2871595" cy="516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800" b="1">
              <a:latin typeface="Arial" pitchFamily="34" charset="0"/>
              <a:cs typeface="Arial" pitchFamily="34" charset="0"/>
            </a:rPr>
            <a:t>Figure E1 Number of verified copies issued </a:t>
          </a:r>
        </a:p>
        <a:p xmlns:a="http://schemas.openxmlformats.org/drawingml/2006/main">
          <a:pPr algn="ctr"/>
          <a:r>
            <a:rPr lang="cs-CZ" sz="800" b="1">
              <a:latin typeface="Arial" pitchFamily="34" charset="0"/>
              <a:cs typeface="Arial" pitchFamily="34" charset="0"/>
            </a:rPr>
            <a:t>'at</a:t>
          </a:r>
          <a:r>
            <a:rPr lang="cs-CZ" sz="800" b="1" baseline="0">
              <a:latin typeface="Arial" pitchFamily="34" charset="0"/>
              <a:cs typeface="Arial" pitchFamily="34" charset="0"/>
            </a:rPr>
            <a:t> the desk' of the Czech POINT public contact points for selected services (thous.)</a:t>
          </a:r>
          <a:endParaRPr lang="cs-CZ" sz="800" b="1">
            <a:latin typeface="Arial" pitchFamily="34" charset="0"/>
            <a:cs typeface="Arial" pitchFamily="34" charset="0"/>
          </a:endParaRPr>
        </a:p>
      </cdr:txBody>
    </cdr:sp>
  </cdr:relSizeAnchor>
  <cdr:relSizeAnchor xmlns:cdr="http://schemas.openxmlformats.org/drawingml/2006/chartDrawing">
    <cdr:from>
      <cdr:x>0.28948</cdr:x>
      <cdr:y>0.92414</cdr:y>
    </cdr:from>
    <cdr:to>
      <cdr:x>0.98177</cdr:x>
      <cdr:y>1</cdr:y>
    </cdr:to>
    <cdr:sp macro="" textlink="">
      <cdr:nvSpPr>
        <cdr:cNvPr id="5" name="TextovéPole 1"/>
        <cdr:cNvSpPr txBox="1"/>
      </cdr:nvSpPr>
      <cdr:spPr>
        <a:xfrm xmlns:a="http://schemas.openxmlformats.org/drawingml/2006/main">
          <a:off x="885824" y="2328828"/>
          <a:ext cx="2118393" cy="1911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Ministry of</a:t>
          </a:r>
          <a:r>
            <a:rPr lang="cs-CZ" sz="800" i="1" baseline="0">
              <a:latin typeface="Arial" pitchFamily="34" charset="0"/>
              <a:cs typeface="Arial" pitchFamily="34" charset="0"/>
            </a:rPr>
            <a:t> </a:t>
          </a:r>
          <a:r>
            <a:rPr lang="cs-CZ" sz="800" i="1">
              <a:latin typeface="Arial" pitchFamily="34" charset="0"/>
              <a:cs typeface="Arial" pitchFamily="34" charset="0"/>
            </a:rPr>
            <a:t>the Interior, 2018</a:t>
          </a:r>
        </a:p>
      </cdr:txBody>
    </cdr:sp>
  </cdr:relSizeAnchor>
</c:userShapes>
</file>

<file path=word/drawings/drawing10.xml><?xml version="1.0" encoding="utf-8"?>
<c:userShapes xmlns:c="http://schemas.openxmlformats.org/drawingml/2006/chart">
  <cdr:relSizeAnchor xmlns:cdr="http://schemas.openxmlformats.org/drawingml/2006/chartDrawing">
    <cdr:from>
      <cdr:x>0.17955</cdr:x>
      <cdr:y>0.92641</cdr:y>
    </cdr:from>
    <cdr:to>
      <cdr:x>0.97574</cdr:x>
      <cdr:y>0.97627</cdr:y>
    </cdr:to>
    <cdr:sp macro="" textlink="">
      <cdr:nvSpPr>
        <cdr:cNvPr id="2" name="TextovéPole 1"/>
        <cdr:cNvSpPr txBox="1"/>
      </cdr:nvSpPr>
      <cdr:spPr>
        <a:xfrm xmlns:a="http://schemas.openxmlformats.org/drawingml/2006/main">
          <a:off x="542925" y="2667798"/>
          <a:ext cx="2407575" cy="143583"/>
        </a:xfrm>
        <a:prstGeom xmlns:a="http://schemas.openxmlformats.org/drawingml/2006/main" prst="rect">
          <a:avLst/>
        </a:prstGeom>
      </cdr:spPr>
      <cdr:txBody>
        <a:bodyPr xmlns:a="http://schemas.openxmlformats.org/drawingml/2006/main" wrap="square" lIns="36000" tIns="18000" rIns="36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effectLst/>
              <a:latin typeface="Arial" panose="020B0604020202020204" pitchFamily="34" charset="0"/>
              <a:ea typeface="+mn-ea"/>
              <a:cs typeface="Arial" panose="020B0604020202020204" pitchFamily="34" charset="0"/>
            </a:rPr>
            <a:t>Source:</a:t>
          </a:r>
          <a:r>
            <a:rPr lang="cs-CZ" sz="800" i="1" baseline="0">
              <a:effectLst/>
              <a:latin typeface="Arial" panose="020B0604020202020204" pitchFamily="34" charset="0"/>
              <a:ea typeface="+mn-ea"/>
              <a:cs typeface="Arial" panose="020B0604020202020204" pitchFamily="34" charset="0"/>
            </a:rPr>
            <a:t> Czech Financial Administration,</a:t>
          </a:r>
          <a:r>
            <a:rPr lang="cs-CZ" sz="800" i="1">
              <a:effectLst/>
              <a:latin typeface="Arial" panose="020B0604020202020204" pitchFamily="34" charset="0"/>
              <a:ea typeface="+mn-ea"/>
              <a:cs typeface="Arial" panose="020B0604020202020204" pitchFamily="34" charset="0"/>
            </a:rPr>
            <a:t> 2018</a:t>
          </a:r>
          <a:endParaRPr lang="cs-CZ" sz="400">
            <a:effectLst/>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0.21735</cdr:x>
      <cdr:y>0.93275</cdr:y>
    </cdr:from>
    <cdr:to>
      <cdr:x>0.97541</cdr:x>
      <cdr:y>0.97957</cdr:y>
    </cdr:to>
    <cdr:sp macro="" textlink="">
      <cdr:nvSpPr>
        <cdr:cNvPr id="2" name="TextovéPole 1"/>
        <cdr:cNvSpPr txBox="1"/>
      </cdr:nvSpPr>
      <cdr:spPr>
        <a:xfrm xmlns:a="http://schemas.openxmlformats.org/drawingml/2006/main">
          <a:off x="657225" y="2686050"/>
          <a:ext cx="2292286" cy="134856"/>
        </a:xfrm>
        <a:prstGeom xmlns:a="http://schemas.openxmlformats.org/drawingml/2006/main" prst="rect">
          <a:avLst/>
        </a:prstGeom>
      </cdr:spPr>
      <cdr:txBody>
        <a:bodyPr xmlns:a="http://schemas.openxmlformats.org/drawingml/2006/main" wrap="square" lIns="36000" tIns="18000" rIns="36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effectLst/>
              <a:latin typeface="Arial" panose="020B0604020202020204" pitchFamily="34" charset="0"/>
              <a:ea typeface="+mn-ea"/>
              <a:cs typeface="Arial" panose="020B0604020202020204" pitchFamily="34" charset="0"/>
            </a:rPr>
            <a:t>Source:</a:t>
          </a:r>
          <a:r>
            <a:rPr lang="cs-CZ" sz="800" i="1" baseline="0">
              <a:effectLst/>
              <a:latin typeface="Arial" panose="020B0604020202020204" pitchFamily="34" charset="0"/>
              <a:ea typeface="+mn-ea"/>
              <a:cs typeface="Arial" panose="020B0604020202020204" pitchFamily="34" charset="0"/>
            </a:rPr>
            <a:t> Czech Financial Administration,</a:t>
          </a:r>
          <a:r>
            <a:rPr lang="cs-CZ" sz="800" i="1">
              <a:effectLst/>
              <a:latin typeface="Arial" panose="020B0604020202020204" pitchFamily="34" charset="0"/>
              <a:ea typeface="+mn-ea"/>
              <a:cs typeface="Arial" panose="020B0604020202020204" pitchFamily="34" charset="0"/>
            </a:rPr>
            <a:t> 2018</a:t>
          </a:r>
          <a:endParaRPr lang="cs-CZ" sz="800">
            <a:effectLst/>
            <a:latin typeface="Arial" panose="020B0604020202020204" pitchFamily="34" charset="0"/>
            <a:cs typeface="Arial" panose="020B0604020202020204" pitchFamily="34"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0.86019</cdr:y>
    </cdr:from>
    <cdr:to>
      <cdr:x>0.98534</cdr:x>
      <cdr:y>0.9181</cdr:y>
    </cdr:to>
    <cdr:sp macro="" textlink="">
      <cdr:nvSpPr>
        <cdr:cNvPr id="2" name="TextovéPole 1"/>
        <cdr:cNvSpPr txBox="1"/>
      </cdr:nvSpPr>
      <cdr:spPr>
        <a:xfrm xmlns:a="http://schemas.openxmlformats.org/drawingml/2006/main">
          <a:off x="0" y="3096666"/>
          <a:ext cx="2979668" cy="208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individuals aged 16+</a:t>
          </a:r>
        </a:p>
      </cdr:txBody>
    </cdr:sp>
  </cdr:relSizeAnchor>
  <cdr:relSizeAnchor xmlns:cdr="http://schemas.openxmlformats.org/drawingml/2006/chartDrawing">
    <cdr:from>
      <cdr:x>0</cdr:x>
      <cdr:y>0.91365</cdr:y>
    </cdr:from>
    <cdr:to>
      <cdr:x>0.9917</cdr:x>
      <cdr:y>1</cdr:y>
    </cdr:to>
    <cdr:sp macro="" textlink="">
      <cdr:nvSpPr>
        <cdr:cNvPr id="3" name="TextovéPole 1"/>
        <cdr:cNvSpPr txBox="1"/>
      </cdr:nvSpPr>
      <cdr:spPr>
        <a:xfrm xmlns:a="http://schemas.openxmlformats.org/drawingml/2006/main">
          <a:off x="0" y="3124200"/>
          <a:ext cx="2998772" cy="295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Czech Statistical Office, </a:t>
          </a:r>
        </a:p>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ICT use survey in households, 2018</a:t>
          </a:r>
          <a:endParaRPr lang="cs-CZ" sz="800">
            <a:latin typeface="Arial" panose="020B0604020202020204" pitchFamily="34" charset="0"/>
            <a:cs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0.86019</cdr:y>
    </cdr:from>
    <cdr:to>
      <cdr:x>0.98534</cdr:x>
      <cdr:y>0.9181</cdr:y>
    </cdr:to>
    <cdr:sp macro="" textlink="">
      <cdr:nvSpPr>
        <cdr:cNvPr id="2" name="TextovéPole 1"/>
        <cdr:cNvSpPr txBox="1"/>
      </cdr:nvSpPr>
      <cdr:spPr>
        <a:xfrm xmlns:a="http://schemas.openxmlformats.org/drawingml/2006/main">
          <a:off x="0" y="3096666"/>
          <a:ext cx="2979668" cy="2085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baseline="0">
              <a:latin typeface="Arial" panose="020B0604020202020204" pitchFamily="34" charset="0"/>
              <a:cs typeface="Arial" panose="020B0604020202020204" pitchFamily="34" charset="0"/>
            </a:rPr>
            <a:t>* </a:t>
          </a:r>
          <a:r>
            <a:rPr lang="cs-CZ" sz="800" baseline="0">
              <a:effectLst/>
              <a:latin typeface="Arial" panose="020B0604020202020204" pitchFamily="34" charset="0"/>
              <a:ea typeface="+mn-ea"/>
              <a:cs typeface="+mn-cs"/>
            </a:rPr>
            <a:t>as a percentage of all individuals aged 16+</a:t>
          </a:r>
          <a:endParaRPr lang="cs-CZ" sz="800" baseline="0">
            <a:effectLst/>
            <a:latin typeface="Arial" panose="020B0604020202020204" pitchFamily="34" charset="0"/>
          </a:endParaRPr>
        </a:p>
      </cdr:txBody>
    </cdr:sp>
  </cdr:relSizeAnchor>
  <cdr:relSizeAnchor xmlns:cdr="http://schemas.openxmlformats.org/drawingml/2006/chartDrawing">
    <cdr:from>
      <cdr:x>0.04359</cdr:x>
      <cdr:y>0.91487</cdr:y>
    </cdr:from>
    <cdr:to>
      <cdr:x>0.9917</cdr:x>
      <cdr:y>0.9913</cdr:y>
    </cdr:to>
    <cdr:sp macro="" textlink="">
      <cdr:nvSpPr>
        <cdr:cNvPr id="3" name="TextovéPole 1"/>
        <cdr:cNvSpPr txBox="1"/>
      </cdr:nvSpPr>
      <cdr:spPr>
        <a:xfrm xmlns:a="http://schemas.openxmlformats.org/drawingml/2006/main">
          <a:off x="136525" y="2470150"/>
          <a:ext cx="2969467" cy="206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households, 2018</a:t>
          </a:r>
          <a:endParaRPr lang="cs-CZ" sz="80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0.0189</cdr:x>
      <cdr:y>0.00836</cdr:y>
    </cdr:from>
    <cdr:to>
      <cdr:x>0.96384</cdr:x>
      <cdr:y>0.14204</cdr:y>
    </cdr:to>
    <cdr:sp macro="" textlink="">
      <cdr:nvSpPr>
        <cdr:cNvPr id="4" name="TextovéPole 3"/>
        <cdr:cNvSpPr txBox="1"/>
      </cdr:nvSpPr>
      <cdr:spPr>
        <a:xfrm xmlns:a="http://schemas.openxmlformats.org/drawingml/2006/main">
          <a:off x="57150" y="28575"/>
          <a:ext cx="28575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cs-CZ" sz="800" b="1" i="0" baseline="0">
              <a:effectLst/>
              <a:latin typeface="Arial" panose="020B0604020202020204" pitchFamily="34" charset="0"/>
              <a:ea typeface="+mn-ea"/>
              <a:cs typeface="Arial" panose="020B0604020202020204" pitchFamily="34" charset="0"/>
            </a:rPr>
            <a:t>Figure E12 Individuals in the Czech Republic aged 16+ using the internet for interaction with public authorities for selected activities (%)*</a:t>
          </a:r>
          <a:endParaRPr lang="cs-CZ" sz="800">
            <a:effectLst/>
            <a:latin typeface="Arial" panose="020B0604020202020204" pitchFamily="34" charset="0"/>
            <a:cs typeface="Arial" panose="020B0604020202020204" pitchFamily="34" charset="0"/>
          </a:endParaRPr>
        </a:p>
        <a:p xmlns:a="http://schemas.openxmlformats.org/drawingml/2006/main">
          <a:endParaRPr lang="cs-CZ" sz="1100"/>
        </a:p>
      </cdr:txBody>
    </cdr:sp>
  </cdr:relSizeAnchor>
</c:userShapes>
</file>

<file path=word/drawings/drawing14.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0.0189</cdr:x>
      <cdr:y>0.82118</cdr:y>
    </cdr:from>
    <cdr:to>
      <cdr:x>0.76907</cdr:x>
      <cdr:y>0.89656</cdr:y>
    </cdr:to>
    <cdr:sp macro="" textlink="">
      <cdr:nvSpPr>
        <cdr:cNvPr id="4" name="TextovéPole 1"/>
        <cdr:cNvSpPr txBox="1"/>
      </cdr:nvSpPr>
      <cdr:spPr>
        <a:xfrm xmlns:a="http://schemas.openxmlformats.org/drawingml/2006/main">
          <a:off x="117494" y="2660639"/>
          <a:ext cx="4664055"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a:latin typeface="Arial" pitchFamily="34" charset="0"/>
              <a:ea typeface="+mn-ea"/>
              <a:cs typeface="Arial" pitchFamily="34" charset="0"/>
            </a:rPr>
            <a:t>* as a percentage of</a:t>
          </a:r>
          <a:r>
            <a:rPr lang="cs-CZ" sz="800" baseline="0">
              <a:latin typeface="Arial" pitchFamily="34" charset="0"/>
              <a:ea typeface="+mn-ea"/>
              <a:cs typeface="Arial" pitchFamily="34" charset="0"/>
            </a:rPr>
            <a:t> on individuals aged 16 to 74 in a given country</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0.00787</cdr:x>
      <cdr:y>0.03234</cdr:y>
    </cdr:from>
    <cdr:to>
      <cdr:x>0.99223</cdr:x>
      <cdr:y>0.13475</cdr:y>
    </cdr:to>
    <cdr:sp macro="" textlink="">
      <cdr:nvSpPr>
        <cdr:cNvPr id="5" name="TextovéPole 4"/>
        <cdr:cNvSpPr txBox="1"/>
      </cdr:nvSpPr>
      <cdr:spPr>
        <a:xfrm xmlns:a="http://schemas.openxmlformats.org/drawingml/2006/main">
          <a:off x="47625" y="100585"/>
          <a:ext cx="5953125" cy="3185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800" b="1">
              <a:latin typeface="Arial" pitchFamily="34" charset="0"/>
              <a:ea typeface="+mn-ea"/>
              <a:cs typeface="Arial" pitchFamily="34" charset="0"/>
            </a:rPr>
            <a:t>Figure E13 Individuals</a:t>
          </a:r>
          <a:r>
            <a:rPr lang="cs-CZ" sz="800" b="1" baseline="0">
              <a:latin typeface="Arial" pitchFamily="34" charset="0"/>
              <a:ea typeface="+mn-ea"/>
              <a:cs typeface="Arial" pitchFamily="34" charset="0"/>
            </a:rPr>
            <a:t> </a:t>
          </a:r>
          <a:r>
            <a:rPr lang="cs-CZ" sz="800" b="1">
              <a:latin typeface="Arial" pitchFamily="34" charset="0"/>
              <a:ea typeface="+mn-ea"/>
              <a:cs typeface="Arial" pitchFamily="34" charset="0"/>
            </a:rPr>
            <a:t>in EU countries aged 16–74 using the internet for interaction with public authorities; 2017* </a:t>
          </a:r>
        </a:p>
      </cdr:txBody>
    </cdr:sp>
  </cdr:relSizeAnchor>
</c:userShapes>
</file>

<file path=word/drawings/drawing2.xml><?xml version="1.0" encoding="utf-8"?>
<c:userShapes xmlns:c="http://schemas.openxmlformats.org/drawingml/2006/chart">
  <cdr:relSizeAnchor xmlns:cdr="http://schemas.openxmlformats.org/drawingml/2006/chartDrawing">
    <cdr:from>
      <cdr:x>0.24307</cdr:x>
      <cdr:y>0.91482</cdr:y>
    </cdr:from>
    <cdr:to>
      <cdr:x>0.99853</cdr:x>
      <cdr:y>1</cdr:y>
    </cdr:to>
    <cdr:sp macro="" textlink="">
      <cdr:nvSpPr>
        <cdr:cNvPr id="2" name="TextovéPole 1"/>
        <cdr:cNvSpPr txBox="1"/>
      </cdr:nvSpPr>
      <cdr:spPr>
        <a:xfrm xmlns:a="http://schemas.openxmlformats.org/drawingml/2006/main">
          <a:off x="734999" y="2309495"/>
          <a:ext cx="2284426" cy="2146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Ministry of the Interior, 2018</a:t>
          </a:r>
        </a:p>
      </cdr:txBody>
    </cdr:sp>
  </cdr:relSizeAnchor>
  <cdr:relSizeAnchor xmlns:cdr="http://schemas.openxmlformats.org/drawingml/2006/chartDrawing">
    <cdr:from>
      <cdr:x>0</cdr:x>
      <cdr:y>3.96876E-7</cdr:y>
    </cdr:from>
    <cdr:to>
      <cdr:x>0.99853</cdr:x>
      <cdr:y>0.16633</cdr:y>
    </cdr:to>
    <cdr:sp macro="" textlink="">
      <cdr:nvSpPr>
        <cdr:cNvPr id="3" name="TextovéPole 1"/>
        <cdr:cNvSpPr txBox="1"/>
      </cdr:nvSpPr>
      <cdr:spPr>
        <a:xfrm xmlns:a="http://schemas.openxmlformats.org/drawingml/2006/main">
          <a:off x="0" y="1"/>
          <a:ext cx="3019425" cy="4191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E2 Number of authorized conversions of documents issued at Czech</a:t>
          </a:r>
          <a:r>
            <a:rPr lang="cs-CZ" sz="800" b="1" baseline="0">
              <a:latin typeface="Arial" pitchFamily="34" charset="0"/>
              <a:cs typeface="Arial" pitchFamily="34" charset="0"/>
            </a:rPr>
            <a:t> POINT public contact points (thous.)</a:t>
          </a:r>
          <a:endParaRPr lang="cs-CZ" sz="800" b="1">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0.34334</cdr:x>
      <cdr:y>0.88836</cdr:y>
    </cdr:from>
    <cdr:to>
      <cdr:x>0.97333</cdr:x>
      <cdr:y>0.98286</cdr:y>
    </cdr:to>
    <cdr:sp macro="" textlink="">
      <cdr:nvSpPr>
        <cdr:cNvPr id="2" name="Textové pole 1"/>
        <cdr:cNvSpPr txBox="1"/>
      </cdr:nvSpPr>
      <cdr:spPr>
        <a:xfrm xmlns:a="http://schemas.openxmlformats.org/drawingml/2006/main">
          <a:off x="1038225" y="2238375"/>
          <a:ext cx="19050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i="1">
              <a:latin typeface="Arial" panose="020B0604020202020204" pitchFamily="34" charset="0"/>
              <a:cs typeface="Arial" panose="020B0604020202020204" pitchFamily="34" charset="0"/>
            </a:rPr>
            <a:t>Source: Ministry of the Interior, 2018</a:t>
          </a:r>
        </a:p>
      </cdr:txBody>
    </cdr:sp>
  </cdr:relSizeAnchor>
</c:userShapes>
</file>

<file path=word/drawings/drawing4.xml><?xml version="1.0" encoding="utf-8"?>
<c:userShapes xmlns:c="http://schemas.openxmlformats.org/drawingml/2006/chart">
  <cdr:relSizeAnchor xmlns:cdr="http://schemas.openxmlformats.org/drawingml/2006/chartDrawing">
    <cdr:from>
      <cdr:x>0.24736</cdr:x>
      <cdr:y>0.8958</cdr:y>
    </cdr:from>
    <cdr:to>
      <cdr:x>0.9644</cdr:x>
      <cdr:y>0.96762</cdr:y>
    </cdr:to>
    <cdr:sp macro="" textlink="">
      <cdr:nvSpPr>
        <cdr:cNvPr id="2" name="TextovéPole 1"/>
        <cdr:cNvSpPr txBox="1"/>
      </cdr:nvSpPr>
      <cdr:spPr>
        <a:xfrm xmlns:a="http://schemas.openxmlformats.org/drawingml/2006/main">
          <a:off x="752476" y="2257424"/>
          <a:ext cx="21812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Ministry of the Interior, 2018</a:t>
          </a:r>
          <a:endParaRPr lang="cs-CZ" sz="800">
            <a:effectLst/>
            <a:latin typeface="Arial" panose="020B0604020202020204" pitchFamily="34" charset="0"/>
            <a:cs typeface="Arial" panose="020B0604020202020204" pitchFamily="34" charset="0"/>
          </a:endParaRPr>
        </a:p>
        <a:p xmlns:a="http://schemas.openxmlformats.org/drawingml/2006/main">
          <a:pPr algn="r"/>
          <a:endParaRPr lang="cs-CZ" sz="80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a:t>
          </a:r>
          <a:r>
            <a:rPr lang="cs-CZ" sz="800" b="1" baseline="0">
              <a:latin typeface="Arial" pitchFamily="34" charset="0"/>
              <a:cs typeface="Arial" pitchFamily="34" charset="0"/>
            </a:rPr>
            <a:t> </a:t>
          </a:r>
          <a:r>
            <a:rPr lang="cs-CZ" sz="800" b="1">
              <a:latin typeface="Arial" pitchFamily="34" charset="0"/>
              <a:cs typeface="Arial" pitchFamily="34" charset="0"/>
            </a:rPr>
            <a:t>E5 Number of newly</a:t>
          </a:r>
          <a:r>
            <a:rPr lang="cs-CZ" sz="800" b="1" baseline="0">
              <a:latin typeface="Arial" pitchFamily="34" charset="0"/>
              <a:cs typeface="Arial" pitchFamily="34" charset="0"/>
            </a:rPr>
            <a:t> activated Data Boxes in the Czech Republic (thous.)</a:t>
          </a:r>
          <a:endParaRPr lang="cs-CZ" sz="800" b="1">
            <a:latin typeface="Arial" pitchFamily="34" charset="0"/>
            <a:cs typeface="Arial" pitchFamily="34" charset="0"/>
          </a:endParaRPr>
        </a:p>
      </cdr:txBody>
    </cdr:sp>
  </cdr:relSizeAnchor>
  <cdr:relSizeAnchor xmlns:cdr="http://schemas.openxmlformats.org/drawingml/2006/chartDrawing">
    <cdr:from>
      <cdr:x>0.26302</cdr:x>
      <cdr:y>0.89592</cdr:y>
    </cdr:from>
    <cdr:to>
      <cdr:x>0.97344</cdr:x>
      <cdr:y>0.9903</cdr:y>
    </cdr:to>
    <cdr:sp macro="" textlink="">
      <cdr:nvSpPr>
        <cdr:cNvPr id="4" name="TextovéPole 1"/>
        <cdr:cNvSpPr txBox="1"/>
      </cdr:nvSpPr>
      <cdr:spPr>
        <a:xfrm xmlns:a="http://schemas.openxmlformats.org/drawingml/2006/main">
          <a:off x="800015" y="2257425"/>
          <a:ext cx="2160849" cy="2378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cs-CZ" sz="800" i="1">
              <a:latin typeface="Arial" pitchFamily="34" charset="0"/>
              <a:cs typeface="Arial" pitchFamily="34" charset="0"/>
            </a:rPr>
            <a:t>Source: Ministry of the Interior, 2018</a:t>
          </a:r>
        </a:p>
      </cdr:txBody>
    </cdr:sp>
  </cdr:relSizeAnchor>
  <cdr:relSizeAnchor xmlns:cdr="http://schemas.openxmlformats.org/drawingml/2006/chartDrawing">
    <cdr:from>
      <cdr:x>0.00554</cdr:x>
      <cdr:y>0.26697</cdr:y>
    </cdr:from>
    <cdr:to>
      <cdr:x>0.07756</cdr:x>
      <cdr:y>0.44344</cdr:y>
    </cdr:to>
    <cdr:sp macro="" textlink="">
      <cdr:nvSpPr>
        <cdr:cNvPr id="5" name="TextovéPole 4"/>
        <cdr:cNvSpPr txBox="1"/>
      </cdr:nvSpPr>
      <cdr:spPr>
        <a:xfrm xmlns:a="http://schemas.openxmlformats.org/drawingml/2006/main" rot="16200000">
          <a:off x="-42862" y="623887"/>
          <a:ext cx="371479"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100" b="1">
              <a:solidFill>
                <a:schemeClr val="bg1"/>
              </a:solidFill>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0.01972</cdr:x>
      <cdr:y>0</cdr:y>
    </cdr:from>
    <cdr:to>
      <cdr:x>0.97465</cdr:x>
      <cdr:y>0.15612</cdr:y>
    </cdr:to>
    <cdr:sp macro="" textlink="">
      <cdr:nvSpPr>
        <cdr:cNvPr id="2" name="TextovéPole 1"/>
        <cdr:cNvSpPr txBox="1"/>
      </cdr:nvSpPr>
      <cdr:spPr>
        <a:xfrm xmlns:a="http://schemas.openxmlformats.org/drawingml/2006/main">
          <a:off x="66681" y="0"/>
          <a:ext cx="3228976" cy="352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800" b="1">
              <a:latin typeface="Arial" panose="020B0604020202020204" pitchFamily="34" charset="0"/>
              <a:cs typeface="Arial" panose="020B0604020202020204" pitchFamily="34" charset="0"/>
            </a:rPr>
            <a:t>Figure E6 Number of new Data Boxes in the Czech Republic by type of entity (thous.)</a:t>
          </a:r>
        </a:p>
      </cdr:txBody>
    </cdr:sp>
  </cdr:relSizeAnchor>
  <cdr:relSizeAnchor xmlns:cdr="http://schemas.openxmlformats.org/drawingml/2006/chartDrawing">
    <cdr:from>
      <cdr:x>0.26774</cdr:x>
      <cdr:y>0.8997</cdr:y>
    </cdr:from>
    <cdr:to>
      <cdr:x>0.96338</cdr:x>
      <cdr:y>0.97908</cdr:y>
    </cdr:to>
    <cdr:sp macro="" textlink="">
      <cdr:nvSpPr>
        <cdr:cNvPr id="3" name="TextovéPole 2"/>
        <cdr:cNvSpPr txBox="1"/>
      </cdr:nvSpPr>
      <cdr:spPr>
        <a:xfrm xmlns:a="http://schemas.openxmlformats.org/drawingml/2006/main">
          <a:off x="809625" y="2266949"/>
          <a:ext cx="2103511"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Source: Ministry of the Interior, 2018</a:t>
          </a:r>
          <a:endParaRPr lang="cs-CZ" sz="800">
            <a:effectLst/>
            <a:latin typeface="Arial" panose="020B0604020202020204" pitchFamily="34" charset="0"/>
            <a:cs typeface="Arial" panose="020B0604020202020204" pitchFamily="34" charset="0"/>
          </a:endParaRPr>
        </a:p>
        <a:p xmlns:a="http://schemas.openxmlformats.org/drawingml/2006/main">
          <a:endParaRPr lang="cs-CZ"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0.33605</cdr:x>
      <cdr:y>0.39455</cdr:y>
    </cdr:from>
    <cdr:to>
      <cdr:x>0.8494</cdr:x>
      <cdr:y>0.72708</cdr:y>
    </cdr:to>
    <cdr:sp macro="" textlink="">
      <cdr:nvSpPr>
        <cdr:cNvPr id="3" name="TextovéPole 1">
          <a:extLst xmlns:a="http://schemas.openxmlformats.org/drawingml/2006/main">
            <a:ext uri="{FF2B5EF4-FFF2-40B4-BE49-F238E27FC236}">
              <a16:creationId xmlns:a16="http://schemas.microsoft.com/office/drawing/2014/main" id="{00000000-0008-0000-0A00-000008000000}"/>
            </a:ext>
          </a:extLst>
        </cdr:cNvPr>
        <cdr:cNvSpPr txBox="1"/>
      </cdr:nvSpPr>
      <cdr:spPr>
        <a:xfrm xmlns:a="http://schemas.openxmlformats.org/drawingml/2006/main">
          <a:off x="611362" y="781679"/>
          <a:ext cx="933924" cy="6588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800" b="1">
              <a:latin typeface="Arial" panose="020B0604020202020204" pitchFamily="34" charset="0"/>
              <a:cs typeface="Arial" panose="020B0604020202020204" pitchFamily="34" charset="0"/>
            </a:rPr>
            <a:t>102,8 mil.  transactions</a:t>
          </a:r>
        </a:p>
        <a:p xmlns:a="http://schemas.openxmlformats.org/drawingml/2006/main">
          <a:pPr algn="ctr"/>
          <a:r>
            <a:rPr lang="cs-CZ" sz="800" b="1" baseline="0">
              <a:latin typeface="Arial" panose="020B0604020202020204" pitchFamily="34" charset="0"/>
              <a:cs typeface="Arial" panose="020B0604020202020204" pitchFamily="34" charset="0"/>
            </a:rPr>
            <a:t> </a:t>
          </a:r>
          <a:r>
            <a:rPr lang="cs-CZ" sz="800" b="1">
              <a:latin typeface="Arial" panose="020B0604020202020204" pitchFamily="34" charset="0"/>
              <a:cs typeface="Arial" panose="020B0604020202020204" pitchFamily="34" charset="0"/>
            </a:rPr>
            <a:t>total</a:t>
          </a:r>
          <a:endParaRPr lang="en-US" sz="800" b="1">
            <a:latin typeface="Arial" panose="020B0604020202020204" pitchFamily="34" charset="0"/>
            <a:cs typeface="Arial" panose="020B060402020202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0.17635</cdr:x>
      <cdr:y>0.48657</cdr:y>
    </cdr:from>
    <cdr:to>
      <cdr:x>0.4375</cdr:x>
      <cdr:y>0.68003</cdr:y>
    </cdr:to>
    <cdr:sp macro="" textlink="">
      <cdr:nvSpPr>
        <cdr:cNvPr id="2" name="TextovéPole 1">
          <a:extLst xmlns:a="http://schemas.openxmlformats.org/drawingml/2006/main">
            <a:ext uri="{FF2B5EF4-FFF2-40B4-BE49-F238E27FC236}">
              <a16:creationId xmlns:a16="http://schemas.microsoft.com/office/drawing/2014/main" id="{00000000-0008-0000-0A00-000008000000}"/>
            </a:ext>
          </a:extLst>
        </cdr:cNvPr>
        <cdr:cNvSpPr txBox="1"/>
      </cdr:nvSpPr>
      <cdr:spPr>
        <a:xfrm xmlns:a="http://schemas.openxmlformats.org/drawingml/2006/main">
          <a:off x="591257" y="1401189"/>
          <a:ext cx="875593" cy="5571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800" b="1">
              <a:latin typeface="Arial" panose="020B0604020202020204" pitchFamily="34" charset="0"/>
              <a:cs typeface="Arial" panose="020B0604020202020204" pitchFamily="34" charset="0"/>
            </a:rPr>
            <a:t>45,4 mil.  transactions </a:t>
          </a:r>
        </a:p>
        <a:p xmlns:a="http://schemas.openxmlformats.org/drawingml/2006/main">
          <a:pPr algn="ctr"/>
          <a:r>
            <a:rPr lang="cs-CZ" sz="800" b="1">
              <a:latin typeface="Arial" panose="020B0604020202020204" pitchFamily="34" charset="0"/>
              <a:cs typeface="Arial" panose="020B0604020202020204" pitchFamily="34" charset="0"/>
            </a:rPr>
            <a:t>total</a:t>
          </a:r>
          <a:endParaRPr lang="en-US" sz="8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0.05556</cdr:x>
      <cdr:y>0.00378</cdr:y>
    </cdr:from>
    <cdr:to>
      <cdr:x>0.92721</cdr:x>
      <cdr:y>0.16396</cdr:y>
    </cdr:to>
    <cdr:sp macro="" textlink="">
      <cdr:nvSpPr>
        <cdr:cNvPr id="4" name="TextovéPole 1"/>
        <cdr:cNvSpPr txBox="1"/>
      </cdr:nvSpPr>
      <cdr:spPr>
        <a:xfrm xmlns:a="http://schemas.openxmlformats.org/drawingml/2006/main">
          <a:off x="200025" y="9525"/>
          <a:ext cx="3137940" cy="4036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E7 Number of e-transactions made </a:t>
          </a:r>
        </a:p>
        <a:p xmlns:a="http://schemas.openxmlformats.org/drawingml/2006/main">
          <a:pPr algn="ctr"/>
          <a:r>
            <a:rPr lang="cs-CZ" sz="800" b="1">
              <a:latin typeface="Arial" pitchFamily="34" charset="0"/>
              <a:cs typeface="Arial" pitchFamily="34" charset="0"/>
            </a:rPr>
            <a:t>via Data Boxes in the Czech Republic by type of entities that conducted these transactions (mil.; %) </a:t>
          </a:r>
        </a:p>
      </cdr:txBody>
    </cdr:sp>
  </cdr:relSizeAnchor>
  <cdr:relSizeAnchor xmlns:cdr="http://schemas.openxmlformats.org/drawingml/2006/chartDrawing">
    <cdr:from>
      <cdr:x>0.35985</cdr:x>
      <cdr:y>0.89754</cdr:y>
    </cdr:from>
    <cdr:to>
      <cdr:x>0.96682</cdr:x>
      <cdr:y>0.97152</cdr:y>
    </cdr:to>
    <cdr:sp macro="" textlink="">
      <cdr:nvSpPr>
        <cdr:cNvPr id="5" name="TextovéPole 1"/>
        <cdr:cNvSpPr txBox="1"/>
      </cdr:nvSpPr>
      <cdr:spPr>
        <a:xfrm xmlns:a="http://schemas.openxmlformats.org/drawingml/2006/main">
          <a:off x="1295399" y="2261513"/>
          <a:ext cx="2184973" cy="186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i="1">
              <a:latin typeface="Arial" pitchFamily="34" charset="0"/>
              <a:cs typeface="Arial" pitchFamily="34" charset="0"/>
            </a:rPr>
            <a:t>Source: Ministry of the Interior, 2018</a:t>
          </a:r>
        </a:p>
      </cdr:txBody>
    </cdr:sp>
  </cdr:relSizeAnchor>
</c:userShapes>
</file>

<file path=word/drawings/drawing9.xml><?xml version="1.0" encoding="utf-8"?>
<c:userShapes xmlns:c="http://schemas.openxmlformats.org/drawingml/2006/chart">
  <cdr:relSizeAnchor xmlns:cdr="http://schemas.openxmlformats.org/drawingml/2006/chartDrawing">
    <cdr:from>
      <cdr:x>0.06645</cdr:x>
      <cdr:y>0.9</cdr:y>
    </cdr:from>
    <cdr:to>
      <cdr:x>0.9103</cdr:x>
      <cdr:y>0.9875</cdr:y>
    </cdr:to>
    <cdr:sp macro="" textlink="">
      <cdr:nvSpPr>
        <cdr:cNvPr id="2" name="TextovéPole 1"/>
        <cdr:cNvSpPr txBox="1"/>
      </cdr:nvSpPr>
      <cdr:spPr>
        <a:xfrm xmlns:a="http://schemas.openxmlformats.org/drawingml/2006/main">
          <a:off x="190502" y="2057400"/>
          <a:ext cx="24193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cs-CZ" sz="800" i="1">
              <a:latin typeface="Arial" panose="020B0604020202020204" pitchFamily="34" charset="0"/>
              <a:cs typeface="Arial" panose="020B0604020202020204" pitchFamily="34" charset="0"/>
            </a:rPr>
            <a:t>Source: </a:t>
          </a:r>
          <a:r>
            <a:rPr lang="cs-CZ" sz="800" i="1" baseline="0">
              <a:latin typeface="Arial" panose="020B0604020202020204" pitchFamily="34" charset="0"/>
              <a:cs typeface="Arial" panose="020B0604020202020204" pitchFamily="34" charset="0"/>
            </a:rPr>
            <a:t> Ministry of the Interior, 2018</a:t>
          </a:r>
          <a:endParaRPr lang="cs-CZ" sz="800" i="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B034-48C8-4167-8800-1349E9E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EN_2017-08-14-3.dotx</Template>
  <TotalTime>0</TotalTime>
  <Pages>8</Pages>
  <Words>2812</Words>
  <Characters>16594</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cp:lastModifiedBy>Alena Kotrbatá</cp:lastModifiedBy>
  <cp:revision>2</cp:revision>
  <cp:lastPrinted>2019-01-03T11:43:00Z</cp:lastPrinted>
  <dcterms:created xsi:type="dcterms:W3CDTF">2019-01-10T06:51:00Z</dcterms:created>
  <dcterms:modified xsi:type="dcterms:W3CDTF">2019-01-10T06:51:00Z</dcterms:modified>
</cp:coreProperties>
</file>